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8B1" w:rsidRPr="00280F86" w:rsidRDefault="00B958B1" w:rsidP="00CD6C6C">
      <w:pPr>
        <w:pBdr>
          <w:bottom w:val="single" w:sz="12" w:space="0" w:color="auto"/>
        </w:pBdr>
        <w:spacing w:before="1560"/>
        <w:jc w:val="center"/>
        <w:rPr>
          <w:rFonts w:ascii="Calibri" w:hAnsi="Calibri"/>
          <w:b/>
          <w:sz w:val="52"/>
          <w:szCs w:val="52"/>
        </w:rPr>
      </w:pPr>
      <w:bookmarkStart w:id="0" w:name="_GoBack"/>
      <w:bookmarkEnd w:id="0"/>
      <w:r w:rsidRPr="00280F86">
        <w:rPr>
          <w:rFonts w:ascii="Calibri" w:hAnsi="Calibri"/>
          <w:b/>
          <w:sz w:val="52"/>
          <w:szCs w:val="52"/>
        </w:rPr>
        <w:t>Service Delivery</w:t>
      </w:r>
    </w:p>
    <w:p w:rsidR="00B958B1" w:rsidRPr="00280F86" w:rsidRDefault="00B958B1" w:rsidP="00280F86">
      <w:pPr>
        <w:jc w:val="center"/>
        <w:rPr>
          <w:rFonts w:ascii="Calibri" w:hAnsi="Calibri"/>
          <w:b/>
          <w:sz w:val="52"/>
          <w:szCs w:val="52"/>
        </w:rPr>
      </w:pPr>
      <w:r w:rsidRPr="00280F86">
        <w:rPr>
          <w:rFonts w:ascii="Calibri" w:hAnsi="Calibri"/>
          <w:b/>
          <w:sz w:val="52"/>
          <w:szCs w:val="52"/>
        </w:rPr>
        <w:t>201</w:t>
      </w:r>
      <w:r>
        <w:rPr>
          <w:rFonts w:ascii="Calibri" w:hAnsi="Calibri"/>
          <w:b/>
          <w:sz w:val="52"/>
          <w:szCs w:val="52"/>
        </w:rPr>
        <w:t>3</w:t>
      </w:r>
      <w:r w:rsidR="009F0F49">
        <w:rPr>
          <w:rFonts w:ascii="Calibri" w:hAnsi="Calibri"/>
          <w:b/>
          <w:sz w:val="52"/>
          <w:szCs w:val="52"/>
        </w:rPr>
        <w:noBreakHyphen/>
      </w:r>
      <w:r w:rsidRPr="00280F86">
        <w:rPr>
          <w:rFonts w:ascii="Calibri" w:hAnsi="Calibri"/>
          <w:b/>
          <w:sz w:val="52"/>
          <w:szCs w:val="52"/>
        </w:rPr>
        <w:t>1</w:t>
      </w:r>
      <w:r>
        <w:rPr>
          <w:rFonts w:ascii="Calibri" w:hAnsi="Calibri"/>
          <w:b/>
          <w:sz w:val="52"/>
          <w:szCs w:val="52"/>
        </w:rPr>
        <w:t>4</w:t>
      </w:r>
    </w:p>
    <w:p w:rsidR="00B958B1" w:rsidRPr="00280F86" w:rsidRDefault="00B958B1" w:rsidP="00E615C3">
      <w:pPr>
        <w:jc w:val="center"/>
        <w:rPr>
          <w:rFonts w:ascii="Calibri" w:hAnsi="Calibri"/>
          <w:sz w:val="30"/>
          <w:szCs w:val="30"/>
        </w:rPr>
      </w:pPr>
    </w:p>
    <w:p w:rsidR="00B958B1" w:rsidRDefault="00B958B1" w:rsidP="00280F86">
      <w:pPr>
        <w:jc w:val="center"/>
      </w:pPr>
      <w:r w:rsidRPr="004C4778">
        <w:rPr>
          <w:rFonts w:ascii="AvantGarde Bk BT" w:hAnsi="AvantGarde Bk BT"/>
          <w:sz w:val="30"/>
          <w:szCs w:val="30"/>
        </w:rPr>
        <w:object w:dxaOrig="7261" w:dyaOrig="9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94.5pt" o:ole="" fillcolor="window">
            <v:imagedata r:id="rId9" o:title=""/>
          </v:shape>
          <o:OLEObject Type="Embed" ProgID="MSDraw.1.01" ShapeID="_x0000_i1025" DrawAspect="Content" ObjectID="_1429282093" r:id="rId10">
            <o:FieldCodes>\* MERGEFORMAT</o:FieldCodes>
          </o:OLEObject>
        </w:object>
      </w:r>
    </w:p>
    <w:p w:rsidR="00B958B1" w:rsidRPr="00280F86" w:rsidRDefault="00B958B1" w:rsidP="00280F86">
      <w:pPr>
        <w:jc w:val="center"/>
        <w:rPr>
          <w:rFonts w:ascii="Calibri" w:hAnsi="Calibri"/>
          <w:sz w:val="30"/>
          <w:szCs w:val="30"/>
        </w:rPr>
      </w:pPr>
    </w:p>
    <w:p w:rsidR="00B958B1" w:rsidRPr="00280F86" w:rsidRDefault="00B958B1" w:rsidP="00280F86">
      <w:pPr>
        <w:jc w:val="center"/>
        <w:rPr>
          <w:rFonts w:ascii="Calibri" w:hAnsi="Calibri"/>
          <w:sz w:val="30"/>
          <w:szCs w:val="30"/>
        </w:rPr>
      </w:pPr>
    </w:p>
    <w:p w:rsidR="00B958B1" w:rsidRPr="00280F86" w:rsidRDefault="00B958B1" w:rsidP="00280F86">
      <w:pPr>
        <w:jc w:val="center"/>
        <w:rPr>
          <w:rFonts w:ascii="Calibri" w:hAnsi="Calibri"/>
          <w:sz w:val="28"/>
          <w:szCs w:val="28"/>
        </w:rPr>
      </w:pPr>
      <w:r w:rsidRPr="00280F86">
        <w:rPr>
          <w:rFonts w:ascii="Calibri" w:hAnsi="Calibri"/>
          <w:sz w:val="28"/>
          <w:szCs w:val="28"/>
        </w:rPr>
        <w:t>Presented by</w:t>
      </w:r>
    </w:p>
    <w:p w:rsidR="00B958B1" w:rsidRPr="00280F86" w:rsidRDefault="00B958B1" w:rsidP="00280F86">
      <w:pPr>
        <w:jc w:val="center"/>
        <w:rPr>
          <w:rFonts w:ascii="Calibri" w:hAnsi="Calibri"/>
          <w:b/>
          <w:sz w:val="40"/>
          <w:szCs w:val="40"/>
        </w:rPr>
      </w:pPr>
      <w:r>
        <w:rPr>
          <w:rFonts w:ascii="Calibri" w:hAnsi="Calibri"/>
          <w:b/>
          <w:sz w:val="40"/>
          <w:szCs w:val="40"/>
        </w:rPr>
        <w:t>The Hon. Michael O’Brien</w:t>
      </w:r>
      <w:r w:rsidRPr="00280F86">
        <w:rPr>
          <w:rFonts w:ascii="Calibri" w:hAnsi="Calibri"/>
          <w:b/>
          <w:sz w:val="40"/>
          <w:szCs w:val="40"/>
        </w:rPr>
        <w:t xml:space="preserve"> MP</w:t>
      </w:r>
    </w:p>
    <w:p w:rsidR="00B958B1" w:rsidRPr="00280F86" w:rsidRDefault="00B958B1" w:rsidP="00280F86">
      <w:pPr>
        <w:jc w:val="center"/>
        <w:rPr>
          <w:rFonts w:ascii="Calibri" w:hAnsi="Calibri"/>
          <w:sz w:val="36"/>
          <w:szCs w:val="36"/>
        </w:rPr>
      </w:pPr>
      <w:r w:rsidRPr="00280F86">
        <w:rPr>
          <w:rFonts w:ascii="Calibri" w:hAnsi="Calibri"/>
          <w:sz w:val="36"/>
          <w:szCs w:val="36"/>
        </w:rPr>
        <w:t>Treasurer of the State of Victoria</w:t>
      </w:r>
    </w:p>
    <w:p w:rsidR="00B958B1" w:rsidRPr="00280F86" w:rsidRDefault="00B958B1" w:rsidP="00280F86">
      <w:pPr>
        <w:jc w:val="center"/>
        <w:rPr>
          <w:rFonts w:ascii="Calibri" w:hAnsi="Calibri"/>
          <w:sz w:val="30"/>
          <w:szCs w:val="30"/>
        </w:rPr>
      </w:pPr>
      <w:r w:rsidRPr="00280F86">
        <w:rPr>
          <w:rFonts w:ascii="Calibri" w:hAnsi="Calibri"/>
          <w:sz w:val="30"/>
          <w:szCs w:val="30"/>
        </w:rPr>
        <w:t>for the information of Honourable Members</w:t>
      </w:r>
    </w:p>
    <w:p w:rsidR="00B958B1" w:rsidRPr="00280F86" w:rsidRDefault="00B958B1" w:rsidP="00280F86">
      <w:pPr>
        <w:jc w:val="center"/>
        <w:rPr>
          <w:rFonts w:ascii="Calibri" w:hAnsi="Calibri"/>
          <w:sz w:val="36"/>
          <w:szCs w:val="36"/>
        </w:rPr>
      </w:pPr>
    </w:p>
    <w:p w:rsidR="00B958B1" w:rsidRPr="00280F86" w:rsidRDefault="00B958B1" w:rsidP="00280F86">
      <w:pPr>
        <w:jc w:val="center"/>
        <w:rPr>
          <w:rFonts w:ascii="Calibri" w:hAnsi="Calibri"/>
          <w:sz w:val="36"/>
          <w:szCs w:val="36"/>
        </w:rPr>
      </w:pPr>
      <w:r>
        <w:rPr>
          <w:rFonts w:ascii="Calibri" w:hAnsi="Calibri"/>
          <w:sz w:val="36"/>
          <w:szCs w:val="36"/>
        </w:rPr>
        <w:t>Budget Paper No. </w:t>
      </w:r>
      <w:r w:rsidRPr="00280F86">
        <w:rPr>
          <w:rFonts w:ascii="Calibri" w:hAnsi="Calibri"/>
          <w:sz w:val="36"/>
          <w:szCs w:val="36"/>
        </w:rPr>
        <w:t>3</w:t>
      </w:r>
    </w:p>
    <w:p w:rsidR="00B958B1" w:rsidRDefault="00B958B1">
      <w:pPr>
        <w:spacing w:after="0"/>
      </w:pPr>
      <w:r>
        <w:br w:type="page"/>
      </w:r>
    </w:p>
    <w:p w:rsidR="00B958B1" w:rsidRDefault="00B958B1" w:rsidP="00497606"/>
    <w:p w:rsidR="00B958B1" w:rsidRDefault="00B958B1" w:rsidP="00497606"/>
    <w:p w:rsidR="00B958B1" w:rsidRPr="004643AA" w:rsidRDefault="00B958B1" w:rsidP="004643AA"/>
    <w:p w:rsidR="00B958B1" w:rsidRPr="004643AA" w:rsidRDefault="00B958B1" w:rsidP="004643AA">
      <w:r w:rsidRPr="004643AA">
        <w:fldChar w:fldCharType="begin"/>
      </w:r>
      <w:r w:rsidRPr="004643AA">
        <w:instrText xml:space="preserve"> XE "Business and industry" \t "</w:instrText>
      </w:r>
      <w:r w:rsidRPr="004643AA">
        <w:rPr>
          <w:i/>
        </w:rPr>
        <w:instrText>See also</w:instrText>
      </w:r>
      <w:r w:rsidRPr="004643AA">
        <w:instrText xml:space="preserve"> Budget Paper No. 5" </w:instrText>
      </w:r>
      <w:r w:rsidRPr="004643AA">
        <w:fldChar w:fldCharType="end"/>
      </w:r>
      <w:r w:rsidRPr="004643AA">
        <w:fldChar w:fldCharType="begin"/>
      </w:r>
      <w:r w:rsidRPr="004643AA">
        <w:instrText xml:space="preserve"> XE "Business and industry" \t "</w:instrText>
      </w:r>
      <w:r w:rsidRPr="004643AA">
        <w:rPr>
          <w:i/>
        </w:rPr>
        <w:instrText>See</w:instrText>
      </w:r>
      <w:r w:rsidRPr="004643AA">
        <w:instrText xml:space="preserve"> Department of State Development, Business and Innovation" </w:instrText>
      </w:r>
      <w:r w:rsidRPr="004643AA">
        <w:fldChar w:fldCharType="end"/>
      </w:r>
      <w:r w:rsidRPr="004643AA">
        <w:fldChar w:fldCharType="begin"/>
      </w:r>
      <w:r w:rsidRPr="004643AA">
        <w:instrText xml:space="preserve"> XE "Dental Health" \t "</w:instrText>
      </w:r>
      <w:r w:rsidRPr="004643AA">
        <w:rPr>
          <w:i/>
        </w:rPr>
        <w:instrText>See</w:instrText>
      </w:r>
      <w:r w:rsidRPr="004643AA">
        <w:instrText xml:space="preserve"> Health" </w:instrText>
      </w:r>
      <w:r w:rsidRPr="004643AA">
        <w:fldChar w:fldCharType="end"/>
      </w:r>
      <w:r w:rsidRPr="004643AA">
        <w:fldChar w:fldCharType="begin"/>
      </w:r>
      <w:r w:rsidRPr="004643AA">
        <w:instrText xml:space="preserve"> XE "Department of State Development, Business and Innovation" \t "</w:instrText>
      </w:r>
      <w:r w:rsidRPr="004643AA">
        <w:rPr>
          <w:i/>
        </w:rPr>
        <w:instrText>See also</w:instrText>
      </w:r>
      <w:r w:rsidRPr="004643AA">
        <w:instrText xml:space="preserve"> Budget Paper No. 5" </w:instrText>
      </w:r>
      <w:r w:rsidRPr="004643AA">
        <w:fldChar w:fldCharType="end"/>
      </w:r>
      <w:r w:rsidRPr="004643AA">
        <w:fldChar w:fldCharType="begin"/>
      </w:r>
      <w:r w:rsidRPr="004643AA">
        <w:instrText xml:space="preserve"> XE "Department of Education and Early Childhood Development" \t "</w:instrText>
      </w:r>
      <w:r w:rsidRPr="004643AA">
        <w:rPr>
          <w:i/>
        </w:rPr>
        <w:instrText>See also</w:instrText>
      </w:r>
      <w:r w:rsidRPr="004643AA">
        <w:instrText xml:space="preserve"> Budget Paper No. 5" </w:instrText>
      </w:r>
      <w:r w:rsidRPr="004643AA">
        <w:fldChar w:fldCharType="end"/>
      </w:r>
      <w:r w:rsidRPr="004643AA">
        <w:fldChar w:fldCharType="begin"/>
      </w:r>
      <w:r w:rsidRPr="004643AA">
        <w:instrText xml:space="preserve"> XE "Department of Health" \t "</w:instrText>
      </w:r>
      <w:r w:rsidRPr="004643AA">
        <w:rPr>
          <w:i/>
        </w:rPr>
        <w:instrText>See also</w:instrText>
      </w:r>
      <w:r w:rsidRPr="004643AA">
        <w:instrText xml:space="preserve"> Budget Paper No. 5" </w:instrText>
      </w:r>
      <w:r w:rsidRPr="004643AA">
        <w:fldChar w:fldCharType="end"/>
      </w:r>
      <w:r w:rsidRPr="004643AA">
        <w:fldChar w:fldCharType="begin"/>
      </w:r>
      <w:r w:rsidRPr="004643AA">
        <w:instrText xml:space="preserve"> XE "Department of Human Services" \t "</w:instrText>
      </w:r>
      <w:r w:rsidRPr="004643AA">
        <w:rPr>
          <w:i/>
        </w:rPr>
        <w:instrText>See also</w:instrText>
      </w:r>
      <w:r w:rsidRPr="004643AA">
        <w:instrText xml:space="preserve"> Budget Paper No. 5" </w:instrText>
      </w:r>
      <w:r w:rsidRPr="004643AA">
        <w:fldChar w:fldCharType="end"/>
      </w:r>
      <w:r w:rsidRPr="004643AA">
        <w:fldChar w:fldCharType="begin"/>
      </w:r>
      <w:r w:rsidRPr="004643AA">
        <w:instrText xml:space="preserve"> XE "Department of Justice" \t "</w:instrText>
      </w:r>
      <w:r w:rsidRPr="004643AA">
        <w:rPr>
          <w:i/>
        </w:rPr>
        <w:instrText>See also</w:instrText>
      </w:r>
      <w:r w:rsidRPr="004643AA">
        <w:instrText xml:space="preserve"> Budget Paper No. 5" </w:instrText>
      </w:r>
      <w:r w:rsidRPr="004643AA">
        <w:fldChar w:fldCharType="end"/>
      </w:r>
      <w:r w:rsidRPr="004643AA">
        <w:fldChar w:fldCharType="begin"/>
      </w:r>
      <w:r w:rsidRPr="004643AA">
        <w:instrText xml:space="preserve"> XE "Department of Transport, Planning and Local Infrastructure" \t "</w:instrText>
      </w:r>
      <w:r w:rsidRPr="004643AA">
        <w:rPr>
          <w:i/>
        </w:rPr>
        <w:instrText>See also</w:instrText>
      </w:r>
      <w:r w:rsidRPr="004643AA">
        <w:instrText xml:space="preserve"> Budget Paper No. 5" </w:instrText>
      </w:r>
      <w:r w:rsidRPr="004643AA">
        <w:fldChar w:fldCharType="end"/>
      </w:r>
      <w:r w:rsidRPr="004643AA">
        <w:fldChar w:fldCharType="begin"/>
      </w:r>
      <w:r w:rsidRPr="004643AA">
        <w:instrText xml:space="preserve"> XE "Department of Premier and Cabinet" \t "</w:instrText>
      </w:r>
      <w:r w:rsidRPr="004643AA">
        <w:rPr>
          <w:i/>
        </w:rPr>
        <w:instrText>See also</w:instrText>
      </w:r>
      <w:r w:rsidRPr="004643AA">
        <w:instrText xml:space="preserve"> Budget Paper No. 5" </w:instrText>
      </w:r>
      <w:r w:rsidRPr="004643AA">
        <w:fldChar w:fldCharType="end"/>
      </w:r>
      <w:r w:rsidRPr="004643AA">
        <w:fldChar w:fldCharType="begin"/>
      </w:r>
      <w:r w:rsidRPr="004643AA">
        <w:instrText xml:space="preserve"> XE "Department of Environment and Primary Industries" \t "</w:instrText>
      </w:r>
      <w:r w:rsidRPr="004643AA">
        <w:rPr>
          <w:i/>
        </w:rPr>
        <w:instrText>See also</w:instrText>
      </w:r>
      <w:r w:rsidRPr="004643AA">
        <w:instrText xml:space="preserve"> Budget Paper No. 5" </w:instrText>
      </w:r>
      <w:r w:rsidRPr="004643AA">
        <w:fldChar w:fldCharType="end"/>
      </w:r>
      <w:r w:rsidRPr="004643AA">
        <w:t xml:space="preserve"> </w:t>
      </w:r>
      <w:r w:rsidRPr="004643AA">
        <w:fldChar w:fldCharType="begin"/>
      </w:r>
      <w:r w:rsidRPr="004643AA">
        <w:instrText xml:space="preserve"> XE "Department of Treasury and Finance" \t "</w:instrText>
      </w:r>
      <w:r w:rsidRPr="004643AA">
        <w:rPr>
          <w:i/>
        </w:rPr>
        <w:instrText>See also</w:instrText>
      </w:r>
      <w:r w:rsidRPr="004643AA">
        <w:instrText xml:space="preserve"> Budget Paper No. 5" </w:instrText>
      </w:r>
      <w:r w:rsidRPr="004643AA">
        <w:fldChar w:fldCharType="end"/>
      </w:r>
      <w:r w:rsidRPr="004643AA">
        <w:fldChar w:fldCharType="begin"/>
      </w:r>
      <w:r w:rsidRPr="004643AA">
        <w:instrText xml:space="preserve"> XE "Education" \t "</w:instrText>
      </w:r>
      <w:r w:rsidRPr="004643AA">
        <w:rPr>
          <w:i/>
        </w:rPr>
        <w:instrText>See also</w:instrText>
      </w:r>
      <w:r w:rsidRPr="004643AA">
        <w:instrText xml:space="preserve"> Department of Education and Early Childhood Development"</w:instrText>
      </w:r>
      <w:r w:rsidRPr="004643AA">
        <w:fldChar w:fldCharType="end"/>
      </w:r>
      <w:r w:rsidRPr="004643AA">
        <w:fldChar w:fldCharType="begin"/>
      </w:r>
      <w:r w:rsidRPr="004643AA">
        <w:instrText xml:space="preserve"> XE "Health" \t "</w:instrText>
      </w:r>
      <w:r w:rsidRPr="004643AA">
        <w:rPr>
          <w:i/>
        </w:rPr>
        <w:instrText>See also</w:instrText>
      </w:r>
      <w:r w:rsidRPr="004643AA">
        <w:instrText xml:space="preserve"> Department of Health" </w:instrText>
      </w:r>
      <w:r w:rsidRPr="004643AA">
        <w:fldChar w:fldCharType="end"/>
      </w:r>
      <w:r w:rsidRPr="004643AA">
        <w:fldChar w:fldCharType="begin"/>
      </w:r>
      <w:r w:rsidRPr="004643AA">
        <w:instrText xml:space="preserve"> XE "Human Services" \t "</w:instrText>
      </w:r>
      <w:r w:rsidRPr="004643AA">
        <w:rPr>
          <w:i/>
        </w:rPr>
        <w:instrText>See</w:instrText>
      </w:r>
      <w:r w:rsidRPr="004643AA">
        <w:instrText xml:space="preserve"> Department of Human Services" </w:instrText>
      </w:r>
      <w:r w:rsidRPr="004643AA">
        <w:fldChar w:fldCharType="end"/>
      </w:r>
      <w:r w:rsidRPr="004643AA">
        <w:fldChar w:fldCharType="begin"/>
      </w:r>
      <w:r w:rsidRPr="004643AA">
        <w:instrText xml:space="preserve"> XE "Justice" \t "</w:instrText>
      </w:r>
      <w:r w:rsidRPr="004643AA">
        <w:rPr>
          <w:i/>
        </w:rPr>
        <w:instrText>See</w:instrText>
      </w:r>
      <w:r w:rsidRPr="004643AA">
        <w:instrText xml:space="preserve"> Department of Justice" </w:instrText>
      </w:r>
      <w:r w:rsidRPr="004643AA">
        <w:fldChar w:fldCharType="end"/>
      </w:r>
      <w:r w:rsidRPr="004643AA">
        <w:fldChar w:fldCharType="begin"/>
      </w:r>
      <w:r w:rsidRPr="004643AA">
        <w:instrText xml:space="preserve"> XE "Mental Health" \t "</w:instrText>
      </w:r>
      <w:r w:rsidRPr="004643AA">
        <w:rPr>
          <w:i/>
        </w:rPr>
        <w:instrText>See</w:instrText>
      </w:r>
      <w:r w:rsidRPr="004643AA">
        <w:instrText xml:space="preserve"> Health" </w:instrText>
      </w:r>
      <w:r w:rsidRPr="004643AA">
        <w:fldChar w:fldCharType="end"/>
      </w:r>
      <w:r w:rsidRPr="004643AA">
        <w:fldChar w:fldCharType="begin"/>
      </w:r>
      <w:r w:rsidRPr="004643AA">
        <w:instrText xml:space="preserve"> XE "Planning" \t "</w:instrText>
      </w:r>
      <w:r w:rsidRPr="004643AA">
        <w:rPr>
          <w:i/>
        </w:rPr>
        <w:instrText>See</w:instrText>
      </w:r>
      <w:r w:rsidRPr="004643AA">
        <w:instrText xml:space="preserve"> Department of Transport, Planning and Local Infrastructure" </w:instrText>
      </w:r>
      <w:r w:rsidRPr="004643AA">
        <w:fldChar w:fldCharType="end"/>
      </w:r>
      <w:r w:rsidRPr="004643AA">
        <w:fldChar w:fldCharType="begin"/>
      </w:r>
      <w:r w:rsidRPr="004643AA">
        <w:instrText xml:space="preserve"> XE "Victoria Police" \t "</w:instrText>
      </w:r>
      <w:r w:rsidRPr="004643AA">
        <w:rPr>
          <w:i/>
        </w:rPr>
        <w:instrText>See</w:instrText>
      </w:r>
      <w:r w:rsidRPr="004643AA">
        <w:instrText xml:space="preserve"> Police" </w:instrText>
      </w:r>
      <w:r w:rsidRPr="004643AA">
        <w:fldChar w:fldCharType="end"/>
      </w:r>
      <w:r w:rsidRPr="004643AA">
        <w:fldChar w:fldCharType="begin"/>
      </w:r>
      <w:r w:rsidRPr="004643AA">
        <w:instrText xml:space="preserve"> XE "Public transport" \t "</w:instrText>
      </w:r>
      <w:r w:rsidRPr="004643AA">
        <w:rPr>
          <w:i/>
        </w:rPr>
        <w:instrText>See</w:instrText>
      </w:r>
      <w:r w:rsidRPr="004643AA">
        <w:instrText xml:space="preserve"> Transport" </w:instrText>
      </w:r>
      <w:r w:rsidRPr="004643AA">
        <w:fldChar w:fldCharType="end"/>
      </w:r>
      <w:r w:rsidRPr="004643AA">
        <w:fldChar w:fldCharType="begin"/>
      </w:r>
      <w:r w:rsidRPr="004643AA">
        <w:instrText xml:space="preserve"> XE "Schools" \t "</w:instrText>
      </w:r>
      <w:r w:rsidRPr="004643AA">
        <w:rPr>
          <w:i/>
        </w:rPr>
        <w:instrText>See</w:instrText>
      </w:r>
      <w:r w:rsidRPr="004643AA">
        <w:instrText xml:space="preserve"> Education" </w:instrText>
      </w:r>
      <w:r w:rsidRPr="004643AA">
        <w:fldChar w:fldCharType="end"/>
      </w:r>
      <w:r w:rsidRPr="004643AA">
        <w:fldChar w:fldCharType="begin"/>
      </w:r>
      <w:r w:rsidRPr="004643AA">
        <w:instrText xml:space="preserve"> XE "Skills" \t "</w:instrText>
      </w:r>
      <w:r w:rsidRPr="004643AA">
        <w:rPr>
          <w:i/>
        </w:rPr>
        <w:instrText>See</w:instrText>
      </w:r>
      <w:r w:rsidRPr="004643AA">
        <w:instrText xml:space="preserve"> Education" </w:instrText>
      </w:r>
      <w:r w:rsidRPr="004643AA">
        <w:fldChar w:fldCharType="end"/>
      </w:r>
      <w:r w:rsidRPr="004643AA">
        <w:fldChar w:fldCharType="begin"/>
      </w:r>
      <w:r w:rsidRPr="004643AA">
        <w:instrText xml:space="preserve"> XE "Transport" \t "</w:instrText>
      </w:r>
      <w:r w:rsidRPr="004643AA">
        <w:rPr>
          <w:i/>
        </w:rPr>
        <w:instrText>See also</w:instrText>
      </w:r>
      <w:r w:rsidRPr="004643AA">
        <w:instrText xml:space="preserve"> Department of Transport, Planning and Local Infrastructure" </w:instrText>
      </w:r>
      <w:r w:rsidRPr="004643AA">
        <w:fldChar w:fldCharType="end"/>
      </w:r>
      <w:r w:rsidRPr="004643AA">
        <w:t xml:space="preserve"> </w:t>
      </w:r>
      <w:r w:rsidRPr="004643AA">
        <w:fldChar w:fldCharType="begin"/>
      </w:r>
      <w:r w:rsidRPr="004643AA">
        <w:instrText xml:space="preserve"> XE "Department of Business and Innovation" \t "</w:instrText>
      </w:r>
      <w:r w:rsidRPr="004643AA">
        <w:rPr>
          <w:i/>
        </w:rPr>
        <w:instrText xml:space="preserve">See </w:instrText>
      </w:r>
      <w:r w:rsidRPr="004643AA">
        <w:instrText xml:space="preserve">Department of State Development, Business and Innovation" </w:instrText>
      </w:r>
      <w:r w:rsidRPr="004643AA">
        <w:fldChar w:fldCharType="end"/>
      </w:r>
      <w:r w:rsidRPr="004643AA">
        <w:fldChar w:fldCharType="begin"/>
      </w:r>
      <w:r w:rsidRPr="004643AA">
        <w:instrText xml:space="preserve"> XE "Department of Planning and Community Development" \t "</w:instrText>
      </w:r>
      <w:r w:rsidRPr="004643AA">
        <w:rPr>
          <w:i/>
        </w:rPr>
        <w:instrText>See</w:instrText>
      </w:r>
      <w:r w:rsidRPr="004643AA">
        <w:instrText xml:space="preserve"> Department of Transport, Planning and Local Infrastructure" </w:instrText>
      </w:r>
      <w:r w:rsidRPr="004643AA">
        <w:fldChar w:fldCharType="end"/>
      </w:r>
      <w:r w:rsidRPr="004643AA">
        <w:fldChar w:fldCharType="begin"/>
      </w:r>
      <w:r w:rsidRPr="004643AA">
        <w:instrText xml:space="preserve"> XE "Department of Primary Industries" \t "</w:instrText>
      </w:r>
      <w:r w:rsidRPr="004643AA">
        <w:rPr>
          <w:i/>
        </w:rPr>
        <w:instrText>See</w:instrText>
      </w:r>
      <w:r w:rsidRPr="004643AA">
        <w:instrText xml:space="preserve"> Department of Environment and Primary Industries" </w:instrText>
      </w:r>
      <w:r w:rsidRPr="004643AA">
        <w:fldChar w:fldCharType="end"/>
      </w:r>
      <w:r w:rsidRPr="004643AA">
        <w:fldChar w:fldCharType="begin"/>
      </w:r>
      <w:r w:rsidRPr="004643AA">
        <w:instrText xml:space="preserve"> XE "Department of Sustainability and Environment" \t "</w:instrText>
      </w:r>
      <w:r w:rsidRPr="004643AA">
        <w:rPr>
          <w:i/>
        </w:rPr>
        <w:instrText>See</w:instrText>
      </w:r>
      <w:r w:rsidRPr="004643AA">
        <w:instrText xml:space="preserve"> Department of Environment and Primary Industries" </w:instrText>
      </w:r>
      <w:r w:rsidRPr="004643AA">
        <w:fldChar w:fldCharType="end"/>
      </w:r>
      <w:r w:rsidRPr="004643AA">
        <w:fldChar w:fldCharType="begin"/>
      </w:r>
      <w:r w:rsidRPr="004643AA">
        <w:instrText xml:space="preserve"> XE "Department of Transport" \t "</w:instrText>
      </w:r>
      <w:r w:rsidRPr="004643AA">
        <w:rPr>
          <w:i/>
        </w:rPr>
        <w:instrText>See</w:instrText>
      </w:r>
      <w:r w:rsidRPr="004643AA">
        <w:instrText xml:space="preserve"> Department of Transport, Planning and Local Infrastructure" </w:instrText>
      </w:r>
      <w:r w:rsidRPr="004643AA">
        <w:fldChar w:fldCharType="end"/>
      </w:r>
    </w:p>
    <w:p w:rsidR="00B958B1" w:rsidRDefault="00B958B1" w:rsidP="00497606"/>
    <w:p w:rsidR="00B958B1" w:rsidRDefault="00B958B1" w:rsidP="00497606"/>
    <w:p w:rsidR="00B958B1" w:rsidRDefault="00B958B1" w:rsidP="00497606"/>
    <w:p w:rsidR="00B958B1" w:rsidRDefault="00B958B1" w:rsidP="00497606"/>
    <w:p w:rsidR="00B958B1" w:rsidRDefault="00B958B1" w:rsidP="00497606">
      <w:pPr>
        <w:sectPr w:rsidR="00B958B1" w:rsidSect="00B958B1">
          <w:footerReference w:type="even" r:id="rId11"/>
          <w:footerReference w:type="default" r:id="rId12"/>
          <w:type w:val="oddPage"/>
          <w:pgSz w:w="9979" w:h="14175" w:code="34"/>
          <w:pgMar w:top="1138" w:right="1138" w:bottom="1138" w:left="1138" w:header="720" w:footer="720" w:gutter="0"/>
          <w:cols w:space="708"/>
          <w:docGrid w:linePitch="360"/>
        </w:sectPr>
      </w:pPr>
    </w:p>
    <w:p w:rsidR="00B958B1" w:rsidRDefault="00B958B1" w:rsidP="00D73F71">
      <w:pPr>
        <w:pStyle w:val="TableofContentsheading"/>
      </w:pPr>
      <w:r>
        <w:lastRenderedPageBreak/>
        <w:t>Table of contents</w:t>
      </w:r>
    </w:p>
    <w:p w:rsidR="009F0F49" w:rsidRDefault="00B958B1">
      <w:pPr>
        <w:pStyle w:val="TOC1"/>
        <w:rPr>
          <w:rFonts w:asciiTheme="minorHAnsi" w:eastAsiaTheme="minorEastAsia" w:hAnsiTheme="minorHAnsi" w:cstheme="minorBidi"/>
          <w:b w:val="0"/>
          <w:sz w:val="22"/>
          <w:szCs w:val="22"/>
          <w:lang w:eastAsia="en-AU"/>
        </w:rPr>
      </w:pPr>
      <w:r>
        <w:fldChar w:fldCharType="begin" w:fldLock="1"/>
      </w:r>
      <w:r>
        <w:instrText xml:space="preserve"> TOC \h \z \t "Heading 1,2,Chapter Heading,1,Table of Contents continued,2" </w:instrText>
      </w:r>
      <w:r>
        <w:fldChar w:fldCharType="separate"/>
      </w:r>
      <w:hyperlink w:anchor="_Toc355362264" w:history="1">
        <w:r w:rsidR="009F0F49" w:rsidRPr="00A91156">
          <w:rPr>
            <w:rStyle w:val="Hyperlink"/>
          </w:rPr>
          <w:t>Chapter 1 – Output, asset investment, savings and revenue initiatives</w:t>
        </w:r>
        <w:r w:rsidR="009F0F49">
          <w:rPr>
            <w:webHidden/>
          </w:rPr>
          <w:tab/>
        </w:r>
        <w:r w:rsidR="009F0F49">
          <w:rPr>
            <w:webHidden/>
          </w:rPr>
          <w:fldChar w:fldCharType="begin" w:fldLock="1"/>
        </w:r>
        <w:r w:rsidR="009F0F49">
          <w:rPr>
            <w:webHidden/>
          </w:rPr>
          <w:instrText xml:space="preserve"> PAGEREF _Toc355362264 \h </w:instrText>
        </w:r>
        <w:r w:rsidR="009F0F49">
          <w:rPr>
            <w:webHidden/>
          </w:rPr>
        </w:r>
        <w:r w:rsidR="009F0F49">
          <w:rPr>
            <w:webHidden/>
          </w:rPr>
          <w:fldChar w:fldCharType="separate"/>
        </w:r>
        <w:r w:rsidR="009F3B54">
          <w:rPr>
            <w:webHidden/>
          </w:rPr>
          <w:t>1</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65" w:history="1">
        <w:r w:rsidR="009F0F49" w:rsidRPr="00A91156">
          <w:rPr>
            <w:rStyle w:val="Hyperlink"/>
          </w:rPr>
          <w:t>Introduction</w:t>
        </w:r>
        <w:r w:rsidR="009F0F49">
          <w:rPr>
            <w:webHidden/>
          </w:rPr>
          <w:tab/>
        </w:r>
        <w:r w:rsidR="009F0F49">
          <w:rPr>
            <w:webHidden/>
          </w:rPr>
          <w:fldChar w:fldCharType="begin" w:fldLock="1"/>
        </w:r>
        <w:r w:rsidR="009F0F49">
          <w:rPr>
            <w:webHidden/>
          </w:rPr>
          <w:instrText xml:space="preserve"> PAGEREF _Toc355362265 \h </w:instrText>
        </w:r>
        <w:r w:rsidR="009F0F49">
          <w:rPr>
            <w:webHidden/>
          </w:rPr>
        </w:r>
        <w:r w:rsidR="009F0F49">
          <w:rPr>
            <w:webHidden/>
          </w:rPr>
          <w:fldChar w:fldCharType="separate"/>
        </w:r>
        <w:r w:rsidR="009F3B54">
          <w:rPr>
            <w:webHidden/>
          </w:rPr>
          <w:t>1</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66" w:history="1">
        <w:r w:rsidR="009F0F49" w:rsidRPr="00A91156">
          <w:rPr>
            <w:rStyle w:val="Hyperlink"/>
          </w:rPr>
          <w:t>Department of Education and Early Childhood Development</w:t>
        </w:r>
        <w:r w:rsidR="009F0F49">
          <w:rPr>
            <w:webHidden/>
          </w:rPr>
          <w:tab/>
        </w:r>
        <w:r w:rsidR="009F0F49">
          <w:rPr>
            <w:webHidden/>
          </w:rPr>
          <w:fldChar w:fldCharType="begin" w:fldLock="1"/>
        </w:r>
        <w:r w:rsidR="009F0F49">
          <w:rPr>
            <w:webHidden/>
          </w:rPr>
          <w:instrText xml:space="preserve"> PAGEREF _Toc355362266 \h </w:instrText>
        </w:r>
        <w:r w:rsidR="009F0F49">
          <w:rPr>
            <w:webHidden/>
          </w:rPr>
        </w:r>
        <w:r w:rsidR="009F0F49">
          <w:rPr>
            <w:webHidden/>
          </w:rPr>
          <w:fldChar w:fldCharType="separate"/>
        </w:r>
        <w:r w:rsidR="009F3B54">
          <w:rPr>
            <w:webHidden/>
          </w:rPr>
          <w:t>7</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67" w:history="1">
        <w:r w:rsidR="009F0F49" w:rsidRPr="00A91156">
          <w:rPr>
            <w:rStyle w:val="Hyperlink"/>
          </w:rPr>
          <w:t>Department of Environment and Primary Industries</w:t>
        </w:r>
        <w:r w:rsidR="009F0F49">
          <w:rPr>
            <w:webHidden/>
          </w:rPr>
          <w:tab/>
        </w:r>
        <w:r w:rsidR="009F0F49">
          <w:rPr>
            <w:webHidden/>
          </w:rPr>
          <w:fldChar w:fldCharType="begin" w:fldLock="1"/>
        </w:r>
        <w:r w:rsidR="009F0F49">
          <w:rPr>
            <w:webHidden/>
          </w:rPr>
          <w:instrText xml:space="preserve"> PAGEREF _Toc355362267 \h </w:instrText>
        </w:r>
        <w:r w:rsidR="009F0F49">
          <w:rPr>
            <w:webHidden/>
          </w:rPr>
        </w:r>
        <w:r w:rsidR="009F0F49">
          <w:rPr>
            <w:webHidden/>
          </w:rPr>
          <w:fldChar w:fldCharType="separate"/>
        </w:r>
        <w:r w:rsidR="009F3B54">
          <w:rPr>
            <w:webHidden/>
          </w:rPr>
          <w:t>11</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68" w:history="1">
        <w:r w:rsidR="009F0F49" w:rsidRPr="00A91156">
          <w:rPr>
            <w:rStyle w:val="Hyperlink"/>
          </w:rPr>
          <w:t>Department of Health</w:t>
        </w:r>
        <w:r w:rsidR="009F0F49">
          <w:rPr>
            <w:webHidden/>
          </w:rPr>
          <w:tab/>
        </w:r>
        <w:r w:rsidR="009F0F49">
          <w:rPr>
            <w:webHidden/>
          </w:rPr>
          <w:fldChar w:fldCharType="begin" w:fldLock="1"/>
        </w:r>
        <w:r w:rsidR="009F0F49">
          <w:rPr>
            <w:webHidden/>
          </w:rPr>
          <w:instrText xml:space="preserve"> PAGEREF _Toc355362268 \h </w:instrText>
        </w:r>
        <w:r w:rsidR="009F0F49">
          <w:rPr>
            <w:webHidden/>
          </w:rPr>
        </w:r>
        <w:r w:rsidR="009F0F49">
          <w:rPr>
            <w:webHidden/>
          </w:rPr>
          <w:fldChar w:fldCharType="separate"/>
        </w:r>
        <w:r w:rsidR="009F3B54">
          <w:rPr>
            <w:webHidden/>
          </w:rPr>
          <w:t>16</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69" w:history="1">
        <w:r w:rsidR="009F0F49" w:rsidRPr="00A91156">
          <w:rPr>
            <w:rStyle w:val="Hyperlink"/>
          </w:rPr>
          <w:t>Department of Human Services</w:t>
        </w:r>
        <w:r w:rsidR="009F0F49">
          <w:rPr>
            <w:webHidden/>
          </w:rPr>
          <w:tab/>
        </w:r>
        <w:r w:rsidR="009F0F49">
          <w:rPr>
            <w:webHidden/>
          </w:rPr>
          <w:fldChar w:fldCharType="begin" w:fldLock="1"/>
        </w:r>
        <w:r w:rsidR="009F0F49">
          <w:rPr>
            <w:webHidden/>
          </w:rPr>
          <w:instrText xml:space="preserve"> PAGEREF _Toc355362269 \h </w:instrText>
        </w:r>
        <w:r w:rsidR="009F0F49">
          <w:rPr>
            <w:webHidden/>
          </w:rPr>
        </w:r>
        <w:r w:rsidR="009F0F49">
          <w:rPr>
            <w:webHidden/>
          </w:rPr>
          <w:fldChar w:fldCharType="separate"/>
        </w:r>
        <w:r w:rsidR="009F3B54">
          <w:rPr>
            <w:webHidden/>
          </w:rPr>
          <w:t>25</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70" w:history="1">
        <w:r w:rsidR="009F0F49" w:rsidRPr="00A91156">
          <w:rPr>
            <w:rStyle w:val="Hyperlink"/>
          </w:rPr>
          <w:t>Department of Justice</w:t>
        </w:r>
        <w:r w:rsidR="009F0F49">
          <w:rPr>
            <w:webHidden/>
          </w:rPr>
          <w:tab/>
        </w:r>
        <w:r w:rsidR="009F0F49">
          <w:rPr>
            <w:webHidden/>
          </w:rPr>
          <w:fldChar w:fldCharType="begin" w:fldLock="1"/>
        </w:r>
        <w:r w:rsidR="009F0F49">
          <w:rPr>
            <w:webHidden/>
          </w:rPr>
          <w:instrText xml:space="preserve"> PAGEREF _Toc355362270 \h </w:instrText>
        </w:r>
        <w:r w:rsidR="009F0F49">
          <w:rPr>
            <w:webHidden/>
          </w:rPr>
        </w:r>
        <w:r w:rsidR="009F0F49">
          <w:rPr>
            <w:webHidden/>
          </w:rPr>
          <w:fldChar w:fldCharType="separate"/>
        </w:r>
        <w:r w:rsidR="009F3B54">
          <w:rPr>
            <w:webHidden/>
          </w:rPr>
          <w:t>31</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71" w:history="1">
        <w:r w:rsidR="009F0F49" w:rsidRPr="00A91156">
          <w:rPr>
            <w:rStyle w:val="Hyperlink"/>
          </w:rPr>
          <w:t>Department of Premier and Cabinet</w:t>
        </w:r>
        <w:r w:rsidR="009F0F49">
          <w:rPr>
            <w:webHidden/>
          </w:rPr>
          <w:tab/>
        </w:r>
        <w:r w:rsidR="009F0F49">
          <w:rPr>
            <w:webHidden/>
          </w:rPr>
          <w:fldChar w:fldCharType="begin" w:fldLock="1"/>
        </w:r>
        <w:r w:rsidR="009F0F49">
          <w:rPr>
            <w:webHidden/>
          </w:rPr>
          <w:instrText xml:space="preserve"> PAGEREF _Toc355362271 \h </w:instrText>
        </w:r>
        <w:r w:rsidR="009F0F49">
          <w:rPr>
            <w:webHidden/>
          </w:rPr>
        </w:r>
        <w:r w:rsidR="009F0F49">
          <w:rPr>
            <w:webHidden/>
          </w:rPr>
          <w:fldChar w:fldCharType="separate"/>
        </w:r>
        <w:r w:rsidR="009F3B54">
          <w:rPr>
            <w:webHidden/>
          </w:rPr>
          <w:t>37</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72" w:history="1">
        <w:r w:rsidR="009F0F49" w:rsidRPr="00A91156">
          <w:rPr>
            <w:rStyle w:val="Hyperlink"/>
          </w:rPr>
          <w:t>Department of State Development, Business and Innovation</w:t>
        </w:r>
        <w:r w:rsidR="009F0F49">
          <w:rPr>
            <w:webHidden/>
          </w:rPr>
          <w:tab/>
        </w:r>
        <w:r w:rsidR="009F0F49">
          <w:rPr>
            <w:webHidden/>
          </w:rPr>
          <w:fldChar w:fldCharType="begin" w:fldLock="1"/>
        </w:r>
        <w:r w:rsidR="009F0F49">
          <w:rPr>
            <w:webHidden/>
          </w:rPr>
          <w:instrText xml:space="preserve"> PAGEREF _Toc355362272 \h </w:instrText>
        </w:r>
        <w:r w:rsidR="009F0F49">
          <w:rPr>
            <w:webHidden/>
          </w:rPr>
        </w:r>
        <w:r w:rsidR="009F0F49">
          <w:rPr>
            <w:webHidden/>
          </w:rPr>
          <w:fldChar w:fldCharType="separate"/>
        </w:r>
        <w:r w:rsidR="009F3B54">
          <w:rPr>
            <w:webHidden/>
          </w:rPr>
          <w:t>41</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73" w:history="1">
        <w:r w:rsidR="009F0F49" w:rsidRPr="00A91156">
          <w:rPr>
            <w:rStyle w:val="Hyperlink"/>
          </w:rPr>
          <w:t>Department of Transport, Planning and Local Infrastructure</w:t>
        </w:r>
        <w:r w:rsidR="009F0F49">
          <w:rPr>
            <w:webHidden/>
          </w:rPr>
          <w:tab/>
        </w:r>
        <w:r w:rsidR="009F0F49">
          <w:rPr>
            <w:webHidden/>
          </w:rPr>
          <w:fldChar w:fldCharType="begin" w:fldLock="1"/>
        </w:r>
        <w:r w:rsidR="009F0F49">
          <w:rPr>
            <w:webHidden/>
          </w:rPr>
          <w:instrText xml:space="preserve"> PAGEREF _Toc355362273 \h </w:instrText>
        </w:r>
        <w:r w:rsidR="009F0F49">
          <w:rPr>
            <w:webHidden/>
          </w:rPr>
        </w:r>
        <w:r w:rsidR="009F0F49">
          <w:rPr>
            <w:webHidden/>
          </w:rPr>
          <w:fldChar w:fldCharType="separate"/>
        </w:r>
        <w:r w:rsidR="009F3B54">
          <w:rPr>
            <w:webHidden/>
          </w:rPr>
          <w:t>48</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74" w:history="1">
        <w:r w:rsidR="009F0F49" w:rsidRPr="00A91156">
          <w:rPr>
            <w:rStyle w:val="Hyperlink"/>
          </w:rPr>
          <w:t>Department of Treasury and Finance</w:t>
        </w:r>
        <w:r w:rsidR="009F0F49">
          <w:rPr>
            <w:webHidden/>
          </w:rPr>
          <w:tab/>
        </w:r>
        <w:r w:rsidR="009F0F49">
          <w:rPr>
            <w:webHidden/>
          </w:rPr>
          <w:fldChar w:fldCharType="begin" w:fldLock="1"/>
        </w:r>
        <w:r w:rsidR="009F0F49">
          <w:rPr>
            <w:webHidden/>
          </w:rPr>
          <w:instrText xml:space="preserve"> PAGEREF _Toc355362274 \h </w:instrText>
        </w:r>
        <w:r w:rsidR="009F0F49">
          <w:rPr>
            <w:webHidden/>
          </w:rPr>
        </w:r>
        <w:r w:rsidR="009F0F49">
          <w:rPr>
            <w:webHidden/>
          </w:rPr>
          <w:fldChar w:fldCharType="separate"/>
        </w:r>
        <w:r w:rsidR="009F3B54">
          <w:rPr>
            <w:webHidden/>
          </w:rPr>
          <w:t>59</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75" w:history="1">
        <w:r w:rsidR="009F0F49" w:rsidRPr="00A91156">
          <w:rPr>
            <w:rStyle w:val="Hyperlink"/>
          </w:rPr>
          <w:t>Parliament</w:t>
        </w:r>
        <w:r w:rsidR="009F0F49">
          <w:rPr>
            <w:webHidden/>
          </w:rPr>
          <w:tab/>
        </w:r>
        <w:r w:rsidR="009F0F49">
          <w:rPr>
            <w:webHidden/>
          </w:rPr>
          <w:fldChar w:fldCharType="begin" w:fldLock="1"/>
        </w:r>
        <w:r w:rsidR="009F0F49">
          <w:rPr>
            <w:webHidden/>
          </w:rPr>
          <w:instrText xml:space="preserve"> PAGEREF _Toc355362275 \h </w:instrText>
        </w:r>
        <w:r w:rsidR="009F0F49">
          <w:rPr>
            <w:webHidden/>
          </w:rPr>
        </w:r>
        <w:r w:rsidR="009F0F49">
          <w:rPr>
            <w:webHidden/>
          </w:rPr>
          <w:fldChar w:fldCharType="separate"/>
        </w:r>
        <w:r w:rsidR="009F3B54">
          <w:rPr>
            <w:webHidden/>
          </w:rPr>
          <w:t>60</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76" w:history="1">
        <w:r w:rsidR="009F0F49" w:rsidRPr="00A91156">
          <w:rPr>
            <w:rStyle w:val="Hyperlink"/>
          </w:rPr>
          <w:t>Revenue initiatives</w:t>
        </w:r>
        <w:r w:rsidR="009F0F49">
          <w:rPr>
            <w:webHidden/>
          </w:rPr>
          <w:tab/>
        </w:r>
        <w:r w:rsidR="009F0F49">
          <w:rPr>
            <w:webHidden/>
          </w:rPr>
          <w:fldChar w:fldCharType="begin" w:fldLock="1"/>
        </w:r>
        <w:r w:rsidR="009F0F49">
          <w:rPr>
            <w:webHidden/>
          </w:rPr>
          <w:instrText xml:space="preserve"> PAGEREF _Toc355362276 \h </w:instrText>
        </w:r>
        <w:r w:rsidR="009F0F49">
          <w:rPr>
            <w:webHidden/>
          </w:rPr>
        </w:r>
        <w:r w:rsidR="009F0F49">
          <w:rPr>
            <w:webHidden/>
          </w:rPr>
          <w:fldChar w:fldCharType="separate"/>
        </w:r>
        <w:r w:rsidR="009F3B54">
          <w:rPr>
            <w:webHidden/>
          </w:rPr>
          <w:t>61</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77" w:history="1">
        <w:r w:rsidR="009F0F49" w:rsidRPr="00A91156">
          <w:rPr>
            <w:rStyle w:val="Hyperlink"/>
          </w:rPr>
          <w:t>Efficiency and expenditure reduction measures</w:t>
        </w:r>
        <w:r w:rsidR="009F0F49">
          <w:rPr>
            <w:webHidden/>
          </w:rPr>
          <w:tab/>
        </w:r>
        <w:r w:rsidR="009F0F49">
          <w:rPr>
            <w:webHidden/>
          </w:rPr>
          <w:fldChar w:fldCharType="begin" w:fldLock="1"/>
        </w:r>
        <w:r w:rsidR="009F0F49">
          <w:rPr>
            <w:webHidden/>
          </w:rPr>
          <w:instrText xml:space="preserve"> PAGEREF _Toc355362277 \h </w:instrText>
        </w:r>
        <w:r w:rsidR="009F0F49">
          <w:rPr>
            <w:webHidden/>
          </w:rPr>
        </w:r>
        <w:r w:rsidR="009F0F49">
          <w:rPr>
            <w:webHidden/>
          </w:rPr>
          <w:fldChar w:fldCharType="separate"/>
        </w:r>
        <w:r w:rsidR="009F3B54">
          <w:rPr>
            <w:webHidden/>
          </w:rPr>
          <w:t>62</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78" w:history="1">
        <w:r w:rsidR="009F0F49" w:rsidRPr="00A91156">
          <w:rPr>
            <w:rStyle w:val="Hyperlink"/>
          </w:rPr>
          <w:t>Election commitments summary report</w:t>
        </w:r>
        <w:r w:rsidR="009F0F49">
          <w:rPr>
            <w:webHidden/>
          </w:rPr>
          <w:tab/>
        </w:r>
        <w:r w:rsidR="009F0F49">
          <w:rPr>
            <w:webHidden/>
          </w:rPr>
          <w:fldChar w:fldCharType="begin" w:fldLock="1"/>
        </w:r>
        <w:r w:rsidR="009F0F49">
          <w:rPr>
            <w:webHidden/>
          </w:rPr>
          <w:instrText xml:space="preserve"> PAGEREF _Toc355362278 \h </w:instrText>
        </w:r>
        <w:r w:rsidR="009F0F49">
          <w:rPr>
            <w:webHidden/>
          </w:rPr>
        </w:r>
        <w:r w:rsidR="009F0F49">
          <w:rPr>
            <w:webHidden/>
          </w:rPr>
          <w:fldChar w:fldCharType="separate"/>
        </w:r>
        <w:r w:rsidR="009F3B54">
          <w:rPr>
            <w:webHidden/>
          </w:rPr>
          <w:t>64</w:t>
        </w:r>
        <w:r w:rsidR="009F0F49">
          <w:rPr>
            <w:webHidden/>
          </w:rPr>
          <w:fldChar w:fldCharType="end"/>
        </w:r>
      </w:hyperlink>
    </w:p>
    <w:p w:rsidR="009F0F49" w:rsidRDefault="002951DE">
      <w:pPr>
        <w:pStyle w:val="TOC1"/>
        <w:rPr>
          <w:rFonts w:asciiTheme="minorHAnsi" w:eastAsiaTheme="minorEastAsia" w:hAnsiTheme="minorHAnsi" w:cstheme="minorBidi"/>
          <w:b w:val="0"/>
          <w:sz w:val="22"/>
          <w:szCs w:val="22"/>
          <w:lang w:eastAsia="en-AU"/>
        </w:rPr>
      </w:pPr>
      <w:hyperlink w:anchor="_Toc355362279" w:history="1">
        <w:r w:rsidR="009F0F49" w:rsidRPr="00A91156">
          <w:rPr>
            <w:rStyle w:val="Hyperlink"/>
          </w:rPr>
          <w:t>Chapter 2 – Departmental peformance statements</w:t>
        </w:r>
        <w:r w:rsidR="009F0F49">
          <w:rPr>
            <w:webHidden/>
          </w:rPr>
          <w:tab/>
        </w:r>
        <w:r w:rsidR="009F0F49">
          <w:rPr>
            <w:webHidden/>
          </w:rPr>
          <w:fldChar w:fldCharType="begin" w:fldLock="1"/>
        </w:r>
        <w:r w:rsidR="009F0F49">
          <w:rPr>
            <w:webHidden/>
          </w:rPr>
          <w:instrText xml:space="preserve"> PAGEREF _Toc355362279 \h </w:instrText>
        </w:r>
        <w:r w:rsidR="009F0F49">
          <w:rPr>
            <w:webHidden/>
          </w:rPr>
        </w:r>
        <w:r w:rsidR="009F0F49">
          <w:rPr>
            <w:webHidden/>
          </w:rPr>
          <w:fldChar w:fldCharType="separate"/>
        </w:r>
        <w:r w:rsidR="009F3B54">
          <w:rPr>
            <w:webHidden/>
          </w:rPr>
          <w:t>67</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80" w:history="1">
        <w:r w:rsidR="009F0F49" w:rsidRPr="00A91156">
          <w:rPr>
            <w:rStyle w:val="Hyperlink"/>
          </w:rPr>
          <w:t>Department of Education and Early Childhood Development</w:t>
        </w:r>
        <w:r w:rsidR="009F0F49">
          <w:rPr>
            <w:webHidden/>
          </w:rPr>
          <w:tab/>
        </w:r>
        <w:r w:rsidR="009F0F49">
          <w:rPr>
            <w:webHidden/>
          </w:rPr>
          <w:fldChar w:fldCharType="begin" w:fldLock="1"/>
        </w:r>
        <w:r w:rsidR="009F0F49">
          <w:rPr>
            <w:webHidden/>
          </w:rPr>
          <w:instrText xml:space="preserve"> PAGEREF _Toc355362280 \h </w:instrText>
        </w:r>
        <w:r w:rsidR="009F0F49">
          <w:rPr>
            <w:webHidden/>
          </w:rPr>
        </w:r>
        <w:r w:rsidR="009F0F49">
          <w:rPr>
            <w:webHidden/>
          </w:rPr>
          <w:fldChar w:fldCharType="separate"/>
        </w:r>
        <w:r w:rsidR="009F3B54">
          <w:rPr>
            <w:webHidden/>
          </w:rPr>
          <w:t>72</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81" w:history="1">
        <w:r w:rsidR="009F0F49" w:rsidRPr="00A91156">
          <w:rPr>
            <w:rStyle w:val="Hyperlink"/>
          </w:rPr>
          <w:t>Department of Environment and Primary Industries</w:t>
        </w:r>
        <w:r w:rsidR="009F0F49">
          <w:rPr>
            <w:webHidden/>
          </w:rPr>
          <w:tab/>
        </w:r>
        <w:r w:rsidR="009F0F49">
          <w:rPr>
            <w:webHidden/>
          </w:rPr>
          <w:fldChar w:fldCharType="begin" w:fldLock="1"/>
        </w:r>
        <w:r w:rsidR="009F0F49">
          <w:rPr>
            <w:webHidden/>
          </w:rPr>
          <w:instrText xml:space="preserve"> PAGEREF _Toc355362281 \h </w:instrText>
        </w:r>
        <w:r w:rsidR="009F0F49">
          <w:rPr>
            <w:webHidden/>
          </w:rPr>
        </w:r>
        <w:r w:rsidR="009F0F49">
          <w:rPr>
            <w:webHidden/>
          </w:rPr>
          <w:fldChar w:fldCharType="separate"/>
        </w:r>
        <w:r w:rsidR="009F3B54">
          <w:rPr>
            <w:webHidden/>
          </w:rPr>
          <w:t>94</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82" w:history="1">
        <w:r w:rsidR="009F0F49" w:rsidRPr="00A91156">
          <w:rPr>
            <w:rStyle w:val="Hyperlink"/>
          </w:rPr>
          <w:t>Department of Health</w:t>
        </w:r>
        <w:r w:rsidR="009F0F49">
          <w:rPr>
            <w:webHidden/>
          </w:rPr>
          <w:tab/>
        </w:r>
        <w:r w:rsidR="009F0F49">
          <w:rPr>
            <w:webHidden/>
          </w:rPr>
          <w:fldChar w:fldCharType="begin" w:fldLock="1"/>
        </w:r>
        <w:r w:rsidR="009F0F49">
          <w:rPr>
            <w:webHidden/>
          </w:rPr>
          <w:instrText xml:space="preserve"> PAGEREF _Toc355362282 \h </w:instrText>
        </w:r>
        <w:r w:rsidR="009F0F49">
          <w:rPr>
            <w:webHidden/>
          </w:rPr>
        </w:r>
        <w:r w:rsidR="009F0F49">
          <w:rPr>
            <w:webHidden/>
          </w:rPr>
          <w:fldChar w:fldCharType="separate"/>
        </w:r>
        <w:r w:rsidR="009F3B54">
          <w:rPr>
            <w:webHidden/>
          </w:rPr>
          <w:t>117</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83" w:history="1">
        <w:r w:rsidR="009F0F49" w:rsidRPr="00A91156">
          <w:rPr>
            <w:rStyle w:val="Hyperlink"/>
          </w:rPr>
          <w:t>Department of Human Services</w:t>
        </w:r>
        <w:r w:rsidR="009F0F49">
          <w:rPr>
            <w:webHidden/>
          </w:rPr>
          <w:tab/>
        </w:r>
        <w:r w:rsidR="009F0F49">
          <w:rPr>
            <w:webHidden/>
          </w:rPr>
          <w:fldChar w:fldCharType="begin" w:fldLock="1"/>
        </w:r>
        <w:r w:rsidR="009F0F49">
          <w:rPr>
            <w:webHidden/>
          </w:rPr>
          <w:instrText xml:space="preserve"> PAGEREF _Toc355362283 \h </w:instrText>
        </w:r>
        <w:r w:rsidR="009F0F49">
          <w:rPr>
            <w:webHidden/>
          </w:rPr>
        </w:r>
        <w:r w:rsidR="009F0F49">
          <w:rPr>
            <w:webHidden/>
          </w:rPr>
          <w:fldChar w:fldCharType="separate"/>
        </w:r>
        <w:r w:rsidR="009F3B54">
          <w:rPr>
            <w:webHidden/>
          </w:rPr>
          <w:t>149</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84" w:history="1">
        <w:r w:rsidR="009F0F49" w:rsidRPr="00A91156">
          <w:rPr>
            <w:rStyle w:val="Hyperlink"/>
          </w:rPr>
          <w:t>Department of Justice</w:t>
        </w:r>
        <w:r w:rsidR="009F0F49">
          <w:rPr>
            <w:webHidden/>
          </w:rPr>
          <w:tab/>
        </w:r>
        <w:r w:rsidR="009F0F49">
          <w:rPr>
            <w:webHidden/>
          </w:rPr>
          <w:fldChar w:fldCharType="begin" w:fldLock="1"/>
        </w:r>
        <w:r w:rsidR="009F0F49">
          <w:rPr>
            <w:webHidden/>
          </w:rPr>
          <w:instrText xml:space="preserve"> PAGEREF _Toc355362284 \h </w:instrText>
        </w:r>
        <w:r w:rsidR="009F0F49">
          <w:rPr>
            <w:webHidden/>
          </w:rPr>
        </w:r>
        <w:r w:rsidR="009F0F49">
          <w:rPr>
            <w:webHidden/>
          </w:rPr>
          <w:fldChar w:fldCharType="separate"/>
        </w:r>
        <w:r w:rsidR="009F3B54">
          <w:rPr>
            <w:webHidden/>
          </w:rPr>
          <w:t>171</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85" w:history="1">
        <w:r w:rsidR="009F0F49" w:rsidRPr="00A91156">
          <w:rPr>
            <w:rStyle w:val="Hyperlink"/>
          </w:rPr>
          <w:t>Department of Premier and Cabinet</w:t>
        </w:r>
        <w:r w:rsidR="009F0F49">
          <w:rPr>
            <w:webHidden/>
          </w:rPr>
          <w:tab/>
        </w:r>
        <w:r w:rsidR="009F0F49">
          <w:rPr>
            <w:webHidden/>
          </w:rPr>
          <w:fldChar w:fldCharType="begin" w:fldLock="1"/>
        </w:r>
        <w:r w:rsidR="009F0F49">
          <w:rPr>
            <w:webHidden/>
          </w:rPr>
          <w:instrText xml:space="preserve"> PAGEREF _Toc355362285 \h </w:instrText>
        </w:r>
        <w:r w:rsidR="009F0F49">
          <w:rPr>
            <w:webHidden/>
          </w:rPr>
        </w:r>
        <w:r w:rsidR="009F0F49">
          <w:rPr>
            <w:webHidden/>
          </w:rPr>
          <w:fldChar w:fldCharType="separate"/>
        </w:r>
        <w:r w:rsidR="009F3B54">
          <w:rPr>
            <w:webHidden/>
          </w:rPr>
          <w:t>201</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86" w:history="1">
        <w:r w:rsidR="009F0F49" w:rsidRPr="00A91156">
          <w:rPr>
            <w:rStyle w:val="Hyperlink"/>
          </w:rPr>
          <w:t>Department of State Development, Business and Innovation</w:t>
        </w:r>
        <w:r w:rsidR="009F0F49">
          <w:rPr>
            <w:webHidden/>
          </w:rPr>
          <w:tab/>
        </w:r>
        <w:r w:rsidR="009F0F49">
          <w:rPr>
            <w:webHidden/>
          </w:rPr>
          <w:fldChar w:fldCharType="begin" w:fldLock="1"/>
        </w:r>
        <w:r w:rsidR="009F0F49">
          <w:rPr>
            <w:webHidden/>
          </w:rPr>
          <w:instrText xml:space="preserve"> PAGEREF _Toc355362286 \h </w:instrText>
        </w:r>
        <w:r w:rsidR="009F0F49">
          <w:rPr>
            <w:webHidden/>
          </w:rPr>
        </w:r>
        <w:r w:rsidR="009F0F49">
          <w:rPr>
            <w:webHidden/>
          </w:rPr>
          <w:fldChar w:fldCharType="separate"/>
        </w:r>
        <w:r w:rsidR="009F3B54">
          <w:rPr>
            <w:webHidden/>
          </w:rPr>
          <w:t>223</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87" w:history="1">
        <w:r w:rsidR="009F0F49" w:rsidRPr="00A91156">
          <w:rPr>
            <w:rStyle w:val="Hyperlink"/>
          </w:rPr>
          <w:t>Department of Transport, Planning and Local Infrastructure</w:t>
        </w:r>
        <w:r w:rsidR="009F0F49">
          <w:rPr>
            <w:webHidden/>
          </w:rPr>
          <w:tab/>
        </w:r>
        <w:r w:rsidR="009F0F49">
          <w:rPr>
            <w:webHidden/>
          </w:rPr>
          <w:fldChar w:fldCharType="begin" w:fldLock="1"/>
        </w:r>
        <w:r w:rsidR="009F0F49">
          <w:rPr>
            <w:webHidden/>
          </w:rPr>
          <w:instrText xml:space="preserve"> PAGEREF _Toc355362287 \h </w:instrText>
        </w:r>
        <w:r w:rsidR="009F0F49">
          <w:rPr>
            <w:webHidden/>
          </w:rPr>
        </w:r>
        <w:r w:rsidR="009F0F49">
          <w:rPr>
            <w:webHidden/>
          </w:rPr>
          <w:fldChar w:fldCharType="separate"/>
        </w:r>
        <w:r w:rsidR="009F3B54">
          <w:rPr>
            <w:webHidden/>
          </w:rPr>
          <w:t>238</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88" w:history="1">
        <w:r w:rsidR="009F0F49" w:rsidRPr="00A91156">
          <w:rPr>
            <w:rStyle w:val="Hyperlink"/>
          </w:rPr>
          <w:t>Department of Treasury and Finance</w:t>
        </w:r>
        <w:r w:rsidR="009F0F49">
          <w:rPr>
            <w:webHidden/>
          </w:rPr>
          <w:tab/>
        </w:r>
        <w:r w:rsidR="009F0F49">
          <w:rPr>
            <w:webHidden/>
          </w:rPr>
          <w:fldChar w:fldCharType="begin" w:fldLock="1"/>
        </w:r>
        <w:r w:rsidR="009F0F49">
          <w:rPr>
            <w:webHidden/>
          </w:rPr>
          <w:instrText xml:space="preserve"> PAGEREF _Toc355362288 \h </w:instrText>
        </w:r>
        <w:r w:rsidR="009F0F49">
          <w:rPr>
            <w:webHidden/>
          </w:rPr>
        </w:r>
        <w:r w:rsidR="009F0F49">
          <w:rPr>
            <w:webHidden/>
          </w:rPr>
          <w:fldChar w:fldCharType="separate"/>
        </w:r>
        <w:r w:rsidR="009F3B54">
          <w:rPr>
            <w:webHidden/>
          </w:rPr>
          <w:t>277</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89" w:history="1">
        <w:r w:rsidR="009F0F49" w:rsidRPr="00A91156">
          <w:rPr>
            <w:rStyle w:val="Hyperlink"/>
          </w:rPr>
          <w:t>Parliament</w:t>
        </w:r>
        <w:r w:rsidR="009F0F49">
          <w:rPr>
            <w:webHidden/>
          </w:rPr>
          <w:tab/>
        </w:r>
        <w:r w:rsidR="009F0F49">
          <w:rPr>
            <w:webHidden/>
          </w:rPr>
          <w:fldChar w:fldCharType="begin" w:fldLock="1"/>
        </w:r>
        <w:r w:rsidR="009F0F49">
          <w:rPr>
            <w:webHidden/>
          </w:rPr>
          <w:instrText xml:space="preserve"> PAGEREF _Toc355362289 \h </w:instrText>
        </w:r>
        <w:r w:rsidR="009F0F49">
          <w:rPr>
            <w:webHidden/>
          </w:rPr>
        </w:r>
        <w:r w:rsidR="009F0F49">
          <w:rPr>
            <w:webHidden/>
          </w:rPr>
          <w:fldChar w:fldCharType="separate"/>
        </w:r>
        <w:r w:rsidR="009F3B54">
          <w:rPr>
            <w:webHidden/>
          </w:rPr>
          <w:t>301</w:t>
        </w:r>
        <w:r w:rsidR="009F0F49">
          <w:rPr>
            <w:webHidden/>
          </w:rPr>
          <w:fldChar w:fldCharType="end"/>
        </w:r>
      </w:hyperlink>
    </w:p>
    <w:p w:rsidR="009F0F49" w:rsidRDefault="002951DE">
      <w:pPr>
        <w:pStyle w:val="TOC1"/>
        <w:rPr>
          <w:rFonts w:asciiTheme="minorHAnsi" w:eastAsiaTheme="minorEastAsia" w:hAnsiTheme="minorHAnsi" w:cstheme="minorBidi"/>
          <w:b w:val="0"/>
          <w:sz w:val="22"/>
          <w:szCs w:val="22"/>
          <w:lang w:eastAsia="en-AU"/>
        </w:rPr>
      </w:pPr>
      <w:hyperlink w:anchor="_Toc355362290" w:history="1">
        <w:r w:rsidR="009F0F49" w:rsidRPr="00A91156">
          <w:rPr>
            <w:rStyle w:val="Hyperlink"/>
          </w:rPr>
          <w:t>Appendix A – Output performance measures for review by the Public Accounts and Estimates Committee</w:t>
        </w:r>
        <w:r w:rsidR="009F0F49">
          <w:rPr>
            <w:webHidden/>
          </w:rPr>
          <w:tab/>
        </w:r>
        <w:r w:rsidR="009F0F49">
          <w:rPr>
            <w:webHidden/>
          </w:rPr>
          <w:fldChar w:fldCharType="begin" w:fldLock="1"/>
        </w:r>
        <w:r w:rsidR="009F0F49">
          <w:rPr>
            <w:webHidden/>
          </w:rPr>
          <w:instrText xml:space="preserve"> PAGEREF _Toc355362290 \h </w:instrText>
        </w:r>
        <w:r w:rsidR="009F0F49">
          <w:rPr>
            <w:webHidden/>
          </w:rPr>
        </w:r>
        <w:r w:rsidR="009F0F49">
          <w:rPr>
            <w:webHidden/>
          </w:rPr>
          <w:fldChar w:fldCharType="separate"/>
        </w:r>
        <w:r w:rsidR="009F3B54">
          <w:rPr>
            <w:webHidden/>
          </w:rPr>
          <w:t>311</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91" w:history="1">
        <w:r w:rsidR="009F0F49" w:rsidRPr="00A91156">
          <w:rPr>
            <w:rStyle w:val="Hyperlink"/>
          </w:rPr>
          <w:t>Department of Environment and Primary Industries</w:t>
        </w:r>
        <w:r w:rsidR="009F0F49">
          <w:rPr>
            <w:webHidden/>
          </w:rPr>
          <w:tab/>
        </w:r>
        <w:r w:rsidR="009F0F49">
          <w:rPr>
            <w:webHidden/>
          </w:rPr>
          <w:fldChar w:fldCharType="begin" w:fldLock="1"/>
        </w:r>
        <w:r w:rsidR="009F0F49">
          <w:rPr>
            <w:webHidden/>
          </w:rPr>
          <w:instrText xml:space="preserve"> PAGEREF _Toc355362291 \h </w:instrText>
        </w:r>
        <w:r w:rsidR="009F0F49">
          <w:rPr>
            <w:webHidden/>
          </w:rPr>
        </w:r>
        <w:r w:rsidR="009F0F49">
          <w:rPr>
            <w:webHidden/>
          </w:rPr>
          <w:fldChar w:fldCharType="separate"/>
        </w:r>
        <w:r w:rsidR="009F3B54">
          <w:rPr>
            <w:webHidden/>
          </w:rPr>
          <w:t>312</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92" w:history="1">
        <w:r w:rsidR="009F0F49" w:rsidRPr="00A91156">
          <w:rPr>
            <w:rStyle w:val="Hyperlink"/>
          </w:rPr>
          <w:t>Department of Health</w:t>
        </w:r>
        <w:r w:rsidR="009F0F49">
          <w:rPr>
            <w:webHidden/>
          </w:rPr>
          <w:tab/>
        </w:r>
        <w:r w:rsidR="009F0F49">
          <w:rPr>
            <w:webHidden/>
          </w:rPr>
          <w:fldChar w:fldCharType="begin" w:fldLock="1"/>
        </w:r>
        <w:r w:rsidR="009F0F49">
          <w:rPr>
            <w:webHidden/>
          </w:rPr>
          <w:instrText xml:space="preserve"> PAGEREF _Toc355362292 \h </w:instrText>
        </w:r>
        <w:r w:rsidR="009F0F49">
          <w:rPr>
            <w:webHidden/>
          </w:rPr>
        </w:r>
        <w:r w:rsidR="009F0F49">
          <w:rPr>
            <w:webHidden/>
          </w:rPr>
          <w:fldChar w:fldCharType="separate"/>
        </w:r>
        <w:r w:rsidR="009F3B54">
          <w:rPr>
            <w:webHidden/>
          </w:rPr>
          <w:t>315</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93" w:history="1">
        <w:r w:rsidR="009F0F49" w:rsidRPr="00A91156">
          <w:rPr>
            <w:rStyle w:val="Hyperlink"/>
          </w:rPr>
          <w:t>Department of Human Services</w:t>
        </w:r>
        <w:r w:rsidR="009F0F49">
          <w:rPr>
            <w:webHidden/>
          </w:rPr>
          <w:tab/>
        </w:r>
        <w:r w:rsidR="009F0F49">
          <w:rPr>
            <w:webHidden/>
          </w:rPr>
          <w:fldChar w:fldCharType="begin" w:fldLock="1"/>
        </w:r>
        <w:r w:rsidR="009F0F49">
          <w:rPr>
            <w:webHidden/>
          </w:rPr>
          <w:instrText xml:space="preserve"> PAGEREF _Toc355362293 \h </w:instrText>
        </w:r>
        <w:r w:rsidR="009F0F49">
          <w:rPr>
            <w:webHidden/>
          </w:rPr>
        </w:r>
        <w:r w:rsidR="009F0F49">
          <w:rPr>
            <w:webHidden/>
          </w:rPr>
          <w:fldChar w:fldCharType="separate"/>
        </w:r>
        <w:r w:rsidR="009F3B54">
          <w:rPr>
            <w:webHidden/>
          </w:rPr>
          <w:t>316</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94" w:history="1">
        <w:r w:rsidR="009F0F49" w:rsidRPr="00A91156">
          <w:rPr>
            <w:rStyle w:val="Hyperlink"/>
          </w:rPr>
          <w:t>Department of Justice</w:t>
        </w:r>
        <w:r w:rsidR="009F0F49">
          <w:rPr>
            <w:webHidden/>
          </w:rPr>
          <w:tab/>
        </w:r>
        <w:r w:rsidR="009F0F49">
          <w:rPr>
            <w:webHidden/>
          </w:rPr>
          <w:fldChar w:fldCharType="begin" w:fldLock="1"/>
        </w:r>
        <w:r w:rsidR="009F0F49">
          <w:rPr>
            <w:webHidden/>
          </w:rPr>
          <w:instrText xml:space="preserve"> PAGEREF _Toc355362294 \h </w:instrText>
        </w:r>
        <w:r w:rsidR="009F0F49">
          <w:rPr>
            <w:webHidden/>
          </w:rPr>
        </w:r>
        <w:r w:rsidR="009F0F49">
          <w:rPr>
            <w:webHidden/>
          </w:rPr>
          <w:fldChar w:fldCharType="separate"/>
        </w:r>
        <w:r w:rsidR="009F3B54">
          <w:rPr>
            <w:webHidden/>
          </w:rPr>
          <w:t>317</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95" w:history="1">
        <w:r w:rsidR="009F0F49" w:rsidRPr="00A91156">
          <w:rPr>
            <w:rStyle w:val="Hyperlink"/>
          </w:rPr>
          <w:t>Department of Premier and Cabinet</w:t>
        </w:r>
        <w:r w:rsidR="009F0F49">
          <w:rPr>
            <w:webHidden/>
          </w:rPr>
          <w:tab/>
        </w:r>
        <w:r w:rsidR="009F0F49">
          <w:rPr>
            <w:webHidden/>
          </w:rPr>
          <w:fldChar w:fldCharType="begin" w:fldLock="1"/>
        </w:r>
        <w:r w:rsidR="009F0F49">
          <w:rPr>
            <w:webHidden/>
          </w:rPr>
          <w:instrText xml:space="preserve"> PAGEREF _Toc355362295 \h </w:instrText>
        </w:r>
        <w:r w:rsidR="009F0F49">
          <w:rPr>
            <w:webHidden/>
          </w:rPr>
        </w:r>
        <w:r w:rsidR="009F0F49">
          <w:rPr>
            <w:webHidden/>
          </w:rPr>
          <w:fldChar w:fldCharType="separate"/>
        </w:r>
        <w:r w:rsidR="009F3B54">
          <w:rPr>
            <w:webHidden/>
          </w:rPr>
          <w:t>319</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96" w:history="1">
        <w:r w:rsidR="009F0F49" w:rsidRPr="00A91156">
          <w:rPr>
            <w:rStyle w:val="Hyperlink"/>
          </w:rPr>
          <w:t>Department of State Development Business and Innovation</w:t>
        </w:r>
        <w:r w:rsidR="009F0F49">
          <w:rPr>
            <w:webHidden/>
          </w:rPr>
          <w:tab/>
        </w:r>
        <w:r w:rsidR="009F0F49">
          <w:rPr>
            <w:webHidden/>
          </w:rPr>
          <w:fldChar w:fldCharType="begin" w:fldLock="1"/>
        </w:r>
        <w:r w:rsidR="009F0F49">
          <w:rPr>
            <w:webHidden/>
          </w:rPr>
          <w:instrText xml:space="preserve"> PAGEREF _Toc355362296 \h </w:instrText>
        </w:r>
        <w:r w:rsidR="009F0F49">
          <w:rPr>
            <w:webHidden/>
          </w:rPr>
        </w:r>
        <w:r w:rsidR="009F0F49">
          <w:rPr>
            <w:webHidden/>
          </w:rPr>
          <w:fldChar w:fldCharType="separate"/>
        </w:r>
        <w:r w:rsidR="009F3B54">
          <w:rPr>
            <w:webHidden/>
          </w:rPr>
          <w:t>322</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97" w:history="1">
        <w:r w:rsidR="009F0F49" w:rsidRPr="00A91156">
          <w:rPr>
            <w:rStyle w:val="Hyperlink"/>
          </w:rPr>
          <w:t>Department of Transport, Planning and Local Infrastructure</w:t>
        </w:r>
        <w:r w:rsidR="009F0F49">
          <w:rPr>
            <w:webHidden/>
          </w:rPr>
          <w:tab/>
        </w:r>
        <w:r w:rsidR="009F0F49">
          <w:rPr>
            <w:webHidden/>
          </w:rPr>
          <w:fldChar w:fldCharType="begin" w:fldLock="1"/>
        </w:r>
        <w:r w:rsidR="009F0F49">
          <w:rPr>
            <w:webHidden/>
          </w:rPr>
          <w:instrText xml:space="preserve"> PAGEREF _Toc355362297 \h </w:instrText>
        </w:r>
        <w:r w:rsidR="009F0F49">
          <w:rPr>
            <w:webHidden/>
          </w:rPr>
        </w:r>
        <w:r w:rsidR="009F0F49">
          <w:rPr>
            <w:webHidden/>
          </w:rPr>
          <w:fldChar w:fldCharType="separate"/>
        </w:r>
        <w:r w:rsidR="009F3B54">
          <w:rPr>
            <w:webHidden/>
          </w:rPr>
          <w:t>324</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298" w:history="1">
        <w:r w:rsidR="009F0F49" w:rsidRPr="00A91156">
          <w:rPr>
            <w:rStyle w:val="Hyperlink"/>
          </w:rPr>
          <w:t>Department of Treasury and Finance</w:t>
        </w:r>
        <w:r w:rsidR="009F0F49">
          <w:rPr>
            <w:webHidden/>
          </w:rPr>
          <w:tab/>
        </w:r>
        <w:r w:rsidR="009F0F49">
          <w:rPr>
            <w:webHidden/>
          </w:rPr>
          <w:fldChar w:fldCharType="begin" w:fldLock="1"/>
        </w:r>
        <w:r w:rsidR="009F0F49">
          <w:rPr>
            <w:webHidden/>
          </w:rPr>
          <w:instrText xml:space="preserve"> PAGEREF _Toc355362298 \h </w:instrText>
        </w:r>
        <w:r w:rsidR="009F0F49">
          <w:rPr>
            <w:webHidden/>
          </w:rPr>
        </w:r>
        <w:r w:rsidR="009F0F49">
          <w:rPr>
            <w:webHidden/>
          </w:rPr>
          <w:fldChar w:fldCharType="separate"/>
        </w:r>
        <w:r w:rsidR="009F3B54">
          <w:rPr>
            <w:webHidden/>
          </w:rPr>
          <w:t>334</w:t>
        </w:r>
        <w:r w:rsidR="009F0F49">
          <w:rPr>
            <w:webHidden/>
          </w:rPr>
          <w:fldChar w:fldCharType="end"/>
        </w:r>
      </w:hyperlink>
    </w:p>
    <w:p w:rsidR="009F0F49" w:rsidRPr="00B958B1" w:rsidRDefault="009F0F49" w:rsidP="009F0F49">
      <w:pPr>
        <w:spacing w:after="0"/>
        <w:rPr>
          <w:rStyle w:val="Hyperlink"/>
          <w:rFonts w:ascii="Calibri" w:hAnsi="Calibri"/>
          <w:b/>
          <w:noProof/>
          <w:color w:val="auto"/>
          <w:sz w:val="24"/>
        </w:rPr>
      </w:pPr>
      <w:r>
        <w:rPr>
          <w:rStyle w:val="Hyperlink"/>
        </w:rPr>
        <w:br w:type="page"/>
      </w:r>
    </w:p>
    <w:p w:rsidR="009F0F49" w:rsidRPr="009F4A8B" w:rsidRDefault="009F0F49" w:rsidP="009F0F49">
      <w:pPr>
        <w:pStyle w:val="TableofContentscontinued"/>
        <w:rPr>
          <w:rStyle w:val="Hyperlink"/>
          <w:color w:val="auto"/>
          <w:u w:val="none"/>
        </w:rPr>
      </w:pPr>
      <w:r w:rsidRPr="009F4A8B">
        <w:rPr>
          <w:rStyle w:val="Hyperlink"/>
          <w:color w:val="auto"/>
          <w:u w:val="none"/>
        </w:rPr>
        <w:lastRenderedPageBreak/>
        <w:t xml:space="preserve">Table of content </w:t>
      </w:r>
      <w:r w:rsidRPr="009F4A8B">
        <w:rPr>
          <w:rStyle w:val="Hyperlink"/>
          <w:i/>
          <w:color w:val="auto"/>
          <w:u w:val="none"/>
        </w:rPr>
        <w:t>(continued)</w:t>
      </w:r>
    </w:p>
    <w:p w:rsidR="009F0F49" w:rsidRDefault="002951DE">
      <w:pPr>
        <w:pStyle w:val="TOC1"/>
        <w:rPr>
          <w:rFonts w:asciiTheme="minorHAnsi" w:eastAsiaTheme="minorEastAsia" w:hAnsiTheme="minorHAnsi" w:cstheme="minorBidi"/>
          <w:b w:val="0"/>
          <w:sz w:val="22"/>
          <w:szCs w:val="22"/>
          <w:lang w:eastAsia="en-AU"/>
        </w:rPr>
      </w:pPr>
      <w:hyperlink w:anchor="_Toc355362299" w:history="1">
        <w:r w:rsidR="009F0F49" w:rsidRPr="00A91156">
          <w:rPr>
            <w:rStyle w:val="Hyperlink"/>
          </w:rPr>
          <w:t>Appendix B – Local government financial relations</w:t>
        </w:r>
        <w:r w:rsidR="009F0F49">
          <w:rPr>
            <w:webHidden/>
          </w:rPr>
          <w:tab/>
        </w:r>
        <w:r w:rsidR="009F0F49">
          <w:rPr>
            <w:webHidden/>
          </w:rPr>
          <w:fldChar w:fldCharType="begin" w:fldLock="1"/>
        </w:r>
        <w:r w:rsidR="009F0F49">
          <w:rPr>
            <w:webHidden/>
          </w:rPr>
          <w:instrText xml:space="preserve"> PAGEREF _Toc355362299 \h </w:instrText>
        </w:r>
        <w:r w:rsidR="009F0F49">
          <w:rPr>
            <w:webHidden/>
          </w:rPr>
        </w:r>
        <w:r w:rsidR="009F0F49">
          <w:rPr>
            <w:webHidden/>
          </w:rPr>
          <w:fldChar w:fldCharType="separate"/>
        </w:r>
        <w:r w:rsidR="009F3B54">
          <w:rPr>
            <w:webHidden/>
          </w:rPr>
          <w:t>337</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300" w:history="1">
        <w:r w:rsidR="009F0F49" w:rsidRPr="00A91156">
          <w:rPr>
            <w:rStyle w:val="Hyperlink"/>
          </w:rPr>
          <w:t>Improving service delivery to local communities</w:t>
        </w:r>
        <w:r w:rsidR="009F0F49">
          <w:rPr>
            <w:webHidden/>
          </w:rPr>
          <w:tab/>
        </w:r>
        <w:r w:rsidR="009F0F49">
          <w:rPr>
            <w:webHidden/>
          </w:rPr>
          <w:fldChar w:fldCharType="begin" w:fldLock="1"/>
        </w:r>
        <w:r w:rsidR="009F0F49">
          <w:rPr>
            <w:webHidden/>
          </w:rPr>
          <w:instrText xml:space="preserve"> PAGEREF _Toc355362300 \h </w:instrText>
        </w:r>
        <w:r w:rsidR="009F0F49">
          <w:rPr>
            <w:webHidden/>
          </w:rPr>
        </w:r>
        <w:r w:rsidR="009F0F49">
          <w:rPr>
            <w:webHidden/>
          </w:rPr>
          <w:fldChar w:fldCharType="separate"/>
        </w:r>
        <w:r w:rsidR="009F3B54">
          <w:rPr>
            <w:webHidden/>
          </w:rPr>
          <w:t>337</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301" w:history="1">
        <w:r w:rsidR="009F0F49" w:rsidRPr="00A91156">
          <w:rPr>
            <w:rStyle w:val="Hyperlink"/>
          </w:rPr>
          <w:t>Creating liveable communities</w:t>
        </w:r>
        <w:r w:rsidR="009F0F49">
          <w:rPr>
            <w:webHidden/>
          </w:rPr>
          <w:tab/>
        </w:r>
        <w:r w:rsidR="009F0F49">
          <w:rPr>
            <w:webHidden/>
          </w:rPr>
          <w:fldChar w:fldCharType="begin" w:fldLock="1"/>
        </w:r>
        <w:r w:rsidR="009F0F49">
          <w:rPr>
            <w:webHidden/>
          </w:rPr>
          <w:instrText xml:space="preserve"> PAGEREF _Toc355362301 \h </w:instrText>
        </w:r>
        <w:r w:rsidR="009F0F49">
          <w:rPr>
            <w:webHidden/>
          </w:rPr>
        </w:r>
        <w:r w:rsidR="009F0F49">
          <w:rPr>
            <w:webHidden/>
          </w:rPr>
          <w:fldChar w:fldCharType="separate"/>
        </w:r>
        <w:r w:rsidR="009F3B54">
          <w:rPr>
            <w:webHidden/>
          </w:rPr>
          <w:t>338</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302" w:history="1">
        <w:r w:rsidR="009F0F49" w:rsidRPr="00A91156">
          <w:rPr>
            <w:rStyle w:val="Hyperlink"/>
          </w:rPr>
          <w:t>Funding sources to local government in victoria</w:t>
        </w:r>
        <w:r w:rsidR="009F0F49">
          <w:rPr>
            <w:webHidden/>
          </w:rPr>
          <w:tab/>
        </w:r>
        <w:r w:rsidR="009F0F49">
          <w:rPr>
            <w:webHidden/>
          </w:rPr>
          <w:fldChar w:fldCharType="begin" w:fldLock="1"/>
        </w:r>
        <w:r w:rsidR="009F0F49">
          <w:rPr>
            <w:webHidden/>
          </w:rPr>
          <w:instrText xml:space="preserve"> PAGEREF _Toc355362302 \h </w:instrText>
        </w:r>
        <w:r w:rsidR="009F0F49">
          <w:rPr>
            <w:webHidden/>
          </w:rPr>
        </w:r>
        <w:r w:rsidR="009F0F49">
          <w:rPr>
            <w:webHidden/>
          </w:rPr>
          <w:fldChar w:fldCharType="separate"/>
        </w:r>
        <w:r w:rsidR="009F3B54">
          <w:rPr>
            <w:webHidden/>
          </w:rPr>
          <w:t>338</w:t>
        </w:r>
        <w:r w:rsidR="009F0F49">
          <w:rPr>
            <w:webHidden/>
          </w:rPr>
          <w:fldChar w:fldCharType="end"/>
        </w:r>
      </w:hyperlink>
    </w:p>
    <w:p w:rsidR="009F0F49" w:rsidRDefault="002951DE">
      <w:pPr>
        <w:pStyle w:val="TOC2"/>
        <w:rPr>
          <w:rFonts w:asciiTheme="minorHAnsi" w:eastAsiaTheme="minorEastAsia" w:hAnsiTheme="minorHAnsi" w:cstheme="minorBidi"/>
          <w:sz w:val="22"/>
          <w:szCs w:val="22"/>
          <w:lang w:eastAsia="en-AU"/>
        </w:rPr>
      </w:pPr>
      <w:hyperlink w:anchor="_Toc355362303" w:history="1">
        <w:r w:rsidR="009F0F49" w:rsidRPr="00A91156">
          <w:rPr>
            <w:rStyle w:val="Hyperlink"/>
            <w:i/>
          </w:rPr>
          <w:t>2013</w:t>
        </w:r>
        <w:r w:rsidR="009F0F49" w:rsidRPr="00A91156">
          <w:rPr>
            <w:rStyle w:val="Hyperlink"/>
            <w:i/>
          </w:rPr>
          <w:noBreakHyphen/>
          <w:t>14 Budget</w:t>
        </w:r>
        <w:r w:rsidR="009F0F49" w:rsidRPr="00A91156">
          <w:rPr>
            <w:rStyle w:val="Hyperlink"/>
          </w:rPr>
          <w:t xml:space="preserve"> initiatives</w:t>
        </w:r>
        <w:r w:rsidR="009F0F49">
          <w:rPr>
            <w:webHidden/>
          </w:rPr>
          <w:tab/>
        </w:r>
        <w:r w:rsidR="009F0F49">
          <w:rPr>
            <w:webHidden/>
          </w:rPr>
          <w:fldChar w:fldCharType="begin" w:fldLock="1"/>
        </w:r>
        <w:r w:rsidR="009F0F49">
          <w:rPr>
            <w:webHidden/>
          </w:rPr>
          <w:instrText xml:space="preserve"> PAGEREF _Toc355362303 \h </w:instrText>
        </w:r>
        <w:r w:rsidR="009F0F49">
          <w:rPr>
            <w:webHidden/>
          </w:rPr>
        </w:r>
        <w:r w:rsidR="009F0F49">
          <w:rPr>
            <w:webHidden/>
          </w:rPr>
          <w:fldChar w:fldCharType="separate"/>
        </w:r>
        <w:r w:rsidR="009F3B54">
          <w:rPr>
            <w:webHidden/>
          </w:rPr>
          <w:t>342</w:t>
        </w:r>
        <w:r w:rsidR="009F0F49">
          <w:rPr>
            <w:webHidden/>
          </w:rPr>
          <w:fldChar w:fldCharType="end"/>
        </w:r>
      </w:hyperlink>
    </w:p>
    <w:p w:rsidR="009F0F49" w:rsidRDefault="002951DE">
      <w:pPr>
        <w:pStyle w:val="TOC1"/>
        <w:rPr>
          <w:rFonts w:asciiTheme="minorHAnsi" w:eastAsiaTheme="minorEastAsia" w:hAnsiTheme="minorHAnsi" w:cstheme="minorBidi"/>
          <w:b w:val="0"/>
          <w:sz w:val="22"/>
          <w:szCs w:val="22"/>
          <w:lang w:eastAsia="en-AU"/>
        </w:rPr>
      </w:pPr>
      <w:hyperlink w:anchor="_Toc355362304" w:history="1">
        <w:r w:rsidR="009F0F49" w:rsidRPr="00A91156">
          <w:rPr>
            <w:rStyle w:val="Hyperlink"/>
            <w:rFonts w:cstheme="minorHAnsi"/>
          </w:rPr>
          <w:t>Abbreviations and acronyms</w:t>
        </w:r>
        <w:r w:rsidR="009F0F49">
          <w:rPr>
            <w:webHidden/>
          </w:rPr>
          <w:tab/>
        </w:r>
        <w:r w:rsidR="009F0F49">
          <w:rPr>
            <w:webHidden/>
          </w:rPr>
          <w:fldChar w:fldCharType="begin" w:fldLock="1"/>
        </w:r>
        <w:r w:rsidR="009F0F49">
          <w:rPr>
            <w:webHidden/>
          </w:rPr>
          <w:instrText xml:space="preserve"> PAGEREF _Toc355362304 \h </w:instrText>
        </w:r>
        <w:r w:rsidR="009F0F49">
          <w:rPr>
            <w:webHidden/>
          </w:rPr>
        </w:r>
        <w:r w:rsidR="009F0F49">
          <w:rPr>
            <w:webHidden/>
          </w:rPr>
          <w:fldChar w:fldCharType="separate"/>
        </w:r>
        <w:r w:rsidR="009F3B54">
          <w:rPr>
            <w:webHidden/>
          </w:rPr>
          <w:t>345</w:t>
        </w:r>
        <w:r w:rsidR="009F0F49">
          <w:rPr>
            <w:webHidden/>
          </w:rPr>
          <w:fldChar w:fldCharType="end"/>
        </w:r>
      </w:hyperlink>
    </w:p>
    <w:p w:rsidR="009F0F49" w:rsidRDefault="002951DE">
      <w:pPr>
        <w:pStyle w:val="TOC1"/>
        <w:rPr>
          <w:rFonts w:asciiTheme="minorHAnsi" w:eastAsiaTheme="minorEastAsia" w:hAnsiTheme="minorHAnsi" w:cstheme="minorBidi"/>
          <w:b w:val="0"/>
          <w:sz w:val="22"/>
          <w:szCs w:val="22"/>
          <w:lang w:eastAsia="en-AU"/>
        </w:rPr>
      </w:pPr>
      <w:hyperlink w:anchor="_Toc355362305" w:history="1">
        <w:r w:rsidR="009F0F49" w:rsidRPr="00A91156">
          <w:rPr>
            <w:rStyle w:val="Hyperlink"/>
          </w:rPr>
          <w:t>Style conventions</w:t>
        </w:r>
        <w:r w:rsidR="009F0F49">
          <w:rPr>
            <w:webHidden/>
          </w:rPr>
          <w:tab/>
        </w:r>
        <w:r w:rsidR="009F0F49">
          <w:rPr>
            <w:webHidden/>
          </w:rPr>
          <w:fldChar w:fldCharType="begin" w:fldLock="1"/>
        </w:r>
        <w:r w:rsidR="009F0F49">
          <w:rPr>
            <w:webHidden/>
          </w:rPr>
          <w:instrText xml:space="preserve"> PAGEREF _Toc355362305 \h </w:instrText>
        </w:r>
        <w:r w:rsidR="009F0F49">
          <w:rPr>
            <w:webHidden/>
          </w:rPr>
        </w:r>
        <w:r w:rsidR="009F0F49">
          <w:rPr>
            <w:webHidden/>
          </w:rPr>
          <w:fldChar w:fldCharType="separate"/>
        </w:r>
        <w:r w:rsidR="009F3B54">
          <w:rPr>
            <w:webHidden/>
          </w:rPr>
          <w:t>351</w:t>
        </w:r>
        <w:r w:rsidR="009F0F49">
          <w:rPr>
            <w:webHidden/>
          </w:rPr>
          <w:fldChar w:fldCharType="end"/>
        </w:r>
      </w:hyperlink>
    </w:p>
    <w:p w:rsidR="009F0F49" w:rsidRDefault="002951DE">
      <w:pPr>
        <w:pStyle w:val="TOC1"/>
        <w:rPr>
          <w:rFonts w:asciiTheme="minorHAnsi" w:eastAsiaTheme="minorEastAsia" w:hAnsiTheme="minorHAnsi" w:cstheme="minorBidi"/>
          <w:b w:val="0"/>
          <w:sz w:val="22"/>
          <w:szCs w:val="22"/>
          <w:lang w:eastAsia="en-AU"/>
        </w:rPr>
      </w:pPr>
      <w:hyperlink w:anchor="_Toc355362306" w:history="1">
        <w:r w:rsidR="009F0F49" w:rsidRPr="00A91156">
          <w:rPr>
            <w:rStyle w:val="Hyperlink"/>
          </w:rPr>
          <w:t>Index</w:t>
        </w:r>
        <w:r w:rsidR="009F0F49">
          <w:rPr>
            <w:webHidden/>
          </w:rPr>
          <w:tab/>
        </w:r>
        <w:r w:rsidR="009F0F49">
          <w:rPr>
            <w:webHidden/>
          </w:rPr>
          <w:fldChar w:fldCharType="begin" w:fldLock="1"/>
        </w:r>
        <w:r w:rsidR="009F0F49">
          <w:rPr>
            <w:webHidden/>
          </w:rPr>
          <w:instrText xml:space="preserve"> PAGEREF _Toc355362306 \h </w:instrText>
        </w:r>
        <w:r w:rsidR="009F0F49">
          <w:rPr>
            <w:webHidden/>
          </w:rPr>
        </w:r>
        <w:r w:rsidR="009F0F49">
          <w:rPr>
            <w:webHidden/>
          </w:rPr>
          <w:fldChar w:fldCharType="separate"/>
        </w:r>
        <w:r w:rsidR="009F3B54">
          <w:rPr>
            <w:webHidden/>
          </w:rPr>
          <w:t>353</w:t>
        </w:r>
        <w:r w:rsidR="009F0F49">
          <w:rPr>
            <w:webHidden/>
          </w:rPr>
          <w:fldChar w:fldCharType="end"/>
        </w:r>
      </w:hyperlink>
    </w:p>
    <w:p w:rsidR="00B958B1" w:rsidRDefault="00B958B1" w:rsidP="00D73F71">
      <w:r>
        <w:fldChar w:fldCharType="end"/>
      </w:r>
    </w:p>
    <w:p w:rsidR="00B958B1" w:rsidRPr="00D73F71" w:rsidRDefault="00B958B1" w:rsidP="00D73F71"/>
    <w:p w:rsidR="00B958B1" w:rsidRDefault="00B958B1">
      <w:pPr>
        <w:spacing w:after="0"/>
      </w:pPr>
    </w:p>
    <w:p w:rsidR="00B958B1" w:rsidRDefault="00B958B1" w:rsidP="00497606"/>
    <w:p w:rsidR="00B958B1" w:rsidRDefault="00B958B1" w:rsidP="00497606">
      <w:pPr>
        <w:sectPr w:rsidR="00B958B1" w:rsidSect="004B42A1">
          <w:footerReference w:type="even" r:id="rId13"/>
          <w:footerReference w:type="default" r:id="rId14"/>
          <w:type w:val="oddPage"/>
          <w:pgSz w:w="9979" w:h="14181" w:code="138"/>
          <w:pgMar w:top="1138" w:right="1138" w:bottom="1138" w:left="1138" w:header="720" w:footer="720" w:gutter="0"/>
          <w:pgNumType w:fmt="lowerRoman" w:start="1"/>
          <w:cols w:space="708"/>
          <w:docGrid w:linePitch="360"/>
        </w:sectPr>
      </w:pPr>
    </w:p>
    <w:p w:rsidR="00B958B1" w:rsidRDefault="00B958B1" w:rsidP="009F3B54">
      <w:pPr>
        <w:pStyle w:val="ChapterHeading"/>
      </w:pPr>
      <w:bookmarkStart w:id="1" w:name="_Toc355248212"/>
      <w:bookmarkStart w:id="2" w:name="_Toc355362264"/>
      <w:r>
        <w:lastRenderedPageBreak/>
        <w:t>Chapter 1 – Output, asset investment, savings and revenue initiatives</w:t>
      </w:r>
      <w:bookmarkEnd w:id="1"/>
      <w:bookmarkEnd w:id="2"/>
    </w:p>
    <w:p w:rsidR="00B958B1" w:rsidRDefault="00B958B1" w:rsidP="009F3B54">
      <w:pPr>
        <w:pStyle w:val="Heading1"/>
      </w:pPr>
      <w:bookmarkStart w:id="3" w:name="_Toc355248213"/>
      <w:bookmarkStart w:id="4" w:name="_Toc355362265"/>
      <w:r>
        <w:t>Introduction</w:t>
      </w:r>
      <w:bookmarkEnd w:id="3"/>
      <w:bookmarkEnd w:id="4"/>
    </w:p>
    <w:p w:rsidR="00B958B1" w:rsidRDefault="00B958B1" w:rsidP="009F3B54">
      <w:r>
        <w:t>Victoria’s economic and fiscal strategy seeks to improve productivity</w:t>
      </w:r>
      <w:r>
        <w:fldChar w:fldCharType="begin"/>
      </w:r>
      <w:r>
        <w:instrText xml:space="preserve"> XE "</w:instrText>
      </w:r>
      <w:r w:rsidRPr="001902E6">
        <w:instrText>Productivity</w:instrText>
      </w:r>
      <w:r>
        <w:instrText xml:space="preserve">" </w:instrText>
      </w:r>
      <w:r>
        <w:fldChar w:fldCharType="end"/>
      </w:r>
      <w:r>
        <w:t xml:space="preserve"> growth and the delivery of frontline services, while investing in high</w:t>
      </w:r>
      <w:r w:rsidR="009F0F49">
        <w:noBreakHyphen/>
      </w:r>
      <w:r>
        <w:t>quality infrastructure.</w:t>
      </w:r>
    </w:p>
    <w:p w:rsidR="00B958B1" w:rsidRDefault="00B958B1" w:rsidP="009F3B54">
      <w:r w:rsidRPr="007660C2">
        <w:t>Increasing state debt to unsustainable levels places Victoria’s triple</w:t>
      </w:r>
      <w:r w:rsidR="009F0F49">
        <w:noBreakHyphen/>
      </w:r>
      <w:r w:rsidRPr="007660C2">
        <w:t>A</w:t>
      </w:r>
      <w:r>
        <w:t xml:space="preserve"> </w:t>
      </w:r>
      <w:r w:rsidRPr="007660C2">
        <w:t>credit rating</w:t>
      </w:r>
      <w:r>
        <w:fldChar w:fldCharType="begin"/>
      </w:r>
      <w:r>
        <w:instrText xml:space="preserve"> XE "</w:instrText>
      </w:r>
      <w:r w:rsidRPr="00451516">
        <w:instrText>Triple</w:instrText>
      </w:r>
      <w:r w:rsidRPr="00451516">
        <w:noBreakHyphen/>
        <w:instrText>A credit rating</w:instrText>
      </w:r>
      <w:r>
        <w:instrText xml:space="preserve">" </w:instrText>
      </w:r>
      <w:r>
        <w:fldChar w:fldCharType="end"/>
      </w:r>
      <w:r w:rsidRPr="007660C2">
        <w:t xml:space="preserve"> at risk. A strong credit rating is important to minimise the</w:t>
      </w:r>
      <w:r>
        <w:t xml:space="preserve"> </w:t>
      </w:r>
      <w:r w:rsidRPr="007660C2">
        <w:t>State’s borrowing costs which could increase substantially over the forward estimates if the present rating were to change.</w:t>
      </w:r>
      <w:r>
        <w:t xml:space="preserve"> </w:t>
      </w:r>
      <w:r w:rsidRPr="007660C2">
        <w:t>Increased interest payments on debt due to a lower credit rating place greater pressure on the State's operating position and reduce capacity for delivering better services and infrastructure.</w:t>
      </w:r>
    </w:p>
    <w:p w:rsidR="00B958B1" w:rsidRDefault="00B958B1" w:rsidP="009F3B54">
      <w:r>
        <w:t xml:space="preserve">The Government has managed the State’s finances prudently in difficult economic times, improving the efficient management of public sector resources with responsible investment to deliver and enhance the highest priority services for the community. The </w:t>
      </w:r>
      <w:r w:rsidRPr="00737C77">
        <w:rPr>
          <w:i/>
        </w:rPr>
        <w:t>2013</w:t>
      </w:r>
      <w:r w:rsidR="009F0F49">
        <w:rPr>
          <w:i/>
        </w:rPr>
        <w:noBreakHyphen/>
      </w:r>
      <w:r w:rsidRPr="00737C77">
        <w:rPr>
          <w:i/>
        </w:rPr>
        <w:t>14 Budget</w:t>
      </w:r>
      <w:r>
        <w:t xml:space="preserve"> builds on this foundation by supporting and expanding those services most needed and valued by the community, investing in key infrastructure and strengthening the economy to build for Victoria’s growth.</w:t>
      </w:r>
    </w:p>
    <w:p w:rsidR="00B958B1" w:rsidRDefault="00B958B1" w:rsidP="009F3B54">
      <w:r>
        <w:t xml:space="preserve">Budget Paper No. 3 </w:t>
      </w:r>
      <w:r w:rsidRPr="00633026">
        <w:rPr>
          <w:i/>
        </w:rPr>
        <w:t>Service Delivery</w:t>
      </w:r>
      <w:r>
        <w:t xml:space="preserve"> outlines the Government’s priorities for the goods and services it provides to Victorians. It details the Government’s </w:t>
      </w:r>
      <w:r w:rsidRPr="00633026">
        <w:rPr>
          <w:i/>
        </w:rPr>
        <w:t>2013</w:t>
      </w:r>
      <w:r w:rsidR="009F0F49">
        <w:rPr>
          <w:i/>
        </w:rPr>
        <w:noBreakHyphen/>
      </w:r>
      <w:r>
        <w:rPr>
          <w:i/>
        </w:rPr>
        <w:t>14 </w:t>
      </w:r>
      <w:r w:rsidRPr="00633026">
        <w:rPr>
          <w:i/>
        </w:rPr>
        <w:t>Budget</w:t>
      </w:r>
      <w:r>
        <w:t xml:space="preserve"> decisions and explains how these decisions support the improved delivery of core services and infrastructure that underpin the State’s liveability and make a positive difference to people’s lives. It describes how the budget decisions strengthen the State’s finances and continue to reform Government services. </w:t>
      </w:r>
    </w:p>
    <w:p w:rsidR="00B958B1" w:rsidRDefault="00B958B1" w:rsidP="009F3B54">
      <w:r>
        <w:t xml:space="preserve">The full costs of services delivered to Victorians and how these services contribute to the achievement of the Government’s objectives are detailed, including a breakdown of </w:t>
      </w:r>
      <w:r w:rsidRPr="008278AC">
        <w:t>2013</w:t>
      </w:r>
      <w:r w:rsidR="009F0F49">
        <w:noBreakHyphen/>
      </w:r>
      <w:r w:rsidRPr="008278AC">
        <w:t>14</w:t>
      </w:r>
      <w:r>
        <w:t xml:space="preserve"> output funding and associated performance targets. An overview of state financial relations with the local government</w:t>
      </w:r>
      <w:r>
        <w:fldChar w:fldCharType="begin"/>
      </w:r>
      <w:r>
        <w:instrText xml:space="preserve"> XE "</w:instrText>
      </w:r>
      <w:r w:rsidRPr="001902E6">
        <w:instrText>Local government</w:instrText>
      </w:r>
      <w:r>
        <w:instrText xml:space="preserve">" </w:instrText>
      </w:r>
      <w:r>
        <w:fldChar w:fldCharType="end"/>
      </w:r>
      <w:r>
        <w:t xml:space="preserve"> sector is also provided.</w:t>
      </w:r>
    </w:p>
    <w:p w:rsidR="00B958B1" w:rsidRDefault="00B958B1" w:rsidP="009F3B54">
      <w:r>
        <w:t xml:space="preserve">Since 2010, the Government has allocated more </w:t>
      </w:r>
      <w:r w:rsidRPr="00C00012">
        <w:t>than $5.2</w:t>
      </w:r>
      <w:r>
        <w:t> billion</w:t>
      </w:r>
      <w:r w:rsidRPr="00C00012">
        <w:t xml:space="preserve"> in output expenditure, or around 10</w:t>
      </w:r>
      <w:r>
        <w:t> per cent</w:t>
      </w:r>
      <w:r w:rsidRPr="00C00012">
        <w:t xml:space="preserve"> of annual expenditure, as well as an additional $3.</w:t>
      </w:r>
      <w:r>
        <w:t>3 billion</w:t>
      </w:r>
      <w:r w:rsidRPr="00C00012">
        <w:t xml:space="preserve"> in</w:t>
      </w:r>
      <w:r>
        <w:t xml:space="preserve"> capital investment to deliver election commitments</w:t>
      </w:r>
      <w:r>
        <w:fldChar w:fldCharType="begin"/>
      </w:r>
      <w:r>
        <w:instrText xml:space="preserve"> XE "Election C</w:instrText>
      </w:r>
      <w:r w:rsidRPr="001902E6">
        <w:instrText>ommitments</w:instrText>
      </w:r>
      <w:r>
        <w:instrText xml:space="preserve">" </w:instrText>
      </w:r>
      <w:r>
        <w:fldChar w:fldCharType="end"/>
      </w:r>
      <w:r>
        <w:t xml:space="preserve"> made to Victorians. </w:t>
      </w:r>
    </w:p>
    <w:p w:rsidR="00B958B1" w:rsidRDefault="00B958B1" w:rsidP="009F3B54">
      <w:r>
        <w:t xml:space="preserve">The </w:t>
      </w:r>
      <w:r w:rsidRPr="00C70709">
        <w:rPr>
          <w:i/>
        </w:rPr>
        <w:t>2013</w:t>
      </w:r>
      <w:r w:rsidR="009F0F49">
        <w:rPr>
          <w:i/>
        </w:rPr>
        <w:noBreakHyphen/>
      </w:r>
      <w:r w:rsidRPr="00C70709">
        <w:rPr>
          <w:i/>
        </w:rPr>
        <w:t>14</w:t>
      </w:r>
      <w:r>
        <w:rPr>
          <w:i/>
        </w:rPr>
        <w:t> </w:t>
      </w:r>
      <w:r w:rsidRPr="00C70709">
        <w:rPr>
          <w:i/>
        </w:rPr>
        <w:t>Budget</w:t>
      </w:r>
      <w:r>
        <w:t xml:space="preserve"> reflects further progress in the delivery of election commitments, and targets spending on key priorities including health, education</w:t>
      </w:r>
      <w:r>
        <w:fldChar w:fldCharType="begin"/>
      </w:r>
      <w:r>
        <w:instrText xml:space="preserve"> XE "</w:instrText>
      </w:r>
      <w:r w:rsidRPr="001902E6">
        <w:instrText>Education</w:instrText>
      </w:r>
      <w:r>
        <w:instrText xml:space="preserve">" </w:instrText>
      </w:r>
      <w:r>
        <w:fldChar w:fldCharType="end"/>
      </w:r>
      <w:r>
        <w:t xml:space="preserve">, </w:t>
      </w:r>
      <w:r>
        <w:lastRenderedPageBreak/>
        <w:t xml:space="preserve">community services and transport to build on the strong funding and service delivery base already in place for these essential services. </w:t>
      </w:r>
    </w:p>
    <w:p w:rsidR="00B958B1" w:rsidRPr="00F223C0" w:rsidRDefault="00B958B1" w:rsidP="009F3B54">
      <w:r>
        <w:t xml:space="preserve">The </w:t>
      </w:r>
      <w:r w:rsidRPr="00C70709">
        <w:rPr>
          <w:i/>
        </w:rPr>
        <w:t>2013</w:t>
      </w:r>
      <w:r w:rsidR="009F0F49">
        <w:rPr>
          <w:i/>
        </w:rPr>
        <w:noBreakHyphen/>
      </w:r>
      <w:r>
        <w:rPr>
          <w:i/>
        </w:rPr>
        <w:t>14 </w:t>
      </w:r>
      <w:r w:rsidRPr="00C70709">
        <w:rPr>
          <w:i/>
        </w:rPr>
        <w:t>Budget</w:t>
      </w:r>
      <w:r>
        <w:t xml:space="preserve"> provides </w:t>
      </w:r>
      <w:r w:rsidRPr="004039ED">
        <w:t>$3.5</w:t>
      </w:r>
      <w:r>
        <w:t> billion</w:t>
      </w:r>
      <w:r w:rsidRPr="004039ED">
        <w:t xml:space="preserve"> in new output initiatives over the four years to 2016</w:t>
      </w:r>
      <w:r w:rsidR="009F0F49">
        <w:noBreakHyphen/>
      </w:r>
      <w:r w:rsidRPr="004039ED">
        <w:t>17, and new infrastructure investment</w:t>
      </w:r>
      <w:r>
        <w:fldChar w:fldCharType="begin"/>
      </w:r>
      <w:r>
        <w:instrText xml:space="preserve"> XE "</w:instrText>
      </w:r>
      <w:r w:rsidRPr="004872EE">
        <w:instrText>Infrastructure:Investment</w:instrText>
      </w:r>
      <w:r>
        <w:instrText xml:space="preserve">" </w:instrText>
      </w:r>
      <w:r>
        <w:fldChar w:fldCharType="end"/>
      </w:r>
      <w:r w:rsidRPr="004039ED">
        <w:t xml:space="preserve"> of up to $10.5</w:t>
      </w:r>
      <w:r>
        <w:t> billion</w:t>
      </w:r>
      <w:r w:rsidRPr="004039ED">
        <w:t xml:space="preserve"> in the general government sector, including $6</w:t>
      </w:r>
      <w:r w:rsidR="009F0F49">
        <w:noBreakHyphen/>
      </w:r>
      <w:r w:rsidRPr="004039ED">
        <w:t>8</w:t>
      </w:r>
      <w:r>
        <w:t> billion</w:t>
      </w:r>
      <w:r w:rsidRPr="004039ED">
        <w:t xml:space="preserve"> for East West Link – Stage 1.</w:t>
      </w:r>
      <w:r>
        <w:t xml:space="preserve"> </w:t>
      </w:r>
    </w:p>
    <w:p w:rsidR="00B958B1" w:rsidRPr="00331E72" w:rsidRDefault="00B958B1" w:rsidP="009F3B54">
      <w:pPr>
        <w:pStyle w:val="Heading2"/>
        <w:rPr>
          <w:lang w:eastAsia="en-AU"/>
        </w:rPr>
      </w:pPr>
      <w:r>
        <w:rPr>
          <w:lang w:eastAsia="en-AU"/>
        </w:rPr>
        <w:t>Building for growth</w:t>
      </w:r>
    </w:p>
    <w:p w:rsidR="00B958B1" w:rsidRDefault="00B958B1" w:rsidP="009F3B54">
      <w:pPr>
        <w:rPr>
          <w:lang w:eastAsia="en-AU"/>
        </w:rPr>
      </w:pPr>
      <w:r>
        <w:rPr>
          <w:lang w:eastAsia="en-AU"/>
        </w:rPr>
        <w:t>The Government’s ongoing commitment to infrastructure investment</w:t>
      </w:r>
      <w:r>
        <w:fldChar w:fldCharType="begin"/>
      </w:r>
      <w:r>
        <w:instrText xml:space="preserve"> XE "</w:instrText>
      </w:r>
      <w:r w:rsidRPr="004872EE">
        <w:instrText>Infrastructure:Investment</w:instrText>
      </w:r>
      <w:r>
        <w:instrText xml:space="preserve">" </w:instrText>
      </w:r>
      <w:r>
        <w:fldChar w:fldCharType="end"/>
      </w:r>
      <w:r>
        <w:rPr>
          <w:lang w:eastAsia="en-AU"/>
        </w:rPr>
        <w:t xml:space="preserve"> </w:t>
      </w:r>
      <w:r w:rsidRPr="00347442">
        <w:rPr>
          <w:lang w:eastAsia="en-AU"/>
        </w:rPr>
        <w:t xml:space="preserve">provides the platform for </w:t>
      </w:r>
      <w:r>
        <w:rPr>
          <w:lang w:eastAsia="en-AU"/>
        </w:rPr>
        <w:t xml:space="preserve">economic growth and </w:t>
      </w:r>
      <w:r w:rsidRPr="00347442">
        <w:rPr>
          <w:lang w:eastAsia="en-AU"/>
        </w:rPr>
        <w:t>service delivery to the community</w:t>
      </w:r>
      <w:r>
        <w:rPr>
          <w:lang w:eastAsia="en-AU"/>
        </w:rPr>
        <w:t xml:space="preserve">, with </w:t>
      </w:r>
      <w:r w:rsidRPr="00060DBA">
        <w:rPr>
          <w:lang w:eastAsia="en-AU"/>
        </w:rPr>
        <w:t>1.3</w:t>
      </w:r>
      <w:r>
        <w:rPr>
          <w:lang w:eastAsia="en-AU"/>
        </w:rPr>
        <w:t> per cent</w:t>
      </w:r>
      <w:r w:rsidRPr="00060DBA">
        <w:rPr>
          <w:lang w:eastAsia="en-AU"/>
        </w:rPr>
        <w:t xml:space="preserve"> of Gross State Product (over a</w:t>
      </w:r>
      <w:r>
        <w:rPr>
          <w:lang w:eastAsia="en-AU"/>
        </w:rPr>
        <w:t xml:space="preserve"> rolling</w:t>
      </w:r>
      <w:r w:rsidRPr="00060DBA">
        <w:rPr>
          <w:lang w:eastAsia="en-AU"/>
        </w:rPr>
        <w:t xml:space="preserve"> five</w:t>
      </w:r>
      <w:r>
        <w:rPr>
          <w:lang w:eastAsia="en-AU"/>
        </w:rPr>
        <w:t xml:space="preserve"> </w:t>
      </w:r>
      <w:r w:rsidRPr="00060DBA">
        <w:rPr>
          <w:lang w:eastAsia="en-AU"/>
        </w:rPr>
        <w:t>year average) being invested in infrastructure</w:t>
      </w:r>
      <w:r>
        <w:rPr>
          <w:lang w:eastAsia="en-AU"/>
        </w:rPr>
        <w:t xml:space="preserve"> every year. </w:t>
      </w:r>
      <w:r w:rsidRPr="00347442">
        <w:rPr>
          <w:lang w:eastAsia="en-AU"/>
        </w:rPr>
        <w:t xml:space="preserve">In this </w:t>
      </w:r>
      <w:r>
        <w:rPr>
          <w:lang w:eastAsia="en-AU"/>
        </w:rPr>
        <w:t>b</w:t>
      </w:r>
      <w:r w:rsidRPr="00347442">
        <w:rPr>
          <w:lang w:eastAsia="en-AU"/>
        </w:rPr>
        <w:t xml:space="preserve">udget, infrastructure investment is targeted to address immediate </w:t>
      </w:r>
      <w:r>
        <w:rPr>
          <w:lang w:eastAsia="en-AU"/>
        </w:rPr>
        <w:t>priorities, grow the S</w:t>
      </w:r>
      <w:r w:rsidRPr="00347442">
        <w:rPr>
          <w:lang w:eastAsia="en-AU"/>
        </w:rPr>
        <w:t>tate</w:t>
      </w:r>
      <w:r>
        <w:rPr>
          <w:lang w:eastAsia="en-AU"/>
        </w:rPr>
        <w:t>’</w:t>
      </w:r>
      <w:r w:rsidRPr="00347442">
        <w:rPr>
          <w:lang w:eastAsia="en-AU"/>
        </w:rPr>
        <w:t>s economy and plan for future service delivery.</w:t>
      </w:r>
      <w:r>
        <w:rPr>
          <w:lang w:eastAsia="en-AU"/>
        </w:rPr>
        <w:t xml:space="preserve"> Key initiatives include:</w:t>
      </w:r>
    </w:p>
    <w:p w:rsidR="00B958B1" w:rsidRDefault="00B958B1" w:rsidP="009F3B54">
      <w:pPr>
        <w:pStyle w:val="BulletText"/>
        <w:rPr>
          <w:lang w:eastAsia="en-AU"/>
        </w:rPr>
      </w:pPr>
      <w:r>
        <w:rPr>
          <w:lang w:eastAsia="en-AU"/>
        </w:rPr>
        <w:t>the introduction of key transformational projects for the State including Stage 1 of the East West Link and planning for the development of the Port of Hastings;</w:t>
      </w:r>
    </w:p>
    <w:p w:rsidR="00B958B1" w:rsidRDefault="00B958B1" w:rsidP="009F3B54">
      <w:pPr>
        <w:pStyle w:val="BulletText"/>
        <w:rPr>
          <w:lang w:eastAsia="en-AU"/>
        </w:rPr>
      </w:pPr>
      <w:r>
        <w:rPr>
          <w:lang w:eastAsia="en-AU"/>
        </w:rPr>
        <w:t>delivering transport passenger service improvements including more trains, new and upgraded railway stations, and further planning and development of the Melbourne Metro project;</w:t>
      </w:r>
    </w:p>
    <w:p w:rsidR="00B958B1" w:rsidRDefault="00B958B1" w:rsidP="009F3B54">
      <w:pPr>
        <w:pStyle w:val="BulletText"/>
        <w:rPr>
          <w:lang w:eastAsia="en-AU"/>
        </w:rPr>
      </w:pPr>
      <w:r>
        <w:rPr>
          <w:lang w:eastAsia="en-AU"/>
        </w:rPr>
        <w:t>improved road network capacity and quality with road renewal and maintenance funding increases, and the removal of transport bottlenecks through rail crossing grade separations;</w:t>
      </w:r>
    </w:p>
    <w:p w:rsidR="00B958B1" w:rsidRDefault="00B958B1" w:rsidP="009F3B54">
      <w:pPr>
        <w:pStyle w:val="BulletText"/>
        <w:rPr>
          <w:lang w:eastAsia="en-AU"/>
        </w:rPr>
      </w:pPr>
      <w:r>
        <w:rPr>
          <w:lang w:eastAsia="en-AU"/>
        </w:rPr>
        <w:t>building on the Government’s commitment to support the health</w:t>
      </w:r>
      <w:r>
        <w:rPr>
          <w:lang w:eastAsia="en-AU"/>
        </w:rPr>
        <w:fldChar w:fldCharType="begin"/>
      </w:r>
      <w:r>
        <w:instrText xml:space="preserve"> XE "</w:instrText>
      </w:r>
      <w:r w:rsidRPr="001902E6">
        <w:rPr>
          <w:lang w:eastAsia="en-AU"/>
        </w:rPr>
        <w:instrText>Health</w:instrText>
      </w:r>
      <w:r>
        <w:instrText xml:space="preserve">" </w:instrText>
      </w:r>
      <w:r>
        <w:rPr>
          <w:lang w:eastAsia="en-AU"/>
        </w:rPr>
        <w:fldChar w:fldCharType="end"/>
      </w:r>
      <w:r>
        <w:rPr>
          <w:lang w:eastAsia="en-AU"/>
        </w:rPr>
        <w:t xml:space="preserve"> system through both new health infrastructure projects and the redevelopment of existing services that incorporate new models of care to improve the patient experience; and</w:t>
      </w:r>
    </w:p>
    <w:p w:rsidR="00B958B1" w:rsidRDefault="00B958B1" w:rsidP="009F3B54">
      <w:pPr>
        <w:pStyle w:val="BulletText"/>
        <w:rPr>
          <w:lang w:eastAsia="en-AU"/>
        </w:rPr>
      </w:pPr>
      <w:r>
        <w:rPr>
          <w:lang w:eastAsia="en-AU"/>
        </w:rPr>
        <w:t>upgrading and modernising schools across the State as well as building new schools to support growing communities.</w:t>
      </w:r>
    </w:p>
    <w:p w:rsidR="00B958B1" w:rsidRPr="00094155" w:rsidRDefault="00B958B1" w:rsidP="009F3B54">
      <w:pPr>
        <w:pStyle w:val="Heading2"/>
        <w:rPr>
          <w:lang w:eastAsia="en-AU"/>
        </w:rPr>
      </w:pPr>
      <w:r w:rsidRPr="00FE6AA7">
        <w:rPr>
          <w:lang w:eastAsia="en-AU"/>
        </w:rPr>
        <w:t>A focus on the service delivery priorities</w:t>
      </w:r>
    </w:p>
    <w:p w:rsidR="00B958B1" w:rsidRDefault="00B958B1" w:rsidP="009F3B54">
      <w:pPr>
        <w:rPr>
          <w:lang w:eastAsia="en-AU"/>
        </w:rPr>
      </w:pPr>
      <w:r>
        <w:rPr>
          <w:lang w:eastAsia="en-AU"/>
        </w:rPr>
        <w:t xml:space="preserve">The </w:t>
      </w:r>
      <w:r w:rsidRPr="00C70709">
        <w:rPr>
          <w:i/>
        </w:rPr>
        <w:t>2013</w:t>
      </w:r>
      <w:r w:rsidR="009F0F49">
        <w:rPr>
          <w:i/>
        </w:rPr>
        <w:noBreakHyphen/>
      </w:r>
      <w:r w:rsidRPr="00C70709">
        <w:rPr>
          <w:i/>
        </w:rPr>
        <w:t>14 Budget</w:t>
      </w:r>
      <w:r>
        <w:t xml:space="preserve"> </w:t>
      </w:r>
      <w:r>
        <w:rPr>
          <w:lang w:eastAsia="en-AU"/>
        </w:rPr>
        <w:t>includes substantial and carefully targeted additional expenditure to continue the Government’s commitment to key services for Victorians across metropolitan and rural Victoria, including:</w:t>
      </w:r>
    </w:p>
    <w:p w:rsidR="00B958B1" w:rsidRDefault="00B958B1" w:rsidP="009F3B54">
      <w:pPr>
        <w:pStyle w:val="BulletText"/>
        <w:rPr>
          <w:lang w:eastAsia="en-AU"/>
        </w:rPr>
      </w:pPr>
      <w:r>
        <w:rPr>
          <w:lang w:eastAsia="en-AU"/>
        </w:rPr>
        <w:t>additional funding for hospitals</w:t>
      </w:r>
      <w:r>
        <w:rPr>
          <w:lang w:eastAsia="en-AU"/>
        </w:rPr>
        <w:fldChar w:fldCharType="begin"/>
      </w:r>
      <w:r>
        <w:instrText xml:space="preserve"> XE "</w:instrText>
      </w:r>
      <w:r w:rsidRPr="00C20E58">
        <w:rPr>
          <w:lang w:eastAsia="en-AU"/>
        </w:rPr>
        <w:instrText>Health</w:instrText>
      </w:r>
      <w:r w:rsidRPr="00C20E58">
        <w:instrText>:Hospitals</w:instrText>
      </w:r>
      <w:r>
        <w:instrText xml:space="preserve">" </w:instrText>
      </w:r>
      <w:r>
        <w:rPr>
          <w:lang w:eastAsia="en-AU"/>
        </w:rPr>
        <w:fldChar w:fldCharType="end"/>
      </w:r>
      <w:r>
        <w:rPr>
          <w:lang w:eastAsia="en-AU"/>
        </w:rPr>
        <w:t xml:space="preserve"> and health services so that more patients are treated, more doctors and health professionals are trained and community</w:t>
      </w:r>
      <w:r w:rsidR="009F0F49">
        <w:rPr>
          <w:lang w:eastAsia="en-AU"/>
        </w:rPr>
        <w:noBreakHyphen/>
      </w:r>
      <w:r>
        <w:rPr>
          <w:lang w:eastAsia="en-AU"/>
        </w:rPr>
        <w:t>based health care and support is expanded;</w:t>
      </w:r>
    </w:p>
    <w:p w:rsidR="00B958B1" w:rsidRDefault="00B958B1" w:rsidP="009F3B54">
      <w:pPr>
        <w:pStyle w:val="BulletText"/>
        <w:rPr>
          <w:lang w:eastAsia="en-AU"/>
        </w:rPr>
      </w:pPr>
      <w:r>
        <w:rPr>
          <w:lang w:eastAsia="en-AU"/>
        </w:rPr>
        <w:t>greater access to services and innovative and new service models for vulnerable children</w:t>
      </w:r>
      <w:r>
        <w:rPr>
          <w:lang w:eastAsia="en-AU"/>
        </w:rPr>
        <w:fldChar w:fldCharType="begin"/>
      </w:r>
      <w:r>
        <w:instrText xml:space="preserve"> XE "</w:instrText>
      </w:r>
      <w:r w:rsidRPr="001902E6">
        <w:rPr>
          <w:lang w:eastAsia="en-AU"/>
        </w:rPr>
        <w:instrText>Children</w:instrText>
      </w:r>
      <w:r>
        <w:instrText xml:space="preserve">" </w:instrText>
      </w:r>
      <w:r>
        <w:rPr>
          <w:lang w:eastAsia="en-AU"/>
        </w:rPr>
        <w:fldChar w:fldCharType="end"/>
      </w:r>
      <w:r>
        <w:rPr>
          <w:lang w:eastAsia="en-AU"/>
        </w:rPr>
        <w:t>, families and people with disabilities, including early childhood intervention services, and disability support services in government schools;</w:t>
      </w:r>
    </w:p>
    <w:p w:rsidR="00B958B1" w:rsidRDefault="00B958B1" w:rsidP="009F3B54">
      <w:pPr>
        <w:pStyle w:val="BulletText"/>
        <w:rPr>
          <w:lang w:eastAsia="en-AU"/>
        </w:rPr>
      </w:pPr>
      <w:r>
        <w:rPr>
          <w:lang w:eastAsia="en-AU"/>
        </w:rPr>
        <w:lastRenderedPageBreak/>
        <w:t>funding for TAFEs</w:t>
      </w:r>
      <w:r>
        <w:rPr>
          <w:lang w:eastAsia="en-AU"/>
        </w:rPr>
        <w:fldChar w:fldCharType="begin"/>
      </w:r>
      <w:r>
        <w:instrText xml:space="preserve"> XE "</w:instrText>
      </w:r>
      <w:r w:rsidRPr="006178CC">
        <w:instrText>Technical and Further Education</w:instrText>
      </w:r>
      <w:r>
        <w:instrText xml:space="preserve">" </w:instrText>
      </w:r>
      <w:r>
        <w:rPr>
          <w:lang w:eastAsia="en-AU"/>
        </w:rPr>
        <w:fldChar w:fldCharType="end"/>
      </w:r>
      <w:r>
        <w:rPr>
          <w:lang w:eastAsia="en-AU"/>
        </w:rPr>
        <w:t xml:space="preserve"> to support innovation, better services and to build business models to ensure their financial sustainability and deliver training to Victorians that will offer greater prospects;</w:t>
      </w:r>
    </w:p>
    <w:p w:rsidR="00B958B1" w:rsidRDefault="00B958B1" w:rsidP="009F3B54">
      <w:pPr>
        <w:pStyle w:val="BulletText"/>
        <w:rPr>
          <w:lang w:eastAsia="en-AU"/>
        </w:rPr>
      </w:pPr>
      <w:r>
        <w:rPr>
          <w:lang w:eastAsia="en-AU"/>
        </w:rPr>
        <w:t>improving school performance through better quality, more innovative teaching methods and targeted help for disadvantaged schools, and capital funding to upgrade existing schools and provide new schools in growing communities;</w:t>
      </w:r>
    </w:p>
    <w:p w:rsidR="00B958B1" w:rsidRDefault="00B958B1" w:rsidP="009F3B54">
      <w:pPr>
        <w:pStyle w:val="BulletText"/>
        <w:rPr>
          <w:lang w:eastAsia="en-AU"/>
        </w:rPr>
      </w:pPr>
      <w:r>
        <w:rPr>
          <w:lang w:eastAsia="en-AU"/>
        </w:rPr>
        <w:t>improvements to public transport services, including the purchase of new metropolitan trains, new and upgraded railway stations and investments in removal of level crossings;</w:t>
      </w:r>
    </w:p>
    <w:p w:rsidR="00B958B1" w:rsidRDefault="00B958B1" w:rsidP="009F3B54">
      <w:pPr>
        <w:pStyle w:val="BulletText"/>
        <w:rPr>
          <w:lang w:eastAsia="en-AU"/>
        </w:rPr>
      </w:pPr>
      <w:r>
        <w:rPr>
          <w:lang w:eastAsia="en-AU"/>
        </w:rPr>
        <w:t>additional support for victims of crime, more support for Victoria’s courts</w:t>
      </w:r>
      <w:r>
        <w:rPr>
          <w:lang w:eastAsia="en-AU"/>
        </w:rPr>
        <w:fldChar w:fldCharType="begin"/>
      </w:r>
      <w:r>
        <w:instrText xml:space="preserve"> XE "</w:instrText>
      </w:r>
      <w:r w:rsidRPr="001902E6">
        <w:rPr>
          <w:lang w:eastAsia="en-AU"/>
        </w:rPr>
        <w:instrText>Courts</w:instrText>
      </w:r>
      <w:r>
        <w:instrText xml:space="preserve">" </w:instrText>
      </w:r>
      <w:r>
        <w:rPr>
          <w:lang w:eastAsia="en-AU"/>
        </w:rPr>
        <w:fldChar w:fldCharType="end"/>
      </w:r>
      <w:r>
        <w:rPr>
          <w:lang w:eastAsia="en-AU"/>
        </w:rPr>
        <w:t xml:space="preserve"> and Victoria Legal Aid</w:t>
      </w:r>
      <w:r>
        <w:rPr>
          <w:lang w:eastAsia="en-AU"/>
        </w:rPr>
        <w:fldChar w:fldCharType="begin"/>
      </w:r>
      <w:r>
        <w:instrText xml:space="preserve"> XE "</w:instrText>
      </w:r>
      <w:r w:rsidRPr="001902E6">
        <w:rPr>
          <w:lang w:eastAsia="en-AU"/>
        </w:rPr>
        <w:instrText>Victoria Legal Aid</w:instrText>
      </w:r>
      <w:r>
        <w:instrText xml:space="preserve">" </w:instrText>
      </w:r>
      <w:r>
        <w:rPr>
          <w:lang w:eastAsia="en-AU"/>
        </w:rPr>
        <w:fldChar w:fldCharType="end"/>
      </w:r>
      <w:r>
        <w:rPr>
          <w:lang w:eastAsia="en-AU"/>
        </w:rPr>
        <w:t xml:space="preserve"> to meet growing demand as well as new and upgraded police</w:t>
      </w:r>
      <w:r>
        <w:rPr>
          <w:lang w:eastAsia="en-AU"/>
        </w:rPr>
        <w:fldChar w:fldCharType="begin"/>
      </w:r>
      <w:r>
        <w:instrText xml:space="preserve"> XE "</w:instrText>
      </w:r>
      <w:r w:rsidRPr="001902E6">
        <w:rPr>
          <w:lang w:eastAsia="en-AU"/>
        </w:rPr>
        <w:instrText>Police</w:instrText>
      </w:r>
      <w:r>
        <w:instrText xml:space="preserve">" </w:instrText>
      </w:r>
      <w:r>
        <w:rPr>
          <w:lang w:eastAsia="en-AU"/>
        </w:rPr>
        <w:fldChar w:fldCharType="end"/>
      </w:r>
      <w:r>
        <w:rPr>
          <w:lang w:eastAsia="en-AU"/>
        </w:rPr>
        <w:t xml:space="preserve"> stations;</w:t>
      </w:r>
    </w:p>
    <w:p w:rsidR="00B958B1" w:rsidRDefault="00B958B1" w:rsidP="009F3B54">
      <w:pPr>
        <w:pStyle w:val="BulletText"/>
        <w:rPr>
          <w:lang w:eastAsia="en-AU"/>
        </w:rPr>
      </w:pPr>
      <w:r>
        <w:rPr>
          <w:lang w:eastAsia="en-AU"/>
        </w:rPr>
        <w:t>support for Victorian agriculture by increasing farm productivity</w:t>
      </w:r>
      <w:r>
        <w:rPr>
          <w:lang w:eastAsia="en-AU"/>
        </w:rPr>
        <w:fldChar w:fldCharType="begin"/>
      </w:r>
      <w:r>
        <w:instrText xml:space="preserve"> XE "</w:instrText>
      </w:r>
      <w:r w:rsidRPr="001902E6">
        <w:rPr>
          <w:lang w:eastAsia="en-AU"/>
        </w:rPr>
        <w:instrText>Productivity</w:instrText>
      </w:r>
      <w:r>
        <w:instrText xml:space="preserve">" </w:instrText>
      </w:r>
      <w:r>
        <w:rPr>
          <w:lang w:eastAsia="en-AU"/>
        </w:rPr>
        <w:fldChar w:fldCharType="end"/>
      </w:r>
      <w:r>
        <w:rPr>
          <w:lang w:eastAsia="en-AU"/>
        </w:rPr>
        <w:t xml:space="preserve"> in the Macalister Irrigation District</w:t>
      </w:r>
      <w:r>
        <w:rPr>
          <w:lang w:eastAsia="en-AU"/>
        </w:rPr>
        <w:fldChar w:fldCharType="begin"/>
      </w:r>
      <w:r>
        <w:instrText xml:space="preserve"> XE "</w:instrText>
      </w:r>
      <w:r w:rsidRPr="001902E6">
        <w:rPr>
          <w:lang w:eastAsia="en-AU"/>
        </w:rPr>
        <w:instrText>Macalister Irrigation District</w:instrText>
      </w:r>
      <w:r>
        <w:instrText xml:space="preserve">" </w:instrText>
      </w:r>
      <w:r>
        <w:rPr>
          <w:lang w:eastAsia="en-AU"/>
        </w:rPr>
        <w:fldChar w:fldCharType="end"/>
      </w:r>
      <w:r>
        <w:rPr>
          <w:lang w:eastAsia="en-AU"/>
        </w:rPr>
        <w:t>; and support for the environment</w:t>
      </w:r>
      <w:r>
        <w:rPr>
          <w:lang w:eastAsia="en-AU"/>
        </w:rPr>
        <w:fldChar w:fldCharType="begin"/>
      </w:r>
      <w:r>
        <w:instrText xml:space="preserve"> XE "</w:instrText>
      </w:r>
      <w:r w:rsidRPr="001902E6">
        <w:rPr>
          <w:lang w:eastAsia="en-AU"/>
        </w:rPr>
        <w:instrText>Environment</w:instrText>
      </w:r>
      <w:r>
        <w:instrText xml:space="preserve">" </w:instrText>
      </w:r>
      <w:r>
        <w:rPr>
          <w:lang w:eastAsia="en-AU"/>
        </w:rPr>
        <w:fldChar w:fldCharType="end"/>
      </w:r>
      <w:r>
        <w:rPr>
          <w:lang w:eastAsia="en-AU"/>
        </w:rPr>
        <w:t xml:space="preserve"> through initiatives to protect assets on the open coast and a new approach to support native vegetation and protect threatened species; </w:t>
      </w:r>
    </w:p>
    <w:p w:rsidR="00B958B1" w:rsidRPr="007E5EFA" w:rsidRDefault="00B958B1" w:rsidP="009F3B54">
      <w:pPr>
        <w:pStyle w:val="BulletText"/>
        <w:rPr>
          <w:lang w:eastAsia="en-AU"/>
        </w:rPr>
      </w:pPr>
      <w:r w:rsidRPr="007E5EFA">
        <w:rPr>
          <w:lang w:eastAsia="en-AU"/>
        </w:rPr>
        <w:t xml:space="preserve">increased funding </w:t>
      </w:r>
      <w:r>
        <w:rPr>
          <w:lang w:eastAsia="en-AU"/>
        </w:rPr>
        <w:t>for</w:t>
      </w:r>
      <w:r w:rsidRPr="007E5EFA">
        <w:rPr>
          <w:lang w:eastAsia="en-AU"/>
        </w:rPr>
        <w:t xml:space="preserve"> the Country Fire Authority</w:t>
      </w:r>
      <w:r>
        <w:rPr>
          <w:lang w:eastAsia="en-AU"/>
        </w:rPr>
        <w:fldChar w:fldCharType="begin"/>
      </w:r>
      <w:r>
        <w:instrText xml:space="preserve"> XE "</w:instrText>
      </w:r>
      <w:r w:rsidRPr="001902E6">
        <w:rPr>
          <w:lang w:eastAsia="en-AU"/>
        </w:rPr>
        <w:instrText>Country Fire Authority</w:instrText>
      </w:r>
      <w:r>
        <w:instrText xml:space="preserve">" </w:instrText>
      </w:r>
      <w:r>
        <w:rPr>
          <w:lang w:eastAsia="en-AU"/>
        </w:rPr>
        <w:fldChar w:fldCharType="end"/>
      </w:r>
      <w:r w:rsidRPr="007E5EFA">
        <w:rPr>
          <w:lang w:eastAsia="en-AU"/>
        </w:rPr>
        <w:t xml:space="preserve"> supported by major tax reform through the abolition of the Fire Services Levy</w:t>
      </w:r>
      <w:r>
        <w:rPr>
          <w:lang w:eastAsia="en-AU"/>
        </w:rPr>
        <w:fldChar w:fldCharType="begin"/>
      </w:r>
      <w:r>
        <w:instrText xml:space="preserve"> XE "</w:instrText>
      </w:r>
      <w:r w:rsidRPr="001902E6">
        <w:rPr>
          <w:lang w:eastAsia="en-AU"/>
        </w:rPr>
        <w:instrText>Fire Services Levy</w:instrText>
      </w:r>
      <w:r>
        <w:instrText xml:space="preserve">" </w:instrText>
      </w:r>
      <w:r>
        <w:rPr>
          <w:lang w:eastAsia="en-AU"/>
        </w:rPr>
        <w:fldChar w:fldCharType="end"/>
      </w:r>
      <w:r w:rsidRPr="007E5EFA">
        <w:rPr>
          <w:lang w:eastAsia="en-AU"/>
        </w:rPr>
        <w:t xml:space="preserve"> (including GST and stamp duty) in favour of a Fire Services Property Levy as recommended by the Victorian Bushfire</w:t>
      </w:r>
      <w:r>
        <w:rPr>
          <w:lang w:eastAsia="en-AU"/>
        </w:rPr>
        <w:fldChar w:fldCharType="begin"/>
      </w:r>
      <w:r>
        <w:instrText xml:space="preserve"> XE "</w:instrText>
      </w:r>
      <w:r w:rsidRPr="001902E6">
        <w:rPr>
          <w:lang w:eastAsia="en-AU"/>
        </w:rPr>
        <w:instrText>Bushfire</w:instrText>
      </w:r>
      <w:r>
        <w:instrText xml:space="preserve">" </w:instrText>
      </w:r>
      <w:r>
        <w:rPr>
          <w:lang w:eastAsia="en-AU"/>
        </w:rPr>
        <w:fldChar w:fldCharType="end"/>
      </w:r>
      <w:r w:rsidRPr="007E5EFA">
        <w:rPr>
          <w:lang w:eastAsia="en-AU"/>
        </w:rPr>
        <w:t>s Royal Commission;</w:t>
      </w:r>
    </w:p>
    <w:p w:rsidR="00B958B1" w:rsidRDefault="00B958B1" w:rsidP="009F3B54">
      <w:pPr>
        <w:pStyle w:val="BulletText"/>
        <w:rPr>
          <w:lang w:eastAsia="en-AU"/>
        </w:rPr>
      </w:pPr>
      <w:r>
        <w:rPr>
          <w:lang w:eastAsia="en-AU"/>
        </w:rPr>
        <w:t>improving the safety and wellbeing of Victorians by removing trees destroyed in bushfires on public land, expanding the servicing of gas heaters in public housing</w:t>
      </w:r>
      <w:r>
        <w:rPr>
          <w:lang w:eastAsia="en-AU"/>
        </w:rPr>
        <w:fldChar w:fldCharType="begin"/>
      </w:r>
      <w:r>
        <w:instrText xml:space="preserve"> XE "</w:instrText>
      </w:r>
      <w:r w:rsidRPr="001902E6">
        <w:rPr>
          <w:lang w:eastAsia="en-AU"/>
        </w:rPr>
        <w:instrText>Housing</w:instrText>
      </w:r>
      <w:r>
        <w:instrText xml:space="preserve">" </w:instrText>
      </w:r>
      <w:r>
        <w:rPr>
          <w:lang w:eastAsia="en-AU"/>
        </w:rPr>
        <w:fldChar w:fldCharType="end"/>
      </w:r>
      <w:r>
        <w:rPr>
          <w:lang w:eastAsia="en-AU"/>
        </w:rPr>
        <w:t xml:space="preserve"> and the mobile camera replacement program to support Victoria’s road safety strategy; and</w:t>
      </w:r>
    </w:p>
    <w:p w:rsidR="00B958B1" w:rsidRDefault="00B958B1" w:rsidP="009F3B54">
      <w:pPr>
        <w:pStyle w:val="BulletText"/>
        <w:rPr>
          <w:lang w:eastAsia="en-AU"/>
        </w:rPr>
      </w:pPr>
      <w:r>
        <w:rPr>
          <w:lang w:eastAsia="en-AU"/>
        </w:rPr>
        <w:t>enhancing the cultural capital of Victoria through increased support for independent arts</w:t>
      </w:r>
      <w:r>
        <w:rPr>
          <w:lang w:eastAsia="en-AU"/>
        </w:rPr>
        <w:fldChar w:fldCharType="begin"/>
      </w:r>
      <w:r>
        <w:instrText xml:space="preserve"> XE "</w:instrText>
      </w:r>
      <w:r w:rsidRPr="001902E6">
        <w:rPr>
          <w:lang w:eastAsia="en-AU"/>
        </w:rPr>
        <w:instrText>Arts</w:instrText>
      </w:r>
      <w:r>
        <w:instrText xml:space="preserve">" </w:instrText>
      </w:r>
      <w:r>
        <w:rPr>
          <w:lang w:eastAsia="en-AU"/>
        </w:rPr>
        <w:fldChar w:fldCharType="end"/>
      </w:r>
      <w:r>
        <w:rPr>
          <w:lang w:eastAsia="en-AU"/>
        </w:rPr>
        <w:t xml:space="preserve"> organisations and the National Gallery of Victoria, and a boost to the Victorian Multicultural Commission and the Peak Multicultural Organisations Support Fund to build upon the strengths of Victoria’s multicultural communities</w:t>
      </w:r>
      <w:r>
        <w:rPr>
          <w:lang w:eastAsia="en-AU"/>
        </w:rPr>
        <w:fldChar w:fldCharType="begin"/>
      </w:r>
      <w:r>
        <w:instrText xml:space="preserve"> XE "</w:instrText>
      </w:r>
      <w:r w:rsidRPr="001902E6">
        <w:rPr>
          <w:lang w:eastAsia="en-AU"/>
        </w:rPr>
        <w:instrText>Communities</w:instrText>
      </w:r>
      <w:r>
        <w:instrText xml:space="preserve">" </w:instrText>
      </w:r>
      <w:r>
        <w:rPr>
          <w:lang w:eastAsia="en-AU"/>
        </w:rPr>
        <w:fldChar w:fldCharType="end"/>
      </w:r>
      <w:r>
        <w:rPr>
          <w:lang w:eastAsia="en-AU"/>
        </w:rPr>
        <w:t>.</w:t>
      </w:r>
    </w:p>
    <w:p w:rsidR="00B958B1" w:rsidRDefault="00B958B1" w:rsidP="009F3B54">
      <w:pPr>
        <w:rPr>
          <w:lang w:eastAsia="en-AU"/>
        </w:rPr>
      </w:pPr>
      <w:r w:rsidRPr="00587B82">
        <w:rPr>
          <w:lang w:eastAsia="en-AU"/>
        </w:rPr>
        <w:t>The Victorian Government has committed to fund its share of the wage increase up to the value of $200</w:t>
      </w:r>
      <w:r>
        <w:rPr>
          <w:lang w:eastAsia="en-AU"/>
        </w:rPr>
        <w:t> million</w:t>
      </w:r>
      <w:r w:rsidRPr="00587B82">
        <w:rPr>
          <w:lang w:eastAsia="en-AU"/>
        </w:rPr>
        <w:t xml:space="preserve"> for social and community sector workers, as determined by Fair Work Austr</w:t>
      </w:r>
      <w:r>
        <w:rPr>
          <w:lang w:eastAsia="en-AU"/>
        </w:rPr>
        <w:t xml:space="preserve">alia. </w:t>
      </w:r>
      <w:r w:rsidRPr="00587B82">
        <w:rPr>
          <w:lang w:eastAsia="en-AU"/>
        </w:rPr>
        <w:t xml:space="preserve">The wage increase was effective from 1 December 2012. The Victorian Government has commenced </w:t>
      </w:r>
      <w:r>
        <w:rPr>
          <w:lang w:eastAsia="en-AU"/>
        </w:rPr>
        <w:t>the provision of</w:t>
      </w:r>
      <w:r w:rsidRPr="00587B82">
        <w:rPr>
          <w:lang w:eastAsia="en-AU"/>
        </w:rPr>
        <w:t xml:space="preserve"> funding in 2012</w:t>
      </w:r>
      <w:r w:rsidR="009F0F49">
        <w:rPr>
          <w:lang w:eastAsia="en-AU"/>
        </w:rPr>
        <w:noBreakHyphen/>
      </w:r>
      <w:r w:rsidRPr="00587B82">
        <w:rPr>
          <w:lang w:eastAsia="en-AU"/>
        </w:rPr>
        <w:t>13 to affected non</w:t>
      </w:r>
      <w:r w:rsidR="009F0F49">
        <w:rPr>
          <w:lang w:eastAsia="en-AU"/>
        </w:rPr>
        <w:noBreakHyphen/>
      </w:r>
      <w:r w:rsidRPr="00587B82">
        <w:rPr>
          <w:lang w:eastAsia="en-AU"/>
        </w:rPr>
        <w:t>governm</w:t>
      </w:r>
      <w:r>
        <w:rPr>
          <w:lang w:eastAsia="en-AU"/>
        </w:rPr>
        <w:t>ent organisations, enabling them</w:t>
      </w:r>
      <w:r w:rsidRPr="00587B82">
        <w:rPr>
          <w:lang w:eastAsia="en-AU"/>
        </w:rPr>
        <w:t xml:space="preserve"> to pay their staff in accordance with the F</w:t>
      </w:r>
      <w:r>
        <w:rPr>
          <w:lang w:eastAsia="en-AU"/>
        </w:rPr>
        <w:t xml:space="preserve">air </w:t>
      </w:r>
      <w:r w:rsidRPr="00587B82">
        <w:rPr>
          <w:lang w:eastAsia="en-AU"/>
        </w:rPr>
        <w:t>W</w:t>
      </w:r>
      <w:r>
        <w:rPr>
          <w:lang w:eastAsia="en-AU"/>
        </w:rPr>
        <w:t xml:space="preserve">ork </w:t>
      </w:r>
      <w:r w:rsidRPr="00587B82">
        <w:rPr>
          <w:lang w:eastAsia="en-AU"/>
        </w:rPr>
        <w:t>A</w:t>
      </w:r>
      <w:r>
        <w:rPr>
          <w:lang w:eastAsia="en-AU"/>
        </w:rPr>
        <w:t>ustralia</w:t>
      </w:r>
      <w:r w:rsidRPr="00587B82">
        <w:rPr>
          <w:lang w:eastAsia="en-AU"/>
        </w:rPr>
        <w:t xml:space="preserve"> decision. In 2013</w:t>
      </w:r>
      <w:r w:rsidR="009F0F49">
        <w:rPr>
          <w:lang w:eastAsia="en-AU"/>
        </w:rPr>
        <w:noBreakHyphen/>
      </w:r>
      <w:r w:rsidRPr="00587B82">
        <w:rPr>
          <w:lang w:eastAsia="en-AU"/>
        </w:rPr>
        <w:t>14, a total of $70.2</w:t>
      </w:r>
      <w:r>
        <w:rPr>
          <w:lang w:eastAsia="en-AU"/>
        </w:rPr>
        <w:t> million</w:t>
      </w:r>
      <w:r w:rsidRPr="00587B82">
        <w:rPr>
          <w:lang w:eastAsia="en-AU"/>
        </w:rPr>
        <w:t xml:space="preserve"> will be provided to relevant Victorian Government departments to supplement affected non</w:t>
      </w:r>
      <w:r w:rsidR="009F0F49">
        <w:rPr>
          <w:lang w:eastAsia="en-AU"/>
        </w:rPr>
        <w:noBreakHyphen/>
      </w:r>
      <w:r w:rsidRPr="00587B82">
        <w:rPr>
          <w:lang w:eastAsia="en-AU"/>
        </w:rPr>
        <w:t>government organisations.</w:t>
      </w:r>
    </w:p>
    <w:p w:rsidR="00B958B1" w:rsidRPr="00FE6AA7" w:rsidRDefault="00B958B1" w:rsidP="009F3B54">
      <w:pPr>
        <w:pStyle w:val="Heading2"/>
        <w:rPr>
          <w:lang w:eastAsia="en-AU"/>
        </w:rPr>
      </w:pPr>
      <w:r w:rsidRPr="00FE6AA7">
        <w:rPr>
          <w:lang w:eastAsia="en-AU"/>
        </w:rPr>
        <w:t>Growing the economy – connecting Victoria with new markets</w:t>
      </w:r>
    </w:p>
    <w:p w:rsidR="00B958B1" w:rsidRPr="00B64D22" w:rsidRDefault="00B958B1" w:rsidP="009F3B54">
      <w:pPr>
        <w:rPr>
          <w:lang w:eastAsia="en-AU"/>
        </w:rPr>
      </w:pPr>
      <w:r w:rsidRPr="00331E72">
        <w:rPr>
          <w:lang w:eastAsia="en-AU"/>
        </w:rPr>
        <w:t>As the investment phase of the resources boom peaks, global investors and businesses will increasingly look to Victoria</w:t>
      </w:r>
      <w:r>
        <w:rPr>
          <w:lang w:eastAsia="en-AU"/>
        </w:rPr>
        <w:t>’</w:t>
      </w:r>
      <w:r w:rsidRPr="00331E72">
        <w:rPr>
          <w:lang w:eastAsia="en-AU"/>
        </w:rPr>
        <w:t>s diverse sectors for new op</w:t>
      </w:r>
      <w:r>
        <w:rPr>
          <w:lang w:eastAsia="en-AU"/>
        </w:rPr>
        <w:t xml:space="preserve">portunities to drive investment </w:t>
      </w:r>
      <w:r>
        <w:rPr>
          <w:lang w:eastAsia="en-AU"/>
        </w:rPr>
        <w:lastRenderedPageBreak/>
        <w:t>and growth. This b</w:t>
      </w:r>
      <w:r w:rsidRPr="00331E72">
        <w:rPr>
          <w:lang w:eastAsia="en-AU"/>
        </w:rPr>
        <w:t>udget reflects the Government</w:t>
      </w:r>
      <w:r>
        <w:rPr>
          <w:lang w:eastAsia="en-AU"/>
        </w:rPr>
        <w:t>’</w:t>
      </w:r>
      <w:r w:rsidRPr="00331E72">
        <w:rPr>
          <w:lang w:eastAsia="en-AU"/>
        </w:rPr>
        <w:t>s proactive approach to attracting and facilitating inv</w:t>
      </w:r>
      <w:r>
        <w:rPr>
          <w:lang w:eastAsia="en-AU"/>
        </w:rPr>
        <w:t>estment in the state that will lead to more Victorian jobs:</w:t>
      </w:r>
    </w:p>
    <w:p w:rsidR="00B958B1" w:rsidRPr="00B64D22" w:rsidRDefault="00B958B1" w:rsidP="009F3B54">
      <w:pPr>
        <w:pStyle w:val="BulletText"/>
        <w:rPr>
          <w:lang w:eastAsia="en-AU"/>
        </w:rPr>
      </w:pPr>
      <w:r w:rsidRPr="00B64D22">
        <w:rPr>
          <w:lang w:eastAsia="en-AU"/>
        </w:rPr>
        <w:t xml:space="preserve">The </w:t>
      </w:r>
      <w:r w:rsidRPr="002E17EB">
        <w:rPr>
          <w:i/>
          <w:lang w:eastAsia="en-AU"/>
        </w:rPr>
        <w:t>2013</w:t>
      </w:r>
      <w:r w:rsidR="009F0F49">
        <w:rPr>
          <w:i/>
          <w:lang w:eastAsia="en-AU"/>
        </w:rPr>
        <w:noBreakHyphen/>
      </w:r>
      <w:r w:rsidRPr="002E17EB">
        <w:rPr>
          <w:i/>
          <w:lang w:eastAsia="en-AU"/>
        </w:rPr>
        <w:t>14 Budget</w:t>
      </w:r>
      <w:r w:rsidRPr="00B64D22">
        <w:rPr>
          <w:lang w:eastAsia="en-AU"/>
        </w:rPr>
        <w:t xml:space="preserve"> establishes a new investment body</w:t>
      </w:r>
      <w:r>
        <w:rPr>
          <w:lang w:eastAsia="en-AU"/>
        </w:rPr>
        <w:t xml:space="preserve"> – Office of State Development – </w:t>
      </w:r>
      <w:r w:rsidRPr="00B64D22">
        <w:rPr>
          <w:lang w:eastAsia="en-AU"/>
        </w:rPr>
        <w:t>to attract new and productive investment</w:t>
      </w:r>
      <w:r>
        <w:rPr>
          <w:lang w:eastAsia="en-AU"/>
        </w:rPr>
        <w:t xml:space="preserve">. </w:t>
      </w:r>
      <w:r w:rsidRPr="00B64D22">
        <w:rPr>
          <w:lang w:eastAsia="en-AU"/>
        </w:rPr>
        <w:t>It will raise Victoria</w:t>
      </w:r>
      <w:r>
        <w:rPr>
          <w:lang w:eastAsia="en-AU"/>
        </w:rPr>
        <w:t>’</w:t>
      </w:r>
      <w:r w:rsidRPr="00B64D22">
        <w:rPr>
          <w:lang w:eastAsia="en-AU"/>
        </w:rPr>
        <w:t xml:space="preserve">s profile and promote </w:t>
      </w:r>
      <w:r>
        <w:rPr>
          <w:lang w:eastAsia="en-AU"/>
        </w:rPr>
        <w:t>i</w:t>
      </w:r>
      <w:r w:rsidRPr="00B64D22">
        <w:rPr>
          <w:lang w:eastAsia="en-AU"/>
        </w:rPr>
        <w:t>t as a safe, secure and welcoming place to do business and invest.</w:t>
      </w:r>
    </w:p>
    <w:p w:rsidR="00B958B1" w:rsidRPr="00B64D22" w:rsidRDefault="00B958B1" w:rsidP="009F3B54">
      <w:pPr>
        <w:pStyle w:val="BulletText"/>
        <w:rPr>
          <w:lang w:eastAsia="en-AU"/>
        </w:rPr>
      </w:pPr>
      <w:r w:rsidRPr="00B64D22">
        <w:rPr>
          <w:lang w:eastAsia="en-AU"/>
        </w:rPr>
        <w:t>Victoria</w:t>
      </w:r>
      <w:r>
        <w:rPr>
          <w:lang w:eastAsia="en-AU"/>
        </w:rPr>
        <w:t>’</w:t>
      </w:r>
      <w:r w:rsidRPr="00B64D22">
        <w:rPr>
          <w:lang w:eastAsia="en-AU"/>
        </w:rPr>
        <w:t>s International Engagement Strategy will be expanded with a focus on improved links between Victoria and China</w:t>
      </w:r>
      <w:r>
        <w:rPr>
          <w:lang w:eastAsia="en-AU"/>
        </w:rPr>
        <w:t>,</w:t>
      </w:r>
      <w:r w:rsidRPr="00B64D22">
        <w:rPr>
          <w:lang w:eastAsia="en-AU"/>
        </w:rPr>
        <w:t xml:space="preserve"> and the opening of new Victorian Government Business Offices in Western China and Indonesia.</w:t>
      </w:r>
    </w:p>
    <w:p w:rsidR="00B958B1" w:rsidRPr="00B64D22" w:rsidRDefault="00B958B1" w:rsidP="009F3B54">
      <w:pPr>
        <w:pStyle w:val="BulletText"/>
        <w:rPr>
          <w:lang w:eastAsia="en-AU"/>
        </w:rPr>
      </w:pPr>
      <w:r w:rsidRPr="00B64D22">
        <w:rPr>
          <w:lang w:eastAsia="en-AU"/>
        </w:rPr>
        <w:t>Investment in a new International Education</w:t>
      </w:r>
      <w:r>
        <w:rPr>
          <w:lang w:eastAsia="en-AU"/>
        </w:rPr>
        <w:fldChar w:fldCharType="begin"/>
      </w:r>
      <w:r>
        <w:instrText xml:space="preserve"> XE "</w:instrText>
      </w:r>
      <w:r w:rsidRPr="001902E6">
        <w:rPr>
          <w:lang w:eastAsia="en-AU"/>
        </w:rPr>
        <w:instrText>Education</w:instrText>
      </w:r>
      <w:r>
        <w:instrText xml:space="preserve">" </w:instrText>
      </w:r>
      <w:r>
        <w:rPr>
          <w:lang w:eastAsia="en-AU"/>
        </w:rPr>
        <w:fldChar w:fldCharType="end"/>
      </w:r>
      <w:r w:rsidRPr="00B64D22">
        <w:rPr>
          <w:lang w:eastAsia="en-AU"/>
        </w:rPr>
        <w:t xml:space="preserve"> Strategy will enhance Victoria</w:t>
      </w:r>
      <w:r>
        <w:rPr>
          <w:lang w:eastAsia="en-AU"/>
        </w:rPr>
        <w:t>’</w:t>
      </w:r>
      <w:r w:rsidRPr="00B64D22">
        <w:rPr>
          <w:lang w:eastAsia="en-AU"/>
        </w:rPr>
        <w:t xml:space="preserve">s </w:t>
      </w:r>
      <w:r>
        <w:rPr>
          <w:lang w:eastAsia="en-AU"/>
        </w:rPr>
        <w:t>globally competitive position a</w:t>
      </w:r>
      <w:r w:rsidRPr="00B64D22">
        <w:rPr>
          <w:lang w:eastAsia="en-AU"/>
        </w:rPr>
        <w:t>s a quality provider of international education in the Asia</w:t>
      </w:r>
      <w:r w:rsidR="009F0F49">
        <w:rPr>
          <w:lang w:eastAsia="en-AU"/>
        </w:rPr>
        <w:noBreakHyphen/>
      </w:r>
      <w:r w:rsidRPr="00B64D22">
        <w:rPr>
          <w:lang w:eastAsia="en-AU"/>
        </w:rPr>
        <w:t>Pacific region.</w:t>
      </w:r>
    </w:p>
    <w:p w:rsidR="00B958B1" w:rsidRDefault="00B958B1" w:rsidP="009F3B54">
      <w:pPr>
        <w:pStyle w:val="BulletText"/>
        <w:rPr>
          <w:lang w:eastAsia="en-AU"/>
        </w:rPr>
      </w:pPr>
      <w:r w:rsidRPr="00B64D22">
        <w:rPr>
          <w:lang w:eastAsia="en-AU"/>
        </w:rPr>
        <w:t>A focus on international markets for Victoria</w:t>
      </w:r>
      <w:r>
        <w:rPr>
          <w:lang w:eastAsia="en-AU"/>
        </w:rPr>
        <w:t>’</w:t>
      </w:r>
      <w:r w:rsidRPr="00B64D22">
        <w:rPr>
          <w:lang w:eastAsia="en-AU"/>
        </w:rPr>
        <w:t>s tourism sector aims to increase the number of international visitors to Victoria</w:t>
      </w:r>
      <w:r>
        <w:rPr>
          <w:lang w:eastAsia="en-AU"/>
        </w:rPr>
        <w:t>. T</w:t>
      </w:r>
      <w:r w:rsidRPr="00B64D22">
        <w:rPr>
          <w:lang w:eastAsia="en-AU"/>
        </w:rPr>
        <w:t xml:space="preserve">he </w:t>
      </w:r>
      <w:r>
        <w:rPr>
          <w:lang w:eastAsia="en-AU"/>
        </w:rPr>
        <w:t xml:space="preserve">budget funds </w:t>
      </w:r>
      <w:r w:rsidRPr="00B64D22">
        <w:rPr>
          <w:lang w:eastAsia="en-AU"/>
        </w:rPr>
        <w:t>targeted industry partnerships and marketing activ</w:t>
      </w:r>
      <w:r>
        <w:rPr>
          <w:lang w:eastAsia="en-AU"/>
        </w:rPr>
        <w:t xml:space="preserve">ities, particularly in </w:t>
      </w:r>
      <w:r w:rsidRPr="00FC0240">
        <w:rPr>
          <w:lang w:eastAsia="en-AU"/>
        </w:rPr>
        <w:t xml:space="preserve">the </w:t>
      </w:r>
      <w:r>
        <w:rPr>
          <w:lang w:eastAsia="en-AU"/>
        </w:rPr>
        <w:t>high</w:t>
      </w:r>
      <w:r w:rsidR="009F0F49">
        <w:rPr>
          <w:lang w:eastAsia="en-AU"/>
        </w:rPr>
        <w:noBreakHyphen/>
      </w:r>
      <w:r w:rsidRPr="00FC0240">
        <w:rPr>
          <w:lang w:eastAsia="en-AU"/>
        </w:rPr>
        <w:t>growth Asian</w:t>
      </w:r>
      <w:r w:rsidRPr="00B64D22">
        <w:rPr>
          <w:lang w:eastAsia="en-AU"/>
        </w:rPr>
        <w:t xml:space="preserve"> markets such as </w:t>
      </w:r>
      <w:r>
        <w:rPr>
          <w:lang w:eastAsia="en-AU"/>
        </w:rPr>
        <w:t xml:space="preserve">China </w:t>
      </w:r>
      <w:r w:rsidRPr="00B64D22">
        <w:rPr>
          <w:lang w:eastAsia="en-AU"/>
        </w:rPr>
        <w:t xml:space="preserve">Singapore, Malaysia and Indonesia </w:t>
      </w:r>
      <w:r>
        <w:rPr>
          <w:lang w:eastAsia="en-AU"/>
        </w:rPr>
        <w:t xml:space="preserve">to boost the associated </w:t>
      </w:r>
      <w:r w:rsidRPr="00B64D22">
        <w:rPr>
          <w:lang w:eastAsia="en-AU"/>
        </w:rPr>
        <w:t>economic benefits of tourism.</w:t>
      </w:r>
    </w:p>
    <w:p w:rsidR="00B958B1" w:rsidRDefault="00B958B1" w:rsidP="009F3B54">
      <w:pPr>
        <w:pStyle w:val="BulletText"/>
        <w:rPr>
          <w:lang w:eastAsia="en-AU"/>
        </w:rPr>
      </w:pPr>
      <w:r>
        <w:rPr>
          <w:lang w:eastAsia="en-AU"/>
        </w:rPr>
        <w:t>There will be a focus in 2013</w:t>
      </w:r>
      <w:r w:rsidR="009F0F49">
        <w:rPr>
          <w:lang w:eastAsia="en-AU"/>
        </w:rPr>
        <w:noBreakHyphen/>
      </w:r>
      <w:r>
        <w:rPr>
          <w:lang w:eastAsia="en-AU"/>
        </w:rPr>
        <w:t>14 on high</w:t>
      </w:r>
      <w:r w:rsidR="009F0F49">
        <w:rPr>
          <w:lang w:eastAsia="en-AU"/>
        </w:rPr>
        <w:noBreakHyphen/>
      </w:r>
      <w:r w:rsidRPr="00695538">
        <w:rPr>
          <w:lang w:eastAsia="en-AU"/>
        </w:rPr>
        <w:t>productive capacity investment that builds on Victoria’s strong infrastructure position and delivers more highly skilled jobs.</w:t>
      </w:r>
    </w:p>
    <w:p w:rsidR="00B958B1" w:rsidRPr="00DB1370" w:rsidRDefault="00B958B1" w:rsidP="009F3B54">
      <w:pPr>
        <w:pStyle w:val="Heading2"/>
      </w:pPr>
      <w:bookmarkStart w:id="5" w:name="BP3Ch1NatHealthAgmnt"/>
      <w:r w:rsidRPr="00DB1370">
        <w:t>National Health Reform Agreement</w:t>
      </w:r>
    </w:p>
    <w:p w:rsidR="00B958B1" w:rsidRDefault="00B958B1" w:rsidP="009F3B54">
      <w:r>
        <w:t>Over $10 billion each year is invested in Victoria’s hospital system, making it a key focus of the Victorian budget. In signing the National Health</w:t>
      </w:r>
      <w:r>
        <w:fldChar w:fldCharType="begin"/>
      </w:r>
      <w:r>
        <w:instrText xml:space="preserve"> XE "</w:instrText>
      </w:r>
      <w:r w:rsidRPr="001902E6">
        <w:instrText>Health</w:instrText>
      </w:r>
      <w:r>
        <w:instrText xml:space="preserve">" </w:instrText>
      </w:r>
      <w:r>
        <w:fldChar w:fldCharType="end"/>
      </w:r>
      <w:r>
        <w:t xml:space="preserve"> Reform Agreement in April 2011, Victoria committed to working cooperatively with the Commonwealth Government</w:t>
      </w:r>
      <w:r>
        <w:fldChar w:fldCharType="begin"/>
      </w:r>
      <w:r>
        <w:instrText xml:space="preserve"> XE "</w:instrText>
      </w:r>
      <w:r w:rsidRPr="001902E6">
        <w:instrText>Commonwealth Government</w:instrText>
      </w:r>
      <w:r>
        <w:instrText xml:space="preserve">" </w:instrText>
      </w:r>
      <w:r>
        <w:fldChar w:fldCharType="end"/>
      </w:r>
      <w:r>
        <w:t xml:space="preserve"> to implement the new Agreement that will assist in ensuring the long</w:t>
      </w:r>
      <w:r w:rsidR="009F0F49">
        <w:noBreakHyphen/>
      </w:r>
      <w:r>
        <w:t xml:space="preserve">term sustainability of the Victorian health system and improve the efficiency, patient focus and transparency of the system. </w:t>
      </w:r>
    </w:p>
    <w:p w:rsidR="00B958B1" w:rsidRDefault="00B958B1" w:rsidP="009F3B54">
      <w:r>
        <w:t>Victoria has long been a leader in delivering significant reform to improve our health system’s performance and the health outcomes for Victorians. Examples include devolved local governance for hospitals and health services, introduction of an activity</w:t>
      </w:r>
      <w:r w:rsidR="009F0F49">
        <w:noBreakHyphen/>
      </w:r>
      <w:r>
        <w:t>based funding system and the implementation of successful demand</w:t>
      </w:r>
      <w:r w:rsidR="009F0F49">
        <w:noBreakHyphen/>
      </w:r>
      <w:r>
        <w:t>management programs such as the Hospital</w:t>
      </w:r>
      <w:r>
        <w:fldChar w:fldCharType="begin"/>
      </w:r>
      <w:r>
        <w:instrText xml:space="preserve"> XE "</w:instrText>
      </w:r>
      <w:r w:rsidRPr="001902E6">
        <w:instrText>Hospitals</w:instrText>
      </w:r>
      <w:r>
        <w:instrText xml:space="preserve">" </w:instrText>
      </w:r>
      <w:r>
        <w:fldChar w:fldCharType="end"/>
      </w:r>
      <w:r>
        <w:t xml:space="preserve"> Admission Risk Program (HARP). The </w:t>
      </w:r>
      <w:r w:rsidRPr="00031B71">
        <w:rPr>
          <w:i/>
        </w:rPr>
        <w:t>2013</w:t>
      </w:r>
      <w:r w:rsidR="009F0F49">
        <w:rPr>
          <w:i/>
        </w:rPr>
        <w:noBreakHyphen/>
      </w:r>
      <w:r w:rsidRPr="00031B71">
        <w:rPr>
          <w:i/>
        </w:rPr>
        <w:t>14 Budget</w:t>
      </w:r>
      <w:r>
        <w:t xml:space="preserve"> will continue this reform with innovations such as the new contestable elective surgery pool, designed to allocate a portion of elective surgery funding on a competitive basis to drive efficiencies in the system so that more patients are treated sooner. </w:t>
      </w:r>
    </w:p>
    <w:p w:rsidR="00B958B1" w:rsidRDefault="00B958B1" w:rsidP="009F3B54">
      <w:r>
        <w:t>Under the new National Health</w:t>
      </w:r>
      <w:r>
        <w:fldChar w:fldCharType="begin"/>
      </w:r>
      <w:r>
        <w:instrText xml:space="preserve"> XE "</w:instrText>
      </w:r>
      <w:r w:rsidRPr="001902E6">
        <w:instrText>Health</w:instrText>
      </w:r>
      <w:r>
        <w:instrText xml:space="preserve">" </w:instrText>
      </w:r>
      <w:r>
        <w:fldChar w:fldCharType="end"/>
      </w:r>
      <w:r>
        <w:t xml:space="preserve"> Reform Agreement, the Victorian Government will continue to manage the public health</w:t>
      </w:r>
      <w:r>
        <w:fldChar w:fldCharType="begin"/>
      </w:r>
      <w:r>
        <w:instrText xml:space="preserve"> XE "</w:instrText>
      </w:r>
      <w:r w:rsidRPr="001902E6">
        <w:instrText xml:space="preserve">Public </w:instrText>
      </w:r>
      <w:r>
        <w:instrText>H</w:instrText>
      </w:r>
      <w:r w:rsidRPr="001902E6">
        <w:instrText>ealth</w:instrText>
      </w:r>
      <w:r>
        <w:instrText xml:space="preserve">" </w:instrText>
      </w:r>
      <w:r>
        <w:fldChar w:fldCharType="end"/>
      </w:r>
      <w:r>
        <w:t xml:space="preserve"> system, set activity levels and the price for services delivered in hospitals. The National Health Reform Agreement will facilitate shared responsibility for growth in these services to improve health outcomes for Victorians into the future. </w:t>
      </w:r>
    </w:p>
    <w:p w:rsidR="00B958B1" w:rsidRDefault="00B958B1" w:rsidP="009F3B54">
      <w:pPr>
        <w:rPr>
          <w:b/>
        </w:rPr>
      </w:pPr>
      <w:r>
        <w:t>Commonwealth funding provided for Victorian health services will be predominantly based on the number of procedures delivered. Victoria already has a long</w:t>
      </w:r>
      <w:r w:rsidR="009F0F49">
        <w:noBreakHyphen/>
      </w:r>
      <w:r>
        <w:t>standing activity based funding model for acute health services designed to drive price efficiencies</w:t>
      </w:r>
      <w:r>
        <w:fldChar w:fldCharType="begin"/>
      </w:r>
      <w:r>
        <w:instrText xml:space="preserve"> XE </w:instrText>
      </w:r>
      <w:r>
        <w:lastRenderedPageBreak/>
        <w:instrText>"</w:instrText>
      </w:r>
      <w:r w:rsidRPr="001902E6">
        <w:instrText>Efficiencies</w:instrText>
      </w:r>
      <w:r>
        <w:instrText xml:space="preserve">" </w:instrText>
      </w:r>
      <w:r>
        <w:fldChar w:fldCharType="end"/>
      </w:r>
      <w:r>
        <w:t xml:space="preserve"> and improve health outcomes. This means that the change to the funding system for Victorian health services has been minimal. From 2013</w:t>
      </w:r>
      <w:r w:rsidR="009F0F49">
        <w:noBreakHyphen/>
      </w:r>
      <w:r>
        <w:t xml:space="preserve">14, this funding model will be expanded to mental health and sub acute services, in line with the Agreement. </w:t>
      </w:r>
      <w:r>
        <w:fldChar w:fldCharType="begin"/>
      </w:r>
      <w:r>
        <w:instrText xml:space="preserve"> XE "</w:instrText>
      </w:r>
      <w:r w:rsidRPr="009E53A6">
        <w:instrText xml:space="preserve">National </w:instrText>
      </w:r>
      <w:r>
        <w:instrText>H</w:instrText>
      </w:r>
      <w:r w:rsidRPr="009E53A6">
        <w:instrText xml:space="preserve">ealth </w:instrText>
      </w:r>
      <w:r>
        <w:instrText>R</w:instrText>
      </w:r>
      <w:r w:rsidRPr="009E53A6">
        <w:instrText xml:space="preserve">eform </w:instrText>
      </w:r>
      <w:r>
        <w:instrText>A</w:instrText>
      </w:r>
      <w:r w:rsidRPr="009E53A6">
        <w:instrText>greement</w:instrText>
      </w:r>
      <w:r>
        <w:instrText xml:space="preserve">" \r "BP3Ch1NatHealthAgmnt" </w:instrText>
      </w:r>
      <w:r>
        <w:fldChar w:fldCharType="end"/>
      </w:r>
    </w:p>
    <w:p w:rsidR="00B958B1" w:rsidRPr="00FE6AA7" w:rsidRDefault="00B958B1" w:rsidP="009F3B54">
      <w:pPr>
        <w:pStyle w:val="Heading2"/>
        <w:rPr>
          <w:lang w:eastAsia="en-AU"/>
        </w:rPr>
      </w:pPr>
      <w:bookmarkStart w:id="6" w:name="BP3Ch1PubSectReform"/>
      <w:bookmarkEnd w:id="5"/>
      <w:r>
        <w:rPr>
          <w:lang w:eastAsia="en-AU"/>
        </w:rPr>
        <w:br w:type="page"/>
      </w:r>
      <w:r w:rsidRPr="00FE6AA7">
        <w:rPr>
          <w:lang w:eastAsia="en-AU"/>
        </w:rPr>
        <w:lastRenderedPageBreak/>
        <w:t>Public sector reform – better and more efficient services</w:t>
      </w:r>
    </w:p>
    <w:p w:rsidR="00B958B1" w:rsidRDefault="00B958B1" w:rsidP="009F3B54">
      <w:pPr>
        <w:rPr>
          <w:lang w:eastAsia="en-AU"/>
        </w:rPr>
      </w:pPr>
      <w:r w:rsidRPr="00B64D22">
        <w:rPr>
          <w:lang w:eastAsia="en-AU"/>
        </w:rPr>
        <w:t>Public sector reform is an important component of the Government</w:t>
      </w:r>
      <w:r>
        <w:rPr>
          <w:lang w:eastAsia="en-AU"/>
        </w:rPr>
        <w:t>’</w:t>
      </w:r>
      <w:r w:rsidRPr="00B64D22">
        <w:rPr>
          <w:lang w:eastAsia="en-AU"/>
        </w:rPr>
        <w:t>s economic and fiscal strategy</w:t>
      </w:r>
      <w:r>
        <w:rPr>
          <w:lang w:eastAsia="en-AU"/>
        </w:rPr>
        <w:t>.</w:t>
      </w:r>
      <w:r w:rsidRPr="00B64D22">
        <w:rPr>
          <w:lang w:eastAsia="en-AU"/>
        </w:rPr>
        <w:t xml:space="preserve"> </w:t>
      </w:r>
      <w:r>
        <w:rPr>
          <w:lang w:eastAsia="en-AU"/>
        </w:rPr>
        <w:t xml:space="preserve">The Government will </w:t>
      </w:r>
      <w:r w:rsidRPr="00B64D22">
        <w:rPr>
          <w:lang w:eastAsia="en-AU"/>
        </w:rPr>
        <w:t>focus on improving management in the public sector including deliver</w:t>
      </w:r>
      <w:r>
        <w:rPr>
          <w:lang w:eastAsia="en-AU"/>
        </w:rPr>
        <w:t>ing</w:t>
      </w:r>
      <w:r w:rsidRPr="00B64D22">
        <w:rPr>
          <w:lang w:eastAsia="en-AU"/>
        </w:rPr>
        <w:t xml:space="preserve"> services </w:t>
      </w:r>
      <w:r>
        <w:rPr>
          <w:lang w:eastAsia="en-AU"/>
        </w:rPr>
        <w:t xml:space="preserve">more </w:t>
      </w:r>
      <w:r w:rsidRPr="00B64D22">
        <w:rPr>
          <w:lang w:eastAsia="en-AU"/>
        </w:rPr>
        <w:t>efficiently</w:t>
      </w:r>
      <w:r>
        <w:rPr>
          <w:lang w:eastAsia="en-AU"/>
        </w:rPr>
        <w:t>,</w:t>
      </w:r>
      <w:r w:rsidRPr="00B64D22">
        <w:rPr>
          <w:lang w:eastAsia="en-AU"/>
        </w:rPr>
        <w:t xml:space="preserve"> and </w:t>
      </w:r>
      <w:r>
        <w:rPr>
          <w:lang w:eastAsia="en-AU"/>
        </w:rPr>
        <w:t>o</w:t>
      </w:r>
      <w:r w:rsidRPr="00B64D22">
        <w:rPr>
          <w:lang w:eastAsia="en-AU"/>
        </w:rPr>
        <w:t>n new and innovative ways that pr</w:t>
      </w:r>
      <w:r>
        <w:rPr>
          <w:lang w:eastAsia="en-AU"/>
        </w:rPr>
        <w:t>ioritise community needs.</w:t>
      </w:r>
    </w:p>
    <w:p w:rsidR="00B958B1" w:rsidRPr="00B64D22" w:rsidRDefault="00B958B1" w:rsidP="009F3B54">
      <w:pPr>
        <w:rPr>
          <w:lang w:eastAsia="en-AU"/>
        </w:rPr>
      </w:pPr>
      <w:r>
        <w:rPr>
          <w:lang w:eastAsia="en-AU"/>
        </w:rPr>
        <w:t xml:space="preserve">The </w:t>
      </w:r>
      <w:r w:rsidRPr="00E07FC5">
        <w:rPr>
          <w:i/>
          <w:lang w:eastAsia="en-AU"/>
        </w:rPr>
        <w:t>2013</w:t>
      </w:r>
      <w:r w:rsidR="009F0F49">
        <w:rPr>
          <w:i/>
          <w:lang w:eastAsia="en-AU"/>
        </w:rPr>
        <w:noBreakHyphen/>
      </w:r>
      <w:r w:rsidRPr="00E07FC5">
        <w:rPr>
          <w:i/>
          <w:lang w:eastAsia="en-AU"/>
        </w:rPr>
        <w:t>14 Budge</w:t>
      </w:r>
      <w:r>
        <w:rPr>
          <w:i/>
          <w:lang w:eastAsia="en-AU"/>
        </w:rPr>
        <w:t>t</w:t>
      </w:r>
      <w:r>
        <w:rPr>
          <w:lang w:eastAsia="en-AU"/>
        </w:rPr>
        <w:t xml:space="preserve"> delivers further </w:t>
      </w:r>
      <w:r w:rsidRPr="00B64D22">
        <w:rPr>
          <w:lang w:eastAsia="en-AU"/>
        </w:rPr>
        <w:t>public sector reform to deliver better and more efficient and productive services. Initial implementation funding for initiatives to improve service delivery and realise financial and service benefits for the community include:</w:t>
      </w:r>
    </w:p>
    <w:p w:rsidR="00B958B1" w:rsidRPr="00B64D22" w:rsidRDefault="00B958B1" w:rsidP="009F3B54">
      <w:pPr>
        <w:pStyle w:val="BulletText"/>
        <w:rPr>
          <w:lang w:eastAsia="en-AU"/>
        </w:rPr>
      </w:pPr>
      <w:r>
        <w:rPr>
          <w:lang w:eastAsia="en-AU"/>
        </w:rPr>
        <w:t xml:space="preserve">further funding for </w:t>
      </w:r>
      <w:r w:rsidRPr="00B64D22">
        <w:rPr>
          <w:lang w:eastAsia="en-AU"/>
        </w:rPr>
        <w:t>Service</w:t>
      </w:r>
      <w:r>
        <w:rPr>
          <w:lang w:eastAsia="en-AU"/>
        </w:rPr>
        <w:t>s</w:t>
      </w:r>
      <w:r w:rsidRPr="00B64D22">
        <w:rPr>
          <w:lang w:eastAsia="en-AU"/>
        </w:rPr>
        <w:t xml:space="preserve"> Connect </w:t>
      </w:r>
      <w:r>
        <w:rPr>
          <w:lang w:eastAsia="en-AU"/>
        </w:rPr>
        <w:t>that will reform</w:t>
      </w:r>
      <w:r w:rsidRPr="00B64D22">
        <w:rPr>
          <w:lang w:eastAsia="en-AU"/>
        </w:rPr>
        <w:t xml:space="preserve"> delivery of </w:t>
      </w:r>
      <w:r>
        <w:rPr>
          <w:lang w:eastAsia="en-AU"/>
        </w:rPr>
        <w:t xml:space="preserve">human services, including disability, child protection, mental health and housing assistance, </w:t>
      </w:r>
      <w:r w:rsidRPr="00B64D22">
        <w:rPr>
          <w:lang w:eastAsia="en-AU"/>
        </w:rPr>
        <w:t>ensuri</w:t>
      </w:r>
      <w:r>
        <w:rPr>
          <w:lang w:eastAsia="en-AU"/>
        </w:rPr>
        <w:t>ng an efficient but more client</w:t>
      </w:r>
      <w:r w:rsidR="009F0F49">
        <w:rPr>
          <w:lang w:eastAsia="en-AU"/>
        </w:rPr>
        <w:noBreakHyphen/>
      </w:r>
      <w:r w:rsidRPr="00B64D22">
        <w:rPr>
          <w:lang w:eastAsia="en-AU"/>
        </w:rPr>
        <w:t xml:space="preserve">centred model. Funding is provided to enable an extension of the case management reform pilots and </w:t>
      </w:r>
      <w:r>
        <w:rPr>
          <w:lang w:eastAsia="en-AU"/>
        </w:rPr>
        <w:t xml:space="preserve">further </w:t>
      </w:r>
      <w:r w:rsidRPr="00B64D22">
        <w:rPr>
          <w:lang w:eastAsia="en-AU"/>
        </w:rPr>
        <w:t>build the evidence base for</w:t>
      </w:r>
      <w:r>
        <w:rPr>
          <w:lang w:eastAsia="en-AU"/>
        </w:rPr>
        <w:t xml:space="preserve"> this initiative;</w:t>
      </w:r>
    </w:p>
    <w:p w:rsidR="00B958B1" w:rsidRDefault="00B958B1" w:rsidP="009F3B54">
      <w:pPr>
        <w:pStyle w:val="BulletText"/>
        <w:rPr>
          <w:lang w:eastAsia="en-AU"/>
        </w:rPr>
      </w:pPr>
      <w:r>
        <w:rPr>
          <w:lang w:eastAsia="en-AU"/>
        </w:rPr>
        <w:t xml:space="preserve">continuing support for </w:t>
      </w:r>
      <w:r w:rsidRPr="00E07FC5">
        <w:rPr>
          <w:lang w:eastAsia="en-AU"/>
        </w:rPr>
        <w:t>Business Victoria Online, an integrated online platform providing small businesses with easy access to information, advice and transactional services;</w:t>
      </w:r>
    </w:p>
    <w:p w:rsidR="00B958B1" w:rsidRPr="00B64D22" w:rsidRDefault="00B958B1" w:rsidP="009F3B54">
      <w:pPr>
        <w:pStyle w:val="BulletText"/>
        <w:rPr>
          <w:lang w:eastAsia="en-AU"/>
        </w:rPr>
      </w:pPr>
      <w:r>
        <w:rPr>
          <w:lang w:eastAsia="en-AU"/>
        </w:rPr>
        <w:t xml:space="preserve">enhancing the State’s </w:t>
      </w:r>
      <w:r w:rsidRPr="00B64D22">
        <w:rPr>
          <w:lang w:eastAsia="en-AU"/>
        </w:rPr>
        <w:t xml:space="preserve">asset confiscation </w:t>
      </w:r>
      <w:r>
        <w:rPr>
          <w:lang w:eastAsia="en-AU"/>
        </w:rPr>
        <w:t>scheme</w:t>
      </w:r>
      <w:r w:rsidRPr="00B64D22">
        <w:rPr>
          <w:lang w:eastAsia="en-AU"/>
        </w:rPr>
        <w:t xml:space="preserve"> to </w:t>
      </w:r>
      <w:r>
        <w:rPr>
          <w:lang w:eastAsia="en-AU"/>
        </w:rPr>
        <w:t>improve</w:t>
      </w:r>
      <w:r w:rsidRPr="00B64D22">
        <w:rPr>
          <w:lang w:eastAsia="en-AU"/>
        </w:rPr>
        <w:t xml:space="preserve"> the identification and confiscation of the proceeds of crime and to disrupt</w:t>
      </w:r>
      <w:r>
        <w:rPr>
          <w:lang w:eastAsia="en-AU"/>
        </w:rPr>
        <w:t xml:space="preserve"> organised and serious crime; and</w:t>
      </w:r>
    </w:p>
    <w:p w:rsidR="00B958B1" w:rsidRPr="00B64D22" w:rsidRDefault="00B958B1" w:rsidP="009F3B54">
      <w:pPr>
        <w:pStyle w:val="BulletText"/>
        <w:rPr>
          <w:lang w:eastAsia="en-AU"/>
        </w:rPr>
      </w:pPr>
      <w:r>
        <w:rPr>
          <w:lang w:eastAsia="en-AU"/>
        </w:rPr>
        <w:t xml:space="preserve">reform of the </w:t>
      </w:r>
      <w:r w:rsidRPr="00B64D22">
        <w:rPr>
          <w:lang w:eastAsia="en-AU"/>
        </w:rPr>
        <w:t xml:space="preserve">collection and enforcement of legal debt to </w:t>
      </w:r>
      <w:r>
        <w:t>improve collection rates across a number of types of debt</w:t>
      </w:r>
      <w:r>
        <w:rPr>
          <w:lang w:eastAsia="en-AU"/>
        </w:rPr>
        <w:t>,</w:t>
      </w:r>
      <w:r w:rsidRPr="00B64D22">
        <w:rPr>
          <w:lang w:eastAsia="en-AU"/>
        </w:rPr>
        <w:t xml:space="preserve"> return</w:t>
      </w:r>
      <w:r>
        <w:rPr>
          <w:lang w:eastAsia="en-AU"/>
        </w:rPr>
        <w:t>ing the</w:t>
      </w:r>
      <w:r w:rsidRPr="00B64D22">
        <w:rPr>
          <w:lang w:eastAsia="en-AU"/>
        </w:rPr>
        <w:t xml:space="preserve"> benefit to the community.</w:t>
      </w:r>
    </w:p>
    <w:p w:rsidR="00B958B1" w:rsidRPr="00B64D22" w:rsidRDefault="00B958B1" w:rsidP="009F3B54">
      <w:pPr>
        <w:rPr>
          <w:lang w:eastAsia="en-AU"/>
        </w:rPr>
      </w:pPr>
      <w:r>
        <w:rPr>
          <w:lang w:eastAsia="en-AU"/>
        </w:rPr>
        <w:t xml:space="preserve">The </w:t>
      </w:r>
      <w:r w:rsidRPr="00B64D22">
        <w:rPr>
          <w:lang w:eastAsia="en-AU"/>
        </w:rPr>
        <w:t>significant restructure of the public service an</w:t>
      </w:r>
      <w:r>
        <w:rPr>
          <w:lang w:eastAsia="en-AU"/>
        </w:rPr>
        <w:t>nounced by the Premier in April </w:t>
      </w:r>
      <w:r w:rsidRPr="00B64D22">
        <w:rPr>
          <w:lang w:eastAsia="en-AU"/>
        </w:rPr>
        <w:t xml:space="preserve">2013 will </w:t>
      </w:r>
      <w:r>
        <w:rPr>
          <w:lang w:eastAsia="en-AU"/>
        </w:rPr>
        <w:t xml:space="preserve">establish </w:t>
      </w:r>
      <w:r w:rsidRPr="00B64D22">
        <w:rPr>
          <w:lang w:eastAsia="en-AU"/>
        </w:rPr>
        <w:t xml:space="preserve">an </w:t>
      </w:r>
      <w:r>
        <w:rPr>
          <w:lang w:eastAsia="en-AU"/>
        </w:rPr>
        <w:t>‘</w:t>
      </w:r>
      <w:r w:rsidRPr="00B64D22">
        <w:rPr>
          <w:lang w:eastAsia="en-AU"/>
        </w:rPr>
        <w:t>open for business</w:t>
      </w:r>
      <w:r>
        <w:rPr>
          <w:lang w:eastAsia="en-AU"/>
        </w:rPr>
        <w:t>’</w:t>
      </w:r>
      <w:r w:rsidRPr="00B64D22">
        <w:rPr>
          <w:lang w:eastAsia="en-AU"/>
        </w:rPr>
        <w:t xml:space="preserve"> culture across the public service with a sharpened focus on securing investment</w:t>
      </w:r>
      <w:r>
        <w:rPr>
          <w:lang w:eastAsia="en-AU"/>
        </w:rPr>
        <w:t xml:space="preserve"> and jobs</w:t>
      </w:r>
      <w:r w:rsidRPr="00B64D22">
        <w:rPr>
          <w:lang w:eastAsia="en-AU"/>
        </w:rPr>
        <w:t>, delivering responsible financial management and providing better frontline services to all Victorians.</w:t>
      </w:r>
    </w:p>
    <w:p w:rsidR="00B958B1" w:rsidRPr="0072519C" w:rsidRDefault="00B958B1" w:rsidP="009F3B54">
      <w:pPr>
        <w:rPr>
          <w:lang w:eastAsia="en-AU"/>
        </w:rPr>
      </w:pPr>
      <w:r w:rsidRPr="0072519C">
        <w:rPr>
          <w:lang w:eastAsia="en-AU"/>
        </w:rPr>
        <w:t>The restructure will open new opportunities for the public sector to respond to business and community need</w:t>
      </w:r>
      <w:r>
        <w:rPr>
          <w:lang w:eastAsia="en-AU"/>
        </w:rPr>
        <w:t>s and support innovation and job creation by:</w:t>
      </w:r>
    </w:p>
    <w:p w:rsidR="00B958B1" w:rsidRPr="00AC2465" w:rsidRDefault="00B958B1" w:rsidP="009F3B54">
      <w:pPr>
        <w:pStyle w:val="BulletText"/>
        <w:rPr>
          <w:lang w:eastAsia="en-AU"/>
        </w:rPr>
      </w:pPr>
      <w:r>
        <w:rPr>
          <w:lang w:eastAsia="en-AU"/>
        </w:rPr>
        <w:t xml:space="preserve">introducing </w:t>
      </w:r>
      <w:r w:rsidRPr="00AC2465">
        <w:rPr>
          <w:lang w:eastAsia="en-AU"/>
        </w:rPr>
        <w:t>a new Department of State Development, Business and Innovation</w:t>
      </w:r>
      <w:r>
        <w:rPr>
          <w:lang w:eastAsia="en-AU"/>
        </w:rPr>
        <w:t>,</w:t>
      </w:r>
      <w:r w:rsidRPr="00AC2465">
        <w:rPr>
          <w:lang w:eastAsia="en-AU"/>
        </w:rPr>
        <w:t xml:space="preserve"> focused on facilitating significant projects </w:t>
      </w:r>
      <w:r>
        <w:rPr>
          <w:lang w:eastAsia="en-AU"/>
        </w:rPr>
        <w:t>that</w:t>
      </w:r>
      <w:r w:rsidRPr="00AC2465">
        <w:rPr>
          <w:lang w:eastAsia="en-AU"/>
        </w:rPr>
        <w:t xml:space="preserve"> require a whole</w:t>
      </w:r>
      <w:r w:rsidR="009F0F49">
        <w:rPr>
          <w:lang w:eastAsia="en-AU"/>
        </w:rPr>
        <w:noBreakHyphen/>
      </w:r>
      <w:r w:rsidRPr="00AC2465">
        <w:rPr>
          <w:lang w:eastAsia="en-AU"/>
        </w:rPr>
        <w:t>of</w:t>
      </w:r>
      <w:r w:rsidR="009F0F49">
        <w:rPr>
          <w:lang w:eastAsia="en-AU"/>
        </w:rPr>
        <w:noBreakHyphen/>
      </w:r>
      <w:r w:rsidRPr="00AC2465">
        <w:rPr>
          <w:lang w:eastAsia="en-AU"/>
        </w:rPr>
        <w:t>government approach;</w:t>
      </w:r>
    </w:p>
    <w:p w:rsidR="00B958B1" w:rsidRPr="00AC2465" w:rsidRDefault="00B958B1" w:rsidP="009F3B54">
      <w:pPr>
        <w:pStyle w:val="BulletText"/>
        <w:rPr>
          <w:lang w:eastAsia="en-AU"/>
        </w:rPr>
      </w:pPr>
      <w:r>
        <w:rPr>
          <w:lang w:eastAsia="en-AU"/>
        </w:rPr>
        <w:t>b</w:t>
      </w:r>
      <w:r w:rsidRPr="00AC2465">
        <w:rPr>
          <w:lang w:eastAsia="en-AU"/>
        </w:rPr>
        <w:t>ring</w:t>
      </w:r>
      <w:r>
        <w:rPr>
          <w:lang w:eastAsia="en-AU"/>
        </w:rPr>
        <w:t>ing</w:t>
      </w:r>
      <w:r w:rsidRPr="00AC2465">
        <w:rPr>
          <w:lang w:eastAsia="en-AU"/>
        </w:rPr>
        <w:t xml:space="preserve"> the energy and resources</w:t>
      </w:r>
      <w:r>
        <w:rPr>
          <w:lang w:eastAsia="en-AU"/>
        </w:rPr>
        <w:fldChar w:fldCharType="begin"/>
      </w:r>
      <w:r>
        <w:instrText xml:space="preserve"> XE "</w:instrText>
      </w:r>
      <w:r w:rsidRPr="001902E6">
        <w:rPr>
          <w:lang w:eastAsia="en-AU"/>
        </w:rPr>
        <w:instrText xml:space="preserve">Energy and </w:instrText>
      </w:r>
      <w:r>
        <w:rPr>
          <w:lang w:eastAsia="en-AU"/>
        </w:rPr>
        <w:instrText>R</w:instrText>
      </w:r>
      <w:r w:rsidRPr="001902E6">
        <w:rPr>
          <w:lang w:eastAsia="en-AU"/>
        </w:rPr>
        <w:instrText>esources</w:instrText>
      </w:r>
      <w:r>
        <w:instrText xml:space="preserve">" </w:instrText>
      </w:r>
      <w:r>
        <w:rPr>
          <w:lang w:eastAsia="en-AU"/>
        </w:rPr>
        <w:fldChar w:fldCharType="end"/>
      </w:r>
      <w:r w:rsidRPr="00AC2465">
        <w:rPr>
          <w:lang w:eastAsia="en-AU"/>
        </w:rPr>
        <w:t xml:space="preserve"> portfolio into</w:t>
      </w:r>
      <w:r>
        <w:rPr>
          <w:lang w:eastAsia="en-AU"/>
        </w:rPr>
        <w:t xml:space="preserve"> the</w:t>
      </w:r>
      <w:r w:rsidRPr="00AC2465">
        <w:rPr>
          <w:lang w:eastAsia="en-AU"/>
        </w:rPr>
        <w:t xml:space="preserve"> D</w:t>
      </w:r>
      <w:r>
        <w:rPr>
          <w:lang w:eastAsia="en-AU"/>
        </w:rPr>
        <w:t xml:space="preserve">epartment of </w:t>
      </w:r>
      <w:r w:rsidRPr="00AC2465">
        <w:rPr>
          <w:lang w:eastAsia="en-AU"/>
        </w:rPr>
        <w:t>S</w:t>
      </w:r>
      <w:r>
        <w:rPr>
          <w:lang w:eastAsia="en-AU"/>
        </w:rPr>
        <w:t xml:space="preserve">tate </w:t>
      </w:r>
      <w:r w:rsidRPr="00AC2465">
        <w:rPr>
          <w:lang w:eastAsia="en-AU"/>
        </w:rPr>
        <w:t>D</w:t>
      </w:r>
      <w:r>
        <w:rPr>
          <w:lang w:eastAsia="en-AU"/>
        </w:rPr>
        <w:t xml:space="preserve">evelopment, Business and </w:t>
      </w:r>
      <w:r w:rsidRPr="00AC2465">
        <w:rPr>
          <w:lang w:eastAsia="en-AU"/>
        </w:rPr>
        <w:t>I</w:t>
      </w:r>
      <w:r>
        <w:rPr>
          <w:lang w:eastAsia="en-AU"/>
        </w:rPr>
        <w:t>nnovation</w:t>
      </w:r>
      <w:r w:rsidRPr="00AC2465">
        <w:rPr>
          <w:lang w:eastAsia="en-AU"/>
        </w:rPr>
        <w:t xml:space="preserve"> to sharpen the focus on major development opportunities including in relation to the State</w:t>
      </w:r>
      <w:r>
        <w:rPr>
          <w:lang w:eastAsia="en-AU"/>
        </w:rPr>
        <w:t>’</w:t>
      </w:r>
      <w:r w:rsidRPr="00AC2465">
        <w:rPr>
          <w:lang w:eastAsia="en-AU"/>
        </w:rPr>
        <w:t>s coal resources;</w:t>
      </w:r>
    </w:p>
    <w:p w:rsidR="00B958B1" w:rsidRPr="00AC2465" w:rsidRDefault="00B958B1" w:rsidP="009F3B54">
      <w:pPr>
        <w:pStyle w:val="BulletText"/>
        <w:rPr>
          <w:lang w:eastAsia="en-AU"/>
        </w:rPr>
      </w:pPr>
      <w:r>
        <w:rPr>
          <w:lang w:eastAsia="en-AU"/>
        </w:rPr>
        <w:t>integrating</w:t>
      </w:r>
      <w:r w:rsidRPr="00AC2465">
        <w:rPr>
          <w:lang w:eastAsia="en-AU"/>
        </w:rPr>
        <w:t xml:space="preserve"> urban and transport planning with local infrastructure and services</w:t>
      </w:r>
      <w:r>
        <w:rPr>
          <w:lang w:eastAsia="en-AU"/>
        </w:rPr>
        <w:t xml:space="preserve"> in the Department of Transport, Planning and Local Infrastructure</w:t>
      </w:r>
      <w:r w:rsidRPr="00AC2465">
        <w:rPr>
          <w:lang w:eastAsia="en-AU"/>
        </w:rPr>
        <w:t>;</w:t>
      </w:r>
      <w:r>
        <w:rPr>
          <w:lang w:eastAsia="en-AU"/>
        </w:rPr>
        <w:t xml:space="preserve"> and</w:t>
      </w:r>
    </w:p>
    <w:p w:rsidR="00B958B1" w:rsidRPr="00AC2465" w:rsidRDefault="00B958B1" w:rsidP="009F3B54">
      <w:pPr>
        <w:pStyle w:val="BulletText"/>
        <w:rPr>
          <w:lang w:eastAsia="en-AU"/>
        </w:rPr>
      </w:pPr>
      <w:r>
        <w:rPr>
          <w:lang w:eastAsia="en-AU"/>
        </w:rPr>
        <w:t>b</w:t>
      </w:r>
      <w:r w:rsidRPr="00AC2465">
        <w:rPr>
          <w:lang w:eastAsia="en-AU"/>
        </w:rPr>
        <w:t>ring</w:t>
      </w:r>
      <w:r>
        <w:rPr>
          <w:lang w:eastAsia="en-AU"/>
        </w:rPr>
        <w:t>ing</w:t>
      </w:r>
      <w:r w:rsidRPr="00AC2465">
        <w:rPr>
          <w:lang w:eastAsia="en-AU"/>
        </w:rPr>
        <w:t xml:space="preserve"> land and water</w:t>
      </w:r>
      <w:r>
        <w:rPr>
          <w:lang w:eastAsia="en-AU"/>
        </w:rPr>
        <w:fldChar w:fldCharType="begin"/>
      </w:r>
      <w:r>
        <w:instrText xml:space="preserve"> XE "</w:instrText>
      </w:r>
      <w:r w:rsidRPr="001902E6">
        <w:rPr>
          <w:lang w:eastAsia="en-AU"/>
        </w:rPr>
        <w:instrText>Water</w:instrText>
      </w:r>
      <w:r>
        <w:instrText xml:space="preserve">" </w:instrText>
      </w:r>
      <w:r>
        <w:rPr>
          <w:lang w:eastAsia="en-AU"/>
        </w:rPr>
        <w:fldChar w:fldCharType="end"/>
      </w:r>
      <w:r w:rsidRPr="00AC2465">
        <w:rPr>
          <w:lang w:eastAsia="en-AU"/>
        </w:rPr>
        <w:t xml:space="preserve"> management together with primary industries </w:t>
      </w:r>
      <w:r>
        <w:rPr>
          <w:lang w:eastAsia="en-AU"/>
        </w:rPr>
        <w:t>in the Department of Environment</w:t>
      </w:r>
      <w:r>
        <w:rPr>
          <w:lang w:eastAsia="en-AU"/>
        </w:rPr>
        <w:fldChar w:fldCharType="begin"/>
      </w:r>
      <w:r>
        <w:instrText xml:space="preserve"> XE "</w:instrText>
      </w:r>
      <w:r w:rsidRPr="001902E6">
        <w:rPr>
          <w:lang w:eastAsia="en-AU"/>
        </w:rPr>
        <w:instrText>Environment</w:instrText>
      </w:r>
      <w:r>
        <w:instrText xml:space="preserve">" </w:instrText>
      </w:r>
      <w:r>
        <w:rPr>
          <w:lang w:eastAsia="en-AU"/>
        </w:rPr>
        <w:fldChar w:fldCharType="end"/>
      </w:r>
      <w:r>
        <w:rPr>
          <w:lang w:eastAsia="en-AU"/>
        </w:rPr>
        <w:t xml:space="preserve"> and Primary Industries to </w:t>
      </w:r>
      <w:r w:rsidRPr="00AC2465">
        <w:rPr>
          <w:lang w:eastAsia="en-AU"/>
        </w:rPr>
        <w:t>drive the potential benefits for industries including the food and fibre sectors.</w:t>
      </w:r>
    </w:p>
    <w:p w:rsidR="00B958B1" w:rsidRDefault="00B958B1" w:rsidP="009F3B54">
      <w:pPr>
        <w:rPr>
          <w:lang w:eastAsia="en-AU"/>
        </w:rPr>
      </w:pPr>
      <w:r>
        <w:rPr>
          <w:lang w:eastAsia="en-AU"/>
        </w:rPr>
        <w:br w:type="page"/>
      </w:r>
      <w:r w:rsidRPr="00AC2465">
        <w:rPr>
          <w:lang w:eastAsia="en-AU"/>
        </w:rPr>
        <w:lastRenderedPageBreak/>
        <w:t>The Government recognises that the commun</w:t>
      </w:r>
      <w:r>
        <w:rPr>
          <w:lang w:eastAsia="en-AU"/>
        </w:rPr>
        <w:t>ity expects high</w:t>
      </w:r>
      <w:r w:rsidR="009F0F49">
        <w:rPr>
          <w:lang w:eastAsia="en-AU"/>
        </w:rPr>
        <w:noBreakHyphen/>
      </w:r>
      <w:r w:rsidRPr="00AC2465">
        <w:rPr>
          <w:lang w:eastAsia="en-AU"/>
        </w:rPr>
        <w:t>quality, responsive and accessible services</w:t>
      </w:r>
      <w:r>
        <w:rPr>
          <w:lang w:eastAsia="en-AU"/>
        </w:rPr>
        <w:t xml:space="preserve">, which </w:t>
      </w:r>
      <w:r w:rsidRPr="00AC2465">
        <w:rPr>
          <w:lang w:eastAsia="en-AU"/>
        </w:rPr>
        <w:t xml:space="preserve">means </w:t>
      </w:r>
      <w:r>
        <w:rPr>
          <w:lang w:eastAsia="en-AU"/>
        </w:rPr>
        <w:t>it must support</w:t>
      </w:r>
      <w:r w:rsidRPr="00AC2465">
        <w:rPr>
          <w:lang w:eastAsia="en-AU"/>
        </w:rPr>
        <w:t xml:space="preserve"> smarter and more efficient ways of managing </w:t>
      </w:r>
      <w:r>
        <w:rPr>
          <w:lang w:eastAsia="en-AU"/>
        </w:rPr>
        <w:t>its</w:t>
      </w:r>
      <w:r w:rsidRPr="00AC2465">
        <w:rPr>
          <w:lang w:eastAsia="en-AU"/>
        </w:rPr>
        <w:t xml:space="preserve"> </w:t>
      </w:r>
      <w:r>
        <w:rPr>
          <w:lang w:eastAsia="en-AU"/>
        </w:rPr>
        <w:t>b</w:t>
      </w:r>
      <w:r w:rsidRPr="00AC2465">
        <w:rPr>
          <w:lang w:eastAsia="en-AU"/>
        </w:rPr>
        <w:t xml:space="preserve">udget and delivering services. </w:t>
      </w:r>
    </w:p>
    <w:p w:rsidR="00B958B1" w:rsidRDefault="00B958B1" w:rsidP="009F3B54">
      <w:pPr>
        <w:rPr>
          <w:lang w:eastAsia="en-AU"/>
        </w:rPr>
      </w:pPr>
      <w:r>
        <w:rPr>
          <w:lang w:eastAsia="en-AU"/>
        </w:rPr>
        <w:t xml:space="preserve">Through the </w:t>
      </w:r>
      <w:r w:rsidRPr="003C34CD">
        <w:rPr>
          <w:i/>
          <w:lang w:eastAsia="en-AU"/>
        </w:rPr>
        <w:t>2013</w:t>
      </w:r>
      <w:r w:rsidR="009F0F49">
        <w:rPr>
          <w:i/>
          <w:lang w:eastAsia="en-AU"/>
        </w:rPr>
        <w:noBreakHyphen/>
      </w:r>
      <w:r w:rsidRPr="003C34CD">
        <w:rPr>
          <w:i/>
          <w:lang w:eastAsia="en-AU"/>
        </w:rPr>
        <w:t>14 Budget</w:t>
      </w:r>
      <w:r w:rsidRPr="003C34CD">
        <w:rPr>
          <w:lang w:eastAsia="en-AU"/>
        </w:rPr>
        <w:t xml:space="preserve">, </w:t>
      </w:r>
      <w:r w:rsidRPr="00517000">
        <w:rPr>
          <w:lang w:eastAsia="en-AU"/>
        </w:rPr>
        <w:t xml:space="preserve">the Government </w:t>
      </w:r>
      <w:r>
        <w:rPr>
          <w:lang w:eastAsia="en-AU"/>
        </w:rPr>
        <w:t xml:space="preserve">will </w:t>
      </w:r>
      <w:r w:rsidRPr="00517000">
        <w:rPr>
          <w:lang w:eastAsia="en-AU"/>
        </w:rPr>
        <w:t>continue to focus on achieving a strong financial position by constraining public sector growth to areas of frontline service</w:t>
      </w:r>
      <w:r>
        <w:rPr>
          <w:lang w:eastAsia="en-AU"/>
        </w:rPr>
        <w:t>s</w:t>
      </w:r>
      <w:r w:rsidRPr="00517000">
        <w:rPr>
          <w:lang w:eastAsia="en-AU"/>
        </w:rPr>
        <w:t xml:space="preserve">, </w:t>
      </w:r>
      <w:r w:rsidRPr="00EA4718">
        <w:rPr>
          <w:lang w:eastAsia="en-AU"/>
        </w:rPr>
        <w:t>providing incentives to drive efficiencies</w:t>
      </w:r>
      <w:r>
        <w:rPr>
          <w:lang w:eastAsia="en-AU"/>
        </w:rPr>
        <w:fldChar w:fldCharType="begin"/>
      </w:r>
      <w:r>
        <w:instrText xml:space="preserve"> XE "</w:instrText>
      </w:r>
      <w:r w:rsidRPr="001902E6">
        <w:rPr>
          <w:lang w:eastAsia="en-AU"/>
        </w:rPr>
        <w:instrText>Efficiencies</w:instrText>
      </w:r>
      <w:r>
        <w:instrText xml:space="preserve">" </w:instrText>
      </w:r>
      <w:r>
        <w:rPr>
          <w:lang w:eastAsia="en-AU"/>
        </w:rPr>
        <w:fldChar w:fldCharType="end"/>
      </w:r>
      <w:r w:rsidRPr="00EA4718">
        <w:rPr>
          <w:lang w:eastAsia="en-AU"/>
        </w:rPr>
        <w:t xml:space="preserve"> in non</w:t>
      </w:r>
      <w:r w:rsidR="009F0F49">
        <w:rPr>
          <w:lang w:eastAsia="en-AU"/>
        </w:rPr>
        <w:noBreakHyphen/>
      </w:r>
      <w:r w:rsidRPr="00EA4718">
        <w:rPr>
          <w:lang w:eastAsia="en-AU"/>
        </w:rPr>
        <w:t>frontline services</w:t>
      </w:r>
      <w:r>
        <w:rPr>
          <w:lang w:eastAsia="en-AU"/>
        </w:rPr>
        <w:t xml:space="preserve">, </w:t>
      </w:r>
      <w:r w:rsidRPr="00517000">
        <w:rPr>
          <w:lang w:eastAsia="en-AU"/>
        </w:rPr>
        <w:t>re</w:t>
      </w:r>
      <w:r>
        <w:rPr>
          <w:lang w:eastAsia="en-AU"/>
        </w:rPr>
        <w:t xml:space="preserve">allocating </w:t>
      </w:r>
      <w:r w:rsidRPr="00517000">
        <w:rPr>
          <w:lang w:eastAsia="en-AU"/>
        </w:rPr>
        <w:t xml:space="preserve">existing </w:t>
      </w:r>
      <w:r>
        <w:rPr>
          <w:lang w:eastAsia="en-AU"/>
        </w:rPr>
        <w:t xml:space="preserve">resources such as </w:t>
      </w:r>
      <w:r w:rsidRPr="00DF0AB2">
        <w:rPr>
          <w:lang w:eastAsia="en-AU"/>
        </w:rPr>
        <w:t>re</w:t>
      </w:r>
      <w:r w:rsidR="009F0F49">
        <w:rPr>
          <w:lang w:eastAsia="en-AU"/>
        </w:rPr>
        <w:noBreakHyphen/>
      </w:r>
      <w:r w:rsidRPr="00DF0AB2">
        <w:rPr>
          <w:lang w:eastAsia="en-AU"/>
        </w:rPr>
        <w:t>targeting the first home owners grant and the driver reward scheme</w:t>
      </w:r>
      <w:r>
        <w:rPr>
          <w:lang w:eastAsia="en-AU"/>
        </w:rPr>
        <w:t xml:space="preserve">, and using revenues, such as the congestion levy to fund public transport and road improvements. </w:t>
      </w:r>
      <w:r>
        <w:rPr>
          <w:lang w:eastAsia="en-AU"/>
        </w:rPr>
        <w:fldChar w:fldCharType="begin"/>
      </w:r>
      <w:r>
        <w:instrText xml:space="preserve"> XE "</w:instrText>
      </w:r>
      <w:r w:rsidRPr="009E53A6">
        <w:instrText>Public sector reform</w:instrText>
      </w:r>
      <w:r>
        <w:instrText xml:space="preserve">" \r "BP3Ch1PubSectReform" </w:instrText>
      </w:r>
      <w:r>
        <w:rPr>
          <w:lang w:eastAsia="en-AU"/>
        </w:rPr>
        <w:fldChar w:fldCharType="end"/>
      </w:r>
    </w:p>
    <w:bookmarkEnd w:id="6"/>
    <w:p w:rsidR="00B958B1" w:rsidRPr="001B6B42" w:rsidRDefault="00B958B1" w:rsidP="009F3B54">
      <w:pPr>
        <w:pStyle w:val="Heading1"/>
      </w:pPr>
      <w:r w:rsidRPr="00E07FC5">
        <w:br w:type="page"/>
      </w:r>
      <w:bookmarkStart w:id="7" w:name="_Toc355248214"/>
      <w:bookmarkStart w:id="8" w:name="_Toc355362266"/>
      <w:r w:rsidRPr="001B6B42">
        <w:lastRenderedPageBreak/>
        <w:t>Department of Education and Early Childhood Development</w:t>
      </w:r>
      <w:bookmarkEnd w:id="7"/>
      <w:bookmarkEnd w:id="8"/>
    </w:p>
    <w:p w:rsidR="00B958B1" w:rsidRDefault="00B958B1" w:rsidP="009F3B54">
      <w:pPr>
        <w:pStyle w:val="Heading3"/>
      </w:pPr>
      <w:bookmarkStart w:id="9" w:name="BP3Ch1DEECDOutputInitves"/>
      <w:r>
        <w:t xml:space="preserve">Output </w:t>
      </w:r>
      <w:r w:rsidRPr="000977EF">
        <w:t>initiatives</w:t>
      </w:r>
    </w:p>
    <w:p w:rsidR="00B958B1" w:rsidRDefault="00B958B1" w:rsidP="009F3B54">
      <w:pPr>
        <w:pStyle w:val="Tableheading"/>
      </w:pPr>
      <w:r w:rsidRPr="007348B6">
        <w:t>Table </w:t>
      </w:r>
      <w:r>
        <w:t>1.1</w:t>
      </w:r>
      <w:r w:rsidRPr="007348B6">
        <w:t>:</w:t>
      </w:r>
      <w:r w:rsidRPr="007348B6">
        <w:tab/>
        <w:t>Output initiatives – Education and Early Childhood Development</w:t>
      </w:r>
    </w:p>
    <w:p w:rsidR="00B958B1" w:rsidRPr="00897254" w:rsidRDefault="00B958B1" w:rsidP="009F3B5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614"/>
        <w:gridCol w:w="243"/>
        <w:gridCol w:w="589"/>
        <w:gridCol w:w="832"/>
        <w:gridCol w:w="833"/>
        <w:gridCol w:w="832"/>
        <w:gridCol w:w="833"/>
      </w:tblGrid>
      <w:tr w:rsidR="00B958B1" w:rsidRPr="00897254" w:rsidTr="009F3B54">
        <w:tc>
          <w:tcPr>
            <w:tcW w:w="3614" w:type="dxa"/>
            <w:tcBorders>
              <w:top w:val="single" w:sz="6" w:space="0" w:color="auto"/>
              <w:left w:val="single" w:sz="4" w:space="0" w:color="auto"/>
              <w:bottom w:val="single" w:sz="4" w:space="0" w:color="auto"/>
              <w:right w:val="nil"/>
            </w:tcBorders>
            <w:shd w:val="clear" w:color="auto" w:fill="000000"/>
          </w:tcPr>
          <w:p w:rsidR="00B958B1" w:rsidRPr="00897254" w:rsidRDefault="00B958B1" w:rsidP="009F3B54">
            <w:pPr>
              <w:pStyle w:val="Tabletext"/>
              <w:rPr>
                <w:rFonts w:eastAsiaTheme="minorEastAsia"/>
                <w:lang w:eastAsia="en-AU"/>
              </w:rPr>
            </w:pPr>
          </w:p>
        </w:tc>
        <w:tc>
          <w:tcPr>
            <w:tcW w:w="832" w:type="dxa"/>
            <w:gridSpan w:val="2"/>
            <w:tcBorders>
              <w:top w:val="single" w:sz="6" w:space="0" w:color="auto"/>
              <w:left w:val="nil"/>
              <w:bottom w:val="single" w:sz="4" w:space="0" w:color="auto"/>
              <w:right w:val="nil"/>
            </w:tcBorders>
            <w:shd w:val="clear" w:color="auto" w:fill="000000"/>
          </w:tcPr>
          <w:p w:rsidR="00B958B1" w:rsidRPr="00897254" w:rsidRDefault="00B958B1" w:rsidP="009F3B54">
            <w:pPr>
              <w:pStyle w:val="Tabletextheading"/>
              <w:rPr>
                <w:rFonts w:eastAsiaTheme="minorEastAsia"/>
                <w:lang w:eastAsia="en-AU"/>
              </w:rPr>
            </w:pPr>
            <w:r w:rsidRPr="00897254">
              <w:rPr>
                <w:rFonts w:eastAsiaTheme="minorEastAsia"/>
                <w:lang w:eastAsia="en-AU"/>
              </w:rPr>
              <w:t>2012</w:t>
            </w:r>
            <w:r w:rsidR="009F0F49">
              <w:rPr>
                <w:rFonts w:eastAsiaTheme="minorEastAsia"/>
                <w:lang w:eastAsia="en-AU"/>
              </w:rPr>
              <w:noBreakHyphen/>
            </w:r>
            <w:r w:rsidRPr="00897254">
              <w:rPr>
                <w:rFonts w:eastAsiaTheme="minorEastAsia"/>
                <w:lang w:eastAsia="en-AU"/>
              </w:rPr>
              <w:t>13</w:t>
            </w:r>
          </w:p>
        </w:tc>
        <w:tc>
          <w:tcPr>
            <w:tcW w:w="832" w:type="dxa"/>
            <w:tcBorders>
              <w:top w:val="single" w:sz="6" w:space="0" w:color="auto"/>
              <w:left w:val="nil"/>
              <w:bottom w:val="single" w:sz="4" w:space="0" w:color="auto"/>
              <w:right w:val="nil"/>
            </w:tcBorders>
            <w:shd w:val="clear" w:color="auto" w:fill="000000"/>
          </w:tcPr>
          <w:p w:rsidR="00B958B1" w:rsidRPr="00897254" w:rsidRDefault="00B958B1" w:rsidP="009F3B54">
            <w:pPr>
              <w:pStyle w:val="Tabletextheading"/>
              <w:rPr>
                <w:rFonts w:eastAsiaTheme="minorEastAsia"/>
                <w:lang w:eastAsia="en-AU"/>
              </w:rPr>
            </w:pPr>
            <w:r w:rsidRPr="00897254">
              <w:rPr>
                <w:rFonts w:eastAsiaTheme="minorEastAsia"/>
                <w:lang w:eastAsia="en-AU"/>
              </w:rPr>
              <w:t>2013</w:t>
            </w:r>
            <w:r w:rsidR="009F0F49">
              <w:rPr>
                <w:rFonts w:eastAsiaTheme="minorEastAsia"/>
                <w:lang w:eastAsia="en-AU"/>
              </w:rPr>
              <w:noBreakHyphen/>
            </w:r>
            <w:r w:rsidRPr="00897254">
              <w:rPr>
                <w:rFonts w:eastAsiaTheme="minorEastAsia"/>
                <w:lang w:eastAsia="en-AU"/>
              </w:rPr>
              <w:t>14</w:t>
            </w:r>
          </w:p>
        </w:tc>
        <w:tc>
          <w:tcPr>
            <w:tcW w:w="833" w:type="dxa"/>
            <w:tcBorders>
              <w:top w:val="single" w:sz="6" w:space="0" w:color="auto"/>
              <w:left w:val="nil"/>
              <w:bottom w:val="single" w:sz="4" w:space="0" w:color="auto"/>
              <w:right w:val="nil"/>
            </w:tcBorders>
            <w:shd w:val="clear" w:color="auto" w:fill="000000"/>
          </w:tcPr>
          <w:p w:rsidR="00B958B1" w:rsidRPr="00897254" w:rsidRDefault="00B958B1" w:rsidP="009F3B54">
            <w:pPr>
              <w:pStyle w:val="Tabletextheading"/>
              <w:rPr>
                <w:rFonts w:eastAsiaTheme="minorEastAsia"/>
                <w:lang w:eastAsia="en-AU"/>
              </w:rPr>
            </w:pPr>
            <w:r w:rsidRPr="00897254">
              <w:rPr>
                <w:rFonts w:eastAsiaTheme="minorEastAsia"/>
                <w:lang w:eastAsia="en-AU"/>
              </w:rPr>
              <w:t>2014</w:t>
            </w:r>
            <w:r w:rsidR="009F0F49">
              <w:rPr>
                <w:rFonts w:eastAsiaTheme="minorEastAsia"/>
                <w:lang w:eastAsia="en-AU"/>
              </w:rPr>
              <w:noBreakHyphen/>
            </w:r>
            <w:r w:rsidRPr="00897254">
              <w:rPr>
                <w:rFonts w:eastAsiaTheme="minorEastAsia"/>
                <w:lang w:eastAsia="en-AU"/>
              </w:rPr>
              <w:t>15</w:t>
            </w:r>
          </w:p>
        </w:tc>
        <w:tc>
          <w:tcPr>
            <w:tcW w:w="832" w:type="dxa"/>
            <w:tcBorders>
              <w:top w:val="single" w:sz="6" w:space="0" w:color="auto"/>
              <w:left w:val="nil"/>
              <w:bottom w:val="single" w:sz="4" w:space="0" w:color="auto"/>
              <w:right w:val="nil"/>
            </w:tcBorders>
            <w:shd w:val="clear" w:color="auto" w:fill="000000"/>
          </w:tcPr>
          <w:p w:rsidR="00B958B1" w:rsidRPr="00897254" w:rsidRDefault="00B958B1" w:rsidP="009F3B54">
            <w:pPr>
              <w:pStyle w:val="Tabletextheading"/>
              <w:rPr>
                <w:rFonts w:eastAsiaTheme="minorEastAsia"/>
                <w:lang w:eastAsia="en-AU"/>
              </w:rPr>
            </w:pPr>
            <w:r w:rsidRPr="00897254">
              <w:rPr>
                <w:rFonts w:eastAsiaTheme="minorEastAsia"/>
                <w:lang w:eastAsia="en-AU"/>
              </w:rPr>
              <w:t>2015</w:t>
            </w:r>
            <w:r w:rsidR="009F0F49">
              <w:rPr>
                <w:rFonts w:eastAsiaTheme="minorEastAsia"/>
                <w:lang w:eastAsia="en-AU"/>
              </w:rPr>
              <w:noBreakHyphen/>
            </w:r>
            <w:r w:rsidRPr="00897254">
              <w:rPr>
                <w:rFonts w:eastAsiaTheme="minorEastAsia"/>
                <w:lang w:eastAsia="en-AU"/>
              </w:rPr>
              <w:t>16</w:t>
            </w:r>
          </w:p>
        </w:tc>
        <w:tc>
          <w:tcPr>
            <w:tcW w:w="833" w:type="dxa"/>
            <w:tcBorders>
              <w:top w:val="single" w:sz="6" w:space="0" w:color="auto"/>
              <w:left w:val="nil"/>
              <w:bottom w:val="single" w:sz="4" w:space="0" w:color="auto"/>
              <w:right w:val="single" w:sz="4" w:space="0" w:color="auto"/>
            </w:tcBorders>
            <w:shd w:val="clear" w:color="auto" w:fill="000000"/>
          </w:tcPr>
          <w:p w:rsidR="00B958B1" w:rsidRPr="00897254" w:rsidRDefault="00B958B1" w:rsidP="009F3B54">
            <w:pPr>
              <w:pStyle w:val="Tabletextheading"/>
              <w:rPr>
                <w:rFonts w:eastAsiaTheme="minorEastAsia"/>
                <w:lang w:eastAsia="en-AU"/>
              </w:rPr>
            </w:pPr>
            <w:r w:rsidRPr="00897254">
              <w:rPr>
                <w:rFonts w:eastAsiaTheme="minorEastAsia"/>
                <w:lang w:eastAsia="en-AU"/>
              </w:rPr>
              <w:t>2016</w:t>
            </w:r>
            <w:r w:rsidR="009F0F49">
              <w:rPr>
                <w:rFonts w:eastAsiaTheme="minorEastAsia"/>
                <w:lang w:eastAsia="en-AU"/>
              </w:rPr>
              <w:noBreakHyphen/>
            </w:r>
            <w:r w:rsidRPr="00897254">
              <w:rPr>
                <w:rFonts w:eastAsiaTheme="minorEastAsia"/>
                <w:lang w:eastAsia="en-AU"/>
              </w:rPr>
              <w:t>17</w:t>
            </w:r>
          </w:p>
        </w:tc>
      </w:tr>
      <w:tr w:rsidR="00B958B1" w:rsidRPr="00897254" w:rsidTr="009F3B54">
        <w:tc>
          <w:tcPr>
            <w:tcW w:w="3614" w:type="dxa"/>
            <w:tcBorders>
              <w:top w:val="single" w:sz="4" w:space="0" w:color="auto"/>
              <w:left w:val="nil"/>
              <w:bottom w:val="nil"/>
              <w:right w:val="nil"/>
            </w:tcBorders>
          </w:tcPr>
          <w:p w:rsidR="00B958B1" w:rsidRPr="00897254" w:rsidRDefault="00B958B1" w:rsidP="009F3B54">
            <w:pPr>
              <w:pStyle w:val="Tabletext"/>
              <w:rPr>
                <w:rFonts w:eastAsiaTheme="minorEastAsia"/>
                <w:b/>
                <w:bCs/>
                <w:lang w:eastAsia="en-AU"/>
              </w:rPr>
            </w:pPr>
            <w:r w:rsidRPr="00897254">
              <w:rPr>
                <w:rFonts w:eastAsiaTheme="minorEastAsia"/>
                <w:b/>
                <w:bCs/>
                <w:lang w:eastAsia="en-AU"/>
              </w:rPr>
              <w:t>Early Childhood Development</w:t>
            </w:r>
          </w:p>
        </w:tc>
        <w:tc>
          <w:tcPr>
            <w:tcW w:w="832" w:type="dxa"/>
            <w:gridSpan w:val="2"/>
            <w:tcBorders>
              <w:top w:val="single" w:sz="4" w:space="0" w:color="auto"/>
              <w:left w:val="nil"/>
              <w:bottom w:val="nil"/>
              <w:right w:val="nil"/>
            </w:tcBorders>
          </w:tcPr>
          <w:p w:rsidR="00B958B1" w:rsidRPr="00897254" w:rsidRDefault="00B958B1" w:rsidP="009F3B54">
            <w:pPr>
              <w:pStyle w:val="TableofFigures"/>
              <w:rPr>
                <w:rFonts w:eastAsiaTheme="minorEastAsia"/>
                <w:lang w:eastAsia="en-AU"/>
              </w:rPr>
            </w:pPr>
          </w:p>
        </w:tc>
        <w:tc>
          <w:tcPr>
            <w:tcW w:w="832" w:type="dxa"/>
            <w:tcBorders>
              <w:top w:val="single" w:sz="4" w:space="0" w:color="auto"/>
              <w:left w:val="nil"/>
              <w:bottom w:val="nil"/>
              <w:right w:val="nil"/>
            </w:tcBorders>
          </w:tcPr>
          <w:p w:rsidR="00B958B1" w:rsidRPr="00897254" w:rsidRDefault="00B958B1" w:rsidP="009F3B54">
            <w:pPr>
              <w:pStyle w:val="TableofFigures"/>
              <w:rPr>
                <w:rFonts w:eastAsiaTheme="minorEastAsia"/>
                <w:lang w:eastAsia="en-AU"/>
              </w:rPr>
            </w:pPr>
          </w:p>
        </w:tc>
        <w:tc>
          <w:tcPr>
            <w:tcW w:w="833" w:type="dxa"/>
            <w:tcBorders>
              <w:top w:val="single" w:sz="4" w:space="0" w:color="auto"/>
              <w:left w:val="nil"/>
              <w:bottom w:val="nil"/>
              <w:right w:val="nil"/>
            </w:tcBorders>
          </w:tcPr>
          <w:p w:rsidR="00B958B1" w:rsidRPr="00897254" w:rsidRDefault="00B958B1" w:rsidP="009F3B54">
            <w:pPr>
              <w:pStyle w:val="TableofFigures"/>
              <w:rPr>
                <w:rFonts w:eastAsiaTheme="minorEastAsia"/>
                <w:lang w:eastAsia="en-AU"/>
              </w:rPr>
            </w:pPr>
          </w:p>
        </w:tc>
        <w:tc>
          <w:tcPr>
            <w:tcW w:w="832" w:type="dxa"/>
            <w:tcBorders>
              <w:top w:val="single" w:sz="4" w:space="0" w:color="auto"/>
              <w:left w:val="nil"/>
              <w:bottom w:val="nil"/>
              <w:right w:val="nil"/>
            </w:tcBorders>
          </w:tcPr>
          <w:p w:rsidR="00B958B1" w:rsidRPr="00897254" w:rsidRDefault="00B958B1" w:rsidP="009F3B54">
            <w:pPr>
              <w:pStyle w:val="TableofFigures"/>
              <w:rPr>
                <w:rFonts w:eastAsiaTheme="minorEastAsia"/>
                <w:lang w:eastAsia="en-AU"/>
              </w:rPr>
            </w:pPr>
          </w:p>
        </w:tc>
        <w:tc>
          <w:tcPr>
            <w:tcW w:w="833" w:type="dxa"/>
            <w:tcBorders>
              <w:top w:val="single" w:sz="4" w:space="0" w:color="auto"/>
              <w:left w:val="nil"/>
              <w:bottom w:val="nil"/>
              <w:right w:val="nil"/>
            </w:tcBorders>
          </w:tcPr>
          <w:p w:rsidR="00B958B1" w:rsidRPr="00897254" w:rsidRDefault="00B958B1" w:rsidP="009F3B54">
            <w:pPr>
              <w:pStyle w:val="TableofFigures"/>
              <w:rPr>
                <w:rFonts w:eastAsiaTheme="minorEastAsia"/>
                <w:lang w:eastAsia="en-AU"/>
              </w:rPr>
            </w:pPr>
          </w:p>
        </w:tc>
      </w:tr>
      <w:tr w:rsidR="00B958B1" w:rsidRPr="00897254" w:rsidTr="009F3B54">
        <w:tc>
          <w:tcPr>
            <w:tcW w:w="3614" w:type="dxa"/>
            <w:tcBorders>
              <w:top w:val="nil"/>
              <w:left w:val="nil"/>
              <w:bottom w:val="nil"/>
              <w:right w:val="nil"/>
            </w:tcBorders>
          </w:tcPr>
          <w:p w:rsidR="00B958B1" w:rsidRPr="00897254" w:rsidRDefault="00B958B1" w:rsidP="009F3B54">
            <w:pPr>
              <w:pStyle w:val="Tabletext"/>
              <w:rPr>
                <w:rFonts w:eastAsiaTheme="minorEastAsia"/>
                <w:lang w:eastAsia="en-AU"/>
              </w:rPr>
            </w:pPr>
            <w:r w:rsidRPr="00897254">
              <w:rPr>
                <w:rFonts w:eastAsiaTheme="minorEastAsia"/>
                <w:lang w:eastAsia="en-AU"/>
              </w:rPr>
              <w:t>Access to quality early childhood education and care</w:t>
            </w:r>
          </w:p>
        </w:tc>
        <w:tc>
          <w:tcPr>
            <w:tcW w:w="832" w:type="dxa"/>
            <w:gridSpan w:val="2"/>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w:t>
            </w:r>
          </w:p>
        </w:tc>
        <w:tc>
          <w:tcPr>
            <w:tcW w:w="832"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1.1</w:t>
            </w:r>
          </w:p>
        </w:tc>
        <w:tc>
          <w:tcPr>
            <w:tcW w:w="833"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1.1</w:t>
            </w:r>
          </w:p>
        </w:tc>
        <w:tc>
          <w:tcPr>
            <w:tcW w:w="832"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1.1</w:t>
            </w:r>
          </w:p>
        </w:tc>
        <w:tc>
          <w:tcPr>
            <w:tcW w:w="833"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1.1</w:t>
            </w:r>
          </w:p>
        </w:tc>
      </w:tr>
      <w:tr w:rsidR="00B958B1" w:rsidRPr="00897254" w:rsidTr="009F3B54">
        <w:tc>
          <w:tcPr>
            <w:tcW w:w="3614" w:type="dxa"/>
            <w:tcBorders>
              <w:top w:val="nil"/>
              <w:left w:val="nil"/>
              <w:bottom w:val="nil"/>
              <w:right w:val="nil"/>
            </w:tcBorders>
          </w:tcPr>
          <w:p w:rsidR="00B958B1" w:rsidRPr="00897254" w:rsidRDefault="00B958B1" w:rsidP="009F3B54">
            <w:pPr>
              <w:pStyle w:val="Tabletext"/>
              <w:rPr>
                <w:rFonts w:eastAsiaTheme="minorEastAsia"/>
                <w:lang w:eastAsia="en-AU"/>
              </w:rPr>
            </w:pPr>
            <w:r w:rsidRPr="00897254">
              <w:rPr>
                <w:rFonts w:eastAsiaTheme="minorEastAsia"/>
                <w:lang w:eastAsia="en-AU"/>
              </w:rPr>
              <w:t>Children's facilities capital program</w:t>
            </w:r>
          </w:p>
        </w:tc>
        <w:tc>
          <w:tcPr>
            <w:tcW w:w="832" w:type="dxa"/>
            <w:gridSpan w:val="2"/>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w:t>
            </w:r>
          </w:p>
        </w:tc>
        <w:tc>
          <w:tcPr>
            <w:tcW w:w="832"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7.0</w:t>
            </w:r>
          </w:p>
        </w:tc>
        <w:tc>
          <w:tcPr>
            <w:tcW w:w="833"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w:t>
            </w:r>
          </w:p>
        </w:tc>
        <w:tc>
          <w:tcPr>
            <w:tcW w:w="832"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w:t>
            </w:r>
          </w:p>
        </w:tc>
        <w:tc>
          <w:tcPr>
            <w:tcW w:w="833"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w:t>
            </w:r>
          </w:p>
        </w:tc>
      </w:tr>
      <w:tr w:rsidR="00B958B1" w:rsidRPr="00897254" w:rsidTr="009F3B54">
        <w:tc>
          <w:tcPr>
            <w:tcW w:w="3614" w:type="dxa"/>
            <w:tcBorders>
              <w:top w:val="nil"/>
              <w:left w:val="nil"/>
              <w:bottom w:val="nil"/>
              <w:right w:val="nil"/>
            </w:tcBorders>
          </w:tcPr>
          <w:p w:rsidR="00B958B1" w:rsidRPr="00897254" w:rsidRDefault="00B958B1" w:rsidP="009F3B54">
            <w:pPr>
              <w:pStyle w:val="Tabletext"/>
              <w:rPr>
                <w:rFonts w:eastAsiaTheme="minorEastAsia"/>
                <w:lang w:eastAsia="en-AU"/>
              </w:rPr>
            </w:pPr>
            <w:r w:rsidRPr="00897254">
              <w:rPr>
                <w:rFonts w:eastAsiaTheme="minorEastAsia"/>
                <w:lang w:eastAsia="en-AU"/>
              </w:rPr>
              <w:t>Strong foundations</w:t>
            </w:r>
            <w:r>
              <w:rPr>
                <w:rFonts w:eastAsiaTheme="minorEastAsia"/>
                <w:lang w:eastAsia="en-AU"/>
              </w:rPr>
              <w:t xml:space="preserve"> – </w:t>
            </w:r>
            <w:r w:rsidRPr="00897254">
              <w:rPr>
                <w:rFonts w:eastAsiaTheme="minorEastAsia"/>
                <w:lang w:eastAsia="en-AU"/>
              </w:rPr>
              <w:t>better and earlier support for children with a disability or developmental delay</w:t>
            </w:r>
          </w:p>
        </w:tc>
        <w:tc>
          <w:tcPr>
            <w:tcW w:w="832" w:type="dxa"/>
            <w:gridSpan w:val="2"/>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3.7</w:t>
            </w:r>
          </w:p>
        </w:tc>
        <w:tc>
          <w:tcPr>
            <w:tcW w:w="832"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7.5</w:t>
            </w:r>
          </w:p>
        </w:tc>
        <w:tc>
          <w:tcPr>
            <w:tcW w:w="833"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7.6</w:t>
            </w:r>
          </w:p>
        </w:tc>
        <w:tc>
          <w:tcPr>
            <w:tcW w:w="832"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7.7</w:t>
            </w:r>
          </w:p>
        </w:tc>
        <w:tc>
          <w:tcPr>
            <w:tcW w:w="833"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7.8</w:t>
            </w:r>
          </w:p>
        </w:tc>
      </w:tr>
      <w:tr w:rsidR="00B958B1" w:rsidRPr="00897254" w:rsidTr="009F3B54">
        <w:tc>
          <w:tcPr>
            <w:tcW w:w="3614" w:type="dxa"/>
            <w:tcBorders>
              <w:top w:val="nil"/>
              <w:left w:val="nil"/>
              <w:bottom w:val="nil"/>
              <w:right w:val="nil"/>
            </w:tcBorders>
          </w:tcPr>
          <w:p w:rsidR="00B958B1" w:rsidRPr="00897254" w:rsidRDefault="00B958B1" w:rsidP="009F3B54">
            <w:pPr>
              <w:pStyle w:val="Tabletext"/>
              <w:rPr>
                <w:rFonts w:eastAsiaTheme="minorEastAsia"/>
                <w:b/>
                <w:bCs/>
                <w:lang w:eastAsia="en-AU"/>
              </w:rPr>
            </w:pPr>
            <w:r w:rsidRPr="00897254">
              <w:rPr>
                <w:rFonts w:eastAsiaTheme="minorEastAsia"/>
                <w:b/>
                <w:bCs/>
                <w:lang w:eastAsia="en-AU"/>
              </w:rPr>
              <w:t>Higher Education and Skills</w:t>
            </w:r>
          </w:p>
        </w:tc>
        <w:tc>
          <w:tcPr>
            <w:tcW w:w="832" w:type="dxa"/>
            <w:gridSpan w:val="2"/>
            <w:tcBorders>
              <w:top w:val="nil"/>
              <w:left w:val="nil"/>
              <w:bottom w:val="nil"/>
              <w:right w:val="nil"/>
            </w:tcBorders>
          </w:tcPr>
          <w:p w:rsidR="00B958B1" w:rsidRPr="00897254" w:rsidRDefault="00B958B1" w:rsidP="009F3B54">
            <w:pPr>
              <w:pStyle w:val="TableofFigures"/>
              <w:rPr>
                <w:rFonts w:eastAsiaTheme="minorEastAsia"/>
                <w:lang w:eastAsia="en-AU"/>
              </w:rPr>
            </w:pPr>
          </w:p>
        </w:tc>
        <w:tc>
          <w:tcPr>
            <w:tcW w:w="832" w:type="dxa"/>
            <w:tcBorders>
              <w:top w:val="nil"/>
              <w:left w:val="nil"/>
              <w:bottom w:val="nil"/>
              <w:right w:val="nil"/>
            </w:tcBorders>
          </w:tcPr>
          <w:p w:rsidR="00B958B1" w:rsidRPr="00897254" w:rsidRDefault="00B958B1" w:rsidP="009F3B54">
            <w:pPr>
              <w:pStyle w:val="TableofFigures"/>
              <w:rPr>
                <w:rFonts w:eastAsiaTheme="minorEastAsia"/>
                <w:lang w:eastAsia="en-AU"/>
              </w:rPr>
            </w:pPr>
          </w:p>
        </w:tc>
        <w:tc>
          <w:tcPr>
            <w:tcW w:w="833" w:type="dxa"/>
            <w:tcBorders>
              <w:top w:val="nil"/>
              <w:left w:val="nil"/>
              <w:bottom w:val="nil"/>
              <w:right w:val="nil"/>
            </w:tcBorders>
          </w:tcPr>
          <w:p w:rsidR="00B958B1" w:rsidRPr="00897254" w:rsidRDefault="00B958B1" w:rsidP="009F3B54">
            <w:pPr>
              <w:pStyle w:val="TableofFigures"/>
              <w:rPr>
                <w:rFonts w:eastAsiaTheme="minorEastAsia"/>
                <w:lang w:eastAsia="en-AU"/>
              </w:rPr>
            </w:pPr>
          </w:p>
        </w:tc>
        <w:tc>
          <w:tcPr>
            <w:tcW w:w="832" w:type="dxa"/>
            <w:tcBorders>
              <w:top w:val="nil"/>
              <w:left w:val="nil"/>
              <w:bottom w:val="nil"/>
              <w:right w:val="nil"/>
            </w:tcBorders>
          </w:tcPr>
          <w:p w:rsidR="00B958B1" w:rsidRPr="00897254" w:rsidRDefault="00B958B1" w:rsidP="009F3B54">
            <w:pPr>
              <w:pStyle w:val="TableofFigures"/>
              <w:rPr>
                <w:rFonts w:eastAsiaTheme="minorEastAsia"/>
                <w:lang w:eastAsia="en-AU"/>
              </w:rPr>
            </w:pPr>
          </w:p>
        </w:tc>
        <w:tc>
          <w:tcPr>
            <w:tcW w:w="833" w:type="dxa"/>
            <w:tcBorders>
              <w:top w:val="nil"/>
              <w:left w:val="nil"/>
              <w:bottom w:val="nil"/>
              <w:right w:val="nil"/>
            </w:tcBorders>
          </w:tcPr>
          <w:p w:rsidR="00B958B1" w:rsidRPr="00897254" w:rsidRDefault="00B958B1" w:rsidP="009F3B54">
            <w:pPr>
              <w:pStyle w:val="TableofFigures"/>
              <w:rPr>
                <w:rFonts w:eastAsiaTheme="minorEastAsia"/>
                <w:lang w:eastAsia="en-AU"/>
              </w:rPr>
            </w:pPr>
          </w:p>
        </w:tc>
      </w:tr>
      <w:tr w:rsidR="00B958B1" w:rsidRPr="00897254" w:rsidTr="009F3B54">
        <w:tc>
          <w:tcPr>
            <w:tcW w:w="3614" w:type="dxa"/>
            <w:tcBorders>
              <w:top w:val="nil"/>
              <w:left w:val="nil"/>
              <w:bottom w:val="nil"/>
              <w:right w:val="nil"/>
            </w:tcBorders>
            <w:shd w:val="solid" w:color="FFFFFF" w:fill="auto"/>
          </w:tcPr>
          <w:p w:rsidR="00B958B1" w:rsidRPr="00897254" w:rsidRDefault="00B958B1" w:rsidP="009F3B54">
            <w:pPr>
              <w:pStyle w:val="Tabletext"/>
              <w:rPr>
                <w:rFonts w:eastAsiaTheme="minorEastAsia"/>
                <w:vertAlign w:val="superscript"/>
                <w:lang w:eastAsia="en-AU"/>
              </w:rPr>
            </w:pPr>
            <w:r w:rsidRPr="00897254">
              <w:rPr>
                <w:rFonts w:eastAsiaTheme="minorEastAsia"/>
                <w:lang w:eastAsia="en-AU"/>
              </w:rPr>
              <w:t>Additional support for TAFE</w:t>
            </w:r>
            <w:r w:rsidRPr="00897254">
              <w:rPr>
                <w:rFonts w:eastAsiaTheme="minorEastAsia"/>
                <w:vertAlign w:val="superscript"/>
                <w:lang w:eastAsia="en-AU"/>
              </w:rPr>
              <w:t xml:space="preserve"> (a)</w:t>
            </w:r>
          </w:p>
        </w:tc>
        <w:tc>
          <w:tcPr>
            <w:tcW w:w="832" w:type="dxa"/>
            <w:gridSpan w:val="2"/>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r w:rsidRPr="00897254">
              <w:rPr>
                <w:rFonts w:eastAsiaTheme="minorEastAsia"/>
                <w:lang w:eastAsia="en-AU"/>
              </w:rPr>
              <w:t>..</w:t>
            </w:r>
          </w:p>
        </w:tc>
        <w:tc>
          <w:tcPr>
            <w:tcW w:w="832" w:type="dxa"/>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r w:rsidRPr="00897254">
              <w:rPr>
                <w:rFonts w:eastAsiaTheme="minorEastAsia"/>
                <w:lang w:eastAsia="en-AU"/>
              </w:rPr>
              <w:t>0.8</w:t>
            </w:r>
          </w:p>
        </w:tc>
        <w:tc>
          <w:tcPr>
            <w:tcW w:w="833" w:type="dxa"/>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r w:rsidRPr="00897254">
              <w:rPr>
                <w:rFonts w:eastAsiaTheme="minorEastAsia"/>
                <w:lang w:eastAsia="en-AU"/>
              </w:rPr>
              <w:t>19.7</w:t>
            </w:r>
          </w:p>
        </w:tc>
        <w:tc>
          <w:tcPr>
            <w:tcW w:w="832" w:type="dxa"/>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r w:rsidRPr="00897254">
              <w:rPr>
                <w:rFonts w:eastAsiaTheme="minorEastAsia"/>
                <w:lang w:eastAsia="en-AU"/>
              </w:rPr>
              <w:t>7.7</w:t>
            </w:r>
          </w:p>
        </w:tc>
        <w:tc>
          <w:tcPr>
            <w:tcW w:w="833" w:type="dxa"/>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r w:rsidRPr="00897254">
              <w:rPr>
                <w:rFonts w:eastAsiaTheme="minorEastAsia"/>
                <w:lang w:eastAsia="en-AU"/>
              </w:rPr>
              <w:t>0.2</w:t>
            </w:r>
          </w:p>
        </w:tc>
      </w:tr>
      <w:tr w:rsidR="00B958B1" w:rsidRPr="00897254" w:rsidTr="009F3B54">
        <w:tc>
          <w:tcPr>
            <w:tcW w:w="3614" w:type="dxa"/>
            <w:tcBorders>
              <w:top w:val="nil"/>
              <w:left w:val="nil"/>
              <w:bottom w:val="nil"/>
              <w:right w:val="nil"/>
            </w:tcBorders>
          </w:tcPr>
          <w:p w:rsidR="00B958B1" w:rsidRPr="00897254" w:rsidRDefault="00B958B1" w:rsidP="009F3B54">
            <w:pPr>
              <w:pStyle w:val="Tabletext"/>
              <w:rPr>
                <w:rFonts w:eastAsiaTheme="minorEastAsia"/>
                <w:b/>
                <w:bCs/>
                <w:lang w:eastAsia="en-AU"/>
              </w:rPr>
            </w:pPr>
            <w:r w:rsidRPr="00897254">
              <w:rPr>
                <w:rFonts w:eastAsiaTheme="minorEastAsia"/>
                <w:b/>
                <w:bCs/>
                <w:lang w:eastAsia="en-AU"/>
              </w:rPr>
              <w:t>School Education</w:t>
            </w:r>
          </w:p>
        </w:tc>
        <w:tc>
          <w:tcPr>
            <w:tcW w:w="832" w:type="dxa"/>
            <w:gridSpan w:val="2"/>
            <w:tcBorders>
              <w:top w:val="nil"/>
              <w:left w:val="nil"/>
              <w:bottom w:val="nil"/>
              <w:right w:val="nil"/>
            </w:tcBorders>
          </w:tcPr>
          <w:p w:rsidR="00B958B1" w:rsidRPr="00897254" w:rsidRDefault="00B958B1" w:rsidP="009F3B54">
            <w:pPr>
              <w:pStyle w:val="TableofFigures"/>
              <w:rPr>
                <w:rFonts w:eastAsiaTheme="minorEastAsia"/>
                <w:lang w:eastAsia="en-AU"/>
              </w:rPr>
            </w:pPr>
          </w:p>
        </w:tc>
        <w:tc>
          <w:tcPr>
            <w:tcW w:w="832" w:type="dxa"/>
            <w:tcBorders>
              <w:top w:val="nil"/>
              <w:left w:val="nil"/>
              <w:bottom w:val="nil"/>
              <w:right w:val="nil"/>
            </w:tcBorders>
          </w:tcPr>
          <w:p w:rsidR="00B958B1" w:rsidRPr="00897254" w:rsidRDefault="00B958B1" w:rsidP="009F3B54">
            <w:pPr>
              <w:pStyle w:val="TableofFigures"/>
              <w:rPr>
                <w:rFonts w:eastAsiaTheme="minorEastAsia"/>
                <w:lang w:eastAsia="en-AU"/>
              </w:rPr>
            </w:pPr>
          </w:p>
        </w:tc>
        <w:tc>
          <w:tcPr>
            <w:tcW w:w="833" w:type="dxa"/>
            <w:tcBorders>
              <w:top w:val="nil"/>
              <w:left w:val="nil"/>
              <w:bottom w:val="nil"/>
              <w:right w:val="nil"/>
            </w:tcBorders>
          </w:tcPr>
          <w:p w:rsidR="00B958B1" w:rsidRPr="00897254" w:rsidRDefault="00B958B1" w:rsidP="009F3B54">
            <w:pPr>
              <w:pStyle w:val="TableofFigures"/>
              <w:rPr>
                <w:rFonts w:eastAsiaTheme="minorEastAsia"/>
                <w:lang w:eastAsia="en-AU"/>
              </w:rPr>
            </w:pPr>
          </w:p>
        </w:tc>
        <w:tc>
          <w:tcPr>
            <w:tcW w:w="832" w:type="dxa"/>
            <w:tcBorders>
              <w:top w:val="nil"/>
              <w:left w:val="nil"/>
              <w:bottom w:val="nil"/>
              <w:right w:val="nil"/>
            </w:tcBorders>
          </w:tcPr>
          <w:p w:rsidR="00B958B1" w:rsidRPr="00897254" w:rsidRDefault="00B958B1" w:rsidP="009F3B54">
            <w:pPr>
              <w:pStyle w:val="TableofFigures"/>
              <w:rPr>
                <w:rFonts w:eastAsiaTheme="minorEastAsia"/>
                <w:lang w:eastAsia="en-AU"/>
              </w:rPr>
            </w:pPr>
          </w:p>
        </w:tc>
        <w:tc>
          <w:tcPr>
            <w:tcW w:w="833" w:type="dxa"/>
            <w:tcBorders>
              <w:top w:val="nil"/>
              <w:left w:val="nil"/>
              <w:bottom w:val="nil"/>
              <w:right w:val="nil"/>
            </w:tcBorders>
          </w:tcPr>
          <w:p w:rsidR="00B958B1" w:rsidRPr="00897254" w:rsidRDefault="00B958B1" w:rsidP="009F3B54">
            <w:pPr>
              <w:pStyle w:val="TableofFigures"/>
              <w:rPr>
                <w:rFonts w:eastAsiaTheme="minorEastAsia"/>
                <w:lang w:eastAsia="en-AU"/>
              </w:rPr>
            </w:pPr>
          </w:p>
        </w:tc>
      </w:tr>
      <w:tr w:rsidR="00B958B1" w:rsidRPr="00897254" w:rsidTr="009F3B54">
        <w:tc>
          <w:tcPr>
            <w:tcW w:w="3857" w:type="dxa"/>
            <w:gridSpan w:val="2"/>
            <w:tcBorders>
              <w:top w:val="nil"/>
              <w:left w:val="nil"/>
              <w:bottom w:val="nil"/>
              <w:right w:val="nil"/>
            </w:tcBorders>
          </w:tcPr>
          <w:p w:rsidR="00B958B1" w:rsidRPr="00897254" w:rsidRDefault="00B958B1" w:rsidP="009F3B54">
            <w:pPr>
              <w:pStyle w:val="Tabletext"/>
              <w:rPr>
                <w:rFonts w:eastAsiaTheme="minorEastAsia"/>
                <w:lang w:eastAsia="en-AU"/>
              </w:rPr>
            </w:pPr>
            <w:r w:rsidRPr="00897254">
              <w:rPr>
                <w:rFonts w:eastAsiaTheme="minorEastAsia"/>
                <w:lang w:eastAsia="en-AU"/>
              </w:rPr>
              <w:t>China immersion program for Year 9 students</w:t>
            </w:r>
          </w:p>
        </w:tc>
        <w:tc>
          <w:tcPr>
            <w:tcW w:w="589"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w:t>
            </w:r>
          </w:p>
        </w:tc>
        <w:tc>
          <w:tcPr>
            <w:tcW w:w="832"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2.6</w:t>
            </w:r>
          </w:p>
        </w:tc>
        <w:tc>
          <w:tcPr>
            <w:tcW w:w="833"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2.7</w:t>
            </w:r>
          </w:p>
        </w:tc>
        <w:tc>
          <w:tcPr>
            <w:tcW w:w="832"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3.8</w:t>
            </w:r>
          </w:p>
        </w:tc>
        <w:tc>
          <w:tcPr>
            <w:tcW w:w="833"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3.9</w:t>
            </w:r>
          </w:p>
        </w:tc>
      </w:tr>
      <w:tr w:rsidR="00B958B1" w:rsidRPr="00897254" w:rsidTr="009F3B54">
        <w:tc>
          <w:tcPr>
            <w:tcW w:w="3614" w:type="dxa"/>
            <w:tcBorders>
              <w:top w:val="nil"/>
              <w:left w:val="nil"/>
              <w:bottom w:val="nil"/>
              <w:right w:val="nil"/>
            </w:tcBorders>
          </w:tcPr>
          <w:p w:rsidR="00B958B1" w:rsidRPr="00897254" w:rsidRDefault="00B958B1" w:rsidP="009F3B54">
            <w:pPr>
              <w:pStyle w:val="Tabletext"/>
              <w:rPr>
                <w:rFonts w:eastAsiaTheme="minorEastAsia"/>
                <w:lang w:eastAsia="en-AU"/>
              </w:rPr>
            </w:pPr>
            <w:r w:rsidRPr="00897254">
              <w:rPr>
                <w:rFonts w:eastAsiaTheme="minorEastAsia"/>
                <w:lang w:eastAsia="en-AU"/>
              </w:rPr>
              <w:t>Lifting school performance</w:t>
            </w:r>
          </w:p>
        </w:tc>
        <w:tc>
          <w:tcPr>
            <w:tcW w:w="832" w:type="dxa"/>
            <w:gridSpan w:val="2"/>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w:t>
            </w:r>
          </w:p>
        </w:tc>
        <w:tc>
          <w:tcPr>
            <w:tcW w:w="832"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3.3</w:t>
            </w:r>
          </w:p>
        </w:tc>
        <w:tc>
          <w:tcPr>
            <w:tcW w:w="833"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12.4</w:t>
            </w:r>
          </w:p>
        </w:tc>
        <w:tc>
          <w:tcPr>
            <w:tcW w:w="832"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w:t>
            </w:r>
          </w:p>
        </w:tc>
        <w:tc>
          <w:tcPr>
            <w:tcW w:w="833"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w:t>
            </w:r>
          </w:p>
        </w:tc>
      </w:tr>
      <w:tr w:rsidR="00B958B1" w:rsidRPr="00897254" w:rsidTr="009F3B54">
        <w:tc>
          <w:tcPr>
            <w:tcW w:w="3614" w:type="dxa"/>
            <w:tcBorders>
              <w:top w:val="nil"/>
              <w:left w:val="nil"/>
              <w:bottom w:val="nil"/>
              <w:right w:val="nil"/>
            </w:tcBorders>
          </w:tcPr>
          <w:p w:rsidR="00B958B1" w:rsidRPr="00897254" w:rsidRDefault="00B958B1" w:rsidP="009F3B54">
            <w:pPr>
              <w:pStyle w:val="Tabletext"/>
              <w:rPr>
                <w:rFonts w:eastAsiaTheme="minorEastAsia"/>
                <w:lang w:eastAsia="en-AU"/>
              </w:rPr>
            </w:pPr>
            <w:r w:rsidRPr="00897254">
              <w:rPr>
                <w:rFonts w:eastAsiaTheme="minorEastAsia"/>
                <w:lang w:eastAsia="en-AU"/>
              </w:rPr>
              <w:t>National Partnerships reward funding for non</w:t>
            </w:r>
            <w:r w:rsidR="009F0F49">
              <w:rPr>
                <w:rFonts w:eastAsiaTheme="minorEastAsia"/>
                <w:lang w:eastAsia="en-AU"/>
              </w:rPr>
              <w:noBreakHyphen/>
            </w:r>
            <w:r w:rsidRPr="00897254">
              <w:rPr>
                <w:rFonts w:eastAsiaTheme="minorEastAsia"/>
                <w:lang w:eastAsia="en-AU"/>
              </w:rPr>
              <w:t>government schools</w:t>
            </w:r>
          </w:p>
        </w:tc>
        <w:tc>
          <w:tcPr>
            <w:tcW w:w="832" w:type="dxa"/>
            <w:gridSpan w:val="2"/>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w:t>
            </w:r>
          </w:p>
        </w:tc>
        <w:tc>
          <w:tcPr>
            <w:tcW w:w="832"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27.0</w:t>
            </w:r>
          </w:p>
        </w:tc>
        <w:tc>
          <w:tcPr>
            <w:tcW w:w="833"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w:t>
            </w:r>
          </w:p>
        </w:tc>
        <w:tc>
          <w:tcPr>
            <w:tcW w:w="832"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w:t>
            </w:r>
          </w:p>
        </w:tc>
        <w:tc>
          <w:tcPr>
            <w:tcW w:w="833"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w:t>
            </w:r>
          </w:p>
        </w:tc>
      </w:tr>
      <w:tr w:rsidR="00B958B1" w:rsidRPr="00897254" w:rsidTr="009F3B54">
        <w:tc>
          <w:tcPr>
            <w:tcW w:w="3614" w:type="dxa"/>
            <w:tcBorders>
              <w:top w:val="nil"/>
              <w:left w:val="nil"/>
              <w:bottom w:val="nil"/>
              <w:right w:val="nil"/>
            </w:tcBorders>
            <w:shd w:val="solid" w:color="FFFFFF" w:fill="auto"/>
          </w:tcPr>
          <w:p w:rsidR="00B958B1" w:rsidRPr="00897254" w:rsidRDefault="00B958B1" w:rsidP="009F3B54">
            <w:pPr>
              <w:pStyle w:val="Tabletext"/>
              <w:rPr>
                <w:rFonts w:eastAsiaTheme="minorEastAsia"/>
                <w:lang w:eastAsia="en-AU"/>
              </w:rPr>
            </w:pPr>
            <w:r w:rsidRPr="00897254">
              <w:rPr>
                <w:rFonts w:eastAsiaTheme="minorEastAsia"/>
                <w:lang w:eastAsia="en-AU"/>
              </w:rPr>
              <w:t>School capital program</w:t>
            </w:r>
          </w:p>
        </w:tc>
        <w:tc>
          <w:tcPr>
            <w:tcW w:w="832" w:type="dxa"/>
            <w:gridSpan w:val="2"/>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r w:rsidRPr="00897254">
              <w:rPr>
                <w:rFonts w:eastAsiaTheme="minorEastAsia"/>
                <w:lang w:eastAsia="en-AU"/>
              </w:rPr>
              <w:t>..</w:t>
            </w:r>
          </w:p>
        </w:tc>
        <w:tc>
          <w:tcPr>
            <w:tcW w:w="832" w:type="dxa"/>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r w:rsidRPr="00897254">
              <w:rPr>
                <w:rFonts w:eastAsiaTheme="minorEastAsia"/>
                <w:lang w:eastAsia="en-AU"/>
              </w:rPr>
              <w:t>..</w:t>
            </w:r>
          </w:p>
        </w:tc>
        <w:tc>
          <w:tcPr>
            <w:tcW w:w="833" w:type="dxa"/>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r w:rsidRPr="00897254">
              <w:rPr>
                <w:rFonts w:eastAsiaTheme="minorEastAsia"/>
                <w:lang w:eastAsia="en-AU"/>
              </w:rPr>
              <w:t>0.7</w:t>
            </w:r>
          </w:p>
        </w:tc>
        <w:tc>
          <w:tcPr>
            <w:tcW w:w="832" w:type="dxa"/>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r w:rsidRPr="00897254">
              <w:rPr>
                <w:rFonts w:eastAsiaTheme="minorEastAsia"/>
                <w:lang w:eastAsia="en-AU"/>
              </w:rPr>
              <w:t>1.5</w:t>
            </w:r>
          </w:p>
        </w:tc>
        <w:tc>
          <w:tcPr>
            <w:tcW w:w="833" w:type="dxa"/>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r w:rsidRPr="00897254">
              <w:rPr>
                <w:rFonts w:eastAsiaTheme="minorEastAsia"/>
                <w:lang w:eastAsia="en-AU"/>
              </w:rPr>
              <w:t>1.5</w:t>
            </w:r>
          </w:p>
        </w:tc>
      </w:tr>
      <w:tr w:rsidR="00B958B1" w:rsidRPr="00897254" w:rsidTr="009F3B54">
        <w:tc>
          <w:tcPr>
            <w:tcW w:w="3614" w:type="dxa"/>
            <w:tcBorders>
              <w:top w:val="nil"/>
              <w:left w:val="nil"/>
              <w:bottom w:val="nil"/>
              <w:right w:val="nil"/>
            </w:tcBorders>
            <w:shd w:val="solid" w:color="FFFFFF" w:fill="auto"/>
          </w:tcPr>
          <w:p w:rsidR="00B958B1" w:rsidRPr="00897254" w:rsidRDefault="00B958B1" w:rsidP="009F3B54">
            <w:pPr>
              <w:pStyle w:val="Tabletext"/>
              <w:rPr>
                <w:rFonts w:eastAsiaTheme="minorEastAsia"/>
                <w:b/>
                <w:bCs/>
                <w:lang w:eastAsia="en-AU"/>
              </w:rPr>
            </w:pPr>
            <w:r w:rsidRPr="00897254">
              <w:rPr>
                <w:rFonts w:eastAsiaTheme="minorEastAsia"/>
                <w:b/>
                <w:bCs/>
                <w:lang w:eastAsia="en-AU"/>
              </w:rPr>
              <w:t>Support for Students with Disabilities</w:t>
            </w:r>
          </w:p>
        </w:tc>
        <w:tc>
          <w:tcPr>
            <w:tcW w:w="832" w:type="dxa"/>
            <w:gridSpan w:val="2"/>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p>
        </w:tc>
        <w:tc>
          <w:tcPr>
            <w:tcW w:w="832" w:type="dxa"/>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p>
        </w:tc>
        <w:tc>
          <w:tcPr>
            <w:tcW w:w="833" w:type="dxa"/>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p>
        </w:tc>
        <w:tc>
          <w:tcPr>
            <w:tcW w:w="832" w:type="dxa"/>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p>
        </w:tc>
        <w:tc>
          <w:tcPr>
            <w:tcW w:w="833" w:type="dxa"/>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p>
        </w:tc>
      </w:tr>
      <w:tr w:rsidR="00B958B1" w:rsidRPr="00897254" w:rsidTr="009F3B54">
        <w:tc>
          <w:tcPr>
            <w:tcW w:w="3614" w:type="dxa"/>
            <w:tcBorders>
              <w:top w:val="nil"/>
              <w:left w:val="nil"/>
              <w:bottom w:val="nil"/>
              <w:right w:val="nil"/>
            </w:tcBorders>
          </w:tcPr>
          <w:p w:rsidR="00B958B1" w:rsidRPr="00897254" w:rsidRDefault="00B958B1" w:rsidP="009F3B54">
            <w:pPr>
              <w:pStyle w:val="Tabletext"/>
              <w:rPr>
                <w:rFonts w:eastAsiaTheme="minorEastAsia"/>
                <w:lang w:eastAsia="en-AU"/>
              </w:rPr>
            </w:pPr>
            <w:r w:rsidRPr="00897254">
              <w:rPr>
                <w:rFonts w:eastAsiaTheme="minorEastAsia"/>
                <w:lang w:eastAsia="en-AU"/>
              </w:rPr>
              <w:t>Program for students with disabilities</w:t>
            </w:r>
          </w:p>
        </w:tc>
        <w:tc>
          <w:tcPr>
            <w:tcW w:w="832" w:type="dxa"/>
            <w:gridSpan w:val="2"/>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w:t>
            </w:r>
          </w:p>
        </w:tc>
        <w:tc>
          <w:tcPr>
            <w:tcW w:w="832"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18.3</w:t>
            </w:r>
          </w:p>
        </w:tc>
        <w:tc>
          <w:tcPr>
            <w:tcW w:w="833"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19.9</w:t>
            </w:r>
          </w:p>
        </w:tc>
        <w:tc>
          <w:tcPr>
            <w:tcW w:w="832"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w:t>
            </w:r>
          </w:p>
        </w:tc>
        <w:tc>
          <w:tcPr>
            <w:tcW w:w="833"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w:t>
            </w:r>
          </w:p>
        </w:tc>
      </w:tr>
      <w:tr w:rsidR="00B958B1" w:rsidRPr="00897254" w:rsidTr="009F3B54">
        <w:tc>
          <w:tcPr>
            <w:tcW w:w="3614" w:type="dxa"/>
            <w:tcBorders>
              <w:top w:val="nil"/>
              <w:left w:val="nil"/>
              <w:bottom w:val="nil"/>
              <w:right w:val="nil"/>
            </w:tcBorders>
          </w:tcPr>
          <w:p w:rsidR="00B958B1" w:rsidRPr="00897254" w:rsidRDefault="00B958B1" w:rsidP="009F3B54">
            <w:pPr>
              <w:pStyle w:val="Tabletext"/>
              <w:rPr>
                <w:rFonts w:eastAsiaTheme="minorEastAsia"/>
                <w:lang w:eastAsia="en-AU"/>
              </w:rPr>
            </w:pPr>
            <w:r w:rsidRPr="00897254">
              <w:rPr>
                <w:rFonts w:eastAsiaTheme="minorEastAsia"/>
                <w:lang w:eastAsia="en-AU"/>
              </w:rPr>
              <w:t xml:space="preserve">Students with disabilities transport program </w:t>
            </w:r>
          </w:p>
        </w:tc>
        <w:tc>
          <w:tcPr>
            <w:tcW w:w="832" w:type="dxa"/>
            <w:gridSpan w:val="2"/>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w:t>
            </w:r>
          </w:p>
        </w:tc>
        <w:tc>
          <w:tcPr>
            <w:tcW w:w="832"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6.1</w:t>
            </w:r>
          </w:p>
        </w:tc>
        <w:tc>
          <w:tcPr>
            <w:tcW w:w="833"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6.6</w:t>
            </w:r>
          </w:p>
        </w:tc>
        <w:tc>
          <w:tcPr>
            <w:tcW w:w="832"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w:t>
            </w:r>
          </w:p>
        </w:tc>
        <w:tc>
          <w:tcPr>
            <w:tcW w:w="833" w:type="dxa"/>
            <w:tcBorders>
              <w:top w:val="nil"/>
              <w:left w:val="nil"/>
              <w:bottom w:val="nil"/>
              <w:right w:val="nil"/>
            </w:tcBorders>
          </w:tcPr>
          <w:p w:rsidR="00B958B1" w:rsidRPr="00897254" w:rsidRDefault="00B958B1" w:rsidP="009F3B54">
            <w:pPr>
              <w:pStyle w:val="TableofFigures"/>
              <w:rPr>
                <w:rFonts w:eastAsiaTheme="minorEastAsia"/>
                <w:lang w:eastAsia="en-AU"/>
              </w:rPr>
            </w:pPr>
            <w:r w:rsidRPr="00897254">
              <w:rPr>
                <w:rFonts w:eastAsiaTheme="minorEastAsia"/>
                <w:lang w:eastAsia="en-AU"/>
              </w:rPr>
              <w:t>..</w:t>
            </w:r>
          </w:p>
        </w:tc>
      </w:tr>
      <w:tr w:rsidR="00B958B1" w:rsidRPr="00897254" w:rsidTr="009F3B54">
        <w:tc>
          <w:tcPr>
            <w:tcW w:w="3614" w:type="dxa"/>
            <w:tcBorders>
              <w:top w:val="nil"/>
              <w:left w:val="nil"/>
              <w:bottom w:val="nil"/>
              <w:right w:val="nil"/>
            </w:tcBorders>
            <w:shd w:val="solid" w:color="FFFFFF" w:fill="auto"/>
          </w:tcPr>
          <w:p w:rsidR="00B958B1" w:rsidRPr="00897254" w:rsidRDefault="00B958B1" w:rsidP="009F3B54">
            <w:pPr>
              <w:pStyle w:val="Tabletext"/>
              <w:rPr>
                <w:rFonts w:eastAsiaTheme="minorEastAsia"/>
                <w:b/>
                <w:bCs/>
                <w:lang w:eastAsia="en-AU"/>
              </w:rPr>
            </w:pPr>
            <w:r w:rsidRPr="00897254">
              <w:rPr>
                <w:rFonts w:eastAsiaTheme="minorEastAsia"/>
                <w:b/>
                <w:bCs/>
                <w:lang w:eastAsia="en-AU"/>
              </w:rPr>
              <w:t>Support Services Delivery</w:t>
            </w:r>
          </w:p>
        </w:tc>
        <w:tc>
          <w:tcPr>
            <w:tcW w:w="832" w:type="dxa"/>
            <w:gridSpan w:val="2"/>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p>
        </w:tc>
        <w:tc>
          <w:tcPr>
            <w:tcW w:w="832" w:type="dxa"/>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p>
        </w:tc>
        <w:tc>
          <w:tcPr>
            <w:tcW w:w="833" w:type="dxa"/>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p>
        </w:tc>
        <w:tc>
          <w:tcPr>
            <w:tcW w:w="832" w:type="dxa"/>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p>
        </w:tc>
        <w:tc>
          <w:tcPr>
            <w:tcW w:w="833" w:type="dxa"/>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p>
        </w:tc>
      </w:tr>
      <w:tr w:rsidR="00B958B1" w:rsidRPr="00897254" w:rsidTr="009F3B54">
        <w:tc>
          <w:tcPr>
            <w:tcW w:w="3614" w:type="dxa"/>
            <w:tcBorders>
              <w:top w:val="nil"/>
              <w:left w:val="nil"/>
              <w:bottom w:val="nil"/>
              <w:right w:val="nil"/>
            </w:tcBorders>
            <w:shd w:val="solid" w:color="FFFFFF" w:fill="auto"/>
          </w:tcPr>
          <w:p w:rsidR="00B958B1" w:rsidRPr="00897254" w:rsidRDefault="00B958B1" w:rsidP="009F3B54">
            <w:pPr>
              <w:pStyle w:val="Tabletext"/>
              <w:rPr>
                <w:rFonts w:eastAsiaTheme="minorEastAsia"/>
                <w:lang w:eastAsia="en-AU"/>
              </w:rPr>
            </w:pPr>
            <w:r w:rsidRPr="00897254">
              <w:rPr>
                <w:rFonts w:eastAsiaTheme="minorEastAsia"/>
                <w:lang w:eastAsia="en-AU"/>
              </w:rPr>
              <w:t xml:space="preserve">Providing effective support for vulnerable students </w:t>
            </w:r>
          </w:p>
        </w:tc>
        <w:tc>
          <w:tcPr>
            <w:tcW w:w="832" w:type="dxa"/>
            <w:gridSpan w:val="2"/>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r w:rsidRPr="00897254">
              <w:rPr>
                <w:rFonts w:eastAsiaTheme="minorEastAsia"/>
                <w:lang w:eastAsia="en-AU"/>
              </w:rPr>
              <w:t>..</w:t>
            </w:r>
          </w:p>
        </w:tc>
        <w:tc>
          <w:tcPr>
            <w:tcW w:w="832" w:type="dxa"/>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r w:rsidRPr="00897254">
              <w:rPr>
                <w:rFonts w:eastAsiaTheme="minorEastAsia"/>
                <w:lang w:eastAsia="en-AU"/>
              </w:rPr>
              <w:t>4.9</w:t>
            </w:r>
          </w:p>
        </w:tc>
        <w:tc>
          <w:tcPr>
            <w:tcW w:w="833" w:type="dxa"/>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r w:rsidRPr="00897254">
              <w:rPr>
                <w:rFonts w:eastAsiaTheme="minorEastAsia"/>
                <w:lang w:eastAsia="en-AU"/>
              </w:rPr>
              <w:t>5.1</w:t>
            </w:r>
          </w:p>
        </w:tc>
        <w:tc>
          <w:tcPr>
            <w:tcW w:w="832" w:type="dxa"/>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r w:rsidRPr="00897254">
              <w:rPr>
                <w:rFonts w:eastAsiaTheme="minorEastAsia"/>
                <w:lang w:eastAsia="en-AU"/>
              </w:rPr>
              <w:t>5.2</w:t>
            </w:r>
          </w:p>
        </w:tc>
        <w:tc>
          <w:tcPr>
            <w:tcW w:w="833" w:type="dxa"/>
            <w:tcBorders>
              <w:top w:val="nil"/>
              <w:left w:val="nil"/>
              <w:bottom w:val="nil"/>
              <w:right w:val="nil"/>
            </w:tcBorders>
            <w:shd w:val="solid" w:color="FFFFFF" w:fill="auto"/>
          </w:tcPr>
          <w:p w:rsidR="00B958B1" w:rsidRPr="00897254" w:rsidRDefault="00B958B1" w:rsidP="009F3B54">
            <w:pPr>
              <w:pStyle w:val="TableofFigures"/>
              <w:rPr>
                <w:rFonts w:eastAsiaTheme="minorEastAsia"/>
                <w:lang w:eastAsia="en-AU"/>
              </w:rPr>
            </w:pPr>
            <w:r w:rsidRPr="00897254">
              <w:rPr>
                <w:rFonts w:eastAsiaTheme="minorEastAsia"/>
                <w:lang w:eastAsia="en-AU"/>
              </w:rPr>
              <w:t>5.4</w:t>
            </w:r>
          </w:p>
        </w:tc>
      </w:tr>
      <w:tr w:rsidR="00B958B1" w:rsidRPr="00897254" w:rsidTr="009F3B54">
        <w:tc>
          <w:tcPr>
            <w:tcW w:w="3614" w:type="dxa"/>
            <w:tcBorders>
              <w:top w:val="single" w:sz="6" w:space="0" w:color="auto"/>
              <w:left w:val="nil"/>
              <w:bottom w:val="single" w:sz="6" w:space="0" w:color="auto"/>
              <w:right w:val="nil"/>
            </w:tcBorders>
          </w:tcPr>
          <w:p w:rsidR="00B958B1" w:rsidRPr="00897254" w:rsidRDefault="00B958B1" w:rsidP="009F3B54">
            <w:pPr>
              <w:pStyle w:val="Tabletext"/>
              <w:rPr>
                <w:rFonts w:cs="Calibri"/>
                <w:b/>
                <w:bCs/>
                <w:color w:val="000000"/>
                <w:lang w:eastAsia="en-AU"/>
              </w:rPr>
            </w:pPr>
            <w:r w:rsidRPr="00897254">
              <w:rPr>
                <w:rFonts w:eastAsiaTheme="minorEastAsia"/>
                <w:b/>
                <w:bCs/>
                <w:lang w:eastAsia="en-AU"/>
              </w:rPr>
              <w:t xml:space="preserve">Sub total output </w:t>
            </w:r>
            <w:r w:rsidRPr="00897254">
              <w:rPr>
                <w:rFonts w:cs="Calibri"/>
                <w:b/>
                <w:bCs/>
                <w:color w:val="000000"/>
                <w:lang w:eastAsia="en-AU"/>
              </w:rPr>
              <w:t>initiatives</w:t>
            </w:r>
          </w:p>
        </w:tc>
        <w:tc>
          <w:tcPr>
            <w:tcW w:w="832" w:type="dxa"/>
            <w:gridSpan w:val="2"/>
            <w:tcBorders>
              <w:top w:val="single" w:sz="6" w:space="0" w:color="auto"/>
              <w:left w:val="nil"/>
              <w:bottom w:val="single" w:sz="6" w:space="0" w:color="auto"/>
              <w:right w:val="nil"/>
            </w:tcBorders>
          </w:tcPr>
          <w:p w:rsidR="00B958B1" w:rsidRPr="00897254" w:rsidRDefault="00B958B1" w:rsidP="009F3B54">
            <w:pPr>
              <w:pStyle w:val="TableofFigures"/>
              <w:rPr>
                <w:rFonts w:eastAsiaTheme="minorEastAsia"/>
                <w:b/>
                <w:bCs/>
                <w:lang w:eastAsia="en-AU"/>
              </w:rPr>
            </w:pPr>
            <w:r w:rsidRPr="00897254">
              <w:rPr>
                <w:rFonts w:eastAsiaTheme="minorEastAsia"/>
                <w:b/>
                <w:bCs/>
                <w:lang w:eastAsia="en-AU"/>
              </w:rPr>
              <w:t>3.7</w:t>
            </w:r>
          </w:p>
        </w:tc>
        <w:tc>
          <w:tcPr>
            <w:tcW w:w="832" w:type="dxa"/>
            <w:tcBorders>
              <w:top w:val="single" w:sz="6" w:space="0" w:color="auto"/>
              <w:left w:val="nil"/>
              <w:bottom w:val="single" w:sz="6" w:space="0" w:color="auto"/>
              <w:right w:val="nil"/>
            </w:tcBorders>
          </w:tcPr>
          <w:p w:rsidR="00B958B1" w:rsidRPr="00897254" w:rsidRDefault="00B958B1" w:rsidP="009F3B54">
            <w:pPr>
              <w:pStyle w:val="TableofFigures"/>
              <w:rPr>
                <w:rFonts w:eastAsiaTheme="minorEastAsia"/>
                <w:b/>
                <w:bCs/>
                <w:lang w:eastAsia="en-AU"/>
              </w:rPr>
            </w:pPr>
            <w:r w:rsidRPr="00897254">
              <w:rPr>
                <w:rFonts w:eastAsiaTheme="minorEastAsia"/>
                <w:b/>
                <w:bCs/>
                <w:lang w:eastAsia="en-AU"/>
              </w:rPr>
              <w:t>78.6</w:t>
            </w:r>
          </w:p>
        </w:tc>
        <w:tc>
          <w:tcPr>
            <w:tcW w:w="833" w:type="dxa"/>
            <w:tcBorders>
              <w:top w:val="single" w:sz="6" w:space="0" w:color="auto"/>
              <w:left w:val="nil"/>
              <w:bottom w:val="single" w:sz="6" w:space="0" w:color="auto"/>
              <w:right w:val="nil"/>
            </w:tcBorders>
          </w:tcPr>
          <w:p w:rsidR="00B958B1" w:rsidRPr="00897254" w:rsidRDefault="00B958B1" w:rsidP="009F3B54">
            <w:pPr>
              <w:pStyle w:val="TableofFigures"/>
              <w:rPr>
                <w:rFonts w:eastAsiaTheme="minorEastAsia"/>
                <w:b/>
                <w:bCs/>
                <w:lang w:eastAsia="en-AU"/>
              </w:rPr>
            </w:pPr>
            <w:r w:rsidRPr="00897254">
              <w:rPr>
                <w:rFonts w:eastAsiaTheme="minorEastAsia"/>
                <w:b/>
                <w:bCs/>
                <w:lang w:eastAsia="en-AU"/>
              </w:rPr>
              <w:t>75.8</w:t>
            </w:r>
          </w:p>
        </w:tc>
        <w:tc>
          <w:tcPr>
            <w:tcW w:w="832" w:type="dxa"/>
            <w:tcBorders>
              <w:top w:val="single" w:sz="6" w:space="0" w:color="auto"/>
              <w:left w:val="nil"/>
              <w:bottom w:val="single" w:sz="6" w:space="0" w:color="auto"/>
              <w:right w:val="nil"/>
            </w:tcBorders>
          </w:tcPr>
          <w:p w:rsidR="00B958B1" w:rsidRPr="00897254" w:rsidRDefault="00B958B1" w:rsidP="009F3B54">
            <w:pPr>
              <w:pStyle w:val="TableofFigures"/>
              <w:rPr>
                <w:rFonts w:eastAsiaTheme="minorEastAsia"/>
                <w:b/>
                <w:bCs/>
                <w:lang w:eastAsia="en-AU"/>
              </w:rPr>
            </w:pPr>
            <w:r w:rsidRPr="00897254">
              <w:rPr>
                <w:rFonts w:eastAsiaTheme="minorEastAsia"/>
                <w:b/>
                <w:bCs/>
                <w:lang w:eastAsia="en-AU"/>
              </w:rPr>
              <w:t>27.1</w:t>
            </w:r>
          </w:p>
        </w:tc>
        <w:tc>
          <w:tcPr>
            <w:tcW w:w="833" w:type="dxa"/>
            <w:tcBorders>
              <w:top w:val="single" w:sz="6" w:space="0" w:color="auto"/>
              <w:left w:val="nil"/>
              <w:bottom w:val="single" w:sz="6" w:space="0" w:color="auto"/>
              <w:right w:val="nil"/>
            </w:tcBorders>
          </w:tcPr>
          <w:p w:rsidR="00B958B1" w:rsidRPr="00897254" w:rsidRDefault="00B958B1" w:rsidP="009F3B54">
            <w:pPr>
              <w:pStyle w:val="TableofFigures"/>
              <w:rPr>
                <w:rFonts w:eastAsiaTheme="minorEastAsia"/>
                <w:b/>
                <w:bCs/>
                <w:lang w:eastAsia="en-AU"/>
              </w:rPr>
            </w:pPr>
            <w:r w:rsidRPr="00897254">
              <w:rPr>
                <w:rFonts w:eastAsiaTheme="minorEastAsia"/>
                <w:b/>
                <w:bCs/>
                <w:lang w:eastAsia="en-AU"/>
              </w:rPr>
              <w:t>19.9</w:t>
            </w:r>
          </w:p>
        </w:tc>
      </w:tr>
      <w:tr w:rsidR="00B958B1" w:rsidRPr="00897254" w:rsidTr="009F3B54">
        <w:tc>
          <w:tcPr>
            <w:tcW w:w="3614" w:type="dxa"/>
            <w:tcBorders>
              <w:top w:val="single" w:sz="6" w:space="0" w:color="auto"/>
              <w:left w:val="nil"/>
              <w:bottom w:val="nil"/>
              <w:right w:val="nil"/>
            </w:tcBorders>
          </w:tcPr>
          <w:p w:rsidR="00B958B1" w:rsidRPr="00897254" w:rsidRDefault="00B958B1" w:rsidP="009F3B54">
            <w:pPr>
              <w:pStyle w:val="Tabletext"/>
              <w:rPr>
                <w:rFonts w:eastAsiaTheme="minorEastAsia"/>
                <w:lang w:eastAsia="en-AU"/>
              </w:rPr>
            </w:pPr>
            <w:r w:rsidRPr="00897254">
              <w:rPr>
                <w:rFonts w:eastAsiaTheme="minorEastAsia"/>
                <w:lang w:eastAsia="en-AU"/>
              </w:rPr>
              <w:t>Existing resources</w:t>
            </w:r>
          </w:p>
        </w:tc>
        <w:tc>
          <w:tcPr>
            <w:tcW w:w="832" w:type="dxa"/>
            <w:gridSpan w:val="2"/>
            <w:tcBorders>
              <w:top w:val="nil"/>
              <w:left w:val="nil"/>
              <w:bottom w:val="nil"/>
              <w:right w:val="nil"/>
            </w:tcBorders>
          </w:tcPr>
          <w:p w:rsidR="00B958B1" w:rsidRPr="00897254" w:rsidRDefault="009F0F49" w:rsidP="009F3B54">
            <w:pPr>
              <w:pStyle w:val="TableofFigures"/>
              <w:rPr>
                <w:rFonts w:eastAsiaTheme="minorEastAsia"/>
                <w:lang w:eastAsia="en-AU"/>
              </w:rPr>
            </w:pPr>
            <w:r>
              <w:rPr>
                <w:rFonts w:eastAsiaTheme="minorEastAsia"/>
                <w:lang w:eastAsia="en-AU"/>
              </w:rPr>
              <w:noBreakHyphen/>
            </w:r>
            <w:r w:rsidR="00B958B1" w:rsidRPr="00897254">
              <w:rPr>
                <w:rFonts w:eastAsiaTheme="minorEastAsia"/>
                <w:lang w:eastAsia="en-AU"/>
              </w:rPr>
              <w:t>3.7</w:t>
            </w:r>
          </w:p>
        </w:tc>
        <w:tc>
          <w:tcPr>
            <w:tcW w:w="832" w:type="dxa"/>
            <w:tcBorders>
              <w:top w:val="nil"/>
              <w:left w:val="nil"/>
              <w:bottom w:val="nil"/>
              <w:right w:val="nil"/>
            </w:tcBorders>
          </w:tcPr>
          <w:p w:rsidR="00B958B1" w:rsidRPr="00897254" w:rsidRDefault="009F0F49" w:rsidP="009F3B54">
            <w:pPr>
              <w:pStyle w:val="TableofFigures"/>
              <w:rPr>
                <w:rFonts w:eastAsiaTheme="minorEastAsia"/>
                <w:lang w:eastAsia="en-AU"/>
              </w:rPr>
            </w:pPr>
            <w:r>
              <w:rPr>
                <w:rFonts w:eastAsiaTheme="minorEastAsia"/>
                <w:lang w:eastAsia="en-AU"/>
              </w:rPr>
              <w:noBreakHyphen/>
            </w:r>
            <w:r w:rsidR="00B958B1" w:rsidRPr="00897254">
              <w:rPr>
                <w:rFonts w:eastAsiaTheme="minorEastAsia"/>
                <w:lang w:eastAsia="en-AU"/>
              </w:rPr>
              <w:t>7.1</w:t>
            </w:r>
          </w:p>
        </w:tc>
        <w:tc>
          <w:tcPr>
            <w:tcW w:w="833" w:type="dxa"/>
            <w:tcBorders>
              <w:top w:val="nil"/>
              <w:left w:val="nil"/>
              <w:bottom w:val="nil"/>
              <w:right w:val="nil"/>
            </w:tcBorders>
          </w:tcPr>
          <w:p w:rsidR="00B958B1" w:rsidRPr="00897254" w:rsidRDefault="009F0F49" w:rsidP="009F3B54">
            <w:pPr>
              <w:pStyle w:val="TableofFigures"/>
              <w:rPr>
                <w:rFonts w:eastAsiaTheme="minorEastAsia"/>
                <w:lang w:eastAsia="en-AU"/>
              </w:rPr>
            </w:pPr>
            <w:r>
              <w:rPr>
                <w:rFonts w:eastAsiaTheme="minorEastAsia"/>
                <w:lang w:eastAsia="en-AU"/>
              </w:rPr>
              <w:noBreakHyphen/>
            </w:r>
            <w:r w:rsidR="00B958B1" w:rsidRPr="00897254">
              <w:rPr>
                <w:rFonts w:eastAsiaTheme="minorEastAsia"/>
                <w:lang w:eastAsia="en-AU"/>
              </w:rPr>
              <w:t>36.1</w:t>
            </w:r>
          </w:p>
        </w:tc>
        <w:tc>
          <w:tcPr>
            <w:tcW w:w="832" w:type="dxa"/>
            <w:tcBorders>
              <w:top w:val="nil"/>
              <w:left w:val="nil"/>
              <w:bottom w:val="nil"/>
              <w:right w:val="nil"/>
            </w:tcBorders>
          </w:tcPr>
          <w:p w:rsidR="00B958B1" w:rsidRPr="00897254" w:rsidRDefault="009F0F49" w:rsidP="009F3B54">
            <w:pPr>
              <w:pStyle w:val="TableofFigures"/>
              <w:rPr>
                <w:rFonts w:eastAsiaTheme="minorEastAsia"/>
                <w:lang w:eastAsia="en-AU"/>
              </w:rPr>
            </w:pPr>
            <w:r>
              <w:rPr>
                <w:rFonts w:eastAsiaTheme="minorEastAsia"/>
                <w:lang w:eastAsia="en-AU"/>
              </w:rPr>
              <w:noBreakHyphen/>
            </w:r>
            <w:r w:rsidR="00B958B1" w:rsidRPr="00897254">
              <w:rPr>
                <w:rFonts w:eastAsiaTheme="minorEastAsia"/>
                <w:lang w:eastAsia="en-AU"/>
              </w:rPr>
              <w:t>15.2</w:t>
            </w:r>
          </w:p>
        </w:tc>
        <w:tc>
          <w:tcPr>
            <w:tcW w:w="833" w:type="dxa"/>
            <w:tcBorders>
              <w:top w:val="nil"/>
              <w:left w:val="nil"/>
              <w:bottom w:val="nil"/>
              <w:right w:val="nil"/>
            </w:tcBorders>
          </w:tcPr>
          <w:p w:rsidR="00B958B1" w:rsidRPr="00897254" w:rsidRDefault="009F0F49" w:rsidP="009F3B54">
            <w:pPr>
              <w:pStyle w:val="TableofFigures"/>
              <w:rPr>
                <w:rFonts w:eastAsiaTheme="minorEastAsia"/>
                <w:lang w:eastAsia="en-AU"/>
              </w:rPr>
            </w:pPr>
            <w:r>
              <w:rPr>
                <w:rFonts w:eastAsiaTheme="minorEastAsia"/>
                <w:lang w:eastAsia="en-AU"/>
              </w:rPr>
              <w:noBreakHyphen/>
            </w:r>
            <w:r w:rsidR="00B958B1" w:rsidRPr="00897254">
              <w:rPr>
                <w:rFonts w:eastAsiaTheme="minorEastAsia"/>
                <w:lang w:eastAsia="en-AU"/>
              </w:rPr>
              <w:t>7.8</w:t>
            </w:r>
          </w:p>
        </w:tc>
      </w:tr>
      <w:tr w:rsidR="00B958B1" w:rsidRPr="00897254" w:rsidTr="009F3B54">
        <w:tc>
          <w:tcPr>
            <w:tcW w:w="3614" w:type="dxa"/>
            <w:tcBorders>
              <w:top w:val="single" w:sz="6" w:space="0" w:color="auto"/>
              <w:left w:val="nil"/>
              <w:bottom w:val="single" w:sz="12" w:space="0" w:color="auto"/>
              <w:right w:val="nil"/>
            </w:tcBorders>
          </w:tcPr>
          <w:p w:rsidR="00B958B1" w:rsidRPr="00897254" w:rsidRDefault="00B958B1" w:rsidP="009F3B54">
            <w:pPr>
              <w:pStyle w:val="Tabletext"/>
              <w:rPr>
                <w:rFonts w:eastAsiaTheme="minorEastAsia"/>
                <w:b/>
                <w:bCs/>
                <w:lang w:eastAsia="en-AU"/>
              </w:rPr>
            </w:pPr>
            <w:r w:rsidRPr="00897254">
              <w:rPr>
                <w:rFonts w:eastAsiaTheme="minorEastAsia"/>
                <w:b/>
                <w:bCs/>
                <w:lang w:eastAsia="en-AU"/>
              </w:rPr>
              <w:t>Total output initiatives</w:t>
            </w:r>
          </w:p>
        </w:tc>
        <w:tc>
          <w:tcPr>
            <w:tcW w:w="832" w:type="dxa"/>
            <w:gridSpan w:val="2"/>
            <w:tcBorders>
              <w:top w:val="single" w:sz="6" w:space="0" w:color="auto"/>
              <w:left w:val="nil"/>
              <w:bottom w:val="single" w:sz="12" w:space="0" w:color="auto"/>
              <w:right w:val="nil"/>
            </w:tcBorders>
          </w:tcPr>
          <w:p w:rsidR="00B958B1" w:rsidRPr="00897254" w:rsidRDefault="00B958B1" w:rsidP="009F3B54">
            <w:pPr>
              <w:pStyle w:val="TableofFigures"/>
              <w:rPr>
                <w:rFonts w:eastAsiaTheme="minorEastAsia"/>
                <w:b/>
                <w:bCs/>
                <w:lang w:eastAsia="en-AU"/>
              </w:rPr>
            </w:pPr>
            <w:r w:rsidRPr="00897254">
              <w:rPr>
                <w:rFonts w:eastAsiaTheme="minorEastAsia"/>
                <w:b/>
                <w:bCs/>
                <w:lang w:eastAsia="en-AU"/>
              </w:rPr>
              <w:t>..</w:t>
            </w:r>
          </w:p>
        </w:tc>
        <w:tc>
          <w:tcPr>
            <w:tcW w:w="832" w:type="dxa"/>
            <w:tcBorders>
              <w:top w:val="single" w:sz="6" w:space="0" w:color="auto"/>
              <w:left w:val="nil"/>
              <w:bottom w:val="single" w:sz="12" w:space="0" w:color="auto"/>
              <w:right w:val="nil"/>
            </w:tcBorders>
          </w:tcPr>
          <w:p w:rsidR="00B958B1" w:rsidRPr="00897254" w:rsidRDefault="00B958B1" w:rsidP="009F3B54">
            <w:pPr>
              <w:pStyle w:val="TableofFigures"/>
              <w:rPr>
                <w:rFonts w:eastAsiaTheme="minorEastAsia"/>
                <w:b/>
                <w:bCs/>
                <w:lang w:eastAsia="en-AU"/>
              </w:rPr>
            </w:pPr>
            <w:r w:rsidRPr="00897254">
              <w:rPr>
                <w:rFonts w:eastAsiaTheme="minorEastAsia"/>
                <w:b/>
                <w:bCs/>
                <w:lang w:eastAsia="en-AU"/>
              </w:rPr>
              <w:t>71.5</w:t>
            </w:r>
          </w:p>
        </w:tc>
        <w:tc>
          <w:tcPr>
            <w:tcW w:w="833" w:type="dxa"/>
            <w:tcBorders>
              <w:top w:val="single" w:sz="6" w:space="0" w:color="auto"/>
              <w:left w:val="nil"/>
              <w:bottom w:val="single" w:sz="12" w:space="0" w:color="auto"/>
              <w:right w:val="nil"/>
            </w:tcBorders>
          </w:tcPr>
          <w:p w:rsidR="00B958B1" w:rsidRPr="00897254" w:rsidRDefault="00B958B1" w:rsidP="009F3B54">
            <w:pPr>
              <w:pStyle w:val="TableofFigures"/>
              <w:rPr>
                <w:rFonts w:eastAsiaTheme="minorEastAsia"/>
                <w:b/>
                <w:bCs/>
                <w:lang w:eastAsia="en-AU"/>
              </w:rPr>
            </w:pPr>
            <w:r w:rsidRPr="00897254">
              <w:rPr>
                <w:rFonts w:eastAsiaTheme="minorEastAsia"/>
                <w:b/>
                <w:bCs/>
                <w:lang w:eastAsia="en-AU"/>
              </w:rPr>
              <w:t>39.7</w:t>
            </w:r>
          </w:p>
        </w:tc>
        <w:tc>
          <w:tcPr>
            <w:tcW w:w="832" w:type="dxa"/>
            <w:tcBorders>
              <w:top w:val="single" w:sz="6" w:space="0" w:color="auto"/>
              <w:left w:val="nil"/>
              <w:bottom w:val="single" w:sz="12" w:space="0" w:color="auto"/>
              <w:right w:val="nil"/>
            </w:tcBorders>
          </w:tcPr>
          <w:p w:rsidR="00B958B1" w:rsidRPr="00897254" w:rsidRDefault="00B958B1" w:rsidP="009F3B54">
            <w:pPr>
              <w:pStyle w:val="TableofFigures"/>
              <w:rPr>
                <w:rFonts w:eastAsiaTheme="minorEastAsia"/>
                <w:b/>
                <w:bCs/>
                <w:lang w:eastAsia="en-AU"/>
              </w:rPr>
            </w:pPr>
            <w:r w:rsidRPr="00897254">
              <w:rPr>
                <w:rFonts w:eastAsiaTheme="minorEastAsia"/>
                <w:b/>
                <w:bCs/>
                <w:lang w:eastAsia="en-AU"/>
              </w:rPr>
              <w:t>11.9</w:t>
            </w:r>
          </w:p>
        </w:tc>
        <w:tc>
          <w:tcPr>
            <w:tcW w:w="833" w:type="dxa"/>
            <w:tcBorders>
              <w:top w:val="single" w:sz="6" w:space="0" w:color="auto"/>
              <w:left w:val="nil"/>
              <w:bottom w:val="single" w:sz="12" w:space="0" w:color="auto"/>
              <w:right w:val="nil"/>
            </w:tcBorders>
          </w:tcPr>
          <w:p w:rsidR="00B958B1" w:rsidRPr="00897254" w:rsidRDefault="00B958B1" w:rsidP="009F3B54">
            <w:pPr>
              <w:pStyle w:val="TableofFigures"/>
              <w:rPr>
                <w:rFonts w:eastAsiaTheme="minorEastAsia"/>
                <w:b/>
                <w:bCs/>
                <w:lang w:eastAsia="en-AU"/>
              </w:rPr>
            </w:pPr>
            <w:r w:rsidRPr="00897254">
              <w:rPr>
                <w:rFonts w:eastAsiaTheme="minorEastAsia"/>
                <w:b/>
                <w:bCs/>
                <w:lang w:eastAsia="en-AU"/>
              </w:rPr>
              <w:t>12.1</w:t>
            </w:r>
          </w:p>
        </w:tc>
      </w:tr>
    </w:tbl>
    <w:p w:rsidR="00B958B1" w:rsidRDefault="00B958B1" w:rsidP="009F3B54">
      <w:pPr>
        <w:pStyle w:val="Source"/>
      </w:pPr>
      <w:r w:rsidRPr="00AB4D13">
        <w:t>Source: Department of Treasury and Finance</w:t>
      </w:r>
      <w:r>
        <w:t xml:space="preserve"> </w:t>
      </w:r>
      <w:r>
        <w:fldChar w:fldCharType="begin"/>
      </w:r>
      <w:r>
        <w:instrText xml:space="preserve"> XE "</w:instrText>
      </w:r>
      <w:r w:rsidRPr="00B70994">
        <w:instrText>Department of Education and Early Childhood Development:National Partnerships</w:instrText>
      </w:r>
      <w:r>
        <w:instrText xml:space="preserve">" </w:instrText>
      </w:r>
      <w:r>
        <w:fldChar w:fldCharType="end"/>
      </w:r>
    </w:p>
    <w:p w:rsidR="00B958B1" w:rsidRDefault="00B958B1" w:rsidP="009F3B54">
      <w:pPr>
        <w:pStyle w:val="Notes"/>
      </w:pPr>
      <w:r>
        <w:t>Note:</w:t>
      </w:r>
    </w:p>
    <w:p w:rsidR="00B958B1" w:rsidRDefault="00B958B1" w:rsidP="009F3B54">
      <w:pPr>
        <w:pStyle w:val="Notes"/>
      </w:pPr>
      <w:r>
        <w:t>(a)</w:t>
      </w:r>
      <w:r>
        <w:tab/>
      </w:r>
      <w:r w:rsidRPr="008A37F1">
        <w:t>The TAFE Structural Adjustment Fund package of $200</w:t>
      </w:r>
      <w:r>
        <w:t> million</w:t>
      </w:r>
      <w:r w:rsidRPr="008A37F1">
        <w:t xml:space="preserve"> over four years includes funding from this output, $71.6</w:t>
      </w:r>
      <w:r>
        <w:t> million</w:t>
      </w:r>
      <w:r w:rsidRPr="008A37F1">
        <w:t xml:space="preserve"> from the Vocational Education and Training Reform package and $100</w:t>
      </w:r>
      <w:r>
        <w:t> million</w:t>
      </w:r>
      <w:r w:rsidRPr="008A37F1">
        <w:t xml:space="preserve"> in asset funding.</w:t>
      </w:r>
    </w:p>
    <w:p w:rsidR="00B958B1" w:rsidRPr="008A37F1" w:rsidRDefault="00B958B1" w:rsidP="009F3B54">
      <w:pPr>
        <w:pStyle w:val="Notes"/>
      </w:pPr>
    </w:p>
    <w:p w:rsidR="00B958B1" w:rsidRPr="00550F6C" w:rsidRDefault="00B958B1" w:rsidP="009F3B54">
      <w:pPr>
        <w:pStyle w:val="Heading4"/>
      </w:pPr>
      <w:bookmarkStart w:id="10" w:name="BP3Ch1DEECDEarlyChildDvpmnt"/>
      <w:r w:rsidRPr="00550F6C">
        <w:t>Early Childhood Development</w:t>
      </w:r>
    </w:p>
    <w:p w:rsidR="00B958B1" w:rsidRDefault="00B958B1" w:rsidP="009F3B54">
      <w:pPr>
        <w:pStyle w:val="Heading5"/>
      </w:pPr>
      <w:r>
        <w:t xml:space="preserve">Access to quality early childhood education and care </w:t>
      </w:r>
    </w:p>
    <w:p w:rsidR="00B958B1" w:rsidRDefault="00B958B1" w:rsidP="009F3B54">
      <w:r>
        <w:t xml:space="preserve">Workforce improvements supported across the early childhood sector will provide incentives to attract qualified early childhood educators and provide scholarships for educators to attain or upgrade their qualifications. </w:t>
      </w:r>
    </w:p>
    <w:p w:rsidR="00B958B1" w:rsidRDefault="00B958B1" w:rsidP="009F3B54">
      <w:r>
        <w:lastRenderedPageBreak/>
        <w:t>This initiative contributes to the Department of Education</w:t>
      </w:r>
      <w:r>
        <w:fldChar w:fldCharType="begin"/>
      </w:r>
      <w:r>
        <w:instrText xml:space="preserve"> XE "</w:instrText>
      </w:r>
      <w:r w:rsidRPr="001902E6">
        <w:instrText>Education</w:instrText>
      </w:r>
      <w:r>
        <w:instrText xml:space="preserve">" </w:instrText>
      </w:r>
      <w:r>
        <w:fldChar w:fldCharType="end"/>
      </w:r>
      <w:r>
        <w:t xml:space="preserve"> and Early Childhood Development’s Early Childhood Development output.</w:t>
      </w:r>
    </w:p>
    <w:p w:rsidR="00B958B1" w:rsidRDefault="00B958B1" w:rsidP="009F3B54">
      <w:pPr>
        <w:pStyle w:val="Heading5"/>
      </w:pPr>
      <w:r>
        <w:t>Children’s facilities capital program</w:t>
      </w:r>
    </w:p>
    <w:p w:rsidR="00B958B1" w:rsidRDefault="00B958B1" w:rsidP="009F3B54">
      <w:r>
        <w:fldChar w:fldCharType="begin"/>
      </w:r>
      <w:r>
        <w:instrText xml:space="preserve"> XE "</w:instrText>
      </w:r>
      <w:r w:rsidRPr="001902E6">
        <w:instrText>Children</w:instrText>
      </w:r>
      <w:r>
        <w:instrText xml:space="preserve">" </w:instrText>
      </w:r>
      <w:r>
        <w:fldChar w:fldCharType="end"/>
      </w:r>
      <w:r>
        <w:t>Capital grants will be provided to upgrade and build new community</w:t>
      </w:r>
      <w:r w:rsidR="009F0F49">
        <w:noBreakHyphen/>
      </w:r>
      <w:r>
        <w:t xml:space="preserve">based kindergarten and children’s services, which will support the learning and development of children. </w:t>
      </w:r>
    </w:p>
    <w:p w:rsidR="00B958B1" w:rsidRDefault="00B958B1" w:rsidP="009F3B54">
      <w:r>
        <w:t>This initiative contributes to the Department of Education and Early Childhood Development’s Early Childhood Development output.</w:t>
      </w:r>
    </w:p>
    <w:p w:rsidR="00B958B1" w:rsidRDefault="00B958B1" w:rsidP="009F3B54">
      <w:pPr>
        <w:pStyle w:val="Heading5"/>
      </w:pPr>
      <w:r>
        <w:t>Strong foundations – better and earlier support for children with a disability or developmental delay</w:t>
      </w:r>
    </w:p>
    <w:p w:rsidR="00B958B1" w:rsidRDefault="00B958B1" w:rsidP="009F3B54">
      <w:r>
        <w:t>An additional 1 000 early childhood intervention services places each year will be provided to support children with a disability or developmental delay from birth until school age. This includes 500 additional places announced in November 2012 and builds on existing program funding of approximately $82 million per annum.</w:t>
      </w:r>
    </w:p>
    <w:p w:rsidR="00B958B1" w:rsidRDefault="00B958B1" w:rsidP="009F3B54">
      <w:r>
        <w:t>This initiative contributes to the Department of Education and Early Childhood Development’s Early Childhood Development output.</w:t>
      </w:r>
      <w:r>
        <w:fldChar w:fldCharType="begin"/>
      </w:r>
      <w:r>
        <w:instrText xml:space="preserve"> XE "</w:instrText>
      </w:r>
      <w:r w:rsidRPr="00AB77AE">
        <w:instrText>Department of Education and Early Childhood Development:Early Childhood Development</w:instrText>
      </w:r>
      <w:r>
        <w:instrText xml:space="preserve">" \r "BP3Ch1DEECDEarlyChildDvpmnt" </w:instrText>
      </w:r>
      <w:r>
        <w:fldChar w:fldCharType="end"/>
      </w:r>
      <w:r>
        <w:fldChar w:fldCharType="begin"/>
      </w:r>
      <w:r>
        <w:instrText xml:space="preserve"> XE "</w:instrText>
      </w:r>
      <w:r w:rsidRPr="001902E6">
        <w:instrText>Early Childhood Development</w:instrText>
      </w:r>
      <w:r>
        <w:instrText xml:space="preserve">" \r "BP3Ch1DEECDEarlyChildDvpmnt" </w:instrText>
      </w:r>
      <w:r>
        <w:fldChar w:fldCharType="end"/>
      </w:r>
      <w:r>
        <w:t xml:space="preserve"> </w:t>
      </w:r>
      <w:bookmarkEnd w:id="10"/>
    </w:p>
    <w:p w:rsidR="00B958B1" w:rsidRDefault="00B958B1" w:rsidP="009F3B54">
      <w:pPr>
        <w:pStyle w:val="Heading4"/>
      </w:pPr>
      <w:bookmarkStart w:id="11" w:name="BP3Ch1DEECDHigherEdSkills"/>
      <w:r>
        <w:t>Higher Education and Skills</w:t>
      </w:r>
    </w:p>
    <w:p w:rsidR="00B958B1" w:rsidRDefault="00B958B1" w:rsidP="009F3B54">
      <w:pPr>
        <w:pStyle w:val="Heading5"/>
      </w:pPr>
      <w:r>
        <w:t>Additional support for TAFE</w:t>
      </w:r>
    </w:p>
    <w:p w:rsidR="00B958B1" w:rsidRDefault="00B958B1" w:rsidP="009F3B54">
      <w:pPr>
        <w:rPr>
          <w:i/>
        </w:rPr>
      </w:pPr>
      <w:r>
        <w:t>Additional funding is provided to build on investment committed through the Vocational Education and Training Reform Package, making available total output funding of $100 million for the TAFE</w:t>
      </w:r>
      <w:r>
        <w:fldChar w:fldCharType="begin"/>
      </w:r>
      <w:r>
        <w:instrText xml:space="preserve"> XE "</w:instrText>
      </w:r>
      <w:r w:rsidRPr="001902E6">
        <w:instrText>T</w:instrText>
      </w:r>
      <w:r>
        <w:instrText xml:space="preserve">echnical and </w:instrText>
      </w:r>
      <w:r w:rsidRPr="001902E6">
        <w:instrText>F</w:instrText>
      </w:r>
      <w:r>
        <w:instrText xml:space="preserve">urther </w:instrText>
      </w:r>
      <w:r w:rsidRPr="001902E6">
        <w:instrText>E</w:instrText>
      </w:r>
      <w:r>
        <w:instrText xml:space="preserve">ducation" </w:instrText>
      </w:r>
      <w:r>
        <w:fldChar w:fldCharType="end"/>
      </w:r>
      <w:r>
        <w:t xml:space="preserve"> Structural Adjustment Fund. In combination with $100 million in capital funding, this forms a $200 million boost to TAFEs as part of the Government’s response to the independent TAFE Review Panel’s report on future directions for the sector – </w:t>
      </w:r>
      <w:r w:rsidRPr="00F64852">
        <w:rPr>
          <w:i/>
        </w:rPr>
        <w:t>Next Steps for Refocusing Vocational Training in Victoria – Supporting a Modern Workforce.</w:t>
      </w:r>
    </w:p>
    <w:p w:rsidR="00B958B1" w:rsidRPr="0023436B" w:rsidRDefault="00B958B1" w:rsidP="009F3B54">
      <w:r>
        <w:t>Funding will be available for initiatives, including capital investment, to improve the financial sustainability of TAFEs and support a vibrant future for TAFE institutes in metropolitan and regional Victoria.</w:t>
      </w:r>
    </w:p>
    <w:p w:rsidR="00B958B1" w:rsidRDefault="00B958B1" w:rsidP="009F3B54">
      <w:r>
        <w:t xml:space="preserve">This initiative contributes to the Department of Education and Early Childhood Development’s Higher Education and Skills output. </w:t>
      </w:r>
      <w:r>
        <w:fldChar w:fldCharType="begin"/>
      </w:r>
      <w:r>
        <w:instrText xml:space="preserve"> XE "</w:instrText>
      </w:r>
      <w:r w:rsidRPr="004F0E57">
        <w:instrText>Department of Education and Early Childhood Development:Higher Education and Skills</w:instrText>
      </w:r>
      <w:r>
        <w:instrText xml:space="preserve">" \r "BP3Ch1DEECDHigherEdSkills" </w:instrText>
      </w:r>
      <w:r>
        <w:fldChar w:fldCharType="end"/>
      </w:r>
      <w:bookmarkEnd w:id="11"/>
      <w:r>
        <w:t xml:space="preserve"> </w:t>
      </w:r>
      <w:r>
        <w:fldChar w:fldCharType="begin"/>
      </w:r>
      <w:r>
        <w:instrText xml:space="preserve"> XE "</w:instrText>
      </w:r>
      <w:r w:rsidRPr="009E53A6">
        <w:instrText>Higher Education and Skills</w:instrText>
      </w:r>
      <w:r>
        <w:instrText xml:space="preserve">" \r "BP3Ch1DEECDHigherEdSkills" </w:instrText>
      </w:r>
      <w:r>
        <w:fldChar w:fldCharType="end"/>
      </w:r>
      <w:r>
        <w:t xml:space="preserve"> </w:t>
      </w:r>
    </w:p>
    <w:p w:rsidR="00B958B1" w:rsidRDefault="00B958B1" w:rsidP="009F3B54">
      <w:pPr>
        <w:pStyle w:val="Heading4"/>
      </w:pPr>
      <w:bookmarkStart w:id="12" w:name="BP3Ch1DEECDSchoolEdu"/>
      <w:r>
        <w:lastRenderedPageBreak/>
        <w:t>School Education</w:t>
      </w:r>
    </w:p>
    <w:p w:rsidR="00B958B1" w:rsidRDefault="00B958B1" w:rsidP="009F3B54">
      <w:pPr>
        <w:pStyle w:val="Heading5"/>
      </w:pPr>
      <w:r>
        <w:t>China immersion program for Year 9 students</w:t>
      </w:r>
    </w:p>
    <w:p w:rsidR="00B958B1" w:rsidRDefault="00B958B1" w:rsidP="009F3B54">
      <w:r>
        <w:t xml:space="preserve">This initiative will support up to 1 500 Year 9 school students to undertake an immersion program in China. Students will be provided with the opportunity to develop language, culture and leadership skills. </w:t>
      </w:r>
    </w:p>
    <w:p w:rsidR="00B958B1" w:rsidRPr="007D043C" w:rsidRDefault="00B958B1" w:rsidP="009F3B54">
      <w:r>
        <w:t>This initiative contributes to the Department of Education and Early Childhood Development’s School Education – Secondary output.</w:t>
      </w:r>
    </w:p>
    <w:p w:rsidR="00B958B1" w:rsidRPr="00AB121E" w:rsidRDefault="00B958B1" w:rsidP="009F3B54">
      <w:pPr>
        <w:pStyle w:val="Heading5"/>
      </w:pPr>
      <w:r>
        <w:br w:type="page"/>
      </w:r>
      <w:r w:rsidRPr="009969E0">
        <w:lastRenderedPageBreak/>
        <w:t>Lifting school performance</w:t>
      </w:r>
    </w:p>
    <w:p w:rsidR="00B958B1" w:rsidRDefault="00B958B1" w:rsidP="009F3B54">
      <w:pPr>
        <w:pStyle w:val="BulletText"/>
        <w:numPr>
          <w:ilvl w:val="0"/>
          <w:numId w:val="0"/>
        </w:numPr>
      </w:pPr>
      <w:r>
        <w:t>This initiative</w:t>
      </w:r>
      <w:r w:rsidRPr="001809E2">
        <w:t xml:space="preserve"> aims to lift the quality of teaching in government schools, producing impro</w:t>
      </w:r>
      <w:r>
        <w:t xml:space="preserve">ved student learning outcomes. </w:t>
      </w:r>
      <w:r w:rsidRPr="001809E2">
        <w:t>The package includes measures to improve performance management of teachers and principals in schools</w:t>
      </w:r>
      <w:r>
        <w:fldChar w:fldCharType="begin"/>
      </w:r>
      <w:r>
        <w:instrText xml:space="preserve"> XE "</w:instrText>
      </w:r>
      <w:r w:rsidRPr="001902E6">
        <w:instrText>Schools</w:instrText>
      </w:r>
      <w:r>
        <w:instrText xml:space="preserve">" </w:instrText>
      </w:r>
      <w:r>
        <w:fldChar w:fldCharType="end"/>
      </w:r>
      <w:r w:rsidRPr="001809E2">
        <w:t>, the identification and development of high potential teaching graduates and measures to support underperforming schools</w:t>
      </w:r>
      <w:r>
        <w:t>.</w:t>
      </w:r>
    </w:p>
    <w:p w:rsidR="00B958B1" w:rsidRDefault="00B958B1" w:rsidP="009F3B54">
      <w:pPr>
        <w:pStyle w:val="BulletText"/>
        <w:numPr>
          <w:ilvl w:val="0"/>
          <w:numId w:val="0"/>
        </w:numPr>
      </w:pPr>
      <w:r>
        <w:t>This initiative contributes to the Department of Education and Early Childhood Development’s:</w:t>
      </w:r>
    </w:p>
    <w:p w:rsidR="00B958B1" w:rsidRDefault="00B958B1" w:rsidP="009F3B54">
      <w:pPr>
        <w:pStyle w:val="BulletText"/>
      </w:pPr>
      <w:r>
        <w:t>School Education – Primary output; and</w:t>
      </w:r>
    </w:p>
    <w:p w:rsidR="00B958B1" w:rsidRDefault="00B958B1" w:rsidP="009F3B54">
      <w:pPr>
        <w:pStyle w:val="BulletText"/>
      </w:pPr>
      <w:r>
        <w:t>School Education – Secondary output.</w:t>
      </w:r>
    </w:p>
    <w:p w:rsidR="00B958B1" w:rsidRDefault="00B958B1" w:rsidP="009F3B54">
      <w:pPr>
        <w:pStyle w:val="Heading5"/>
      </w:pPr>
      <w:r>
        <w:t>National Partnerships reward funding for non</w:t>
      </w:r>
      <w:r w:rsidR="009F0F49">
        <w:noBreakHyphen/>
      </w:r>
      <w:r>
        <w:t>government schools</w:t>
      </w:r>
    </w:p>
    <w:p w:rsidR="00B958B1" w:rsidRDefault="00B958B1" w:rsidP="009F3B54">
      <w:r>
        <w:t>National Partnership</w:t>
      </w:r>
      <w:r>
        <w:fldChar w:fldCharType="begin"/>
      </w:r>
      <w:r>
        <w:instrText xml:space="preserve"> XE "</w:instrText>
      </w:r>
      <w:r w:rsidRPr="001902E6">
        <w:instrText>National Partnerships</w:instrText>
      </w:r>
      <w:r>
        <w:instrText xml:space="preserve">" </w:instrText>
      </w:r>
      <w:r>
        <w:fldChar w:fldCharType="end"/>
      </w:r>
      <w:r>
        <w:t xml:space="preserve"> reward funding for achieving literacy and numeracy and teacher quality targets will be provided to non</w:t>
      </w:r>
      <w:r w:rsidR="009F0F49">
        <w:noBreakHyphen/>
      </w:r>
      <w:r>
        <w:t>government schools.</w:t>
      </w:r>
    </w:p>
    <w:p w:rsidR="00B958B1" w:rsidRDefault="00B958B1" w:rsidP="009F3B54">
      <w:r>
        <w:t>This initiative contributes to the Department of Education and Early Childhood Development’s:</w:t>
      </w:r>
    </w:p>
    <w:p w:rsidR="00B958B1" w:rsidRDefault="00B958B1" w:rsidP="009F3B54">
      <w:pPr>
        <w:pStyle w:val="BulletText"/>
      </w:pPr>
      <w:r>
        <w:t>School Education – Primary output; and</w:t>
      </w:r>
    </w:p>
    <w:p w:rsidR="00B958B1" w:rsidRDefault="00B958B1" w:rsidP="009F3B54">
      <w:pPr>
        <w:pStyle w:val="BulletText"/>
      </w:pPr>
      <w:r>
        <w:t>School Education – Secondary output.</w:t>
      </w:r>
    </w:p>
    <w:p w:rsidR="00B958B1" w:rsidRDefault="00B958B1" w:rsidP="009F3B54">
      <w:pPr>
        <w:pStyle w:val="Heading5"/>
      </w:pPr>
      <w:r>
        <w:t>School capital program</w:t>
      </w:r>
    </w:p>
    <w:p w:rsidR="00B958B1" w:rsidRDefault="00B958B1" w:rsidP="009F3B54">
      <w:r>
        <w:t>Refer to the asset initiative for a description of this initiative.</w:t>
      </w:r>
      <w:r>
        <w:fldChar w:fldCharType="begin"/>
      </w:r>
      <w:r>
        <w:instrText xml:space="preserve"> XE "</w:instrText>
      </w:r>
      <w:r w:rsidRPr="0004764F">
        <w:instrText>Department of Education and Early Childhood Development:School Education</w:instrText>
      </w:r>
      <w:r>
        <w:instrText xml:space="preserve">" \r "BP3Ch1DEECDSchoolEdu" </w:instrText>
      </w:r>
      <w:r>
        <w:fldChar w:fldCharType="end"/>
      </w:r>
      <w:r>
        <w:fldChar w:fldCharType="begin"/>
      </w:r>
      <w:r>
        <w:instrText xml:space="preserve"> XE "</w:instrText>
      </w:r>
      <w:r w:rsidRPr="001902E6">
        <w:instrText>School Education</w:instrText>
      </w:r>
      <w:r>
        <w:instrText xml:space="preserve">" \r "BP3Ch1DEECDSchoolEdu" </w:instrText>
      </w:r>
      <w:r>
        <w:fldChar w:fldCharType="end"/>
      </w:r>
    </w:p>
    <w:p w:rsidR="00B958B1" w:rsidRDefault="00B958B1" w:rsidP="009F3B54">
      <w:pPr>
        <w:pStyle w:val="Heading4"/>
      </w:pPr>
      <w:bookmarkStart w:id="13" w:name="BP3Ch1DEECDChildDisable"/>
      <w:bookmarkEnd w:id="12"/>
      <w:r>
        <w:t>Support for Students with Disabilities</w:t>
      </w:r>
    </w:p>
    <w:p w:rsidR="00B958B1" w:rsidRDefault="00B958B1" w:rsidP="009F3B54">
      <w:pPr>
        <w:pStyle w:val="Heading5"/>
      </w:pPr>
      <w:r>
        <w:t>Program for students with disabilities</w:t>
      </w:r>
    </w:p>
    <w:p w:rsidR="00B958B1" w:rsidRDefault="00B958B1" w:rsidP="009F3B54">
      <w:r>
        <w:t>The Program for Students with Disabilities provides targeted funding to government schools to support students with moderate to severe disabilities. Funding will provide support for additional students, building on existing base funding of approximately $585 million</w:t>
      </w:r>
      <w:r w:rsidRPr="008A45E3">
        <w:t xml:space="preserve"> per annum.</w:t>
      </w:r>
    </w:p>
    <w:p w:rsidR="00B958B1" w:rsidRDefault="00B958B1" w:rsidP="009F3B54">
      <w:r>
        <w:t>This initiative contributes to the Department of Education and Early Childhood Development’s Support for Students with Disabilities output.</w:t>
      </w:r>
    </w:p>
    <w:p w:rsidR="00B958B1" w:rsidRDefault="00B958B1" w:rsidP="009F3B54">
      <w:pPr>
        <w:pStyle w:val="Heading5"/>
      </w:pPr>
      <w:r>
        <w:t xml:space="preserve">Students with disabilities transport program </w:t>
      </w:r>
    </w:p>
    <w:p w:rsidR="00B958B1" w:rsidRDefault="00B958B1" w:rsidP="009F3B54">
      <w:r>
        <w:t>The Students with Disabilities Transport Program provides transportation between home and school for students with disabilities to attend specialist schools. Funding will provide transport assistance to additional students with disabilities and meet operational requirements. This builds on existing program funding of approximately $57 million a year.</w:t>
      </w:r>
    </w:p>
    <w:p w:rsidR="00B958B1" w:rsidRPr="00AB121E" w:rsidRDefault="00B958B1" w:rsidP="009F3B54">
      <w:r>
        <w:t>This initiative contributes to the Department of Education and Early Childhood Development’s Support for Students with Disabilities output.</w:t>
      </w:r>
      <w:r>
        <w:fldChar w:fldCharType="begin"/>
      </w:r>
      <w:r>
        <w:instrText xml:space="preserve"> XE "</w:instrText>
      </w:r>
      <w:r w:rsidRPr="001902E6">
        <w:instrText xml:space="preserve">Support for Students </w:instrText>
      </w:r>
      <w:r w:rsidRPr="001902E6">
        <w:lastRenderedPageBreak/>
        <w:instrText>with Disabilities</w:instrText>
      </w:r>
      <w:r>
        <w:instrText xml:space="preserve">" \r "BP3Ch1DEECDChildDisable" </w:instrText>
      </w:r>
      <w:r>
        <w:fldChar w:fldCharType="end"/>
      </w:r>
      <w:r>
        <w:fldChar w:fldCharType="begin"/>
      </w:r>
      <w:r>
        <w:instrText xml:space="preserve"> XE "</w:instrText>
      </w:r>
      <w:r w:rsidRPr="001902E6">
        <w:instrText>Support for Students with Disabilities</w:instrText>
      </w:r>
      <w:r>
        <w:instrText xml:space="preserve">" \r "BP3Ch1DEECDChildDisable" </w:instrText>
      </w:r>
      <w:r>
        <w:fldChar w:fldCharType="end"/>
      </w:r>
      <w:bookmarkEnd w:id="13"/>
    </w:p>
    <w:p w:rsidR="00B958B1" w:rsidRDefault="00B958B1" w:rsidP="009F3B54">
      <w:pPr>
        <w:pStyle w:val="Heading4"/>
      </w:pPr>
      <w:r>
        <w:br w:type="page"/>
      </w:r>
      <w:r>
        <w:lastRenderedPageBreak/>
        <w:t>Support Services Delivery</w:t>
      </w:r>
    </w:p>
    <w:p w:rsidR="00B958B1" w:rsidRDefault="00B958B1" w:rsidP="009F3B54">
      <w:pPr>
        <w:pStyle w:val="Heading5"/>
      </w:pPr>
      <w:r>
        <w:t>Providing effective support for vulnerable students</w:t>
      </w:r>
    </w:p>
    <w:p w:rsidR="00B958B1" w:rsidRDefault="00B958B1" w:rsidP="009F3B54">
      <w:r>
        <w:t>Student support services provide specialist allied health</w:t>
      </w:r>
      <w:r>
        <w:fldChar w:fldCharType="begin"/>
      </w:r>
      <w:r>
        <w:instrText xml:space="preserve"> XE "</w:instrText>
      </w:r>
      <w:r w:rsidRPr="001902E6">
        <w:instrText>Health</w:instrText>
      </w:r>
      <w:r>
        <w:instrText xml:space="preserve">" </w:instrText>
      </w:r>
      <w:r>
        <w:fldChar w:fldCharType="end"/>
      </w:r>
      <w:r>
        <w:t xml:space="preserve"> support including psychology, speech pathology and social work services to government school students facing barriers to learning in achieving their education and development potential. This builds on existing program funding of approximately $60 million per annum.</w:t>
      </w:r>
    </w:p>
    <w:p w:rsidR="00B958B1" w:rsidRDefault="00B958B1" w:rsidP="009F3B54">
      <w:r>
        <w:t>This initiative contributes to the Department of Education and Early Childhood Development’s Support Services Delivery output.</w:t>
      </w:r>
      <w:bookmarkEnd w:id="9"/>
      <w:r>
        <w:fldChar w:fldCharType="begin"/>
      </w:r>
      <w:r>
        <w:instrText xml:space="preserve"> XE "</w:instrText>
      </w:r>
      <w:r w:rsidRPr="00460E21">
        <w:instrText>Department of Education and Early Childhood Development:Support Services Delivery</w:instrText>
      </w:r>
      <w:r>
        <w:instrText xml:space="preserve">" </w:instrText>
      </w:r>
      <w:r>
        <w:fldChar w:fldCharType="end"/>
      </w:r>
      <w:r>
        <w:fldChar w:fldCharType="begin"/>
      </w:r>
      <w:r>
        <w:instrText xml:space="preserve"> XE "</w:instrText>
      </w:r>
      <w:r w:rsidRPr="00F567CA">
        <w:instrText>Department of Education and Early Childhood Development:Output initiatives</w:instrText>
      </w:r>
      <w:r>
        <w:instrText xml:space="preserve">" \r "BP3Ch1DEECDOutputInitves" </w:instrText>
      </w:r>
      <w:r>
        <w:fldChar w:fldCharType="end"/>
      </w:r>
    </w:p>
    <w:p w:rsidR="00B958B1" w:rsidRDefault="00B958B1" w:rsidP="009F3B54">
      <w:pPr>
        <w:pStyle w:val="Heading3"/>
      </w:pPr>
      <w:bookmarkStart w:id="14" w:name="BP3Ch1DEECDAssetInitves"/>
      <w:r>
        <w:t>Asset initiatives</w:t>
      </w:r>
    </w:p>
    <w:p w:rsidR="00B958B1" w:rsidRDefault="00B958B1" w:rsidP="009F3B54">
      <w:pPr>
        <w:pStyle w:val="Tableheading"/>
      </w:pPr>
      <w:r w:rsidRPr="007348B6">
        <w:t>Table 1.</w:t>
      </w:r>
      <w:r>
        <w:t>2</w:t>
      </w:r>
      <w:r w:rsidRPr="007348B6">
        <w:t>:</w:t>
      </w:r>
      <w:r w:rsidRPr="007348B6">
        <w:tab/>
        <w:t>Asset initiatives – Education and Early Childhood Development</w:t>
      </w:r>
    </w:p>
    <w:p w:rsidR="00B958B1" w:rsidRDefault="00B958B1" w:rsidP="009F3B54">
      <w:pPr>
        <w:pStyle w:val="million"/>
        <w:rPr>
          <w:rFonts w:ascii="Times New Roman" w:hAnsi="Times New Roman"/>
          <w:sz w:val="20"/>
          <w:lang w:eastAsia="en-AU"/>
        </w:rPr>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984"/>
        <w:gridCol w:w="828"/>
        <w:gridCol w:w="828"/>
        <w:gridCol w:w="828"/>
        <w:gridCol w:w="828"/>
        <w:gridCol w:w="828"/>
        <w:gridCol w:w="652"/>
      </w:tblGrid>
      <w:tr w:rsidR="00B958B1" w:rsidRPr="007660C2" w:rsidTr="009F3B54">
        <w:trPr>
          <w:cantSplit/>
        </w:trPr>
        <w:tc>
          <w:tcPr>
            <w:tcW w:w="2984" w:type="dxa"/>
            <w:tcBorders>
              <w:top w:val="single" w:sz="4" w:space="0" w:color="auto"/>
              <w:left w:val="single" w:sz="4" w:space="0" w:color="auto"/>
              <w:right w:val="nil"/>
            </w:tcBorders>
            <w:shd w:val="clear" w:color="auto" w:fill="000000"/>
          </w:tcPr>
          <w:p w:rsidR="00B958B1" w:rsidRPr="007660C2" w:rsidRDefault="00B958B1" w:rsidP="009F3B54">
            <w:pPr>
              <w:pStyle w:val="Tabletext"/>
              <w:rPr>
                <w:lang w:eastAsia="en-AU"/>
              </w:rPr>
            </w:pPr>
          </w:p>
        </w:tc>
        <w:tc>
          <w:tcPr>
            <w:tcW w:w="828" w:type="dxa"/>
            <w:tcBorders>
              <w:top w:val="single" w:sz="4" w:space="0" w:color="auto"/>
              <w:left w:val="nil"/>
              <w:right w:val="nil"/>
            </w:tcBorders>
            <w:shd w:val="clear" w:color="auto" w:fill="000000"/>
          </w:tcPr>
          <w:p w:rsidR="00B958B1" w:rsidRPr="007660C2" w:rsidRDefault="00B958B1" w:rsidP="009F3B54">
            <w:pPr>
              <w:pStyle w:val="Tabletextheading"/>
              <w:rPr>
                <w:lang w:eastAsia="en-AU"/>
              </w:rPr>
            </w:pPr>
            <w:r w:rsidRPr="007660C2">
              <w:rPr>
                <w:lang w:eastAsia="en-AU"/>
              </w:rPr>
              <w:t>2012</w:t>
            </w:r>
            <w:r w:rsidR="009F0F49">
              <w:rPr>
                <w:lang w:eastAsia="en-AU"/>
              </w:rPr>
              <w:noBreakHyphen/>
            </w:r>
            <w:r w:rsidRPr="007660C2">
              <w:rPr>
                <w:lang w:eastAsia="en-AU"/>
              </w:rPr>
              <w:t>13</w:t>
            </w:r>
          </w:p>
        </w:tc>
        <w:tc>
          <w:tcPr>
            <w:tcW w:w="828" w:type="dxa"/>
            <w:tcBorders>
              <w:top w:val="single" w:sz="4" w:space="0" w:color="auto"/>
              <w:left w:val="nil"/>
              <w:right w:val="nil"/>
            </w:tcBorders>
            <w:shd w:val="clear" w:color="auto" w:fill="000000"/>
          </w:tcPr>
          <w:p w:rsidR="00B958B1" w:rsidRPr="007660C2" w:rsidRDefault="00B958B1" w:rsidP="009F3B54">
            <w:pPr>
              <w:pStyle w:val="Tabletextheading"/>
              <w:rPr>
                <w:lang w:eastAsia="en-AU"/>
              </w:rPr>
            </w:pPr>
            <w:r w:rsidRPr="007660C2">
              <w:rPr>
                <w:lang w:eastAsia="en-AU"/>
              </w:rPr>
              <w:t>2013</w:t>
            </w:r>
            <w:r w:rsidR="009F0F49">
              <w:rPr>
                <w:lang w:eastAsia="en-AU"/>
              </w:rPr>
              <w:noBreakHyphen/>
            </w:r>
            <w:r w:rsidRPr="007660C2">
              <w:rPr>
                <w:lang w:eastAsia="en-AU"/>
              </w:rPr>
              <w:t>14</w:t>
            </w:r>
          </w:p>
        </w:tc>
        <w:tc>
          <w:tcPr>
            <w:tcW w:w="828" w:type="dxa"/>
            <w:tcBorders>
              <w:top w:val="single" w:sz="4" w:space="0" w:color="auto"/>
              <w:left w:val="nil"/>
              <w:right w:val="nil"/>
            </w:tcBorders>
            <w:shd w:val="clear" w:color="auto" w:fill="000000"/>
          </w:tcPr>
          <w:p w:rsidR="00B958B1" w:rsidRPr="007660C2" w:rsidRDefault="00B958B1" w:rsidP="009F3B54">
            <w:pPr>
              <w:pStyle w:val="Tabletextheading"/>
              <w:rPr>
                <w:lang w:eastAsia="en-AU"/>
              </w:rPr>
            </w:pPr>
            <w:r w:rsidRPr="007660C2">
              <w:rPr>
                <w:lang w:eastAsia="en-AU"/>
              </w:rPr>
              <w:t>2014</w:t>
            </w:r>
            <w:r w:rsidR="009F0F49">
              <w:rPr>
                <w:lang w:eastAsia="en-AU"/>
              </w:rPr>
              <w:noBreakHyphen/>
            </w:r>
            <w:r w:rsidRPr="007660C2">
              <w:rPr>
                <w:lang w:eastAsia="en-AU"/>
              </w:rPr>
              <w:t>15</w:t>
            </w:r>
          </w:p>
        </w:tc>
        <w:tc>
          <w:tcPr>
            <w:tcW w:w="828" w:type="dxa"/>
            <w:tcBorders>
              <w:top w:val="single" w:sz="4" w:space="0" w:color="auto"/>
              <w:left w:val="nil"/>
              <w:right w:val="nil"/>
            </w:tcBorders>
            <w:shd w:val="clear" w:color="auto" w:fill="000000"/>
          </w:tcPr>
          <w:p w:rsidR="00B958B1" w:rsidRPr="007660C2" w:rsidRDefault="00B958B1" w:rsidP="009F3B54">
            <w:pPr>
              <w:pStyle w:val="Tabletextheading"/>
              <w:rPr>
                <w:lang w:eastAsia="en-AU"/>
              </w:rPr>
            </w:pPr>
            <w:r w:rsidRPr="007660C2">
              <w:rPr>
                <w:lang w:eastAsia="en-AU"/>
              </w:rPr>
              <w:t>2015</w:t>
            </w:r>
            <w:r w:rsidR="009F0F49">
              <w:rPr>
                <w:lang w:eastAsia="en-AU"/>
              </w:rPr>
              <w:noBreakHyphen/>
            </w:r>
            <w:r w:rsidRPr="007660C2">
              <w:rPr>
                <w:lang w:eastAsia="en-AU"/>
              </w:rPr>
              <w:t>16</w:t>
            </w:r>
          </w:p>
        </w:tc>
        <w:tc>
          <w:tcPr>
            <w:tcW w:w="828" w:type="dxa"/>
            <w:tcBorders>
              <w:top w:val="single" w:sz="4" w:space="0" w:color="auto"/>
              <w:left w:val="nil"/>
              <w:right w:val="nil"/>
            </w:tcBorders>
            <w:shd w:val="clear" w:color="auto" w:fill="000000"/>
          </w:tcPr>
          <w:p w:rsidR="00B958B1" w:rsidRPr="007660C2" w:rsidRDefault="00B958B1" w:rsidP="009F3B54">
            <w:pPr>
              <w:pStyle w:val="Tabletextheading"/>
              <w:rPr>
                <w:lang w:eastAsia="en-AU"/>
              </w:rPr>
            </w:pPr>
            <w:r w:rsidRPr="007660C2">
              <w:rPr>
                <w:lang w:eastAsia="en-AU"/>
              </w:rPr>
              <w:t>2016</w:t>
            </w:r>
            <w:r w:rsidR="009F0F49">
              <w:rPr>
                <w:lang w:eastAsia="en-AU"/>
              </w:rPr>
              <w:noBreakHyphen/>
            </w:r>
            <w:r w:rsidRPr="007660C2">
              <w:rPr>
                <w:lang w:eastAsia="en-AU"/>
              </w:rPr>
              <w:t>17</w:t>
            </w:r>
          </w:p>
        </w:tc>
        <w:tc>
          <w:tcPr>
            <w:tcW w:w="652" w:type="dxa"/>
            <w:tcBorders>
              <w:top w:val="single" w:sz="4" w:space="0" w:color="auto"/>
              <w:left w:val="nil"/>
              <w:right w:val="single" w:sz="4" w:space="0" w:color="auto"/>
            </w:tcBorders>
            <w:shd w:val="clear" w:color="auto" w:fill="000000"/>
          </w:tcPr>
          <w:p w:rsidR="00B958B1" w:rsidRPr="007660C2" w:rsidRDefault="00B958B1" w:rsidP="009F3B54">
            <w:pPr>
              <w:pStyle w:val="Tabletextheading"/>
              <w:rPr>
                <w:lang w:eastAsia="en-AU"/>
              </w:rPr>
            </w:pPr>
            <w:r w:rsidRPr="007660C2">
              <w:rPr>
                <w:lang w:eastAsia="en-AU"/>
              </w:rPr>
              <w:t>TEI</w:t>
            </w:r>
          </w:p>
        </w:tc>
      </w:tr>
      <w:tr w:rsidR="00B958B1" w:rsidRPr="007660C2" w:rsidTr="009F3B54">
        <w:trPr>
          <w:cantSplit/>
        </w:trPr>
        <w:tc>
          <w:tcPr>
            <w:tcW w:w="2984" w:type="dxa"/>
            <w:tcBorders>
              <w:right w:val="nil"/>
            </w:tcBorders>
            <w:shd w:val="clear" w:color="auto" w:fill="auto"/>
          </w:tcPr>
          <w:p w:rsidR="00B958B1" w:rsidRPr="007660C2" w:rsidRDefault="00B958B1" w:rsidP="009F3B54">
            <w:pPr>
              <w:pStyle w:val="Tabletext"/>
              <w:rPr>
                <w:b/>
                <w:bCs/>
                <w:lang w:eastAsia="en-AU"/>
              </w:rPr>
            </w:pPr>
            <w:r w:rsidRPr="007660C2">
              <w:rPr>
                <w:b/>
                <w:bCs/>
                <w:lang w:eastAsia="en-AU"/>
              </w:rPr>
              <w:t>Higher Education and Skills</w:t>
            </w:r>
          </w:p>
        </w:tc>
        <w:tc>
          <w:tcPr>
            <w:tcW w:w="828" w:type="dxa"/>
            <w:tcBorders>
              <w:left w:val="nil"/>
              <w:right w:val="nil"/>
            </w:tcBorders>
            <w:shd w:val="clear" w:color="auto" w:fill="auto"/>
          </w:tcPr>
          <w:p w:rsidR="00B958B1" w:rsidRPr="007660C2" w:rsidRDefault="00B958B1" w:rsidP="009F3B54">
            <w:pPr>
              <w:pStyle w:val="Tabletextheading"/>
              <w:rPr>
                <w:lang w:eastAsia="en-AU"/>
              </w:rPr>
            </w:pPr>
          </w:p>
        </w:tc>
        <w:tc>
          <w:tcPr>
            <w:tcW w:w="828" w:type="dxa"/>
            <w:tcBorders>
              <w:left w:val="nil"/>
              <w:right w:val="nil"/>
            </w:tcBorders>
            <w:shd w:val="clear" w:color="auto" w:fill="auto"/>
          </w:tcPr>
          <w:p w:rsidR="00B958B1" w:rsidRPr="007660C2" w:rsidRDefault="00B958B1" w:rsidP="009F3B54">
            <w:pPr>
              <w:pStyle w:val="Tabletextheading"/>
              <w:rPr>
                <w:lang w:eastAsia="en-AU"/>
              </w:rPr>
            </w:pPr>
          </w:p>
        </w:tc>
        <w:tc>
          <w:tcPr>
            <w:tcW w:w="828" w:type="dxa"/>
            <w:tcBorders>
              <w:left w:val="nil"/>
              <w:right w:val="nil"/>
            </w:tcBorders>
            <w:shd w:val="clear" w:color="auto" w:fill="auto"/>
          </w:tcPr>
          <w:p w:rsidR="00B958B1" w:rsidRPr="007660C2" w:rsidRDefault="00B958B1" w:rsidP="009F3B54">
            <w:pPr>
              <w:pStyle w:val="Tabletextheading"/>
              <w:rPr>
                <w:lang w:eastAsia="en-AU"/>
              </w:rPr>
            </w:pPr>
          </w:p>
        </w:tc>
        <w:tc>
          <w:tcPr>
            <w:tcW w:w="828" w:type="dxa"/>
            <w:tcBorders>
              <w:left w:val="nil"/>
              <w:right w:val="nil"/>
            </w:tcBorders>
            <w:shd w:val="clear" w:color="auto" w:fill="auto"/>
          </w:tcPr>
          <w:p w:rsidR="00B958B1" w:rsidRPr="007660C2" w:rsidRDefault="00B958B1" w:rsidP="009F3B54">
            <w:pPr>
              <w:pStyle w:val="Tabletextheading"/>
              <w:rPr>
                <w:lang w:eastAsia="en-AU"/>
              </w:rPr>
            </w:pPr>
          </w:p>
        </w:tc>
        <w:tc>
          <w:tcPr>
            <w:tcW w:w="828" w:type="dxa"/>
            <w:tcBorders>
              <w:left w:val="nil"/>
              <w:right w:val="nil"/>
            </w:tcBorders>
            <w:shd w:val="clear" w:color="auto" w:fill="auto"/>
          </w:tcPr>
          <w:p w:rsidR="00B958B1" w:rsidRPr="007660C2" w:rsidRDefault="00B958B1" w:rsidP="009F3B54">
            <w:pPr>
              <w:pStyle w:val="Tabletextheading"/>
              <w:rPr>
                <w:lang w:eastAsia="en-AU"/>
              </w:rPr>
            </w:pPr>
          </w:p>
        </w:tc>
        <w:tc>
          <w:tcPr>
            <w:tcW w:w="652" w:type="dxa"/>
            <w:tcBorders>
              <w:left w:val="nil"/>
            </w:tcBorders>
            <w:shd w:val="clear" w:color="auto" w:fill="auto"/>
          </w:tcPr>
          <w:p w:rsidR="00B958B1" w:rsidRPr="007660C2" w:rsidRDefault="00B958B1" w:rsidP="009F3B54">
            <w:pPr>
              <w:pStyle w:val="Tabletextheading"/>
              <w:rPr>
                <w:lang w:eastAsia="en-AU"/>
              </w:rPr>
            </w:pPr>
          </w:p>
        </w:tc>
      </w:tr>
      <w:tr w:rsidR="00B958B1" w:rsidRPr="007660C2" w:rsidTr="009F3B54">
        <w:trPr>
          <w:cantSplit/>
        </w:trPr>
        <w:tc>
          <w:tcPr>
            <w:tcW w:w="2984" w:type="dxa"/>
            <w:tcBorders>
              <w:left w:val="nil"/>
              <w:bottom w:val="nil"/>
              <w:right w:val="nil"/>
            </w:tcBorders>
          </w:tcPr>
          <w:p w:rsidR="00B958B1" w:rsidRPr="007660C2" w:rsidRDefault="00B958B1" w:rsidP="009F3B54">
            <w:pPr>
              <w:pStyle w:val="Tabletext"/>
              <w:rPr>
                <w:lang w:eastAsia="en-AU"/>
              </w:rPr>
            </w:pPr>
            <w:r w:rsidRPr="007660C2">
              <w:rPr>
                <w:lang w:eastAsia="en-AU"/>
              </w:rPr>
              <w:t>TAFE Structural Adjustment Fund</w:t>
            </w:r>
          </w:p>
        </w:tc>
        <w:tc>
          <w:tcPr>
            <w:tcW w:w="828" w:type="dxa"/>
            <w:tcBorders>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28" w:type="dxa"/>
            <w:tcBorders>
              <w:left w:val="nil"/>
              <w:bottom w:val="nil"/>
              <w:right w:val="nil"/>
            </w:tcBorders>
          </w:tcPr>
          <w:p w:rsidR="00B958B1" w:rsidRPr="007660C2" w:rsidRDefault="00B958B1" w:rsidP="009F3B54">
            <w:pPr>
              <w:pStyle w:val="TableofFigures"/>
              <w:rPr>
                <w:lang w:eastAsia="en-AU"/>
              </w:rPr>
            </w:pPr>
            <w:r w:rsidRPr="007660C2">
              <w:rPr>
                <w:lang w:eastAsia="en-AU"/>
              </w:rPr>
              <w:t>5.0</w:t>
            </w:r>
          </w:p>
        </w:tc>
        <w:tc>
          <w:tcPr>
            <w:tcW w:w="828" w:type="dxa"/>
            <w:tcBorders>
              <w:left w:val="nil"/>
              <w:bottom w:val="nil"/>
              <w:right w:val="nil"/>
            </w:tcBorders>
          </w:tcPr>
          <w:p w:rsidR="00B958B1" w:rsidRPr="007660C2" w:rsidRDefault="00B958B1" w:rsidP="009F3B54">
            <w:pPr>
              <w:pStyle w:val="TableofFigures"/>
              <w:rPr>
                <w:lang w:eastAsia="en-AU"/>
              </w:rPr>
            </w:pPr>
            <w:r w:rsidRPr="007660C2">
              <w:rPr>
                <w:lang w:eastAsia="en-AU"/>
              </w:rPr>
              <w:t>28.0</w:t>
            </w:r>
          </w:p>
        </w:tc>
        <w:tc>
          <w:tcPr>
            <w:tcW w:w="828" w:type="dxa"/>
            <w:tcBorders>
              <w:left w:val="nil"/>
              <w:bottom w:val="nil"/>
              <w:right w:val="nil"/>
            </w:tcBorders>
          </w:tcPr>
          <w:p w:rsidR="00B958B1" w:rsidRPr="007660C2" w:rsidRDefault="00B958B1" w:rsidP="009F3B54">
            <w:pPr>
              <w:pStyle w:val="TableofFigures"/>
              <w:rPr>
                <w:lang w:eastAsia="en-AU"/>
              </w:rPr>
            </w:pPr>
            <w:r w:rsidRPr="007660C2">
              <w:rPr>
                <w:lang w:eastAsia="en-AU"/>
              </w:rPr>
              <w:t>35.0</w:t>
            </w:r>
          </w:p>
        </w:tc>
        <w:tc>
          <w:tcPr>
            <w:tcW w:w="828" w:type="dxa"/>
            <w:tcBorders>
              <w:left w:val="nil"/>
              <w:bottom w:val="nil"/>
              <w:right w:val="nil"/>
            </w:tcBorders>
          </w:tcPr>
          <w:p w:rsidR="00B958B1" w:rsidRPr="007660C2" w:rsidRDefault="00B958B1" w:rsidP="009F3B54">
            <w:pPr>
              <w:pStyle w:val="TableofFigures"/>
              <w:rPr>
                <w:lang w:eastAsia="en-AU"/>
              </w:rPr>
            </w:pPr>
            <w:r w:rsidRPr="007660C2">
              <w:rPr>
                <w:lang w:eastAsia="en-AU"/>
              </w:rPr>
              <w:t>32.0</w:t>
            </w:r>
          </w:p>
        </w:tc>
        <w:tc>
          <w:tcPr>
            <w:tcW w:w="652" w:type="dxa"/>
            <w:tcBorders>
              <w:left w:val="nil"/>
              <w:bottom w:val="nil"/>
              <w:right w:val="nil"/>
            </w:tcBorders>
          </w:tcPr>
          <w:p w:rsidR="00B958B1" w:rsidRPr="007660C2" w:rsidRDefault="00B958B1" w:rsidP="009F3B54">
            <w:pPr>
              <w:pStyle w:val="TableofFigures"/>
              <w:rPr>
                <w:lang w:eastAsia="en-AU"/>
              </w:rPr>
            </w:pPr>
            <w:r w:rsidRPr="007660C2">
              <w:rPr>
                <w:lang w:eastAsia="en-AU"/>
              </w:rPr>
              <w:t>100.0</w:t>
            </w:r>
          </w:p>
        </w:tc>
      </w:tr>
      <w:tr w:rsidR="00B958B1" w:rsidRPr="007660C2" w:rsidTr="009F3B54">
        <w:trPr>
          <w:cantSplit/>
        </w:trPr>
        <w:tc>
          <w:tcPr>
            <w:tcW w:w="2984" w:type="dxa"/>
            <w:tcBorders>
              <w:top w:val="nil"/>
              <w:left w:val="nil"/>
              <w:bottom w:val="nil"/>
              <w:right w:val="nil"/>
            </w:tcBorders>
          </w:tcPr>
          <w:p w:rsidR="00B958B1" w:rsidRPr="007660C2" w:rsidRDefault="00B958B1" w:rsidP="009F3B54">
            <w:pPr>
              <w:pStyle w:val="Tabletext"/>
              <w:rPr>
                <w:b/>
                <w:bCs/>
                <w:lang w:eastAsia="en-AU"/>
              </w:rPr>
            </w:pPr>
            <w:r w:rsidRPr="007660C2">
              <w:rPr>
                <w:b/>
                <w:bCs/>
                <w:lang w:eastAsia="en-AU"/>
              </w:rPr>
              <w:t>School Education</w:t>
            </w:r>
          </w:p>
        </w:tc>
        <w:tc>
          <w:tcPr>
            <w:tcW w:w="828" w:type="dxa"/>
            <w:tcBorders>
              <w:top w:val="nil"/>
              <w:left w:val="nil"/>
              <w:bottom w:val="nil"/>
              <w:right w:val="nil"/>
            </w:tcBorders>
          </w:tcPr>
          <w:p w:rsidR="00B958B1" w:rsidRPr="007660C2" w:rsidRDefault="00B958B1" w:rsidP="009F3B54">
            <w:pPr>
              <w:pStyle w:val="TableofFigures"/>
              <w:rPr>
                <w:lang w:eastAsia="en-AU"/>
              </w:rPr>
            </w:pPr>
          </w:p>
        </w:tc>
        <w:tc>
          <w:tcPr>
            <w:tcW w:w="828" w:type="dxa"/>
            <w:tcBorders>
              <w:top w:val="nil"/>
              <w:left w:val="nil"/>
              <w:bottom w:val="nil"/>
              <w:right w:val="nil"/>
            </w:tcBorders>
          </w:tcPr>
          <w:p w:rsidR="00B958B1" w:rsidRPr="007660C2" w:rsidRDefault="00B958B1" w:rsidP="009F3B54">
            <w:pPr>
              <w:pStyle w:val="TableofFigures"/>
              <w:rPr>
                <w:lang w:eastAsia="en-AU"/>
              </w:rPr>
            </w:pPr>
          </w:p>
        </w:tc>
        <w:tc>
          <w:tcPr>
            <w:tcW w:w="828" w:type="dxa"/>
            <w:tcBorders>
              <w:top w:val="nil"/>
              <w:left w:val="nil"/>
              <w:bottom w:val="nil"/>
              <w:right w:val="nil"/>
            </w:tcBorders>
          </w:tcPr>
          <w:p w:rsidR="00B958B1" w:rsidRPr="007660C2" w:rsidRDefault="00B958B1" w:rsidP="009F3B54">
            <w:pPr>
              <w:pStyle w:val="TableofFigures"/>
              <w:rPr>
                <w:lang w:eastAsia="en-AU"/>
              </w:rPr>
            </w:pPr>
          </w:p>
        </w:tc>
        <w:tc>
          <w:tcPr>
            <w:tcW w:w="828" w:type="dxa"/>
            <w:tcBorders>
              <w:top w:val="nil"/>
              <w:left w:val="nil"/>
              <w:bottom w:val="nil"/>
              <w:right w:val="nil"/>
            </w:tcBorders>
          </w:tcPr>
          <w:p w:rsidR="00B958B1" w:rsidRPr="007660C2" w:rsidRDefault="00B958B1" w:rsidP="009F3B54">
            <w:pPr>
              <w:pStyle w:val="TableofFigures"/>
              <w:rPr>
                <w:lang w:eastAsia="en-AU"/>
              </w:rPr>
            </w:pPr>
          </w:p>
        </w:tc>
        <w:tc>
          <w:tcPr>
            <w:tcW w:w="828" w:type="dxa"/>
            <w:tcBorders>
              <w:top w:val="nil"/>
              <w:left w:val="nil"/>
              <w:bottom w:val="nil"/>
              <w:right w:val="nil"/>
            </w:tcBorders>
          </w:tcPr>
          <w:p w:rsidR="00B958B1" w:rsidRPr="007660C2" w:rsidRDefault="00B958B1" w:rsidP="009F3B54">
            <w:pPr>
              <w:pStyle w:val="TableofFigures"/>
              <w:rPr>
                <w:lang w:eastAsia="en-AU"/>
              </w:rPr>
            </w:pPr>
          </w:p>
        </w:tc>
        <w:tc>
          <w:tcPr>
            <w:tcW w:w="652" w:type="dxa"/>
            <w:tcBorders>
              <w:top w:val="nil"/>
              <w:left w:val="nil"/>
              <w:bottom w:val="nil"/>
              <w:right w:val="nil"/>
            </w:tcBorders>
          </w:tcPr>
          <w:p w:rsidR="00B958B1" w:rsidRPr="007660C2" w:rsidRDefault="00B958B1" w:rsidP="009F3B54">
            <w:pPr>
              <w:pStyle w:val="TableofFigures"/>
              <w:rPr>
                <w:lang w:eastAsia="en-AU"/>
              </w:rPr>
            </w:pPr>
          </w:p>
        </w:tc>
      </w:tr>
      <w:tr w:rsidR="00B958B1" w:rsidRPr="007660C2" w:rsidTr="009F3B54">
        <w:trPr>
          <w:cantSplit/>
        </w:trPr>
        <w:tc>
          <w:tcPr>
            <w:tcW w:w="298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School capital program</w:t>
            </w:r>
          </w:p>
        </w:tc>
        <w:tc>
          <w:tcPr>
            <w:tcW w:w="828"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28"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93.5</w:t>
            </w:r>
          </w:p>
        </w:tc>
        <w:tc>
          <w:tcPr>
            <w:tcW w:w="828"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109.5</w:t>
            </w:r>
          </w:p>
        </w:tc>
        <w:tc>
          <w:tcPr>
            <w:tcW w:w="828"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28"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652"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203.0</w:t>
            </w:r>
          </w:p>
        </w:tc>
      </w:tr>
      <w:tr w:rsidR="00B958B1" w:rsidRPr="007660C2" w:rsidTr="009F3B54">
        <w:trPr>
          <w:cantSplit/>
        </w:trPr>
        <w:tc>
          <w:tcPr>
            <w:tcW w:w="2984" w:type="dxa"/>
            <w:tcBorders>
              <w:top w:val="single" w:sz="6" w:space="0" w:color="auto"/>
              <w:left w:val="nil"/>
              <w:bottom w:val="single" w:sz="12" w:space="0" w:color="auto"/>
              <w:right w:val="nil"/>
            </w:tcBorders>
          </w:tcPr>
          <w:p w:rsidR="00B958B1" w:rsidRPr="007660C2" w:rsidRDefault="00B958B1" w:rsidP="009F3B54">
            <w:pPr>
              <w:pStyle w:val="Tabletext"/>
              <w:rPr>
                <w:b/>
                <w:bCs/>
                <w:lang w:eastAsia="en-AU"/>
              </w:rPr>
            </w:pPr>
            <w:r w:rsidRPr="007660C2">
              <w:rPr>
                <w:b/>
                <w:bCs/>
                <w:lang w:eastAsia="en-AU"/>
              </w:rPr>
              <w:t>Total asset initiatives</w:t>
            </w:r>
          </w:p>
        </w:tc>
        <w:tc>
          <w:tcPr>
            <w:tcW w:w="828"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w:t>
            </w:r>
          </w:p>
        </w:tc>
        <w:tc>
          <w:tcPr>
            <w:tcW w:w="828"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98.5</w:t>
            </w:r>
          </w:p>
        </w:tc>
        <w:tc>
          <w:tcPr>
            <w:tcW w:w="828"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137.5</w:t>
            </w:r>
          </w:p>
        </w:tc>
        <w:tc>
          <w:tcPr>
            <w:tcW w:w="828"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35.0</w:t>
            </w:r>
          </w:p>
        </w:tc>
        <w:tc>
          <w:tcPr>
            <w:tcW w:w="828"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32.0</w:t>
            </w:r>
          </w:p>
        </w:tc>
        <w:tc>
          <w:tcPr>
            <w:tcW w:w="652"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303.0</w:t>
            </w:r>
          </w:p>
        </w:tc>
      </w:tr>
    </w:tbl>
    <w:p w:rsidR="00B958B1" w:rsidRDefault="00B958B1" w:rsidP="009F3B54">
      <w:pPr>
        <w:pStyle w:val="Source"/>
      </w:pPr>
      <w:r w:rsidRPr="00A20936">
        <w:t xml:space="preserve">Source: Department of </w:t>
      </w:r>
      <w:r w:rsidRPr="007C29DA">
        <w:t>Treasury</w:t>
      </w:r>
      <w:r w:rsidRPr="00A20936">
        <w:t xml:space="preserve"> and Finance</w:t>
      </w:r>
    </w:p>
    <w:p w:rsidR="00B958B1" w:rsidRPr="007C29DA" w:rsidRDefault="00B958B1" w:rsidP="009F3B54">
      <w:pPr>
        <w:pStyle w:val="Notes"/>
      </w:pPr>
    </w:p>
    <w:p w:rsidR="00B958B1" w:rsidRDefault="00B958B1" w:rsidP="009F3B54">
      <w:pPr>
        <w:pStyle w:val="Heading4"/>
      </w:pPr>
      <w:r>
        <w:t>Higher Education and Skills</w:t>
      </w:r>
    </w:p>
    <w:p w:rsidR="00B958B1" w:rsidRDefault="00B958B1" w:rsidP="009F3B54">
      <w:pPr>
        <w:pStyle w:val="Heading5"/>
      </w:pPr>
      <w:r>
        <w:t>TAFE Structural Adjustment Fund</w:t>
      </w:r>
    </w:p>
    <w:p w:rsidR="00B958B1" w:rsidRDefault="00B958B1" w:rsidP="009F3B54">
      <w:r>
        <w:t>Refer to the output initiative Additional support for TAFE for a description of this initiative.</w:t>
      </w:r>
      <w:r w:rsidRPr="00E27F30">
        <w:t xml:space="preserve"> </w:t>
      </w:r>
      <w:r>
        <w:fldChar w:fldCharType="begin"/>
      </w:r>
      <w:r>
        <w:instrText xml:space="preserve"> XE "</w:instrText>
      </w:r>
      <w:r w:rsidRPr="001902E6">
        <w:instrText>T</w:instrText>
      </w:r>
      <w:r>
        <w:instrText xml:space="preserve">echnical and </w:instrText>
      </w:r>
      <w:r w:rsidRPr="001902E6">
        <w:instrText>F</w:instrText>
      </w:r>
      <w:r>
        <w:instrText xml:space="preserve">urther </w:instrText>
      </w:r>
      <w:r w:rsidRPr="001902E6">
        <w:instrText>E</w:instrText>
      </w:r>
      <w:r>
        <w:instrText xml:space="preserve">ducation" </w:instrText>
      </w:r>
      <w:r>
        <w:fldChar w:fldCharType="end"/>
      </w:r>
    </w:p>
    <w:p w:rsidR="00B958B1" w:rsidRDefault="00B958B1" w:rsidP="009F3B54">
      <w:pPr>
        <w:pStyle w:val="Heading4"/>
      </w:pPr>
      <w:r>
        <w:t>School Education</w:t>
      </w:r>
    </w:p>
    <w:p w:rsidR="00B958B1" w:rsidRDefault="00B958B1" w:rsidP="009F3B54">
      <w:pPr>
        <w:pStyle w:val="Heading5"/>
      </w:pPr>
      <w:r>
        <w:t>School capital program</w:t>
      </w:r>
    </w:p>
    <w:p w:rsidR="00B958B1" w:rsidRPr="006204D5" w:rsidRDefault="00B958B1" w:rsidP="009F3B54">
      <w:r w:rsidRPr="006204D5">
        <w:t xml:space="preserve">Funding </w:t>
      </w:r>
      <w:r>
        <w:t>will support capital works projects at 31 school locations,</w:t>
      </w:r>
      <w:r w:rsidRPr="006204D5">
        <w:t xml:space="preserve"> including the Government</w:t>
      </w:r>
      <w:r>
        <w:t>’</w:t>
      </w:r>
      <w:r w:rsidRPr="006204D5">
        <w:t>s school facility election commitments</w:t>
      </w:r>
      <w:r>
        <w:fldChar w:fldCharType="begin"/>
      </w:r>
      <w:r>
        <w:instrText xml:space="preserve"> XE "Election C</w:instrText>
      </w:r>
      <w:r w:rsidRPr="001902E6">
        <w:instrText>ommitments</w:instrText>
      </w:r>
      <w:r>
        <w:instrText xml:space="preserve">" </w:instrText>
      </w:r>
      <w:r>
        <w:fldChar w:fldCharType="end"/>
      </w:r>
      <w:r w:rsidRPr="006204D5">
        <w:t>.</w:t>
      </w:r>
      <w:r>
        <w:t xml:space="preserve"> Funding has</w:t>
      </w:r>
      <w:r w:rsidRPr="006204D5">
        <w:t xml:space="preserve"> been allocated for:</w:t>
      </w:r>
    </w:p>
    <w:p w:rsidR="00B958B1" w:rsidRPr="006204D5" w:rsidRDefault="00B958B1" w:rsidP="009F3B54">
      <w:pPr>
        <w:pStyle w:val="BulletText"/>
      </w:pPr>
      <w:r>
        <w:t>p</w:t>
      </w:r>
      <w:r w:rsidRPr="006204D5">
        <w:t>riority construction projects to provide new schools for growing communities</w:t>
      </w:r>
      <w:r>
        <w:fldChar w:fldCharType="begin"/>
      </w:r>
      <w:r>
        <w:instrText xml:space="preserve"> XE "</w:instrText>
      </w:r>
      <w:r w:rsidRPr="001902E6">
        <w:instrText>Communities</w:instrText>
      </w:r>
      <w:r>
        <w:instrText xml:space="preserve">" </w:instrText>
      </w:r>
      <w:r>
        <w:fldChar w:fldCharType="end"/>
      </w:r>
      <w:r w:rsidRPr="006204D5">
        <w:t>;</w:t>
      </w:r>
    </w:p>
    <w:p w:rsidR="00B958B1" w:rsidRPr="006204D5" w:rsidRDefault="00B958B1" w:rsidP="009F3B54">
      <w:pPr>
        <w:pStyle w:val="BulletText"/>
      </w:pPr>
      <w:r>
        <w:t>m</w:t>
      </w:r>
      <w:r w:rsidRPr="006204D5">
        <w:t>ajor upgrades for existing schools; and</w:t>
      </w:r>
    </w:p>
    <w:p w:rsidR="00B958B1" w:rsidRPr="006204D5" w:rsidRDefault="00B958B1" w:rsidP="009F3B54">
      <w:pPr>
        <w:pStyle w:val="BulletText"/>
      </w:pPr>
      <w:r>
        <w:t>l</w:t>
      </w:r>
      <w:r w:rsidRPr="006204D5">
        <w:t xml:space="preserve">and acquisitions </w:t>
      </w:r>
      <w:r>
        <w:t>to meet demand for new schools in the future</w:t>
      </w:r>
      <w:r w:rsidRPr="006204D5">
        <w:t>.</w:t>
      </w:r>
    </w:p>
    <w:p w:rsidR="00B958B1" w:rsidRDefault="00B958B1" w:rsidP="009F3B54">
      <w:r>
        <w:t>This initiative contributes to the Department of Education and Early Childhood Development’s:</w:t>
      </w:r>
    </w:p>
    <w:p w:rsidR="00B958B1" w:rsidRDefault="00B958B1" w:rsidP="009F3B54">
      <w:pPr>
        <w:pStyle w:val="BulletText"/>
      </w:pPr>
      <w:r>
        <w:lastRenderedPageBreak/>
        <w:t>School Education – Primary output; and</w:t>
      </w:r>
      <w:r>
        <w:fldChar w:fldCharType="begin"/>
      </w:r>
      <w:r>
        <w:instrText xml:space="preserve"> XE "</w:instrText>
      </w:r>
      <w:r w:rsidRPr="001902E6">
        <w:instrText>Education</w:instrText>
      </w:r>
      <w:r>
        <w:instrText xml:space="preserve">" </w:instrText>
      </w:r>
      <w:r>
        <w:fldChar w:fldCharType="end"/>
      </w:r>
      <w:r>
        <w:fldChar w:fldCharType="begin"/>
      </w:r>
      <w:r>
        <w:instrText xml:space="preserve"> XE "</w:instrText>
      </w:r>
      <w:r w:rsidRPr="001902E6">
        <w:instrText>Schools</w:instrText>
      </w:r>
      <w:r>
        <w:instrText xml:space="preserve">" </w:instrText>
      </w:r>
      <w:r>
        <w:fldChar w:fldCharType="end"/>
      </w:r>
    </w:p>
    <w:p w:rsidR="00B958B1" w:rsidRDefault="00B958B1" w:rsidP="009F3B54">
      <w:pPr>
        <w:pStyle w:val="BulletText"/>
      </w:pPr>
      <w:r>
        <w:t xml:space="preserve">School Education – Secondary output. </w:t>
      </w:r>
      <w:r>
        <w:fldChar w:fldCharType="begin"/>
      </w:r>
      <w:r>
        <w:instrText xml:space="preserve"> XE "</w:instrText>
      </w:r>
      <w:r w:rsidRPr="00F25DEA">
        <w:instrText>Department of Education and Early Childhood Development:Asset initiatives</w:instrText>
      </w:r>
      <w:r>
        <w:instrText xml:space="preserve">" \r "BP3Ch1DEECDAssetInitves" </w:instrText>
      </w:r>
      <w:r>
        <w:fldChar w:fldCharType="end"/>
      </w:r>
    </w:p>
    <w:bookmarkEnd w:id="14"/>
    <w:p w:rsidR="00B958B1" w:rsidRPr="0025488C" w:rsidRDefault="00B958B1" w:rsidP="009F3B54">
      <w:pPr>
        <w:pStyle w:val="Heading1"/>
      </w:pPr>
      <w:r>
        <w:br w:type="page"/>
      </w:r>
      <w:bookmarkStart w:id="15" w:name="_Toc355248215"/>
      <w:bookmarkStart w:id="16" w:name="_Toc355362267"/>
      <w:bookmarkStart w:id="17" w:name="BP3Ch1DEPIParksnWater"/>
      <w:r>
        <w:lastRenderedPageBreak/>
        <w:t>Department of Environment and Primary Industries</w:t>
      </w:r>
      <w:bookmarkEnd w:id="15"/>
      <w:bookmarkEnd w:id="16"/>
    </w:p>
    <w:p w:rsidR="00B958B1" w:rsidRDefault="00B958B1" w:rsidP="009F3B54">
      <w:pPr>
        <w:pStyle w:val="Heading3"/>
      </w:pPr>
      <w:bookmarkStart w:id="18" w:name="BP3Ch1DEPIOutputInitves"/>
      <w:r>
        <w:t>Output initiatives</w:t>
      </w:r>
    </w:p>
    <w:p w:rsidR="00B958B1" w:rsidRDefault="00B958B1" w:rsidP="009F3B54">
      <w:pPr>
        <w:pStyle w:val="Tableheading"/>
      </w:pPr>
      <w:r w:rsidRPr="006C13A1">
        <w:t>Table 1.</w:t>
      </w:r>
      <w:r>
        <w:t>3</w:t>
      </w:r>
      <w:r w:rsidRPr="006C13A1">
        <w:t>:</w:t>
      </w:r>
      <w:r w:rsidRPr="006C13A1">
        <w:tab/>
        <w:t>Output initiatives – Environment and Primary Industries</w:t>
      </w:r>
    </w:p>
    <w:p w:rsidR="00B958B1" w:rsidRPr="007660C2" w:rsidRDefault="00B958B1" w:rsidP="009F3B54">
      <w:pPr>
        <w:pStyle w:val="million"/>
      </w:pPr>
      <w:r>
        <w:t>($ million)</w:t>
      </w:r>
    </w:p>
    <w:tbl>
      <w:tblPr>
        <w:tblW w:w="8284" w:type="dxa"/>
        <w:tblInd w:w="29" w:type="dxa"/>
        <w:tblLayout w:type="fixed"/>
        <w:tblCellMar>
          <w:left w:w="43" w:type="dxa"/>
          <w:right w:w="43" w:type="dxa"/>
        </w:tblCellMar>
        <w:tblLook w:val="0000" w:firstRow="0" w:lastRow="0" w:firstColumn="0" w:lastColumn="0" w:noHBand="0" w:noVBand="0"/>
      </w:tblPr>
      <w:tblGrid>
        <w:gridCol w:w="3524"/>
        <w:gridCol w:w="207"/>
        <w:gridCol w:w="18"/>
        <w:gridCol w:w="625"/>
        <w:gridCol w:w="850"/>
        <w:gridCol w:w="851"/>
        <w:gridCol w:w="509"/>
        <w:gridCol w:w="180"/>
        <w:gridCol w:w="58"/>
        <w:gridCol w:w="103"/>
        <w:gridCol w:w="41"/>
        <w:gridCol w:w="94"/>
        <w:gridCol w:w="108"/>
        <w:gridCol w:w="131"/>
        <w:gridCol w:w="72"/>
        <w:gridCol w:w="34"/>
        <w:gridCol w:w="168"/>
        <w:gridCol w:w="181"/>
        <w:gridCol w:w="22"/>
        <w:gridCol w:w="84"/>
        <w:gridCol w:w="106"/>
        <w:gridCol w:w="106"/>
        <w:gridCol w:w="106"/>
        <w:gridCol w:w="106"/>
      </w:tblGrid>
      <w:tr w:rsidR="00B958B1" w:rsidRPr="007660C2" w:rsidTr="009F3B54">
        <w:trPr>
          <w:gridAfter w:val="5"/>
          <w:wAfter w:w="508" w:type="dxa"/>
        </w:trPr>
        <w:tc>
          <w:tcPr>
            <w:tcW w:w="3524" w:type="dxa"/>
            <w:tcBorders>
              <w:top w:val="single" w:sz="6" w:space="0" w:color="auto"/>
              <w:left w:val="single" w:sz="4" w:space="0" w:color="auto"/>
              <w:bottom w:val="single" w:sz="4" w:space="0" w:color="auto"/>
              <w:right w:val="nil"/>
            </w:tcBorders>
            <w:shd w:val="clear" w:color="auto" w:fill="000000"/>
          </w:tcPr>
          <w:p w:rsidR="00B958B1" w:rsidRPr="007660C2" w:rsidRDefault="00B958B1" w:rsidP="009F3B54">
            <w:pPr>
              <w:pStyle w:val="Tabletext"/>
              <w:rPr>
                <w:lang w:eastAsia="en-AU"/>
              </w:rPr>
            </w:pPr>
          </w:p>
        </w:tc>
        <w:tc>
          <w:tcPr>
            <w:tcW w:w="850" w:type="dxa"/>
            <w:gridSpan w:val="3"/>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2012</w:t>
            </w:r>
            <w:r w:rsidR="009F0F49">
              <w:rPr>
                <w:lang w:eastAsia="en-AU"/>
              </w:rPr>
              <w:noBreakHyphen/>
            </w:r>
            <w:r w:rsidRPr="007660C2">
              <w:rPr>
                <w:lang w:eastAsia="en-AU"/>
              </w:rPr>
              <w:t>13</w:t>
            </w:r>
          </w:p>
        </w:tc>
        <w:tc>
          <w:tcPr>
            <w:tcW w:w="850" w:type="dxa"/>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2013</w:t>
            </w:r>
            <w:r w:rsidR="009F0F49">
              <w:rPr>
                <w:lang w:eastAsia="en-AU"/>
              </w:rPr>
              <w:noBreakHyphen/>
            </w:r>
            <w:r w:rsidRPr="007660C2">
              <w:rPr>
                <w:lang w:eastAsia="en-AU"/>
              </w:rPr>
              <w:t>14</w:t>
            </w:r>
          </w:p>
        </w:tc>
        <w:tc>
          <w:tcPr>
            <w:tcW w:w="851" w:type="dxa"/>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2014</w:t>
            </w:r>
            <w:r w:rsidR="009F0F49">
              <w:rPr>
                <w:lang w:eastAsia="en-AU"/>
              </w:rPr>
              <w:noBreakHyphen/>
            </w:r>
            <w:r w:rsidRPr="007660C2">
              <w:rPr>
                <w:lang w:eastAsia="en-AU"/>
              </w:rPr>
              <w:t>15</w:t>
            </w:r>
          </w:p>
        </w:tc>
        <w:tc>
          <w:tcPr>
            <w:tcW w:w="850" w:type="dxa"/>
            <w:gridSpan w:val="4"/>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2015</w:t>
            </w:r>
            <w:r w:rsidR="009F0F49">
              <w:rPr>
                <w:lang w:eastAsia="en-AU"/>
              </w:rPr>
              <w:noBreakHyphen/>
            </w:r>
            <w:r w:rsidRPr="007660C2">
              <w:rPr>
                <w:lang w:eastAsia="en-AU"/>
              </w:rPr>
              <w:t>16</w:t>
            </w:r>
          </w:p>
        </w:tc>
        <w:tc>
          <w:tcPr>
            <w:tcW w:w="851" w:type="dxa"/>
            <w:gridSpan w:val="9"/>
            <w:tcBorders>
              <w:top w:val="single" w:sz="6" w:space="0" w:color="auto"/>
              <w:left w:val="nil"/>
              <w:bottom w:val="single" w:sz="4" w:space="0" w:color="auto"/>
              <w:right w:val="single" w:sz="4" w:space="0" w:color="auto"/>
            </w:tcBorders>
            <w:shd w:val="clear" w:color="auto" w:fill="000000"/>
          </w:tcPr>
          <w:p w:rsidR="00B958B1" w:rsidRPr="007660C2" w:rsidRDefault="00B958B1" w:rsidP="009F3B54">
            <w:pPr>
              <w:pStyle w:val="Tabletextheading"/>
              <w:rPr>
                <w:lang w:eastAsia="en-AU"/>
              </w:rPr>
            </w:pPr>
            <w:r w:rsidRPr="007660C2">
              <w:rPr>
                <w:lang w:eastAsia="en-AU"/>
              </w:rPr>
              <w:t>2016</w:t>
            </w:r>
            <w:r w:rsidR="009F0F49">
              <w:rPr>
                <w:lang w:eastAsia="en-AU"/>
              </w:rPr>
              <w:noBreakHyphen/>
            </w:r>
            <w:r w:rsidRPr="007660C2">
              <w:rPr>
                <w:lang w:eastAsia="en-AU"/>
              </w:rPr>
              <w:t>17</w:t>
            </w:r>
          </w:p>
        </w:tc>
      </w:tr>
      <w:tr w:rsidR="00B958B1" w:rsidRPr="007660C2" w:rsidTr="009F3B54">
        <w:trPr>
          <w:gridAfter w:val="5"/>
          <w:wAfter w:w="508" w:type="dxa"/>
        </w:trPr>
        <w:tc>
          <w:tcPr>
            <w:tcW w:w="3524" w:type="dxa"/>
            <w:tcBorders>
              <w:top w:val="single" w:sz="4" w:space="0" w:color="auto"/>
              <w:left w:val="nil"/>
              <w:bottom w:val="nil"/>
              <w:right w:val="nil"/>
            </w:tcBorders>
          </w:tcPr>
          <w:p w:rsidR="00B958B1" w:rsidRPr="007660C2" w:rsidRDefault="00B958B1" w:rsidP="009F3B54">
            <w:pPr>
              <w:pStyle w:val="Tabletext"/>
              <w:rPr>
                <w:b/>
                <w:bCs/>
                <w:lang w:eastAsia="en-AU"/>
              </w:rPr>
            </w:pPr>
            <w:r w:rsidRPr="007660C2">
              <w:rPr>
                <w:b/>
                <w:bCs/>
                <w:lang w:eastAsia="en-AU"/>
              </w:rPr>
              <w:t>Development of Primary Industries</w:t>
            </w:r>
          </w:p>
        </w:tc>
        <w:tc>
          <w:tcPr>
            <w:tcW w:w="850" w:type="dxa"/>
            <w:gridSpan w:val="3"/>
            <w:tcBorders>
              <w:top w:val="single" w:sz="4" w:space="0" w:color="auto"/>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850" w:type="dxa"/>
            <w:tcBorders>
              <w:top w:val="single" w:sz="4" w:space="0" w:color="auto"/>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851" w:type="dxa"/>
            <w:tcBorders>
              <w:top w:val="single" w:sz="4" w:space="0" w:color="auto"/>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850" w:type="dxa"/>
            <w:gridSpan w:val="4"/>
            <w:tcBorders>
              <w:top w:val="single" w:sz="4" w:space="0" w:color="auto"/>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851" w:type="dxa"/>
            <w:gridSpan w:val="9"/>
            <w:tcBorders>
              <w:top w:val="single" w:sz="4" w:space="0" w:color="auto"/>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r>
      <w:tr w:rsidR="00B958B1" w:rsidRPr="007660C2" w:rsidTr="009F3B54">
        <w:trPr>
          <w:gridAfter w:val="5"/>
          <w:wAfter w:w="508" w:type="dxa"/>
        </w:trPr>
        <w:tc>
          <w:tcPr>
            <w:tcW w:w="352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A New Game Management Authority for Victoria</w:t>
            </w:r>
          </w:p>
        </w:tc>
        <w:tc>
          <w:tcPr>
            <w:tcW w:w="85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0.3</w:t>
            </w:r>
          </w:p>
        </w:tc>
        <w:tc>
          <w:tcPr>
            <w:tcW w:w="85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1.5</w:t>
            </w:r>
          </w:p>
        </w:tc>
        <w:tc>
          <w:tcPr>
            <w:tcW w:w="851"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1.7</w:t>
            </w:r>
          </w:p>
        </w:tc>
        <w:tc>
          <w:tcPr>
            <w:tcW w:w="85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2.5</w:t>
            </w:r>
          </w:p>
        </w:tc>
        <w:tc>
          <w:tcPr>
            <w:tcW w:w="851" w:type="dxa"/>
            <w:gridSpan w:val="9"/>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2.5</w:t>
            </w:r>
          </w:p>
        </w:tc>
      </w:tr>
      <w:tr w:rsidR="00B958B1" w:rsidRPr="007660C2" w:rsidTr="009F3B54">
        <w:trPr>
          <w:gridAfter w:val="5"/>
          <w:wAfter w:w="508" w:type="dxa"/>
        </w:trPr>
        <w:tc>
          <w:tcPr>
            <w:tcW w:w="352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Foot</w:t>
            </w:r>
            <w:r w:rsidR="009F0F49">
              <w:rPr>
                <w:lang w:eastAsia="en-AU"/>
              </w:rPr>
              <w:noBreakHyphen/>
            </w:r>
            <w:r w:rsidRPr="007660C2">
              <w:rPr>
                <w:lang w:eastAsia="en-AU"/>
              </w:rPr>
              <w:t>and</w:t>
            </w:r>
            <w:r w:rsidR="009F0F49">
              <w:rPr>
                <w:lang w:eastAsia="en-AU"/>
              </w:rPr>
              <w:noBreakHyphen/>
            </w:r>
            <w:r w:rsidRPr="007660C2">
              <w:rPr>
                <w:lang w:eastAsia="en-AU"/>
              </w:rPr>
              <w:t>mouth disease preparedness</w:t>
            </w:r>
          </w:p>
        </w:tc>
        <w:tc>
          <w:tcPr>
            <w:tcW w:w="85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2.3</w:t>
            </w:r>
          </w:p>
        </w:tc>
        <w:tc>
          <w:tcPr>
            <w:tcW w:w="851"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2.4</w:t>
            </w:r>
          </w:p>
        </w:tc>
        <w:tc>
          <w:tcPr>
            <w:tcW w:w="85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1" w:type="dxa"/>
            <w:gridSpan w:val="9"/>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r>
      <w:tr w:rsidR="00B958B1" w:rsidRPr="007660C2" w:rsidTr="009F3B54">
        <w:trPr>
          <w:gridAfter w:val="5"/>
          <w:wAfter w:w="508" w:type="dxa"/>
        </w:trPr>
        <w:tc>
          <w:tcPr>
            <w:tcW w:w="352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Rural Financial Counselling Service</w:t>
            </w:r>
          </w:p>
        </w:tc>
        <w:tc>
          <w:tcPr>
            <w:tcW w:w="85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1.1</w:t>
            </w:r>
          </w:p>
        </w:tc>
        <w:tc>
          <w:tcPr>
            <w:tcW w:w="851"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1.1</w:t>
            </w:r>
          </w:p>
        </w:tc>
        <w:tc>
          <w:tcPr>
            <w:tcW w:w="85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1" w:type="dxa"/>
            <w:gridSpan w:val="9"/>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r>
      <w:tr w:rsidR="00B958B1" w:rsidRPr="007660C2" w:rsidTr="009F3B54">
        <w:trPr>
          <w:gridAfter w:val="5"/>
          <w:wAfter w:w="508" w:type="dxa"/>
        </w:trPr>
        <w:tc>
          <w:tcPr>
            <w:tcW w:w="6584" w:type="dxa"/>
            <w:gridSpan w:val="7"/>
            <w:tcBorders>
              <w:top w:val="nil"/>
              <w:left w:val="nil"/>
              <w:bottom w:val="nil"/>
              <w:right w:val="nil"/>
            </w:tcBorders>
          </w:tcPr>
          <w:p w:rsidR="00B958B1" w:rsidRPr="007660C2" w:rsidRDefault="00B958B1" w:rsidP="009F3B54">
            <w:pPr>
              <w:pStyle w:val="Tabletext"/>
              <w:rPr>
                <w:b/>
                <w:bCs/>
                <w:lang w:eastAsia="en-AU"/>
              </w:rPr>
            </w:pPr>
            <w:r w:rsidRPr="007660C2">
              <w:rPr>
                <w:b/>
                <w:bCs/>
                <w:lang w:eastAsia="en-AU"/>
              </w:rPr>
              <w:t>Effective Environmental and Adaptation Policy, Investment and Regulations</w:t>
            </w:r>
          </w:p>
        </w:tc>
        <w:tc>
          <w:tcPr>
            <w:tcW w:w="238"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238"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239"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106"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371"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r>
      <w:tr w:rsidR="00B958B1" w:rsidRPr="007660C2" w:rsidTr="009F3B54">
        <w:trPr>
          <w:gridAfter w:val="5"/>
          <w:wAfter w:w="508" w:type="dxa"/>
        </w:trPr>
        <w:tc>
          <w:tcPr>
            <w:tcW w:w="352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A Cleaner Yarra River and Port Phillip Bay</w:t>
            </w:r>
          </w:p>
        </w:tc>
        <w:tc>
          <w:tcPr>
            <w:tcW w:w="85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0.8</w:t>
            </w:r>
          </w:p>
        </w:tc>
        <w:tc>
          <w:tcPr>
            <w:tcW w:w="851"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1.0</w:t>
            </w:r>
          </w:p>
        </w:tc>
        <w:tc>
          <w:tcPr>
            <w:tcW w:w="85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3.0</w:t>
            </w:r>
          </w:p>
        </w:tc>
        <w:tc>
          <w:tcPr>
            <w:tcW w:w="851" w:type="dxa"/>
            <w:gridSpan w:val="9"/>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2.2</w:t>
            </w:r>
          </w:p>
        </w:tc>
      </w:tr>
      <w:tr w:rsidR="00B958B1" w:rsidRPr="007660C2" w:rsidTr="009F3B54">
        <w:trPr>
          <w:gridAfter w:val="5"/>
          <w:wAfter w:w="508" w:type="dxa"/>
        </w:trPr>
        <w:tc>
          <w:tcPr>
            <w:tcW w:w="3731" w:type="dxa"/>
            <w:gridSpan w:val="2"/>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Environmental partnerships: supporting native vegetation and threatened species</w:t>
            </w:r>
          </w:p>
        </w:tc>
        <w:tc>
          <w:tcPr>
            <w:tcW w:w="643"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12.0</w:t>
            </w:r>
          </w:p>
        </w:tc>
        <w:tc>
          <w:tcPr>
            <w:tcW w:w="851"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4.0</w:t>
            </w:r>
          </w:p>
        </w:tc>
        <w:tc>
          <w:tcPr>
            <w:tcW w:w="85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1" w:type="dxa"/>
            <w:gridSpan w:val="9"/>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r>
      <w:tr w:rsidR="00B958B1" w:rsidRPr="007660C2" w:rsidTr="009F3B54">
        <w:trPr>
          <w:gridAfter w:val="5"/>
          <w:wAfter w:w="508" w:type="dxa"/>
        </w:trPr>
        <w:tc>
          <w:tcPr>
            <w:tcW w:w="352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Getting Full Value: Victoria's Waste and Resource Recovery Policy</w:t>
            </w:r>
          </w:p>
        </w:tc>
        <w:tc>
          <w:tcPr>
            <w:tcW w:w="85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2.8</w:t>
            </w:r>
          </w:p>
        </w:tc>
        <w:tc>
          <w:tcPr>
            <w:tcW w:w="851"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1.0</w:t>
            </w:r>
          </w:p>
        </w:tc>
        <w:tc>
          <w:tcPr>
            <w:tcW w:w="85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5.1</w:t>
            </w:r>
          </w:p>
        </w:tc>
        <w:tc>
          <w:tcPr>
            <w:tcW w:w="851" w:type="dxa"/>
            <w:gridSpan w:val="9"/>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3.1</w:t>
            </w:r>
          </w:p>
        </w:tc>
      </w:tr>
      <w:tr w:rsidR="00B958B1" w:rsidRPr="007660C2" w:rsidTr="009F3B54">
        <w:tc>
          <w:tcPr>
            <w:tcW w:w="7754" w:type="dxa"/>
            <w:gridSpan w:val="18"/>
            <w:tcBorders>
              <w:top w:val="nil"/>
              <w:left w:val="nil"/>
              <w:bottom w:val="nil"/>
              <w:right w:val="nil"/>
            </w:tcBorders>
            <w:shd w:val="solid" w:color="FFFFFF" w:fill="auto"/>
          </w:tcPr>
          <w:p w:rsidR="00B958B1" w:rsidRPr="007660C2" w:rsidRDefault="00B958B1" w:rsidP="009F3B54">
            <w:pPr>
              <w:pStyle w:val="Tabletext"/>
              <w:rPr>
                <w:b/>
                <w:bCs/>
                <w:lang w:eastAsia="en-AU"/>
              </w:rPr>
            </w:pPr>
            <w:r w:rsidRPr="007660C2">
              <w:rPr>
                <w:b/>
                <w:bCs/>
                <w:lang w:eastAsia="en-AU"/>
              </w:rPr>
              <w:t>Effective Management of Water Resources to meet Future Urban, Rural and Environmental Needs</w:t>
            </w:r>
          </w:p>
        </w:tc>
        <w:tc>
          <w:tcPr>
            <w:tcW w:w="106"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10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10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10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10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r>
      <w:tr w:rsidR="00B958B1" w:rsidRPr="007660C2" w:rsidTr="009F3B54">
        <w:trPr>
          <w:gridAfter w:val="5"/>
          <w:wAfter w:w="508" w:type="dxa"/>
        </w:trPr>
        <w:tc>
          <w:tcPr>
            <w:tcW w:w="352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Basin Plan modelling</w:t>
            </w:r>
          </w:p>
        </w:tc>
        <w:tc>
          <w:tcPr>
            <w:tcW w:w="85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0.8</w:t>
            </w:r>
          </w:p>
        </w:tc>
        <w:tc>
          <w:tcPr>
            <w:tcW w:w="851"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1.1</w:t>
            </w:r>
          </w:p>
        </w:tc>
        <w:tc>
          <w:tcPr>
            <w:tcW w:w="85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1.1</w:t>
            </w:r>
          </w:p>
        </w:tc>
        <w:tc>
          <w:tcPr>
            <w:tcW w:w="851" w:type="dxa"/>
            <w:gridSpan w:val="9"/>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r>
      <w:tr w:rsidR="00B958B1" w:rsidRPr="007660C2" w:rsidTr="009F3B54">
        <w:trPr>
          <w:gridAfter w:val="5"/>
          <w:wAfter w:w="508" w:type="dxa"/>
        </w:trPr>
        <w:tc>
          <w:tcPr>
            <w:tcW w:w="3731" w:type="dxa"/>
            <w:gridSpan w:val="2"/>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Flood resilient communities and catchments</w:t>
            </w:r>
          </w:p>
        </w:tc>
        <w:tc>
          <w:tcPr>
            <w:tcW w:w="643"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3.3</w:t>
            </w:r>
          </w:p>
        </w:tc>
        <w:tc>
          <w:tcPr>
            <w:tcW w:w="851"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0.6</w:t>
            </w:r>
          </w:p>
        </w:tc>
        <w:tc>
          <w:tcPr>
            <w:tcW w:w="85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0.5</w:t>
            </w:r>
          </w:p>
        </w:tc>
        <w:tc>
          <w:tcPr>
            <w:tcW w:w="851" w:type="dxa"/>
            <w:gridSpan w:val="9"/>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r>
      <w:tr w:rsidR="00B958B1" w:rsidRPr="007660C2" w:rsidTr="009F3B54">
        <w:trPr>
          <w:gridAfter w:val="5"/>
          <w:wAfter w:w="508" w:type="dxa"/>
        </w:trPr>
        <w:tc>
          <w:tcPr>
            <w:tcW w:w="352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Macalister Irrigation District 2030</w:t>
            </w:r>
          </w:p>
        </w:tc>
        <w:tc>
          <w:tcPr>
            <w:tcW w:w="85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0.2</w:t>
            </w:r>
          </w:p>
        </w:tc>
        <w:tc>
          <w:tcPr>
            <w:tcW w:w="85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0.2</w:t>
            </w:r>
          </w:p>
        </w:tc>
        <w:tc>
          <w:tcPr>
            <w:tcW w:w="851"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0.2</w:t>
            </w:r>
          </w:p>
        </w:tc>
        <w:tc>
          <w:tcPr>
            <w:tcW w:w="85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0.2</w:t>
            </w:r>
          </w:p>
        </w:tc>
        <w:tc>
          <w:tcPr>
            <w:tcW w:w="851" w:type="dxa"/>
            <w:gridSpan w:val="9"/>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0.2</w:t>
            </w:r>
          </w:p>
        </w:tc>
      </w:tr>
      <w:tr w:rsidR="00B958B1" w:rsidRPr="007660C2" w:rsidTr="009F3B54">
        <w:trPr>
          <w:gridAfter w:val="5"/>
          <w:wAfter w:w="508" w:type="dxa"/>
        </w:trPr>
        <w:tc>
          <w:tcPr>
            <w:tcW w:w="352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Office of Living Victoria</w:t>
            </w:r>
          </w:p>
        </w:tc>
        <w:tc>
          <w:tcPr>
            <w:tcW w:w="85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7.5</w:t>
            </w:r>
          </w:p>
        </w:tc>
        <w:tc>
          <w:tcPr>
            <w:tcW w:w="851"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7.5</w:t>
            </w:r>
          </w:p>
        </w:tc>
        <w:tc>
          <w:tcPr>
            <w:tcW w:w="85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7.5</w:t>
            </w:r>
          </w:p>
        </w:tc>
        <w:tc>
          <w:tcPr>
            <w:tcW w:w="851" w:type="dxa"/>
            <w:gridSpan w:val="9"/>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r>
      <w:tr w:rsidR="00B958B1" w:rsidRPr="007660C2" w:rsidTr="009F3B54">
        <w:trPr>
          <w:gridAfter w:val="5"/>
          <w:wAfter w:w="508" w:type="dxa"/>
        </w:trPr>
        <w:tc>
          <w:tcPr>
            <w:tcW w:w="352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The Murray</w:t>
            </w:r>
            <w:r w:rsidR="009F0F49">
              <w:rPr>
                <w:lang w:eastAsia="en-AU"/>
              </w:rPr>
              <w:noBreakHyphen/>
            </w:r>
            <w:r w:rsidRPr="007660C2">
              <w:rPr>
                <w:lang w:eastAsia="en-AU"/>
              </w:rPr>
              <w:t>Darling Basin Authority</w:t>
            </w:r>
          </w:p>
        </w:tc>
        <w:tc>
          <w:tcPr>
            <w:tcW w:w="85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4.2</w:t>
            </w:r>
          </w:p>
        </w:tc>
        <w:tc>
          <w:tcPr>
            <w:tcW w:w="851"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1" w:type="dxa"/>
            <w:gridSpan w:val="9"/>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r>
      <w:tr w:rsidR="00B958B1" w:rsidRPr="007660C2" w:rsidTr="009F3B54">
        <w:tc>
          <w:tcPr>
            <w:tcW w:w="7754" w:type="dxa"/>
            <w:gridSpan w:val="18"/>
            <w:tcBorders>
              <w:top w:val="nil"/>
              <w:left w:val="nil"/>
              <w:bottom w:val="nil"/>
              <w:right w:val="nil"/>
            </w:tcBorders>
            <w:shd w:val="solid" w:color="FFFFFF" w:fill="auto"/>
          </w:tcPr>
          <w:p w:rsidR="00B958B1" w:rsidRPr="007660C2" w:rsidRDefault="00B958B1" w:rsidP="009F3B54">
            <w:pPr>
              <w:pStyle w:val="Tabletext"/>
              <w:rPr>
                <w:b/>
                <w:bCs/>
                <w:lang w:eastAsia="en-AU"/>
              </w:rPr>
            </w:pPr>
            <w:r w:rsidRPr="007660C2">
              <w:rPr>
                <w:b/>
                <w:bCs/>
                <w:lang w:eastAsia="en-AU"/>
              </w:rPr>
              <w:t>Reduced Impact of Major Bushfires and other Extreme Events on People, Infrastructure and the Environment</w:t>
            </w:r>
          </w:p>
        </w:tc>
        <w:tc>
          <w:tcPr>
            <w:tcW w:w="106"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10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10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10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10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r>
      <w:tr w:rsidR="00B958B1" w:rsidRPr="007660C2" w:rsidTr="009F3B54">
        <w:trPr>
          <w:gridAfter w:val="5"/>
          <w:wAfter w:w="508" w:type="dxa"/>
        </w:trPr>
        <w:tc>
          <w:tcPr>
            <w:tcW w:w="352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Increase planned burning</w:t>
            </w:r>
          </w:p>
        </w:tc>
        <w:tc>
          <w:tcPr>
            <w:tcW w:w="85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9.0</w:t>
            </w:r>
          </w:p>
        </w:tc>
        <w:tc>
          <w:tcPr>
            <w:tcW w:w="851"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24.7</w:t>
            </w:r>
          </w:p>
        </w:tc>
        <w:tc>
          <w:tcPr>
            <w:tcW w:w="85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1" w:type="dxa"/>
            <w:gridSpan w:val="9"/>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r>
      <w:tr w:rsidR="00B958B1" w:rsidRPr="007660C2" w:rsidTr="009F3B54">
        <w:trPr>
          <w:gridAfter w:val="5"/>
          <w:wAfter w:w="508" w:type="dxa"/>
        </w:trPr>
        <w:tc>
          <w:tcPr>
            <w:tcW w:w="3749" w:type="dxa"/>
            <w:gridSpan w:val="3"/>
            <w:tcBorders>
              <w:top w:val="nil"/>
              <w:left w:val="nil"/>
              <w:bottom w:val="nil"/>
              <w:right w:val="nil"/>
            </w:tcBorders>
          </w:tcPr>
          <w:p w:rsidR="00B958B1" w:rsidRPr="007660C2" w:rsidRDefault="00B958B1" w:rsidP="009F3B54">
            <w:pPr>
              <w:pStyle w:val="Tabletext"/>
              <w:rPr>
                <w:lang w:eastAsia="en-AU"/>
              </w:rPr>
            </w:pPr>
            <w:r w:rsidRPr="007660C2">
              <w:rPr>
                <w:lang w:eastAsia="en-AU"/>
              </w:rPr>
              <w:t>Removing fire</w:t>
            </w:r>
            <w:r w:rsidR="009F0F49">
              <w:rPr>
                <w:lang w:eastAsia="en-AU"/>
              </w:rPr>
              <w:noBreakHyphen/>
            </w:r>
            <w:r w:rsidRPr="007660C2">
              <w:rPr>
                <w:lang w:eastAsia="en-AU"/>
              </w:rPr>
              <w:t>affected trees on public land</w:t>
            </w:r>
          </w:p>
        </w:tc>
        <w:tc>
          <w:tcPr>
            <w:tcW w:w="625"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2.5</w:t>
            </w:r>
          </w:p>
        </w:tc>
        <w:tc>
          <w:tcPr>
            <w:tcW w:w="851"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4.5</w:t>
            </w:r>
          </w:p>
        </w:tc>
        <w:tc>
          <w:tcPr>
            <w:tcW w:w="85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1" w:type="dxa"/>
            <w:gridSpan w:val="9"/>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r>
      <w:tr w:rsidR="00B958B1" w:rsidRPr="007660C2" w:rsidTr="009F3B54">
        <w:trPr>
          <w:gridAfter w:val="5"/>
          <w:wAfter w:w="508" w:type="dxa"/>
        </w:trPr>
        <w:tc>
          <w:tcPr>
            <w:tcW w:w="6764" w:type="dxa"/>
            <w:gridSpan w:val="8"/>
            <w:tcBorders>
              <w:top w:val="nil"/>
              <w:left w:val="nil"/>
              <w:bottom w:val="nil"/>
              <w:right w:val="nil"/>
            </w:tcBorders>
            <w:shd w:val="solid" w:color="FFFFFF" w:fill="auto"/>
          </w:tcPr>
          <w:p w:rsidR="00B958B1" w:rsidRPr="007660C2" w:rsidRDefault="00B958B1" w:rsidP="009F3B54">
            <w:pPr>
              <w:pStyle w:val="Tabletext"/>
              <w:rPr>
                <w:b/>
                <w:bCs/>
                <w:lang w:eastAsia="en-AU"/>
              </w:rPr>
            </w:pPr>
            <w:r w:rsidRPr="007660C2">
              <w:rPr>
                <w:b/>
                <w:bCs/>
                <w:lang w:eastAsia="en-AU"/>
              </w:rPr>
              <w:t>The Community Benefits from Effective Management of Victoria's Land Assets</w:t>
            </w:r>
          </w:p>
        </w:tc>
        <w:tc>
          <w:tcPr>
            <w:tcW w:w="202"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202"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203"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202"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203"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r>
      <w:tr w:rsidR="00B958B1" w:rsidRPr="007660C2" w:rsidTr="009F3B54">
        <w:trPr>
          <w:gridAfter w:val="5"/>
          <w:wAfter w:w="508" w:type="dxa"/>
        </w:trPr>
        <w:tc>
          <w:tcPr>
            <w:tcW w:w="352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Coastal Environments program</w:t>
            </w:r>
          </w:p>
        </w:tc>
        <w:tc>
          <w:tcPr>
            <w:tcW w:w="85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2.3</w:t>
            </w:r>
          </w:p>
        </w:tc>
        <w:tc>
          <w:tcPr>
            <w:tcW w:w="851"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2.3</w:t>
            </w:r>
          </w:p>
        </w:tc>
        <w:tc>
          <w:tcPr>
            <w:tcW w:w="85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2.3</w:t>
            </w:r>
          </w:p>
        </w:tc>
        <w:tc>
          <w:tcPr>
            <w:tcW w:w="851" w:type="dxa"/>
            <w:gridSpan w:val="9"/>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2.3</w:t>
            </w:r>
          </w:p>
        </w:tc>
      </w:tr>
      <w:tr w:rsidR="00B958B1" w:rsidRPr="007660C2" w:rsidTr="009F3B54">
        <w:trPr>
          <w:gridAfter w:val="5"/>
          <w:wAfter w:w="508" w:type="dxa"/>
        </w:trPr>
        <w:tc>
          <w:tcPr>
            <w:tcW w:w="352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 xml:space="preserve">Kananook Creek dredging </w:t>
            </w:r>
          </w:p>
        </w:tc>
        <w:tc>
          <w:tcPr>
            <w:tcW w:w="85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2.5</w:t>
            </w:r>
          </w:p>
        </w:tc>
        <w:tc>
          <w:tcPr>
            <w:tcW w:w="851"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1" w:type="dxa"/>
            <w:gridSpan w:val="9"/>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r>
      <w:tr w:rsidR="00B958B1" w:rsidRPr="007660C2" w:rsidTr="009F3B54">
        <w:trPr>
          <w:gridAfter w:val="5"/>
          <w:wAfter w:w="508" w:type="dxa"/>
        </w:trPr>
        <w:tc>
          <w:tcPr>
            <w:tcW w:w="352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Maintaining services for River Red Gums Parks and Reserves</w:t>
            </w:r>
          </w:p>
        </w:tc>
        <w:tc>
          <w:tcPr>
            <w:tcW w:w="85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2.3</w:t>
            </w:r>
          </w:p>
        </w:tc>
        <w:tc>
          <w:tcPr>
            <w:tcW w:w="851"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1" w:type="dxa"/>
            <w:gridSpan w:val="9"/>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r>
      <w:tr w:rsidR="00B958B1" w:rsidRPr="007660C2" w:rsidTr="009F3B54">
        <w:trPr>
          <w:gridAfter w:val="5"/>
          <w:wAfter w:w="508" w:type="dxa"/>
        </w:trPr>
        <w:tc>
          <w:tcPr>
            <w:tcW w:w="3524" w:type="dxa"/>
            <w:tcBorders>
              <w:top w:val="single" w:sz="6" w:space="0" w:color="auto"/>
              <w:left w:val="nil"/>
              <w:bottom w:val="single" w:sz="6" w:space="0" w:color="auto"/>
              <w:right w:val="nil"/>
            </w:tcBorders>
          </w:tcPr>
          <w:p w:rsidR="00B958B1" w:rsidRPr="007660C2" w:rsidRDefault="00B958B1" w:rsidP="009F3B54">
            <w:pPr>
              <w:pStyle w:val="Tabletext"/>
              <w:rPr>
                <w:b/>
                <w:bCs/>
                <w:lang w:eastAsia="en-AU"/>
              </w:rPr>
            </w:pPr>
            <w:r>
              <w:rPr>
                <w:b/>
                <w:bCs/>
                <w:lang w:eastAsia="en-AU"/>
              </w:rPr>
              <w:t>Sub total</w:t>
            </w:r>
            <w:r w:rsidRPr="007660C2">
              <w:rPr>
                <w:b/>
                <w:bCs/>
                <w:lang w:eastAsia="en-AU"/>
              </w:rPr>
              <w:t xml:space="preserve"> output initiatives</w:t>
            </w:r>
          </w:p>
        </w:tc>
        <w:tc>
          <w:tcPr>
            <w:tcW w:w="850" w:type="dxa"/>
            <w:gridSpan w:val="3"/>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0.5</w:t>
            </w:r>
          </w:p>
        </w:tc>
        <w:tc>
          <w:tcPr>
            <w:tcW w:w="850" w:type="dxa"/>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55.0</w:t>
            </w:r>
          </w:p>
        </w:tc>
        <w:tc>
          <w:tcPr>
            <w:tcW w:w="851" w:type="dxa"/>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52.2</w:t>
            </w:r>
          </w:p>
        </w:tc>
        <w:tc>
          <w:tcPr>
            <w:tcW w:w="850" w:type="dxa"/>
            <w:gridSpan w:val="4"/>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22.2</w:t>
            </w:r>
          </w:p>
        </w:tc>
        <w:tc>
          <w:tcPr>
            <w:tcW w:w="851" w:type="dxa"/>
            <w:gridSpan w:val="9"/>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10.3</w:t>
            </w:r>
          </w:p>
        </w:tc>
      </w:tr>
      <w:tr w:rsidR="00B958B1" w:rsidRPr="007660C2" w:rsidTr="009F3B54">
        <w:trPr>
          <w:gridAfter w:val="5"/>
          <w:wAfter w:w="508" w:type="dxa"/>
        </w:trPr>
        <w:tc>
          <w:tcPr>
            <w:tcW w:w="3524" w:type="dxa"/>
            <w:tcBorders>
              <w:top w:val="single" w:sz="6" w:space="0" w:color="auto"/>
              <w:left w:val="nil"/>
              <w:bottom w:val="nil"/>
              <w:right w:val="nil"/>
            </w:tcBorders>
          </w:tcPr>
          <w:p w:rsidR="00B958B1" w:rsidRPr="007660C2" w:rsidRDefault="00B958B1" w:rsidP="009F3B54">
            <w:pPr>
              <w:pStyle w:val="Tabletext"/>
              <w:rPr>
                <w:lang w:eastAsia="en-AU"/>
              </w:rPr>
            </w:pPr>
            <w:r w:rsidRPr="007660C2">
              <w:rPr>
                <w:lang w:eastAsia="en-AU"/>
              </w:rPr>
              <w:t>Existing resources</w:t>
            </w:r>
          </w:p>
        </w:tc>
        <w:tc>
          <w:tcPr>
            <w:tcW w:w="850" w:type="dxa"/>
            <w:gridSpan w:val="3"/>
            <w:tcBorders>
              <w:top w:val="single" w:sz="6" w:space="0" w:color="auto"/>
              <w:left w:val="nil"/>
              <w:bottom w:val="single" w:sz="6" w:space="0" w:color="auto"/>
              <w:right w:val="nil"/>
            </w:tcBorders>
            <w:shd w:val="solid" w:color="FFFFFF" w:fill="auto"/>
          </w:tcPr>
          <w:p w:rsidR="00B958B1" w:rsidRPr="007660C2" w:rsidRDefault="009F0F49" w:rsidP="009F3B54">
            <w:pPr>
              <w:pStyle w:val="TableofFigures"/>
              <w:rPr>
                <w:lang w:eastAsia="en-AU"/>
              </w:rPr>
            </w:pPr>
            <w:r>
              <w:rPr>
                <w:lang w:eastAsia="en-AU"/>
              </w:rPr>
              <w:noBreakHyphen/>
            </w:r>
            <w:r w:rsidR="00B958B1" w:rsidRPr="007660C2">
              <w:rPr>
                <w:lang w:eastAsia="en-AU"/>
              </w:rPr>
              <w:t>0.3</w:t>
            </w:r>
          </w:p>
        </w:tc>
        <w:tc>
          <w:tcPr>
            <w:tcW w:w="850" w:type="dxa"/>
            <w:tcBorders>
              <w:top w:val="single" w:sz="6" w:space="0" w:color="auto"/>
              <w:left w:val="nil"/>
              <w:bottom w:val="single" w:sz="6" w:space="0" w:color="auto"/>
              <w:right w:val="nil"/>
            </w:tcBorders>
            <w:shd w:val="solid" w:color="FFFFFF" w:fill="auto"/>
          </w:tcPr>
          <w:p w:rsidR="00B958B1" w:rsidRPr="007660C2" w:rsidRDefault="009F0F49" w:rsidP="009F3B54">
            <w:pPr>
              <w:pStyle w:val="TableofFigures"/>
              <w:rPr>
                <w:lang w:eastAsia="en-AU"/>
              </w:rPr>
            </w:pPr>
            <w:r>
              <w:rPr>
                <w:lang w:eastAsia="en-AU"/>
              </w:rPr>
              <w:noBreakHyphen/>
            </w:r>
            <w:r w:rsidR="00B958B1" w:rsidRPr="007660C2">
              <w:rPr>
                <w:lang w:eastAsia="en-AU"/>
              </w:rPr>
              <w:t>36.6</w:t>
            </w:r>
          </w:p>
        </w:tc>
        <w:tc>
          <w:tcPr>
            <w:tcW w:w="851" w:type="dxa"/>
            <w:tcBorders>
              <w:top w:val="single" w:sz="6" w:space="0" w:color="auto"/>
              <w:left w:val="nil"/>
              <w:bottom w:val="single" w:sz="6" w:space="0" w:color="auto"/>
              <w:right w:val="nil"/>
            </w:tcBorders>
            <w:shd w:val="solid" w:color="FFFFFF" w:fill="auto"/>
          </w:tcPr>
          <w:p w:rsidR="00B958B1" w:rsidRPr="007660C2" w:rsidRDefault="009F0F49" w:rsidP="009F3B54">
            <w:pPr>
              <w:pStyle w:val="TableofFigures"/>
              <w:rPr>
                <w:lang w:eastAsia="en-AU"/>
              </w:rPr>
            </w:pPr>
            <w:r>
              <w:rPr>
                <w:lang w:eastAsia="en-AU"/>
              </w:rPr>
              <w:noBreakHyphen/>
            </w:r>
            <w:r w:rsidR="00B958B1" w:rsidRPr="007660C2">
              <w:rPr>
                <w:lang w:eastAsia="en-AU"/>
              </w:rPr>
              <w:t>19.7</w:t>
            </w:r>
          </w:p>
        </w:tc>
        <w:tc>
          <w:tcPr>
            <w:tcW w:w="850" w:type="dxa"/>
            <w:gridSpan w:val="4"/>
            <w:tcBorders>
              <w:top w:val="single" w:sz="6" w:space="0" w:color="auto"/>
              <w:left w:val="nil"/>
              <w:bottom w:val="single" w:sz="6" w:space="0" w:color="auto"/>
              <w:right w:val="nil"/>
            </w:tcBorders>
            <w:shd w:val="solid" w:color="FFFFFF" w:fill="auto"/>
          </w:tcPr>
          <w:p w:rsidR="00B958B1" w:rsidRPr="007660C2" w:rsidRDefault="009F0F49" w:rsidP="009F3B54">
            <w:pPr>
              <w:pStyle w:val="TableofFigures"/>
              <w:rPr>
                <w:lang w:eastAsia="en-AU"/>
              </w:rPr>
            </w:pPr>
            <w:r>
              <w:rPr>
                <w:lang w:eastAsia="en-AU"/>
              </w:rPr>
              <w:noBreakHyphen/>
            </w:r>
            <w:r w:rsidR="00B958B1" w:rsidRPr="007660C2">
              <w:rPr>
                <w:lang w:eastAsia="en-AU"/>
              </w:rPr>
              <w:t>18.9</w:t>
            </w:r>
          </w:p>
        </w:tc>
        <w:tc>
          <w:tcPr>
            <w:tcW w:w="851" w:type="dxa"/>
            <w:gridSpan w:val="9"/>
            <w:tcBorders>
              <w:top w:val="single" w:sz="6" w:space="0" w:color="auto"/>
              <w:left w:val="nil"/>
              <w:bottom w:val="single" w:sz="6" w:space="0" w:color="auto"/>
              <w:right w:val="nil"/>
            </w:tcBorders>
            <w:shd w:val="solid" w:color="FFFFFF" w:fill="auto"/>
          </w:tcPr>
          <w:p w:rsidR="00B958B1" w:rsidRPr="007660C2" w:rsidRDefault="009F0F49" w:rsidP="009F3B54">
            <w:pPr>
              <w:pStyle w:val="TableofFigures"/>
              <w:rPr>
                <w:lang w:eastAsia="en-AU"/>
              </w:rPr>
            </w:pPr>
            <w:r>
              <w:rPr>
                <w:lang w:eastAsia="en-AU"/>
              </w:rPr>
              <w:noBreakHyphen/>
            </w:r>
            <w:r w:rsidR="00B958B1" w:rsidRPr="007660C2">
              <w:rPr>
                <w:lang w:eastAsia="en-AU"/>
              </w:rPr>
              <w:t>7.6</w:t>
            </w:r>
          </w:p>
        </w:tc>
      </w:tr>
      <w:tr w:rsidR="00B958B1" w:rsidRPr="007660C2" w:rsidTr="009F3B54">
        <w:trPr>
          <w:gridAfter w:val="5"/>
          <w:wAfter w:w="508" w:type="dxa"/>
        </w:trPr>
        <w:tc>
          <w:tcPr>
            <w:tcW w:w="3524" w:type="dxa"/>
            <w:tcBorders>
              <w:top w:val="single" w:sz="6" w:space="0" w:color="auto"/>
              <w:left w:val="nil"/>
              <w:bottom w:val="single" w:sz="12" w:space="0" w:color="auto"/>
              <w:right w:val="nil"/>
            </w:tcBorders>
          </w:tcPr>
          <w:p w:rsidR="00B958B1" w:rsidRPr="007660C2" w:rsidRDefault="00B958B1" w:rsidP="009F3B54">
            <w:pPr>
              <w:pStyle w:val="Tabletext"/>
              <w:rPr>
                <w:b/>
                <w:bCs/>
                <w:lang w:eastAsia="en-AU"/>
              </w:rPr>
            </w:pPr>
            <w:r w:rsidRPr="007660C2">
              <w:rPr>
                <w:b/>
                <w:bCs/>
                <w:lang w:eastAsia="en-AU"/>
              </w:rPr>
              <w:t>Total output initiatives</w:t>
            </w:r>
          </w:p>
        </w:tc>
        <w:tc>
          <w:tcPr>
            <w:tcW w:w="850" w:type="dxa"/>
            <w:gridSpan w:val="3"/>
            <w:tcBorders>
              <w:top w:val="single" w:sz="6" w:space="0" w:color="auto"/>
              <w:left w:val="nil"/>
              <w:bottom w:val="single" w:sz="12" w:space="0" w:color="auto"/>
              <w:right w:val="nil"/>
            </w:tcBorders>
            <w:shd w:val="solid" w:color="FFFFFF" w:fill="auto"/>
          </w:tcPr>
          <w:p w:rsidR="00B958B1" w:rsidRPr="007660C2" w:rsidRDefault="00B958B1" w:rsidP="009F3B54">
            <w:pPr>
              <w:pStyle w:val="TableofFigures"/>
              <w:rPr>
                <w:b/>
                <w:bCs/>
                <w:lang w:eastAsia="en-AU"/>
              </w:rPr>
            </w:pPr>
            <w:r w:rsidRPr="007660C2">
              <w:rPr>
                <w:b/>
                <w:bCs/>
                <w:lang w:eastAsia="en-AU"/>
              </w:rPr>
              <w:t>0.2</w:t>
            </w:r>
          </w:p>
        </w:tc>
        <w:tc>
          <w:tcPr>
            <w:tcW w:w="850" w:type="dxa"/>
            <w:tcBorders>
              <w:top w:val="single" w:sz="6" w:space="0" w:color="auto"/>
              <w:left w:val="nil"/>
              <w:bottom w:val="single" w:sz="12" w:space="0" w:color="auto"/>
              <w:right w:val="nil"/>
            </w:tcBorders>
            <w:shd w:val="solid" w:color="FFFFFF" w:fill="auto"/>
          </w:tcPr>
          <w:p w:rsidR="00B958B1" w:rsidRPr="007660C2" w:rsidRDefault="00B958B1" w:rsidP="009F3B54">
            <w:pPr>
              <w:pStyle w:val="TableofFigures"/>
              <w:rPr>
                <w:b/>
                <w:bCs/>
                <w:lang w:eastAsia="en-AU"/>
              </w:rPr>
            </w:pPr>
            <w:r w:rsidRPr="007660C2">
              <w:rPr>
                <w:b/>
                <w:bCs/>
                <w:lang w:eastAsia="en-AU"/>
              </w:rPr>
              <w:t>18.5</w:t>
            </w:r>
          </w:p>
        </w:tc>
        <w:tc>
          <w:tcPr>
            <w:tcW w:w="851" w:type="dxa"/>
            <w:tcBorders>
              <w:top w:val="single" w:sz="6" w:space="0" w:color="auto"/>
              <w:left w:val="nil"/>
              <w:bottom w:val="single" w:sz="12" w:space="0" w:color="auto"/>
              <w:right w:val="nil"/>
            </w:tcBorders>
            <w:shd w:val="solid" w:color="FFFFFF" w:fill="auto"/>
          </w:tcPr>
          <w:p w:rsidR="00B958B1" w:rsidRPr="007660C2" w:rsidRDefault="00B958B1" w:rsidP="009F3B54">
            <w:pPr>
              <w:pStyle w:val="TableofFigures"/>
              <w:rPr>
                <w:b/>
                <w:bCs/>
                <w:lang w:eastAsia="en-AU"/>
              </w:rPr>
            </w:pPr>
            <w:r w:rsidRPr="007660C2">
              <w:rPr>
                <w:b/>
                <w:bCs/>
                <w:lang w:eastAsia="en-AU"/>
              </w:rPr>
              <w:t>32.5</w:t>
            </w:r>
          </w:p>
        </w:tc>
        <w:tc>
          <w:tcPr>
            <w:tcW w:w="850" w:type="dxa"/>
            <w:gridSpan w:val="4"/>
            <w:tcBorders>
              <w:top w:val="single" w:sz="6" w:space="0" w:color="auto"/>
              <w:left w:val="nil"/>
              <w:bottom w:val="single" w:sz="12" w:space="0" w:color="auto"/>
              <w:right w:val="nil"/>
            </w:tcBorders>
            <w:shd w:val="solid" w:color="FFFFFF" w:fill="auto"/>
          </w:tcPr>
          <w:p w:rsidR="00B958B1" w:rsidRPr="007660C2" w:rsidRDefault="00B958B1" w:rsidP="009F3B54">
            <w:pPr>
              <w:pStyle w:val="TableofFigures"/>
              <w:rPr>
                <w:b/>
                <w:bCs/>
                <w:lang w:eastAsia="en-AU"/>
              </w:rPr>
            </w:pPr>
            <w:r w:rsidRPr="007660C2">
              <w:rPr>
                <w:b/>
                <w:bCs/>
                <w:lang w:eastAsia="en-AU"/>
              </w:rPr>
              <w:t>3.3</w:t>
            </w:r>
          </w:p>
        </w:tc>
        <w:tc>
          <w:tcPr>
            <w:tcW w:w="851" w:type="dxa"/>
            <w:gridSpan w:val="9"/>
            <w:tcBorders>
              <w:top w:val="single" w:sz="6" w:space="0" w:color="auto"/>
              <w:left w:val="nil"/>
              <w:bottom w:val="single" w:sz="12" w:space="0" w:color="auto"/>
              <w:right w:val="nil"/>
            </w:tcBorders>
            <w:shd w:val="solid" w:color="FFFFFF" w:fill="auto"/>
          </w:tcPr>
          <w:p w:rsidR="00B958B1" w:rsidRPr="007660C2" w:rsidRDefault="00B958B1" w:rsidP="009F3B54">
            <w:pPr>
              <w:pStyle w:val="TableofFigures"/>
              <w:rPr>
                <w:b/>
                <w:bCs/>
                <w:lang w:eastAsia="en-AU"/>
              </w:rPr>
            </w:pPr>
            <w:r w:rsidRPr="007660C2">
              <w:rPr>
                <w:b/>
                <w:bCs/>
                <w:lang w:eastAsia="en-AU"/>
              </w:rPr>
              <w:t>2.7</w:t>
            </w:r>
          </w:p>
        </w:tc>
      </w:tr>
    </w:tbl>
    <w:p w:rsidR="00B958B1" w:rsidRDefault="00B958B1" w:rsidP="009F3B54">
      <w:pPr>
        <w:pStyle w:val="Source"/>
      </w:pPr>
      <w:r w:rsidRPr="00A20936">
        <w:t>Source: Department of Treasury and Finance</w:t>
      </w:r>
      <w:r>
        <w:t xml:space="preserve"> </w:t>
      </w:r>
      <w:r>
        <w:fldChar w:fldCharType="begin"/>
      </w:r>
      <w:r>
        <w:instrText xml:space="preserve"> XE "</w:instrText>
      </w:r>
      <w:r w:rsidRPr="00C1268A">
        <w:instrText>Department of Environment and Primary Industries:Parks</w:instrText>
      </w:r>
      <w:r>
        <w:instrText xml:space="preserve">" \r "BP3Ch1DEPIParksnWater" </w:instrText>
      </w:r>
      <w:r>
        <w:fldChar w:fldCharType="end"/>
      </w:r>
      <w:r>
        <w:fldChar w:fldCharType="begin"/>
      </w:r>
      <w:r>
        <w:instrText xml:space="preserve"> XE "</w:instrText>
      </w:r>
      <w:r w:rsidRPr="000E1996">
        <w:instrText>Department of Environment and Primary Industries:Water</w:instrText>
      </w:r>
      <w:r>
        <w:instrText xml:space="preserve">" </w:instrText>
      </w:r>
      <w:r>
        <w:fldChar w:fldCharType="end"/>
      </w:r>
      <w:r>
        <w:fldChar w:fldCharType="begin"/>
      </w:r>
      <w:r>
        <w:instrText xml:space="preserve"> XE "</w:instrText>
      </w:r>
      <w:r w:rsidRPr="000E1996">
        <w:instrText>Department of Environment and Primary Industries:</w:instrText>
      </w:r>
      <w:r>
        <w:instrText xml:space="preserve">Environment" </w:instrText>
      </w:r>
      <w:r>
        <w:fldChar w:fldCharType="end"/>
      </w:r>
      <w:r>
        <w:fldChar w:fldCharType="begin"/>
      </w:r>
      <w:r>
        <w:instrText xml:space="preserve"> XE "</w:instrText>
      </w:r>
      <w:r w:rsidRPr="000E1996">
        <w:instrText>Department of Environment and Primary Industries:</w:instrText>
      </w:r>
      <w:r>
        <w:instrText xml:space="preserve">Bushfire" </w:instrText>
      </w:r>
      <w:r>
        <w:fldChar w:fldCharType="end"/>
      </w:r>
      <w:r>
        <w:fldChar w:fldCharType="begin"/>
      </w:r>
      <w:r>
        <w:instrText xml:space="preserve"> XE "</w:instrText>
      </w:r>
      <w:r w:rsidRPr="000E1996">
        <w:instrText>Department of Environment and Primary Industries:</w:instrText>
      </w:r>
      <w:r>
        <w:instrText xml:space="preserve">Parks" </w:instrText>
      </w:r>
      <w:r>
        <w:fldChar w:fldCharType="end"/>
      </w:r>
    </w:p>
    <w:p w:rsidR="00B958B1" w:rsidRPr="007C29DA" w:rsidRDefault="00B958B1" w:rsidP="009F3B54">
      <w:pPr>
        <w:pStyle w:val="Notes"/>
      </w:pPr>
    </w:p>
    <w:bookmarkEnd w:id="17"/>
    <w:p w:rsidR="00B958B1" w:rsidRDefault="00B958B1" w:rsidP="009F3B54">
      <w:pPr>
        <w:pStyle w:val="Heading4"/>
        <w:rPr>
          <w:lang w:eastAsia="en-AU"/>
        </w:rPr>
      </w:pPr>
      <w:r>
        <w:rPr>
          <w:lang w:eastAsia="en-AU"/>
        </w:rPr>
        <w:br w:type="page"/>
      </w:r>
      <w:r w:rsidRPr="00A46A56">
        <w:rPr>
          <w:lang w:eastAsia="en-AU"/>
        </w:rPr>
        <w:lastRenderedPageBreak/>
        <w:t>Development of Primary Industries</w:t>
      </w:r>
    </w:p>
    <w:p w:rsidR="00B958B1" w:rsidRDefault="00B958B1" w:rsidP="009F3B54">
      <w:pPr>
        <w:pStyle w:val="Heading5"/>
      </w:pPr>
      <w:bookmarkStart w:id="19" w:name="BP3Ch1DEPIDvpmntPrimInd"/>
      <w:r>
        <w:t>A New Game Management Authority for Victoria</w:t>
      </w:r>
    </w:p>
    <w:p w:rsidR="00B958B1" w:rsidRDefault="00B958B1" w:rsidP="009F3B54">
      <w:r>
        <w:t xml:space="preserve">An independent Game Management Authority will be established to improve the effectiveness of game species management and administration as well as the enforcement of game hunting and associated laws, and the promotion of responsible hunting. </w:t>
      </w:r>
      <w:r w:rsidRPr="00E61E96">
        <w:rPr>
          <w:lang w:eastAsia="en-AU"/>
        </w:rPr>
        <w:t>This initiative delivers on the Government</w:t>
      </w:r>
      <w:r>
        <w:rPr>
          <w:lang w:eastAsia="en-AU"/>
        </w:rPr>
        <w:t>’</w:t>
      </w:r>
      <w:r w:rsidRPr="00E61E96">
        <w:rPr>
          <w:lang w:eastAsia="en-AU"/>
        </w:rPr>
        <w:t>s election commitment.</w:t>
      </w:r>
    </w:p>
    <w:p w:rsidR="00B958B1" w:rsidRDefault="00B958B1" w:rsidP="009F3B54">
      <w:r>
        <w:t>This initiative contributes to the Department of Environment and Primary Industries’ Development of Primary Industries output.</w:t>
      </w:r>
    </w:p>
    <w:p w:rsidR="00B958B1" w:rsidRDefault="00B958B1" w:rsidP="009F3B54">
      <w:pPr>
        <w:pStyle w:val="Heading5"/>
      </w:pPr>
      <w:r>
        <w:t>Foot</w:t>
      </w:r>
      <w:r w:rsidR="009F0F49">
        <w:noBreakHyphen/>
      </w:r>
      <w:r>
        <w:t>and</w:t>
      </w:r>
      <w:r w:rsidR="009F0F49">
        <w:noBreakHyphen/>
      </w:r>
      <w:r>
        <w:t>mouth disease preparedness</w:t>
      </w:r>
    </w:p>
    <w:p w:rsidR="00B958B1" w:rsidRDefault="00B958B1" w:rsidP="009F3B54">
      <w:r>
        <w:t>Measures will be implemented to better prepare Victoria for outbreaks of foot</w:t>
      </w:r>
      <w:r w:rsidR="009F0F49">
        <w:noBreakHyphen/>
      </w:r>
      <w:r>
        <w:t>and</w:t>
      </w:r>
      <w:r w:rsidR="009F0F49">
        <w:noBreakHyphen/>
      </w:r>
      <w:r>
        <w:t xml:space="preserve">mouth disease. This initiative will respond to a number of urgent issues raised in the Matthews report, </w:t>
      </w:r>
      <w:r w:rsidRPr="00652FCA">
        <w:rPr>
          <w:i/>
        </w:rPr>
        <w:t>A review of Australia’s preparedness for the threat of foot and mouth disease</w:t>
      </w:r>
      <w:r w:rsidRPr="00F368E9">
        <w:t>,</w:t>
      </w:r>
      <w:r>
        <w:t xml:space="preserve"> including improving disease surveillance and detection, and goat and sheep traceability.</w:t>
      </w:r>
    </w:p>
    <w:p w:rsidR="00B958B1" w:rsidRDefault="00B958B1" w:rsidP="009F3B54">
      <w:r>
        <w:t>This initiative contributes to the Department of Environment and Primary Industries’ Development of Primary Industries output.</w:t>
      </w:r>
    </w:p>
    <w:p w:rsidR="00B958B1" w:rsidRDefault="00B958B1" w:rsidP="009F3B54">
      <w:pPr>
        <w:pStyle w:val="Heading5"/>
      </w:pPr>
      <w:r>
        <w:t>Rural Financial Counselling Service</w:t>
      </w:r>
    </w:p>
    <w:p w:rsidR="00B958B1" w:rsidRDefault="00B958B1" w:rsidP="009F3B54">
      <w:r>
        <w:t>Financial counselling will continue to be provided to primary producers and small rural businesses suffering financial hardship to assist them in managing the challenges of industry change and adjustment, improve financial self</w:t>
      </w:r>
      <w:r w:rsidR="009F0F49">
        <w:noBreakHyphen/>
      </w:r>
      <w:r>
        <w:t>reliance and facilitate adjustment in the agricultural sector.</w:t>
      </w:r>
    </w:p>
    <w:p w:rsidR="00B958B1" w:rsidRDefault="00B958B1" w:rsidP="009F3B54">
      <w:r>
        <w:t>This initiative contributes to the Department of Environment and Primary Industries’ Development of Primary Industries output</w:t>
      </w:r>
      <w:bookmarkEnd w:id="19"/>
      <w:r>
        <w:fldChar w:fldCharType="begin"/>
      </w:r>
      <w:r>
        <w:instrText xml:space="preserve"> XE "</w:instrText>
      </w:r>
      <w:r w:rsidRPr="004B4FFD">
        <w:instrText>Department of Environment and Primary Industries:Development of Primary Industries</w:instrText>
      </w:r>
      <w:r>
        <w:instrText xml:space="preserve">" \r "BP3Ch1DEPIDvpmntPrimInd" </w:instrText>
      </w:r>
      <w:r>
        <w:fldChar w:fldCharType="end"/>
      </w:r>
      <w:r>
        <w:fldChar w:fldCharType="begin"/>
      </w:r>
      <w:r>
        <w:instrText xml:space="preserve"> XE "</w:instrText>
      </w:r>
      <w:r w:rsidRPr="001902E6">
        <w:instrText>Development of Primary Industries</w:instrText>
      </w:r>
      <w:r>
        <w:instrText xml:space="preserve">" \r "BP3Ch1DEPIDvpmntPrimInd" </w:instrText>
      </w:r>
      <w:r>
        <w:fldChar w:fldCharType="end"/>
      </w:r>
    </w:p>
    <w:p w:rsidR="00B958B1" w:rsidRPr="00315DE4" w:rsidRDefault="00B958B1" w:rsidP="009F3B54">
      <w:pPr>
        <w:pStyle w:val="Heading4"/>
        <w:rPr>
          <w:lang w:eastAsia="en-AU"/>
        </w:rPr>
      </w:pPr>
      <w:bookmarkStart w:id="20" w:name="BP3Ch1DEPIEffecEnrionInvestRegu"/>
      <w:r w:rsidRPr="00315DE4">
        <w:rPr>
          <w:lang w:eastAsia="en-AU"/>
        </w:rPr>
        <w:t xml:space="preserve">Effective Environmental and </w:t>
      </w:r>
      <w:r>
        <w:rPr>
          <w:lang w:eastAsia="en-AU"/>
        </w:rPr>
        <w:t>Adaptation</w:t>
      </w:r>
      <w:r w:rsidRPr="00315DE4">
        <w:rPr>
          <w:lang w:eastAsia="en-AU"/>
        </w:rPr>
        <w:t xml:space="preserve"> Policy, Investment and Regulation</w:t>
      </w:r>
      <w:r>
        <w:rPr>
          <w:lang w:eastAsia="en-AU"/>
        </w:rPr>
        <w:t>s</w:t>
      </w:r>
    </w:p>
    <w:p w:rsidR="00B958B1" w:rsidRPr="009C3F1E" w:rsidRDefault="00B958B1" w:rsidP="009F3B54">
      <w:pPr>
        <w:pStyle w:val="Heading5"/>
      </w:pPr>
      <w:r w:rsidRPr="009C3F1E">
        <w:t>A Cleaner Yarra River and Port Phillip Bay</w:t>
      </w:r>
    </w:p>
    <w:p w:rsidR="00B958B1" w:rsidRPr="009C3F1E" w:rsidRDefault="00B958B1" w:rsidP="009F3B54">
      <w:r>
        <w:fldChar w:fldCharType="begin"/>
      </w:r>
      <w:r>
        <w:instrText xml:space="preserve"> XE "</w:instrText>
      </w:r>
      <w:r w:rsidRPr="009E53A6">
        <w:instrText>Environment</w:instrText>
      </w:r>
      <w:r>
        <w:instrText xml:space="preserve">" </w:instrText>
      </w:r>
      <w:r>
        <w:fldChar w:fldCharType="end"/>
      </w:r>
      <w:r w:rsidRPr="009C3F1E">
        <w:t>Communities</w:t>
      </w:r>
      <w:r>
        <w:fldChar w:fldCharType="begin"/>
      </w:r>
      <w:r>
        <w:instrText xml:space="preserve"> XE "</w:instrText>
      </w:r>
      <w:r w:rsidRPr="009E53A6">
        <w:instrText>Communities</w:instrText>
      </w:r>
      <w:r>
        <w:instrText xml:space="preserve">" </w:instrText>
      </w:r>
      <w:r>
        <w:fldChar w:fldCharType="end"/>
      </w:r>
      <w:r w:rsidRPr="009C3F1E">
        <w:t>, local government</w:t>
      </w:r>
      <w:r>
        <w:fldChar w:fldCharType="begin"/>
      </w:r>
      <w:r>
        <w:instrText xml:space="preserve"> XE "</w:instrText>
      </w:r>
      <w:r w:rsidRPr="009E53A6">
        <w:instrText>Local government</w:instrText>
      </w:r>
      <w:r>
        <w:instrText xml:space="preserve">" </w:instrText>
      </w:r>
      <w:r>
        <w:fldChar w:fldCharType="end"/>
      </w:r>
      <w:r w:rsidRPr="009C3F1E">
        <w:t xml:space="preserve"> and businesses will be engaged to help protect and improve the health of the Yarra River and Port Phillip Bay and practical partnerships for on</w:t>
      </w:r>
      <w:r w:rsidR="009F0F49">
        <w:noBreakHyphen/>
      </w:r>
      <w:r w:rsidRPr="009C3F1E">
        <w:t>ground action. This program will accelerate the implementation of the Government’s Cleaner Yarra River and Port Phillip Bay Action Plan.</w:t>
      </w:r>
    </w:p>
    <w:p w:rsidR="00B958B1" w:rsidRPr="009C3F1E" w:rsidRDefault="00B958B1" w:rsidP="009F3B54">
      <w:r w:rsidRPr="009C3F1E">
        <w:t>This initiative contributes to the Department of Environment and Primary Industries’ Environmental Policy output.</w:t>
      </w:r>
    </w:p>
    <w:p w:rsidR="00B958B1" w:rsidRPr="009C3F1E" w:rsidRDefault="00B958B1" w:rsidP="009F3B54">
      <w:pPr>
        <w:pStyle w:val="Heading5"/>
      </w:pPr>
      <w:r w:rsidRPr="009C3F1E">
        <w:t>Environmental partnerships: supporting native vegetation and threatened species</w:t>
      </w:r>
    </w:p>
    <w:p w:rsidR="00B958B1" w:rsidRPr="009C3F1E" w:rsidRDefault="00B958B1" w:rsidP="009F3B54">
      <w:r>
        <w:fldChar w:fldCharType="begin"/>
      </w:r>
      <w:r>
        <w:instrText xml:space="preserve"> XE "</w:instrText>
      </w:r>
      <w:r w:rsidRPr="009E53A6">
        <w:instrText>Environment</w:instrText>
      </w:r>
      <w:r>
        <w:instrText xml:space="preserve">" </w:instrText>
      </w:r>
      <w:r>
        <w:fldChar w:fldCharType="end"/>
      </w:r>
      <w:r w:rsidRPr="009C3F1E">
        <w:t xml:space="preserve">This program will enable the Government to better account for the changes in the condition of its environmental assets, status of critically threatened species and native vegetation by providing grants to landholders and regional organisations. It will also pilot a new approach to natural resource management. </w:t>
      </w:r>
    </w:p>
    <w:p w:rsidR="00B958B1" w:rsidRPr="009C3F1E" w:rsidRDefault="00B958B1" w:rsidP="009F3B54">
      <w:r w:rsidRPr="009C3F1E">
        <w:lastRenderedPageBreak/>
        <w:t>This initiative contributes to the Department of Environment and Primary Industries’ Environmental Programs output.</w:t>
      </w:r>
    </w:p>
    <w:p w:rsidR="00B958B1" w:rsidRPr="009C3F1E" w:rsidRDefault="00B958B1" w:rsidP="009F3B54">
      <w:pPr>
        <w:pStyle w:val="Heading5"/>
      </w:pPr>
      <w:r>
        <w:t>Getting Full Value: Victoria’s Waste and Resource Recovery Policy</w:t>
      </w:r>
    </w:p>
    <w:p w:rsidR="00B958B1" w:rsidRPr="009C3F1E" w:rsidRDefault="00B958B1" w:rsidP="009F3B54">
      <w:r>
        <w:t xml:space="preserve">Implementation of </w:t>
      </w:r>
      <w:r w:rsidRPr="009C3F1E">
        <w:t>Getting Full Value</w:t>
      </w:r>
      <w:r>
        <w:t>: Victoria’s Waste and Resource Recovery Policy</w:t>
      </w:r>
      <w:r w:rsidRPr="009C3F1E">
        <w:t xml:space="preserve"> will address key issues associated with waste. This includes improving the coordination of waste management infrastructure, improving the environmental performance of landfills and expanding the successful illegal dumping strike force and litter prevention officers program.</w:t>
      </w:r>
    </w:p>
    <w:p w:rsidR="00B958B1" w:rsidRPr="009C3F1E" w:rsidRDefault="00B958B1" w:rsidP="009F3B54">
      <w:r w:rsidRPr="009C3F1E">
        <w:t>This initiative contributes to the Department of Environment and Primary Industries’ Environmental Policy output.</w:t>
      </w:r>
      <w:bookmarkEnd w:id="20"/>
      <w:r>
        <w:fldChar w:fldCharType="begin"/>
      </w:r>
      <w:r>
        <w:instrText xml:space="preserve"> XE "</w:instrText>
      </w:r>
      <w:r w:rsidRPr="00B95505">
        <w:rPr>
          <w:lang w:eastAsia="en-AU"/>
        </w:rPr>
        <w:instrText>Department of Environment and Primary Industries</w:instrText>
      </w:r>
      <w:r w:rsidRPr="00B95505">
        <w:instrText>:Effective Environmental and Adaptation Policy, Investment and Regulations</w:instrText>
      </w:r>
      <w:r>
        <w:instrText xml:space="preserve">" \r "BP3Ch1DEPIEffecEnrionInvestRegu" </w:instrText>
      </w:r>
      <w:r>
        <w:fldChar w:fldCharType="end"/>
      </w:r>
      <w:r>
        <w:fldChar w:fldCharType="begin"/>
      </w:r>
      <w:r>
        <w:instrText xml:space="preserve"> XE "</w:instrText>
      </w:r>
      <w:r w:rsidRPr="001902E6">
        <w:instrText>Effective Environmental and Adaptation Policy, Investment and Regulations</w:instrText>
      </w:r>
      <w:r>
        <w:instrText xml:space="preserve">" \r "BP3Ch1DEPIEffecEnrionInvestRegu" </w:instrText>
      </w:r>
      <w:r>
        <w:fldChar w:fldCharType="end"/>
      </w:r>
    </w:p>
    <w:p w:rsidR="00B958B1" w:rsidRPr="00824AB1" w:rsidRDefault="00B958B1" w:rsidP="009F3B54">
      <w:pPr>
        <w:pStyle w:val="Heading4"/>
        <w:rPr>
          <w:lang w:eastAsia="en-AU"/>
        </w:rPr>
      </w:pPr>
      <w:bookmarkStart w:id="21" w:name="BP3Ch1DEPIEffectWaterMgmnt"/>
      <w:r w:rsidRPr="009C3F1E">
        <w:rPr>
          <w:lang w:eastAsia="en-AU"/>
        </w:rPr>
        <w:t xml:space="preserve">Effective Management of Water Resources to meet Future Urban, Rural and Environmental </w:t>
      </w:r>
      <w:r>
        <w:rPr>
          <w:lang w:eastAsia="en-AU"/>
        </w:rPr>
        <w:t>N</w:t>
      </w:r>
      <w:r w:rsidRPr="009C3F1E">
        <w:rPr>
          <w:lang w:eastAsia="en-AU"/>
        </w:rPr>
        <w:t>eeds</w:t>
      </w:r>
    </w:p>
    <w:p w:rsidR="00B958B1" w:rsidRDefault="00B958B1" w:rsidP="009F3B54">
      <w:pPr>
        <w:pStyle w:val="Heading5"/>
      </w:pPr>
      <w:r>
        <w:t>Basin Plan modelling</w:t>
      </w:r>
    </w:p>
    <w:p w:rsidR="00B958B1" w:rsidRDefault="00B958B1" w:rsidP="009F3B54">
      <w:r>
        <w:fldChar w:fldCharType="begin"/>
      </w:r>
      <w:r>
        <w:instrText xml:space="preserve"> XE "</w:instrText>
      </w:r>
      <w:r w:rsidRPr="009E53A6">
        <w:instrText>Water</w:instrText>
      </w:r>
      <w:r>
        <w:instrText xml:space="preserve">" </w:instrText>
      </w:r>
      <w:r>
        <w:fldChar w:fldCharType="end"/>
      </w:r>
      <w:r>
        <w:t xml:space="preserve">This program will minimise the complexity of Victoria’s water sharing arrangements under the Basin Plan. It will also provide improved confidence in Victoria’s compliance and accountability measures in managing water entitlements. </w:t>
      </w:r>
    </w:p>
    <w:p w:rsidR="00B958B1" w:rsidRDefault="00B958B1" w:rsidP="009F3B54">
      <w:r>
        <w:t>This initiative contributes to the Department of Environment and Primary Industries’ Effective Water Management and Supply output.</w:t>
      </w:r>
    </w:p>
    <w:p w:rsidR="00B958B1" w:rsidRPr="009C3F1E" w:rsidRDefault="00B958B1" w:rsidP="009F3B54">
      <w:pPr>
        <w:pStyle w:val="Heading5"/>
      </w:pPr>
      <w:r w:rsidRPr="009C3F1E">
        <w:t>Flood resilient communities and catchments</w:t>
      </w:r>
    </w:p>
    <w:p w:rsidR="00B958B1" w:rsidRPr="009C3F1E" w:rsidRDefault="00B958B1" w:rsidP="009F3B54">
      <w:r>
        <w:fldChar w:fldCharType="begin"/>
      </w:r>
      <w:r>
        <w:instrText xml:space="preserve"> XE "</w:instrText>
      </w:r>
      <w:r w:rsidRPr="009E53A6">
        <w:instrText>Communities</w:instrText>
      </w:r>
      <w:r>
        <w:instrText xml:space="preserve">" </w:instrText>
      </w:r>
      <w:r>
        <w:fldChar w:fldCharType="end"/>
      </w:r>
      <w:r w:rsidRPr="009C3F1E">
        <w:t xml:space="preserve">This program provides funding towards flood mitigation works. Works include development of the State Flood Management Strategy and commencing better flood information mapping for priority rural areas. </w:t>
      </w:r>
    </w:p>
    <w:p w:rsidR="00B958B1" w:rsidRPr="009C3F1E" w:rsidRDefault="00B958B1" w:rsidP="009F3B54">
      <w:r w:rsidRPr="009C3F1E">
        <w:t>This initiative contributes to the Department of Environment and Primary Industries’ Effective Water Management and Supply output.</w:t>
      </w:r>
    </w:p>
    <w:p w:rsidR="00B958B1" w:rsidRPr="009C3F1E" w:rsidRDefault="00B958B1" w:rsidP="009F3B54">
      <w:pPr>
        <w:pStyle w:val="Heading5"/>
      </w:pPr>
      <w:r w:rsidRPr="009C3F1E">
        <w:t>Macalister Irrigation District 2030</w:t>
      </w:r>
    </w:p>
    <w:p w:rsidR="00B958B1" w:rsidRPr="009C3F1E" w:rsidRDefault="00B958B1" w:rsidP="009F3B54">
      <w:r w:rsidRPr="009C3F1E">
        <w:t>Refer to the asset initiative for a description of this initiative.</w:t>
      </w:r>
    </w:p>
    <w:p w:rsidR="00B958B1" w:rsidRPr="009C3F1E" w:rsidRDefault="00B958B1" w:rsidP="009F3B54">
      <w:pPr>
        <w:pStyle w:val="Heading5"/>
      </w:pPr>
      <w:r w:rsidRPr="009C3F1E">
        <w:t>Office of Living Victoria</w:t>
      </w:r>
    </w:p>
    <w:p w:rsidR="00B958B1" w:rsidRPr="009C3F1E" w:rsidRDefault="00B958B1" w:rsidP="009F3B54">
      <w:r w:rsidRPr="009C3F1E">
        <w:t xml:space="preserve">This program will focus on delivering Victoria’s water cycle reform as articulated by the Living Melbourne, Living Victoria policy. This program will embed generational water cycle reform in Victoria. </w:t>
      </w:r>
    </w:p>
    <w:p w:rsidR="00B958B1" w:rsidRDefault="00B958B1" w:rsidP="009F3B54">
      <w:r w:rsidRPr="009C3F1E">
        <w:t>This initiative contributes to the Department of Environment and Primary Industries’ Effective Water Management and Supply output</w:t>
      </w:r>
      <w:r>
        <w:t>.</w:t>
      </w:r>
      <w:bookmarkEnd w:id="21"/>
    </w:p>
    <w:p w:rsidR="00B958B1" w:rsidRDefault="00B958B1" w:rsidP="009F3B54">
      <w:pPr>
        <w:pStyle w:val="Heading5"/>
      </w:pPr>
      <w:r>
        <w:t>The Murray</w:t>
      </w:r>
      <w:r w:rsidR="009F0F49">
        <w:noBreakHyphen/>
      </w:r>
      <w:r>
        <w:t>Darling Basin Authority</w:t>
      </w:r>
    </w:p>
    <w:p w:rsidR="00B958B1" w:rsidRDefault="00B958B1" w:rsidP="009F3B54">
      <w:r>
        <w:t>Victoria will continue to meet its commitment to provide a contribution towards the annual operating costs of the Murray</w:t>
      </w:r>
      <w:r w:rsidR="009F0F49">
        <w:noBreakHyphen/>
      </w:r>
      <w:r>
        <w:t xml:space="preserve">Darling Basin Authority. </w:t>
      </w:r>
    </w:p>
    <w:p w:rsidR="00B958B1" w:rsidRDefault="00B958B1" w:rsidP="009F3B54">
      <w:r>
        <w:lastRenderedPageBreak/>
        <w:t>This initiative contributes to the Department of Environment and Primary Industries’ Effective Water Management and Supply output.</w:t>
      </w:r>
      <w:r>
        <w:fldChar w:fldCharType="begin"/>
      </w:r>
      <w:r>
        <w:instrText xml:space="preserve"> XE "</w:instrText>
      </w:r>
      <w:r w:rsidRPr="001902E6">
        <w:rPr>
          <w:lang w:eastAsia="en-AU"/>
        </w:rPr>
        <w:instrText>Effective Management of Water Resources to meet Future Urban, Rural and Environmental Needs</w:instrText>
      </w:r>
      <w:r>
        <w:instrText xml:space="preserve">" \r "BP3Ch1DEPIEffectWaterMgmnt" </w:instrText>
      </w:r>
      <w:r>
        <w:fldChar w:fldCharType="end"/>
      </w:r>
      <w:r>
        <w:t>.</w:t>
      </w:r>
      <w:r>
        <w:fldChar w:fldCharType="begin"/>
      </w:r>
      <w:r>
        <w:instrText xml:space="preserve"> XE "</w:instrText>
      </w:r>
      <w:r w:rsidRPr="00B95505">
        <w:rPr>
          <w:lang w:eastAsia="en-AU"/>
        </w:rPr>
        <w:instrText>Department of Environment and Primary Industries</w:instrText>
      </w:r>
      <w:r w:rsidRPr="00B95505">
        <w:instrText>:</w:instrText>
      </w:r>
      <w:r w:rsidRPr="001902E6">
        <w:rPr>
          <w:lang w:eastAsia="en-AU"/>
        </w:rPr>
        <w:instrText>Effective Management of Water Resources to meet Future Urban, Rural and Environmental Needs</w:instrText>
      </w:r>
      <w:r>
        <w:instrText xml:space="preserve">" \r "BP3Ch1DEPIEffectWaterMgmnt" </w:instrText>
      </w:r>
      <w:r>
        <w:fldChar w:fldCharType="end"/>
      </w:r>
    </w:p>
    <w:p w:rsidR="00B958B1" w:rsidRPr="009C3F1E" w:rsidRDefault="00B958B1" w:rsidP="009F3B54">
      <w:pPr>
        <w:pStyle w:val="Heading4"/>
        <w:rPr>
          <w:lang w:eastAsia="en-AU"/>
        </w:rPr>
      </w:pPr>
      <w:bookmarkStart w:id="22" w:name="BP3Ch1DEPIRedImpBushfire"/>
      <w:r>
        <w:rPr>
          <w:lang w:eastAsia="en-AU"/>
        </w:rPr>
        <w:t xml:space="preserve">Reduced Impact of Major Bushfires and other Extreme Events on People, </w:t>
      </w:r>
      <w:r w:rsidRPr="009C3F1E">
        <w:rPr>
          <w:lang w:eastAsia="en-AU"/>
        </w:rPr>
        <w:t>Infrastructure and the Environment</w:t>
      </w:r>
    </w:p>
    <w:p w:rsidR="00B958B1" w:rsidRPr="009C3F1E" w:rsidRDefault="00B958B1" w:rsidP="009F3B54">
      <w:pPr>
        <w:pStyle w:val="Heading5"/>
      </w:pPr>
      <w:r w:rsidRPr="009C3F1E">
        <w:t>Increased planned burning</w:t>
      </w:r>
    </w:p>
    <w:p w:rsidR="00B958B1" w:rsidRPr="009C3F1E" w:rsidRDefault="00B958B1" w:rsidP="009F3B54">
      <w:r>
        <w:fldChar w:fldCharType="begin"/>
      </w:r>
      <w:r>
        <w:instrText xml:space="preserve"> XE "</w:instrText>
      </w:r>
      <w:r w:rsidRPr="009E53A6">
        <w:instrText>Bushfire</w:instrText>
      </w:r>
      <w:r>
        <w:instrText xml:space="preserve">" </w:instrText>
      </w:r>
      <w:r>
        <w:fldChar w:fldCharType="end"/>
      </w:r>
      <w:r>
        <w:fldChar w:fldCharType="begin"/>
      </w:r>
      <w:r>
        <w:instrText xml:space="preserve"> XE "</w:instrText>
      </w:r>
      <w:r w:rsidRPr="009E53A6">
        <w:instrText>Environment</w:instrText>
      </w:r>
      <w:r>
        <w:instrText xml:space="preserve">" </w:instrText>
      </w:r>
      <w:r>
        <w:fldChar w:fldCharType="end"/>
      </w:r>
      <w:r w:rsidRPr="009C3F1E">
        <w:t>The level of planned burning will be further increased to reduce the risk of bushfires to communities</w:t>
      </w:r>
      <w:r>
        <w:fldChar w:fldCharType="begin"/>
      </w:r>
      <w:r>
        <w:instrText xml:space="preserve"> XE "</w:instrText>
      </w:r>
      <w:r w:rsidRPr="009E53A6">
        <w:instrText>Communities</w:instrText>
      </w:r>
      <w:r>
        <w:instrText xml:space="preserve">" </w:instrText>
      </w:r>
      <w:r>
        <w:fldChar w:fldCharType="end"/>
      </w:r>
      <w:r w:rsidRPr="009C3F1E">
        <w:t xml:space="preserve">. This will enable the continued expansion of the planned burning program. </w:t>
      </w:r>
    </w:p>
    <w:p w:rsidR="00B958B1" w:rsidRPr="009C3F1E" w:rsidRDefault="00B958B1" w:rsidP="009F3B54">
      <w:r w:rsidRPr="009C3F1E">
        <w:t>This initiative contributes to the Department of Environment and Primary Industries’ Land and Fire Management output.</w:t>
      </w:r>
    </w:p>
    <w:p w:rsidR="00B958B1" w:rsidRPr="009C3F1E" w:rsidRDefault="00B958B1" w:rsidP="009F3B54">
      <w:pPr>
        <w:pStyle w:val="Heading5"/>
      </w:pPr>
      <w:r w:rsidRPr="009C3F1E">
        <w:t>Removing fire</w:t>
      </w:r>
      <w:r w:rsidR="009F0F49">
        <w:noBreakHyphen/>
      </w:r>
      <w:r w:rsidRPr="009C3F1E">
        <w:t>affected trees on public land</w:t>
      </w:r>
    </w:p>
    <w:p w:rsidR="00B958B1" w:rsidRPr="009C3F1E" w:rsidRDefault="00B958B1" w:rsidP="009F3B54">
      <w:r w:rsidRPr="009C3F1E">
        <w:t xml:space="preserve">Trees destroyed by bushfires will be removed to help improve safe access to public land. </w:t>
      </w:r>
    </w:p>
    <w:p w:rsidR="00B958B1" w:rsidRPr="009C3F1E" w:rsidRDefault="00B958B1" w:rsidP="009F3B54">
      <w:r w:rsidRPr="009C3F1E">
        <w:t>This initiative contributes to the Department of Environment and Primary Industries’ Land and Fire Management output.</w:t>
      </w:r>
      <w:bookmarkEnd w:id="22"/>
      <w:r>
        <w:fldChar w:fldCharType="begin"/>
      </w:r>
      <w:r>
        <w:instrText xml:space="preserve"> XE "</w:instrText>
      </w:r>
      <w:r w:rsidRPr="001902E6">
        <w:rPr>
          <w:lang w:eastAsia="en-AU"/>
        </w:rPr>
        <w:instrText>Reduced Impact of Major Bushfires and other Extreme Events on People, Infrastructure and the Environment</w:instrText>
      </w:r>
      <w:r>
        <w:instrText xml:space="preserve">" \r "BP3Ch1DEPIRedImpBushfire" </w:instrText>
      </w:r>
      <w:r>
        <w:fldChar w:fldCharType="end"/>
      </w:r>
      <w:r w:rsidRPr="009C3F1E">
        <w:t>.</w:t>
      </w:r>
      <w:r>
        <w:fldChar w:fldCharType="begin"/>
      </w:r>
      <w:r>
        <w:instrText xml:space="preserve"> XE "</w:instrText>
      </w:r>
      <w:r w:rsidRPr="00B95505">
        <w:rPr>
          <w:lang w:eastAsia="en-AU"/>
        </w:rPr>
        <w:instrText>Department of Environment and Primary Industries</w:instrText>
      </w:r>
      <w:r w:rsidRPr="00B95505">
        <w:instrText>:</w:instrText>
      </w:r>
      <w:r w:rsidRPr="001902E6">
        <w:rPr>
          <w:lang w:eastAsia="en-AU"/>
        </w:rPr>
        <w:instrText>Reduced Impact of Major Bushfires and other Extreme Events on People, Infrastructure and the Environment</w:instrText>
      </w:r>
      <w:r>
        <w:instrText xml:space="preserve">" \r "BP3Ch1DEPIRedImpBushfire" </w:instrText>
      </w:r>
      <w:r>
        <w:fldChar w:fldCharType="end"/>
      </w:r>
    </w:p>
    <w:p w:rsidR="00B958B1" w:rsidRPr="009C3F1E" w:rsidRDefault="00B958B1" w:rsidP="009F3B54">
      <w:pPr>
        <w:pStyle w:val="Heading4"/>
        <w:rPr>
          <w:lang w:eastAsia="en-AU"/>
        </w:rPr>
      </w:pPr>
      <w:bookmarkStart w:id="23" w:name="BP3Ch1DEPICommBenefLandAss"/>
      <w:r w:rsidRPr="009C3F1E">
        <w:rPr>
          <w:lang w:eastAsia="en-AU"/>
        </w:rPr>
        <w:t>The Community Benefits from Effective Management of Victoria’s Land Assets</w:t>
      </w:r>
    </w:p>
    <w:p w:rsidR="00B958B1" w:rsidRPr="009C3F1E" w:rsidRDefault="00B958B1" w:rsidP="009F3B54">
      <w:pPr>
        <w:pStyle w:val="Heading5"/>
      </w:pPr>
      <w:r w:rsidRPr="009C3F1E">
        <w:t>Coastal Environments program</w:t>
      </w:r>
    </w:p>
    <w:p w:rsidR="00B958B1" w:rsidRPr="009C3F1E" w:rsidRDefault="00B958B1" w:rsidP="009F3B54">
      <w:r w:rsidRPr="009C3F1E">
        <w:t xml:space="preserve">High priority works will be undertaken to protect assets on the open coast as well as Port Phillip Bay and Western Port. This program will focus on addressing emerging issues across the whole coast and improve support to CoastCare volunteers. </w:t>
      </w:r>
    </w:p>
    <w:p w:rsidR="00B958B1" w:rsidRPr="009C3F1E" w:rsidRDefault="00B958B1" w:rsidP="009F3B54">
      <w:r w:rsidRPr="009C3F1E">
        <w:t>This initiative contributes to the Department of Environment and Primary Industries’ Public Land output.</w:t>
      </w:r>
    </w:p>
    <w:p w:rsidR="00B958B1" w:rsidRPr="009C3F1E" w:rsidRDefault="00B958B1" w:rsidP="009F3B54">
      <w:pPr>
        <w:pStyle w:val="Heading5"/>
      </w:pPr>
      <w:r w:rsidRPr="009C3F1E">
        <w:t xml:space="preserve">Kananook Creek dredging </w:t>
      </w:r>
    </w:p>
    <w:p w:rsidR="00B958B1" w:rsidRPr="009C3F1E" w:rsidRDefault="00B958B1" w:rsidP="009F3B54">
      <w:r w:rsidRPr="009C3F1E">
        <w:t>This program will dredge built up silt in the Kananook Creek to enable the return of recreational boating to the lower section of the creek.</w:t>
      </w:r>
    </w:p>
    <w:p w:rsidR="00B958B1" w:rsidRPr="009C3F1E" w:rsidRDefault="00B958B1" w:rsidP="009F3B54">
      <w:r w:rsidRPr="009C3F1E">
        <w:t>This initiative contributes to the Department of Environment and Primary Industries’ Public Land output.</w:t>
      </w:r>
    </w:p>
    <w:p w:rsidR="00B958B1" w:rsidRPr="009C3F1E" w:rsidRDefault="00B958B1" w:rsidP="009F3B54">
      <w:pPr>
        <w:pStyle w:val="Heading5"/>
      </w:pPr>
      <w:r w:rsidRPr="009C3F1E">
        <w:t>Maintaining services for River Red Gums Parks and Reserves</w:t>
      </w:r>
    </w:p>
    <w:p w:rsidR="00B958B1" w:rsidRPr="009C3F1E" w:rsidRDefault="00B958B1" w:rsidP="009F3B54">
      <w:r>
        <w:fldChar w:fldCharType="begin"/>
      </w:r>
      <w:r>
        <w:instrText xml:space="preserve"> XE "</w:instrText>
      </w:r>
      <w:r w:rsidRPr="009E53A6">
        <w:instrText>Parks</w:instrText>
      </w:r>
      <w:r>
        <w:instrText xml:space="preserve">" </w:instrText>
      </w:r>
      <w:r>
        <w:fldChar w:fldCharType="end"/>
      </w:r>
      <w:r w:rsidRPr="009C3F1E">
        <w:t xml:space="preserve">Services at River Red Gum Parks will be maintained to allow the parks to function as safe visitor sites and conserve valuable landscapes. </w:t>
      </w:r>
    </w:p>
    <w:p w:rsidR="00B958B1" w:rsidRDefault="00B958B1" w:rsidP="009F3B54">
      <w:r w:rsidRPr="009C3F1E">
        <w:t>This initiative contributes to the Department of Environment and Primary Industries’ Forests and Parks output.</w:t>
      </w:r>
      <w:bookmarkEnd w:id="23"/>
      <w:r>
        <w:fldChar w:fldCharType="begin"/>
      </w:r>
      <w:r>
        <w:instrText xml:space="preserve"> XE "</w:instrText>
      </w:r>
      <w:r w:rsidRPr="001902E6">
        <w:rPr>
          <w:lang w:eastAsia="en-AU"/>
        </w:rPr>
        <w:instrText xml:space="preserve">The Community Benefits from Effective Management of </w:instrText>
      </w:r>
      <w:r w:rsidRPr="001902E6">
        <w:rPr>
          <w:lang w:eastAsia="en-AU"/>
        </w:rPr>
        <w:lastRenderedPageBreak/>
        <w:instrText>Victoria’s Land Assets</w:instrText>
      </w:r>
      <w:r>
        <w:instrText xml:space="preserve">" \r "BP3Ch1DEPICommBenefLandAss" </w:instrText>
      </w:r>
      <w:r>
        <w:fldChar w:fldCharType="end"/>
      </w:r>
      <w:r w:rsidRPr="009C3F1E">
        <w:t>.</w:t>
      </w:r>
      <w:r>
        <w:fldChar w:fldCharType="begin"/>
      </w:r>
      <w:r>
        <w:instrText xml:space="preserve"> XE "</w:instrText>
      </w:r>
      <w:r w:rsidRPr="00EA180D">
        <w:instrText>Department of Environment and Primary Industries:</w:instrText>
      </w:r>
      <w:r w:rsidRPr="001902E6">
        <w:rPr>
          <w:lang w:eastAsia="en-AU"/>
        </w:rPr>
        <w:instrText>The Community Benefits from Effective Management of Victoria’s Land Assets</w:instrText>
      </w:r>
      <w:r>
        <w:instrText xml:space="preserve">" \r "BP3Ch1DEPICommBenefLandAss" </w:instrText>
      </w:r>
      <w:r>
        <w:fldChar w:fldCharType="end"/>
      </w:r>
      <w:r>
        <w:fldChar w:fldCharType="begin"/>
      </w:r>
      <w:r>
        <w:instrText xml:space="preserve"> XE "</w:instrText>
      </w:r>
      <w:r w:rsidRPr="00EA180D">
        <w:instrText>Department of Environment and Primary Industries:Output initiatives</w:instrText>
      </w:r>
      <w:r>
        <w:instrText xml:space="preserve">" \r "BP3Ch1DEPIOutputInitves" </w:instrText>
      </w:r>
      <w:r>
        <w:fldChar w:fldCharType="end"/>
      </w:r>
    </w:p>
    <w:p w:rsidR="00B958B1" w:rsidRDefault="00B958B1" w:rsidP="009F3B54">
      <w:pPr>
        <w:pStyle w:val="Heading3"/>
      </w:pPr>
      <w:bookmarkStart w:id="24" w:name="BP3Ch1DEPIAssetInitves"/>
      <w:bookmarkEnd w:id="18"/>
      <w:r>
        <w:br w:type="page"/>
      </w:r>
      <w:r>
        <w:lastRenderedPageBreak/>
        <w:t>Asset initiatives</w:t>
      </w:r>
    </w:p>
    <w:p w:rsidR="00B958B1" w:rsidRDefault="00B958B1" w:rsidP="009F3B54">
      <w:pPr>
        <w:pStyle w:val="Tableheading"/>
      </w:pPr>
      <w:r w:rsidRPr="006C13A1">
        <w:t>Table 1.</w:t>
      </w:r>
      <w:r>
        <w:t>4</w:t>
      </w:r>
      <w:r w:rsidRPr="006C13A1">
        <w:t>:</w:t>
      </w:r>
      <w:r w:rsidRPr="006C13A1">
        <w:tab/>
        <w:t>Asset initiatives – Environment and Primary Industries</w:t>
      </w:r>
    </w:p>
    <w:p w:rsidR="00B958B1" w:rsidRPr="007660C2" w:rsidRDefault="00B958B1" w:rsidP="009F3B54">
      <w:pPr>
        <w:pStyle w:val="million"/>
      </w:pPr>
      <w:r>
        <w:t>($ million)</w:t>
      </w:r>
    </w:p>
    <w:tbl>
      <w:tblPr>
        <w:tblW w:w="7780" w:type="dxa"/>
        <w:tblInd w:w="29" w:type="dxa"/>
        <w:tblLayout w:type="fixed"/>
        <w:tblCellMar>
          <w:left w:w="43" w:type="dxa"/>
          <w:right w:w="43" w:type="dxa"/>
        </w:tblCellMar>
        <w:tblLook w:val="0000" w:firstRow="0" w:lastRow="0" w:firstColumn="0" w:lastColumn="0" w:noHBand="0" w:noVBand="0"/>
      </w:tblPr>
      <w:tblGrid>
        <w:gridCol w:w="2894"/>
        <w:gridCol w:w="279"/>
        <w:gridCol w:w="567"/>
        <w:gridCol w:w="846"/>
        <w:gridCol w:w="846"/>
        <w:gridCol w:w="846"/>
        <w:gridCol w:w="756"/>
        <w:gridCol w:w="90"/>
        <w:gridCol w:w="38"/>
        <w:gridCol w:w="128"/>
        <w:gridCol w:w="128"/>
        <w:gridCol w:w="128"/>
        <w:gridCol w:w="128"/>
        <w:gridCol w:w="106"/>
      </w:tblGrid>
      <w:tr w:rsidR="00B958B1" w:rsidRPr="007660C2" w:rsidTr="009F3B54">
        <w:tc>
          <w:tcPr>
            <w:tcW w:w="2894" w:type="dxa"/>
            <w:tcBorders>
              <w:top w:val="single" w:sz="6" w:space="0" w:color="auto"/>
              <w:left w:val="single" w:sz="4" w:space="0" w:color="auto"/>
              <w:bottom w:val="single" w:sz="4" w:space="0" w:color="auto"/>
              <w:right w:val="nil"/>
            </w:tcBorders>
            <w:shd w:val="clear" w:color="auto" w:fill="000000"/>
          </w:tcPr>
          <w:p w:rsidR="00B958B1" w:rsidRPr="007660C2" w:rsidRDefault="00B958B1" w:rsidP="009F3B54">
            <w:pPr>
              <w:pStyle w:val="Tabletext"/>
              <w:rPr>
                <w:lang w:eastAsia="en-AU"/>
              </w:rPr>
            </w:pPr>
          </w:p>
        </w:tc>
        <w:tc>
          <w:tcPr>
            <w:tcW w:w="846" w:type="dxa"/>
            <w:gridSpan w:val="2"/>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2012</w:t>
            </w:r>
            <w:r w:rsidR="009F0F49">
              <w:rPr>
                <w:lang w:eastAsia="en-AU"/>
              </w:rPr>
              <w:noBreakHyphen/>
            </w:r>
            <w:r w:rsidRPr="007660C2">
              <w:rPr>
                <w:lang w:eastAsia="en-AU"/>
              </w:rPr>
              <w:t>13</w:t>
            </w:r>
          </w:p>
        </w:tc>
        <w:tc>
          <w:tcPr>
            <w:tcW w:w="846" w:type="dxa"/>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2013</w:t>
            </w:r>
            <w:r w:rsidR="009F0F49">
              <w:rPr>
                <w:lang w:eastAsia="en-AU"/>
              </w:rPr>
              <w:noBreakHyphen/>
            </w:r>
            <w:r w:rsidRPr="007660C2">
              <w:rPr>
                <w:lang w:eastAsia="en-AU"/>
              </w:rPr>
              <w:t>14</w:t>
            </w:r>
          </w:p>
        </w:tc>
        <w:tc>
          <w:tcPr>
            <w:tcW w:w="846" w:type="dxa"/>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2014</w:t>
            </w:r>
            <w:r w:rsidR="009F0F49">
              <w:rPr>
                <w:lang w:eastAsia="en-AU"/>
              </w:rPr>
              <w:noBreakHyphen/>
            </w:r>
            <w:r w:rsidRPr="007660C2">
              <w:rPr>
                <w:lang w:eastAsia="en-AU"/>
              </w:rPr>
              <w:t>15</w:t>
            </w:r>
          </w:p>
        </w:tc>
        <w:tc>
          <w:tcPr>
            <w:tcW w:w="846" w:type="dxa"/>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2015</w:t>
            </w:r>
            <w:r w:rsidR="009F0F49">
              <w:rPr>
                <w:lang w:eastAsia="en-AU"/>
              </w:rPr>
              <w:noBreakHyphen/>
            </w:r>
            <w:r w:rsidRPr="007660C2">
              <w:rPr>
                <w:lang w:eastAsia="en-AU"/>
              </w:rPr>
              <w:t>16</w:t>
            </w:r>
          </w:p>
        </w:tc>
        <w:tc>
          <w:tcPr>
            <w:tcW w:w="846" w:type="dxa"/>
            <w:gridSpan w:val="2"/>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2016</w:t>
            </w:r>
            <w:r w:rsidR="009F0F49">
              <w:rPr>
                <w:lang w:eastAsia="en-AU"/>
              </w:rPr>
              <w:noBreakHyphen/>
            </w:r>
            <w:r w:rsidRPr="007660C2">
              <w:rPr>
                <w:lang w:eastAsia="en-AU"/>
              </w:rPr>
              <w:t>17</w:t>
            </w:r>
          </w:p>
        </w:tc>
        <w:tc>
          <w:tcPr>
            <w:tcW w:w="652" w:type="dxa"/>
            <w:gridSpan w:val="6"/>
            <w:tcBorders>
              <w:top w:val="single" w:sz="6" w:space="0" w:color="auto"/>
              <w:left w:val="nil"/>
              <w:bottom w:val="single" w:sz="4" w:space="0" w:color="auto"/>
              <w:right w:val="single" w:sz="4" w:space="0" w:color="auto"/>
            </w:tcBorders>
            <w:shd w:val="clear" w:color="auto" w:fill="000000"/>
          </w:tcPr>
          <w:p w:rsidR="00B958B1" w:rsidRPr="007660C2" w:rsidRDefault="00B958B1" w:rsidP="009F3B54">
            <w:pPr>
              <w:pStyle w:val="Tabletextheading"/>
              <w:rPr>
                <w:lang w:eastAsia="en-AU"/>
              </w:rPr>
            </w:pPr>
            <w:r w:rsidRPr="007660C2">
              <w:rPr>
                <w:lang w:eastAsia="en-AU"/>
              </w:rPr>
              <w:t>TEI</w:t>
            </w:r>
          </w:p>
        </w:tc>
      </w:tr>
      <w:tr w:rsidR="00B958B1" w:rsidRPr="007660C2" w:rsidTr="009F3B54">
        <w:tc>
          <w:tcPr>
            <w:tcW w:w="7034" w:type="dxa"/>
            <w:gridSpan w:val="7"/>
            <w:tcBorders>
              <w:top w:val="single" w:sz="4" w:space="0" w:color="auto"/>
              <w:left w:val="nil"/>
              <w:bottom w:val="nil"/>
              <w:right w:val="nil"/>
            </w:tcBorders>
            <w:shd w:val="solid" w:color="FFFFFF" w:fill="auto"/>
          </w:tcPr>
          <w:p w:rsidR="00B958B1" w:rsidRPr="007660C2" w:rsidRDefault="00B958B1" w:rsidP="009F3B54">
            <w:pPr>
              <w:pStyle w:val="Tabletext"/>
              <w:rPr>
                <w:b/>
                <w:bCs/>
                <w:lang w:eastAsia="en-AU"/>
              </w:rPr>
            </w:pPr>
            <w:r w:rsidRPr="007660C2">
              <w:rPr>
                <w:b/>
                <w:bCs/>
                <w:lang w:eastAsia="en-AU"/>
              </w:rPr>
              <w:t>Effective Management of Water Resources to meet Future Urban, Rural and Environmental Needs</w:t>
            </w:r>
          </w:p>
        </w:tc>
        <w:tc>
          <w:tcPr>
            <w:tcW w:w="128" w:type="dxa"/>
            <w:gridSpan w:val="2"/>
            <w:tcBorders>
              <w:top w:val="single" w:sz="4" w:space="0" w:color="auto"/>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128" w:type="dxa"/>
            <w:tcBorders>
              <w:top w:val="single" w:sz="4" w:space="0" w:color="auto"/>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128" w:type="dxa"/>
            <w:tcBorders>
              <w:top w:val="single" w:sz="4" w:space="0" w:color="auto"/>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128" w:type="dxa"/>
            <w:tcBorders>
              <w:top w:val="single" w:sz="4" w:space="0" w:color="auto"/>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128" w:type="dxa"/>
            <w:tcBorders>
              <w:top w:val="single" w:sz="4" w:space="0" w:color="auto"/>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106" w:type="dxa"/>
            <w:tcBorders>
              <w:top w:val="single" w:sz="4" w:space="0" w:color="auto"/>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r>
      <w:tr w:rsidR="00B958B1" w:rsidRPr="007660C2" w:rsidTr="009F3B54">
        <w:tc>
          <w:tcPr>
            <w:tcW w:w="289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Groundwater monitoring bores</w:t>
            </w:r>
          </w:p>
        </w:tc>
        <w:tc>
          <w:tcPr>
            <w:tcW w:w="846"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4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0.8</w:t>
            </w:r>
          </w:p>
        </w:tc>
        <w:tc>
          <w:tcPr>
            <w:tcW w:w="84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1.6</w:t>
            </w:r>
          </w:p>
        </w:tc>
        <w:tc>
          <w:tcPr>
            <w:tcW w:w="84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1.6</w:t>
            </w:r>
          </w:p>
        </w:tc>
        <w:tc>
          <w:tcPr>
            <w:tcW w:w="846"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652" w:type="dxa"/>
            <w:gridSpan w:val="6"/>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4.0</w:t>
            </w:r>
          </w:p>
        </w:tc>
      </w:tr>
      <w:tr w:rsidR="00B958B1" w:rsidRPr="007660C2" w:rsidTr="009F3B54">
        <w:tc>
          <w:tcPr>
            <w:tcW w:w="3173" w:type="dxa"/>
            <w:gridSpan w:val="2"/>
            <w:tcBorders>
              <w:top w:val="nil"/>
              <w:left w:val="nil"/>
              <w:bottom w:val="nil"/>
              <w:right w:val="nil"/>
            </w:tcBorders>
          </w:tcPr>
          <w:p w:rsidR="00B958B1" w:rsidRPr="007660C2" w:rsidRDefault="00B958B1" w:rsidP="009F3B54">
            <w:pPr>
              <w:pStyle w:val="Tabletext"/>
              <w:rPr>
                <w:vertAlign w:val="superscript"/>
                <w:lang w:eastAsia="en-AU"/>
              </w:rPr>
            </w:pPr>
            <w:r w:rsidRPr="007660C2">
              <w:rPr>
                <w:lang w:eastAsia="en-AU"/>
              </w:rPr>
              <w:t xml:space="preserve">Macalister Irrigation District 2030 </w:t>
            </w:r>
            <w:r w:rsidRPr="007660C2">
              <w:rPr>
                <w:vertAlign w:val="superscript"/>
                <w:lang w:eastAsia="en-AU"/>
              </w:rPr>
              <w:t>(a)</w:t>
            </w:r>
          </w:p>
        </w:tc>
        <w:tc>
          <w:tcPr>
            <w:tcW w:w="56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4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6.0</w:t>
            </w:r>
          </w:p>
        </w:tc>
        <w:tc>
          <w:tcPr>
            <w:tcW w:w="84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15.0</w:t>
            </w:r>
          </w:p>
        </w:tc>
        <w:tc>
          <w:tcPr>
            <w:tcW w:w="84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11.0</w:t>
            </w:r>
          </w:p>
        </w:tc>
        <w:tc>
          <w:tcPr>
            <w:tcW w:w="846"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652" w:type="dxa"/>
            <w:gridSpan w:val="6"/>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32.0</w:t>
            </w:r>
          </w:p>
        </w:tc>
      </w:tr>
      <w:tr w:rsidR="00B958B1" w:rsidRPr="007660C2" w:rsidTr="009F3B54">
        <w:tc>
          <w:tcPr>
            <w:tcW w:w="2894" w:type="dxa"/>
            <w:tcBorders>
              <w:top w:val="single" w:sz="6" w:space="0" w:color="auto"/>
              <w:left w:val="nil"/>
              <w:bottom w:val="single" w:sz="12" w:space="0" w:color="auto"/>
              <w:right w:val="nil"/>
            </w:tcBorders>
          </w:tcPr>
          <w:p w:rsidR="00B958B1" w:rsidRPr="007660C2" w:rsidRDefault="00B958B1" w:rsidP="009F3B54">
            <w:pPr>
              <w:pStyle w:val="Tabletext"/>
              <w:rPr>
                <w:b/>
                <w:bCs/>
                <w:lang w:eastAsia="en-AU"/>
              </w:rPr>
            </w:pPr>
            <w:r w:rsidRPr="007660C2">
              <w:rPr>
                <w:b/>
                <w:bCs/>
                <w:lang w:eastAsia="en-AU"/>
              </w:rPr>
              <w:t>Total asset initiatives</w:t>
            </w:r>
          </w:p>
        </w:tc>
        <w:tc>
          <w:tcPr>
            <w:tcW w:w="846" w:type="dxa"/>
            <w:gridSpan w:val="2"/>
            <w:tcBorders>
              <w:top w:val="single" w:sz="6" w:space="0" w:color="auto"/>
              <w:left w:val="nil"/>
              <w:bottom w:val="single" w:sz="12" w:space="0" w:color="auto"/>
              <w:right w:val="nil"/>
            </w:tcBorders>
          </w:tcPr>
          <w:p w:rsidR="00B958B1" w:rsidRPr="007660C2" w:rsidRDefault="00B958B1" w:rsidP="009F3B54">
            <w:pPr>
              <w:pStyle w:val="TableofFigures"/>
              <w:rPr>
                <w:lang w:eastAsia="en-AU"/>
              </w:rPr>
            </w:pPr>
            <w:r w:rsidRPr="007660C2">
              <w:rPr>
                <w:lang w:eastAsia="en-AU"/>
              </w:rPr>
              <w:t>..</w:t>
            </w:r>
          </w:p>
        </w:tc>
        <w:tc>
          <w:tcPr>
            <w:tcW w:w="846"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6.8</w:t>
            </w:r>
          </w:p>
        </w:tc>
        <w:tc>
          <w:tcPr>
            <w:tcW w:w="846"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16.6</w:t>
            </w:r>
          </w:p>
        </w:tc>
        <w:tc>
          <w:tcPr>
            <w:tcW w:w="846"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12.6</w:t>
            </w:r>
          </w:p>
        </w:tc>
        <w:tc>
          <w:tcPr>
            <w:tcW w:w="846" w:type="dxa"/>
            <w:gridSpan w:val="2"/>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w:t>
            </w:r>
          </w:p>
        </w:tc>
        <w:tc>
          <w:tcPr>
            <w:tcW w:w="652" w:type="dxa"/>
            <w:gridSpan w:val="6"/>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36.0</w:t>
            </w:r>
          </w:p>
        </w:tc>
      </w:tr>
    </w:tbl>
    <w:p w:rsidR="00B958B1" w:rsidRPr="00A20936" w:rsidRDefault="00B958B1" w:rsidP="009F3B54">
      <w:pPr>
        <w:pStyle w:val="Source"/>
      </w:pPr>
      <w:r w:rsidRPr="00A20936">
        <w:t>Source: Department of Treasury and Finance</w:t>
      </w:r>
    </w:p>
    <w:p w:rsidR="00B958B1" w:rsidRDefault="00B958B1" w:rsidP="009F3B54">
      <w:pPr>
        <w:pStyle w:val="Notes"/>
      </w:pPr>
      <w:r w:rsidRPr="007C29DA">
        <w:t>Note</w:t>
      </w:r>
      <w:r>
        <w:t>:</w:t>
      </w:r>
    </w:p>
    <w:p w:rsidR="00B958B1" w:rsidRPr="0026585E" w:rsidRDefault="00B958B1" w:rsidP="009F3B54">
      <w:pPr>
        <w:pStyle w:val="Notes"/>
      </w:pPr>
      <w:r>
        <w:t>(a)</w:t>
      </w:r>
      <w:r>
        <w:tab/>
        <w:t xml:space="preserve">This project </w:t>
      </w:r>
      <w:r w:rsidRPr="00620683">
        <w:t>will</w:t>
      </w:r>
      <w:r>
        <w:t xml:space="preserve"> be cost</w:t>
      </w:r>
      <w:r w:rsidR="009F0F49">
        <w:noBreakHyphen/>
      </w:r>
      <w:r>
        <w:t>shared between the State Government and irrigators.</w:t>
      </w:r>
    </w:p>
    <w:p w:rsidR="00B958B1" w:rsidRDefault="00B958B1" w:rsidP="009F3B54">
      <w:pPr>
        <w:pStyle w:val="Notes"/>
        <w:rPr>
          <w:lang w:eastAsia="en-AU"/>
        </w:rPr>
      </w:pPr>
    </w:p>
    <w:p w:rsidR="00B958B1" w:rsidRDefault="00B958B1" w:rsidP="009F3B54">
      <w:pPr>
        <w:pStyle w:val="Heading4"/>
      </w:pPr>
      <w:r w:rsidRPr="00824AB1">
        <w:rPr>
          <w:lang w:eastAsia="en-AU"/>
        </w:rPr>
        <w:t xml:space="preserve">Effective </w:t>
      </w:r>
      <w:r>
        <w:rPr>
          <w:lang w:eastAsia="en-AU"/>
        </w:rPr>
        <w:t>Management of Water Resources to meet Future Urban, Rural and Environmental needs</w:t>
      </w:r>
      <w:r>
        <w:t xml:space="preserve"> </w:t>
      </w:r>
    </w:p>
    <w:p w:rsidR="00B958B1" w:rsidRDefault="00B958B1" w:rsidP="009F3B54">
      <w:pPr>
        <w:pStyle w:val="Heading5"/>
      </w:pPr>
      <w:r>
        <w:t>Groundwater monitoring bores</w:t>
      </w:r>
    </w:p>
    <w:p w:rsidR="00B958B1" w:rsidRDefault="00B958B1" w:rsidP="009F3B54">
      <w:r>
        <w:t>This program of works will provide for the strategic repair, maintenance and replacement of groundwater</w:t>
      </w:r>
      <w:r>
        <w:fldChar w:fldCharType="begin"/>
      </w:r>
      <w:r>
        <w:instrText xml:space="preserve"> XE "</w:instrText>
      </w:r>
      <w:r w:rsidRPr="009E53A6">
        <w:instrText>Water</w:instrText>
      </w:r>
      <w:r>
        <w:instrText xml:space="preserve">" </w:instrText>
      </w:r>
      <w:r>
        <w:fldChar w:fldCharType="end"/>
      </w:r>
      <w:r>
        <w:t xml:space="preserve"> monitoring bores to enable effective and efficient management of groundwater resources. </w:t>
      </w:r>
    </w:p>
    <w:p w:rsidR="00B958B1" w:rsidRDefault="00B958B1" w:rsidP="009F3B54">
      <w:r>
        <w:t>This initiative contributes to the Department of Environment and Primary Industries’ Effective Water Management output.</w:t>
      </w:r>
    </w:p>
    <w:p w:rsidR="00B958B1" w:rsidRDefault="00B958B1" w:rsidP="009F3B54">
      <w:pPr>
        <w:pStyle w:val="Heading5"/>
      </w:pPr>
      <w:r>
        <w:t>Macalister Irrigation District 2030</w:t>
      </w:r>
    </w:p>
    <w:p w:rsidR="00B958B1" w:rsidRDefault="00B958B1" w:rsidP="009F3B54">
      <w:r>
        <w:t xml:space="preserve">The Macalister Irrigation District is the largest irrigation district in the south of Victoria, </w:t>
      </w:r>
      <w:r w:rsidRPr="009C3F1E">
        <w:t>generating significant economic benefits primarily through dairy farming</w:t>
      </w:r>
      <w:r>
        <w:fldChar w:fldCharType="begin"/>
      </w:r>
      <w:r>
        <w:instrText xml:space="preserve"> XE "</w:instrText>
      </w:r>
      <w:r w:rsidRPr="009E53A6">
        <w:instrText>Farming</w:instrText>
      </w:r>
      <w:r>
        <w:instrText xml:space="preserve">" </w:instrText>
      </w:r>
      <w:r>
        <w:fldChar w:fldCharType="end"/>
      </w:r>
      <w:r w:rsidRPr="009C3F1E">
        <w:t xml:space="preserve">. This project will achieve water savings of </w:t>
      </w:r>
      <w:r>
        <w:t>12.3</w:t>
      </w:r>
      <w:r w:rsidRPr="009C3F1E">
        <w:t xml:space="preserve"> gigalitres, and aims to increase on</w:t>
      </w:r>
      <w:r w:rsidR="009F0F49">
        <w:noBreakHyphen/>
      </w:r>
      <w:r w:rsidRPr="009C3F1E">
        <w:t>farm productivity</w:t>
      </w:r>
      <w:r>
        <w:fldChar w:fldCharType="begin"/>
      </w:r>
      <w:r>
        <w:instrText xml:space="preserve"> XE "</w:instrText>
      </w:r>
      <w:r w:rsidRPr="009E53A6">
        <w:instrText>Productivity</w:instrText>
      </w:r>
      <w:r>
        <w:instrText xml:space="preserve">" </w:instrText>
      </w:r>
      <w:r>
        <w:fldChar w:fldCharType="end"/>
      </w:r>
      <w:r w:rsidRPr="009C3F1E">
        <w:t>, regional economic production and waterway and estuarine</w:t>
      </w:r>
      <w:r>
        <w:t xml:space="preserve"> health through the modernisation of the district’s waterways. This project will be jointly funded by the State Government and irrigators.</w:t>
      </w:r>
    </w:p>
    <w:p w:rsidR="00B958B1" w:rsidRDefault="00B958B1" w:rsidP="009F3B54">
      <w:r>
        <w:t xml:space="preserve">This initiative contributes to the Department of Environment and Primary Industries’ Effective Water Management output. </w:t>
      </w:r>
      <w:r>
        <w:fldChar w:fldCharType="begin"/>
      </w:r>
      <w:r>
        <w:instrText xml:space="preserve"> XE "</w:instrText>
      </w:r>
      <w:r w:rsidRPr="008C2D8F">
        <w:instrText>Department of Environment and Primary Industries:Asset initiatives</w:instrText>
      </w:r>
      <w:r>
        <w:instrText xml:space="preserve">" \r "BP3Ch1DEPIAssetInitves" </w:instrText>
      </w:r>
      <w:r>
        <w:fldChar w:fldCharType="end"/>
      </w:r>
    </w:p>
    <w:bookmarkEnd w:id="24"/>
    <w:p w:rsidR="00B958B1" w:rsidRDefault="00B958B1" w:rsidP="009F3B54"/>
    <w:p w:rsidR="00B958B1" w:rsidRDefault="00B958B1" w:rsidP="009F3B54">
      <w:pPr>
        <w:pStyle w:val="Heading1"/>
      </w:pPr>
      <w:r>
        <w:br w:type="page"/>
      </w:r>
      <w:bookmarkStart w:id="25" w:name="_Toc355248216"/>
      <w:bookmarkStart w:id="26" w:name="_Toc355362268"/>
      <w:bookmarkStart w:id="27" w:name="BP3Ch1DHOutputInitves"/>
      <w:r>
        <w:lastRenderedPageBreak/>
        <w:t>Department of Health</w:t>
      </w:r>
      <w:bookmarkEnd w:id="25"/>
      <w:bookmarkEnd w:id="26"/>
    </w:p>
    <w:p w:rsidR="00B958B1" w:rsidRDefault="00B958B1" w:rsidP="009F3B54">
      <w:pPr>
        <w:pStyle w:val="Heading3"/>
      </w:pPr>
      <w:r>
        <w:t>Output initiatives</w:t>
      </w:r>
    </w:p>
    <w:p w:rsidR="00B958B1" w:rsidRDefault="00B958B1" w:rsidP="009F3B54">
      <w:pPr>
        <w:pStyle w:val="Tableheading"/>
      </w:pPr>
      <w:r w:rsidRPr="006C13A1">
        <w:t>Table 1.</w:t>
      </w:r>
      <w:r>
        <w:t>5</w:t>
      </w:r>
      <w:r w:rsidRPr="006C13A1">
        <w:t>:</w:t>
      </w:r>
      <w:r w:rsidRPr="006C13A1">
        <w:tab/>
        <w:t>Output initiatives – Health</w:t>
      </w:r>
    </w:p>
    <w:p w:rsidR="00B958B1" w:rsidRDefault="00B958B1" w:rsidP="009F3B54">
      <w:pPr>
        <w:pStyle w:val="million"/>
        <w:rPr>
          <w:rFonts w:ascii="Times New Roman" w:hAnsi="Times New Roman"/>
          <w:sz w:val="20"/>
          <w:lang w:eastAsia="en-AU"/>
        </w:rPr>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344"/>
        <w:gridCol w:w="612"/>
        <w:gridCol w:w="274"/>
        <w:gridCol w:w="886"/>
        <w:gridCol w:w="887"/>
        <w:gridCol w:w="886"/>
        <w:gridCol w:w="887"/>
      </w:tblGrid>
      <w:tr w:rsidR="00B958B1" w:rsidRPr="007660C2" w:rsidTr="009F3B54">
        <w:trPr>
          <w:cantSplit/>
          <w:tblHeader/>
        </w:trPr>
        <w:tc>
          <w:tcPr>
            <w:tcW w:w="3344" w:type="dxa"/>
            <w:tcBorders>
              <w:top w:val="single" w:sz="4" w:space="0" w:color="auto"/>
              <w:left w:val="single" w:sz="4" w:space="0" w:color="auto"/>
              <w:right w:val="nil"/>
            </w:tcBorders>
            <w:shd w:val="clear" w:color="auto" w:fill="000000"/>
          </w:tcPr>
          <w:p w:rsidR="00B958B1" w:rsidRPr="007660C2" w:rsidRDefault="00B958B1" w:rsidP="009F3B54">
            <w:pPr>
              <w:pStyle w:val="Tabletext"/>
              <w:rPr>
                <w:lang w:eastAsia="en-AU"/>
              </w:rPr>
            </w:pPr>
          </w:p>
        </w:tc>
        <w:tc>
          <w:tcPr>
            <w:tcW w:w="886" w:type="dxa"/>
            <w:gridSpan w:val="2"/>
            <w:tcBorders>
              <w:top w:val="single" w:sz="4" w:space="0" w:color="auto"/>
              <w:left w:val="nil"/>
              <w:right w:val="nil"/>
            </w:tcBorders>
            <w:shd w:val="clear" w:color="auto" w:fill="000000"/>
          </w:tcPr>
          <w:p w:rsidR="00B958B1" w:rsidRPr="007660C2" w:rsidRDefault="00B958B1" w:rsidP="009F3B54">
            <w:pPr>
              <w:pStyle w:val="Tabletextheading"/>
              <w:rPr>
                <w:lang w:eastAsia="en-AU"/>
              </w:rPr>
            </w:pPr>
            <w:r w:rsidRPr="007660C2">
              <w:rPr>
                <w:lang w:eastAsia="en-AU"/>
              </w:rPr>
              <w:t>2012</w:t>
            </w:r>
            <w:r w:rsidR="009F0F49">
              <w:rPr>
                <w:lang w:eastAsia="en-AU"/>
              </w:rPr>
              <w:noBreakHyphen/>
            </w:r>
            <w:r w:rsidRPr="007660C2">
              <w:rPr>
                <w:lang w:eastAsia="en-AU"/>
              </w:rPr>
              <w:t>13</w:t>
            </w:r>
          </w:p>
        </w:tc>
        <w:tc>
          <w:tcPr>
            <w:tcW w:w="886" w:type="dxa"/>
            <w:tcBorders>
              <w:top w:val="single" w:sz="4" w:space="0" w:color="auto"/>
              <w:left w:val="nil"/>
              <w:right w:val="nil"/>
            </w:tcBorders>
            <w:shd w:val="clear" w:color="auto" w:fill="000000"/>
          </w:tcPr>
          <w:p w:rsidR="00B958B1" w:rsidRPr="007660C2" w:rsidRDefault="00B958B1" w:rsidP="009F3B54">
            <w:pPr>
              <w:pStyle w:val="Tabletextheading"/>
              <w:rPr>
                <w:lang w:eastAsia="en-AU"/>
              </w:rPr>
            </w:pPr>
            <w:r w:rsidRPr="007660C2">
              <w:rPr>
                <w:lang w:eastAsia="en-AU"/>
              </w:rPr>
              <w:t>2013</w:t>
            </w:r>
            <w:r w:rsidR="009F0F49">
              <w:rPr>
                <w:lang w:eastAsia="en-AU"/>
              </w:rPr>
              <w:noBreakHyphen/>
            </w:r>
            <w:r w:rsidRPr="007660C2">
              <w:rPr>
                <w:lang w:eastAsia="en-AU"/>
              </w:rPr>
              <w:t>14</w:t>
            </w:r>
          </w:p>
        </w:tc>
        <w:tc>
          <w:tcPr>
            <w:tcW w:w="887" w:type="dxa"/>
            <w:tcBorders>
              <w:top w:val="single" w:sz="4" w:space="0" w:color="auto"/>
              <w:left w:val="nil"/>
              <w:right w:val="nil"/>
            </w:tcBorders>
            <w:shd w:val="clear" w:color="auto" w:fill="000000"/>
          </w:tcPr>
          <w:p w:rsidR="00B958B1" w:rsidRPr="007660C2" w:rsidRDefault="00B958B1" w:rsidP="009F3B54">
            <w:pPr>
              <w:pStyle w:val="Tabletextheading"/>
              <w:rPr>
                <w:lang w:eastAsia="en-AU"/>
              </w:rPr>
            </w:pPr>
            <w:r w:rsidRPr="007660C2">
              <w:rPr>
                <w:lang w:eastAsia="en-AU"/>
              </w:rPr>
              <w:t>2014</w:t>
            </w:r>
            <w:r w:rsidR="009F0F49">
              <w:rPr>
                <w:lang w:eastAsia="en-AU"/>
              </w:rPr>
              <w:noBreakHyphen/>
            </w:r>
            <w:r w:rsidRPr="007660C2">
              <w:rPr>
                <w:lang w:eastAsia="en-AU"/>
              </w:rPr>
              <w:t>15</w:t>
            </w:r>
          </w:p>
        </w:tc>
        <w:tc>
          <w:tcPr>
            <w:tcW w:w="886" w:type="dxa"/>
            <w:tcBorders>
              <w:top w:val="single" w:sz="4" w:space="0" w:color="auto"/>
              <w:left w:val="nil"/>
              <w:right w:val="nil"/>
            </w:tcBorders>
            <w:shd w:val="clear" w:color="auto" w:fill="000000"/>
          </w:tcPr>
          <w:p w:rsidR="00B958B1" w:rsidRPr="007660C2" w:rsidRDefault="00B958B1" w:rsidP="009F3B54">
            <w:pPr>
              <w:pStyle w:val="Tabletextheading"/>
              <w:rPr>
                <w:lang w:eastAsia="en-AU"/>
              </w:rPr>
            </w:pPr>
            <w:r w:rsidRPr="007660C2">
              <w:rPr>
                <w:lang w:eastAsia="en-AU"/>
              </w:rPr>
              <w:t>2015</w:t>
            </w:r>
            <w:r w:rsidR="009F0F49">
              <w:rPr>
                <w:lang w:eastAsia="en-AU"/>
              </w:rPr>
              <w:noBreakHyphen/>
            </w:r>
            <w:r w:rsidRPr="007660C2">
              <w:rPr>
                <w:lang w:eastAsia="en-AU"/>
              </w:rPr>
              <w:t>16</w:t>
            </w:r>
          </w:p>
        </w:tc>
        <w:tc>
          <w:tcPr>
            <w:tcW w:w="887" w:type="dxa"/>
            <w:tcBorders>
              <w:top w:val="single" w:sz="4" w:space="0" w:color="auto"/>
              <w:left w:val="nil"/>
              <w:right w:val="single" w:sz="4" w:space="0" w:color="auto"/>
            </w:tcBorders>
            <w:shd w:val="clear" w:color="auto" w:fill="000000"/>
          </w:tcPr>
          <w:p w:rsidR="00B958B1" w:rsidRPr="007660C2" w:rsidRDefault="00B958B1" w:rsidP="009F3B54">
            <w:pPr>
              <w:pStyle w:val="Tabletextheading"/>
              <w:rPr>
                <w:lang w:eastAsia="en-AU"/>
              </w:rPr>
            </w:pPr>
            <w:r w:rsidRPr="007660C2">
              <w:rPr>
                <w:lang w:eastAsia="en-AU"/>
              </w:rPr>
              <w:t>2016</w:t>
            </w:r>
            <w:r w:rsidR="009F0F49">
              <w:rPr>
                <w:lang w:eastAsia="en-AU"/>
              </w:rPr>
              <w:noBreakHyphen/>
            </w:r>
            <w:r w:rsidRPr="007660C2">
              <w:rPr>
                <w:lang w:eastAsia="en-AU"/>
              </w:rPr>
              <w:t>17</w:t>
            </w:r>
          </w:p>
        </w:tc>
      </w:tr>
      <w:tr w:rsidR="00B958B1" w:rsidRPr="007660C2" w:rsidTr="009F3B54">
        <w:trPr>
          <w:cantSplit/>
        </w:trPr>
        <w:tc>
          <w:tcPr>
            <w:tcW w:w="3344" w:type="dxa"/>
            <w:tcBorders>
              <w:right w:val="nil"/>
            </w:tcBorders>
            <w:shd w:val="clear" w:color="auto" w:fill="auto"/>
          </w:tcPr>
          <w:p w:rsidR="00B958B1" w:rsidRPr="007660C2" w:rsidRDefault="00B958B1" w:rsidP="009F3B54">
            <w:pPr>
              <w:pStyle w:val="Tabletext"/>
              <w:rPr>
                <w:b/>
                <w:bCs/>
                <w:lang w:eastAsia="en-AU"/>
              </w:rPr>
            </w:pPr>
            <w:r w:rsidRPr="007660C2">
              <w:rPr>
                <w:b/>
                <w:bCs/>
                <w:lang w:eastAsia="en-AU"/>
              </w:rPr>
              <w:t>Acute Health</w:t>
            </w:r>
          </w:p>
        </w:tc>
        <w:tc>
          <w:tcPr>
            <w:tcW w:w="886" w:type="dxa"/>
            <w:gridSpan w:val="2"/>
            <w:tcBorders>
              <w:left w:val="nil"/>
              <w:right w:val="nil"/>
            </w:tcBorders>
            <w:shd w:val="clear" w:color="auto" w:fill="auto"/>
          </w:tcPr>
          <w:p w:rsidR="00B958B1" w:rsidRPr="007660C2" w:rsidRDefault="00B958B1" w:rsidP="009F3B54">
            <w:pPr>
              <w:pStyle w:val="Tabletextheading"/>
              <w:rPr>
                <w:lang w:eastAsia="en-AU"/>
              </w:rPr>
            </w:pPr>
            <w:r w:rsidRPr="007660C2">
              <w:rPr>
                <w:lang w:eastAsia="en-AU"/>
              </w:rPr>
              <w:t xml:space="preserve"> </w:t>
            </w:r>
          </w:p>
        </w:tc>
        <w:tc>
          <w:tcPr>
            <w:tcW w:w="886" w:type="dxa"/>
            <w:tcBorders>
              <w:left w:val="nil"/>
              <w:right w:val="nil"/>
            </w:tcBorders>
            <w:shd w:val="clear" w:color="auto" w:fill="auto"/>
          </w:tcPr>
          <w:p w:rsidR="00B958B1" w:rsidRPr="007660C2" w:rsidRDefault="00B958B1" w:rsidP="009F3B54">
            <w:pPr>
              <w:pStyle w:val="Tabletextheading"/>
              <w:rPr>
                <w:lang w:eastAsia="en-AU"/>
              </w:rPr>
            </w:pPr>
            <w:r w:rsidRPr="007660C2">
              <w:rPr>
                <w:lang w:eastAsia="en-AU"/>
              </w:rPr>
              <w:t xml:space="preserve"> </w:t>
            </w:r>
          </w:p>
        </w:tc>
        <w:tc>
          <w:tcPr>
            <w:tcW w:w="887" w:type="dxa"/>
            <w:tcBorders>
              <w:left w:val="nil"/>
              <w:right w:val="nil"/>
            </w:tcBorders>
            <w:shd w:val="clear" w:color="auto" w:fill="auto"/>
          </w:tcPr>
          <w:p w:rsidR="00B958B1" w:rsidRPr="007660C2" w:rsidRDefault="00B958B1" w:rsidP="009F3B54">
            <w:pPr>
              <w:pStyle w:val="Tabletextheading"/>
              <w:rPr>
                <w:lang w:eastAsia="en-AU"/>
              </w:rPr>
            </w:pPr>
            <w:r w:rsidRPr="007660C2">
              <w:rPr>
                <w:lang w:eastAsia="en-AU"/>
              </w:rPr>
              <w:t xml:space="preserve"> </w:t>
            </w:r>
          </w:p>
        </w:tc>
        <w:tc>
          <w:tcPr>
            <w:tcW w:w="886" w:type="dxa"/>
            <w:tcBorders>
              <w:left w:val="nil"/>
              <w:right w:val="nil"/>
            </w:tcBorders>
            <w:shd w:val="clear" w:color="auto" w:fill="auto"/>
          </w:tcPr>
          <w:p w:rsidR="00B958B1" w:rsidRPr="007660C2" w:rsidRDefault="00B958B1" w:rsidP="009F3B54">
            <w:pPr>
              <w:pStyle w:val="Tabletextheading"/>
              <w:rPr>
                <w:lang w:eastAsia="en-AU"/>
              </w:rPr>
            </w:pPr>
            <w:r w:rsidRPr="007660C2">
              <w:rPr>
                <w:lang w:eastAsia="en-AU"/>
              </w:rPr>
              <w:t xml:space="preserve"> </w:t>
            </w:r>
          </w:p>
        </w:tc>
        <w:tc>
          <w:tcPr>
            <w:tcW w:w="887" w:type="dxa"/>
            <w:tcBorders>
              <w:left w:val="nil"/>
            </w:tcBorders>
            <w:shd w:val="clear" w:color="auto" w:fill="auto"/>
          </w:tcPr>
          <w:p w:rsidR="00B958B1" w:rsidRPr="007660C2" w:rsidRDefault="00B958B1" w:rsidP="009F3B54">
            <w:pPr>
              <w:pStyle w:val="Tabletextheading"/>
              <w:rPr>
                <w:lang w:eastAsia="en-AU"/>
              </w:rPr>
            </w:pPr>
            <w:r w:rsidRPr="007660C2">
              <w:rPr>
                <w:lang w:eastAsia="en-AU"/>
              </w:rPr>
              <w:t xml:space="preserve"> </w:t>
            </w:r>
          </w:p>
        </w:tc>
      </w:tr>
      <w:tr w:rsidR="00B958B1" w:rsidRPr="007660C2" w:rsidTr="009F3B54">
        <w:trPr>
          <w:cantSplit/>
        </w:trPr>
        <w:tc>
          <w:tcPr>
            <w:tcW w:w="3344" w:type="dxa"/>
            <w:tcBorders>
              <w:left w:val="nil"/>
              <w:bottom w:val="nil"/>
              <w:right w:val="nil"/>
            </w:tcBorders>
          </w:tcPr>
          <w:p w:rsidR="00B958B1" w:rsidRPr="007660C2" w:rsidRDefault="00B958B1" w:rsidP="009F3B54">
            <w:pPr>
              <w:pStyle w:val="Tabletext"/>
              <w:rPr>
                <w:lang w:eastAsia="en-AU"/>
              </w:rPr>
            </w:pPr>
            <w:r w:rsidRPr="007660C2">
              <w:rPr>
                <w:lang w:eastAsia="en-AU"/>
              </w:rPr>
              <w:t>Improving cardiovascular disease health outcomes</w:t>
            </w:r>
          </w:p>
        </w:tc>
        <w:tc>
          <w:tcPr>
            <w:tcW w:w="886" w:type="dxa"/>
            <w:gridSpan w:val="2"/>
            <w:tcBorders>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86" w:type="dxa"/>
            <w:tcBorders>
              <w:left w:val="nil"/>
              <w:bottom w:val="nil"/>
              <w:right w:val="nil"/>
            </w:tcBorders>
          </w:tcPr>
          <w:p w:rsidR="00B958B1" w:rsidRPr="007660C2" w:rsidRDefault="00B958B1" w:rsidP="009F3B54">
            <w:pPr>
              <w:pStyle w:val="TableofFigures"/>
              <w:rPr>
                <w:lang w:eastAsia="en-AU"/>
              </w:rPr>
            </w:pPr>
            <w:r w:rsidRPr="007660C2">
              <w:rPr>
                <w:lang w:eastAsia="en-AU"/>
              </w:rPr>
              <w:t>5.0</w:t>
            </w:r>
          </w:p>
        </w:tc>
        <w:tc>
          <w:tcPr>
            <w:tcW w:w="887" w:type="dxa"/>
            <w:tcBorders>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5.8</w:t>
            </w:r>
          </w:p>
        </w:tc>
        <w:tc>
          <w:tcPr>
            <w:tcW w:w="886" w:type="dxa"/>
            <w:tcBorders>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5.5</w:t>
            </w:r>
          </w:p>
        </w:tc>
        <w:tc>
          <w:tcPr>
            <w:tcW w:w="887" w:type="dxa"/>
            <w:tcBorders>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5.6</w:t>
            </w:r>
          </w:p>
        </w:tc>
      </w:tr>
      <w:tr w:rsidR="00B958B1" w:rsidRPr="007660C2" w:rsidTr="009F3B54">
        <w:trPr>
          <w:cantSplit/>
        </w:trPr>
        <w:tc>
          <w:tcPr>
            <w:tcW w:w="334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Infection prevention</w:t>
            </w:r>
          </w:p>
        </w:tc>
        <w:tc>
          <w:tcPr>
            <w:tcW w:w="886"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8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2.5</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2.5</w:t>
            </w:r>
          </w:p>
        </w:tc>
        <w:tc>
          <w:tcPr>
            <w:tcW w:w="88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87"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r>
      <w:tr w:rsidR="00B958B1" w:rsidRPr="007660C2" w:rsidTr="009F3B54">
        <w:trPr>
          <w:cantSplit/>
        </w:trPr>
        <w:tc>
          <w:tcPr>
            <w:tcW w:w="334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Informing consumers about maternity care</w:t>
            </w:r>
          </w:p>
        </w:tc>
        <w:tc>
          <w:tcPr>
            <w:tcW w:w="886"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0.4</w:t>
            </w:r>
          </w:p>
        </w:tc>
        <w:tc>
          <w:tcPr>
            <w:tcW w:w="88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1.0</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0.2</w:t>
            </w:r>
          </w:p>
        </w:tc>
        <w:tc>
          <w:tcPr>
            <w:tcW w:w="88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87"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r>
      <w:tr w:rsidR="00B958B1" w:rsidRPr="007660C2" w:rsidTr="009F3B54">
        <w:trPr>
          <w:cantSplit/>
        </w:trPr>
        <w:tc>
          <w:tcPr>
            <w:tcW w:w="334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Innovation and improvement fund</w:t>
            </w:r>
          </w:p>
        </w:tc>
        <w:tc>
          <w:tcPr>
            <w:tcW w:w="886"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5.0</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5.0</w:t>
            </w: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5.0</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5.0</w:t>
            </w:r>
          </w:p>
        </w:tc>
      </w:tr>
      <w:tr w:rsidR="00B958B1" w:rsidRPr="007660C2" w:rsidTr="009F3B54">
        <w:trPr>
          <w:cantSplit/>
        </w:trPr>
        <w:tc>
          <w:tcPr>
            <w:tcW w:w="334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Securing Victoria's health system — elective surgery</w:t>
            </w:r>
          </w:p>
        </w:tc>
        <w:tc>
          <w:tcPr>
            <w:tcW w:w="886"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101.3</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103.8</w:t>
            </w: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106.4</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109.1</w:t>
            </w:r>
          </w:p>
        </w:tc>
      </w:tr>
      <w:tr w:rsidR="00B958B1" w:rsidRPr="007660C2" w:rsidTr="009F3B54">
        <w:trPr>
          <w:cantSplit/>
        </w:trPr>
        <w:tc>
          <w:tcPr>
            <w:tcW w:w="334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Securing Victoria's health system — organ retrieval and transplantation services</w:t>
            </w:r>
          </w:p>
        </w:tc>
        <w:tc>
          <w:tcPr>
            <w:tcW w:w="886"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5.0</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5.1</w:t>
            </w: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5.3</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5.4</w:t>
            </w:r>
          </w:p>
        </w:tc>
      </w:tr>
      <w:tr w:rsidR="00B958B1" w:rsidRPr="007660C2" w:rsidTr="009F3B54">
        <w:trPr>
          <w:cantSplit/>
        </w:trPr>
        <w:tc>
          <w:tcPr>
            <w:tcW w:w="3344" w:type="dxa"/>
            <w:tcBorders>
              <w:top w:val="nil"/>
              <w:left w:val="nil"/>
              <w:bottom w:val="nil"/>
              <w:right w:val="nil"/>
            </w:tcBorders>
            <w:shd w:val="solid" w:color="FFFFFF" w:fill="auto"/>
          </w:tcPr>
          <w:p w:rsidR="00B958B1" w:rsidRPr="007660C2" w:rsidRDefault="00B958B1" w:rsidP="009F3B54">
            <w:pPr>
              <w:pStyle w:val="Tabletext"/>
              <w:rPr>
                <w:vertAlign w:val="superscript"/>
                <w:lang w:eastAsia="en-AU"/>
              </w:rPr>
            </w:pPr>
            <w:r w:rsidRPr="007660C2">
              <w:rPr>
                <w:lang w:eastAsia="en-AU"/>
              </w:rPr>
              <w:t xml:space="preserve">Securing Victoria's health system — treating more patients </w:t>
            </w:r>
            <w:r w:rsidRPr="007660C2">
              <w:rPr>
                <w:vertAlign w:val="superscript"/>
                <w:lang w:eastAsia="en-AU"/>
              </w:rPr>
              <w:t>(a)</w:t>
            </w:r>
          </w:p>
        </w:tc>
        <w:tc>
          <w:tcPr>
            <w:tcW w:w="886"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176.3</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187.0</w:t>
            </w: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191.6</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196.4</w:t>
            </w:r>
          </w:p>
        </w:tc>
      </w:tr>
      <w:tr w:rsidR="00B958B1" w:rsidRPr="007660C2" w:rsidTr="009F3B54">
        <w:trPr>
          <w:cantSplit/>
        </w:trPr>
        <w:tc>
          <w:tcPr>
            <w:tcW w:w="334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Training the future health workforce</w:t>
            </w:r>
            <w:r>
              <w:rPr>
                <w:lang w:eastAsia="en-AU"/>
              </w:rPr>
              <w:t xml:space="preserve"> – </w:t>
            </w:r>
            <w:r w:rsidRPr="007660C2">
              <w:rPr>
                <w:lang w:eastAsia="en-AU"/>
              </w:rPr>
              <w:t>postgraduate</w:t>
            </w:r>
          </w:p>
        </w:tc>
        <w:tc>
          <w:tcPr>
            <w:tcW w:w="886"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8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10.0</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10.3</w:t>
            </w: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10.5</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10.8</w:t>
            </w:r>
          </w:p>
        </w:tc>
      </w:tr>
      <w:tr w:rsidR="00B958B1" w:rsidRPr="007660C2" w:rsidTr="009F3B54">
        <w:trPr>
          <w:cantSplit/>
        </w:trPr>
        <w:tc>
          <w:tcPr>
            <w:tcW w:w="334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Training the future health workforce</w:t>
            </w:r>
            <w:r>
              <w:rPr>
                <w:lang w:eastAsia="en-AU"/>
              </w:rPr>
              <w:t xml:space="preserve"> – </w:t>
            </w:r>
            <w:r w:rsidRPr="007660C2">
              <w:rPr>
                <w:lang w:eastAsia="en-AU"/>
              </w:rPr>
              <w:t>rural GP proceduralists</w:t>
            </w:r>
          </w:p>
        </w:tc>
        <w:tc>
          <w:tcPr>
            <w:tcW w:w="886"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8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0.7</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0.7</w:t>
            </w: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0.8</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0.8</w:t>
            </w:r>
          </w:p>
        </w:tc>
      </w:tr>
      <w:tr w:rsidR="00B958B1" w:rsidRPr="007660C2" w:rsidTr="009F3B54">
        <w:trPr>
          <w:cantSplit/>
        </w:trPr>
        <w:tc>
          <w:tcPr>
            <w:tcW w:w="334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 xml:space="preserve">Training the future health workforce — undergraduate </w:t>
            </w:r>
          </w:p>
        </w:tc>
        <w:tc>
          <w:tcPr>
            <w:tcW w:w="886"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8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44.9</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46.4</w:t>
            </w: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49.5</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53.1</w:t>
            </w:r>
          </w:p>
        </w:tc>
      </w:tr>
      <w:tr w:rsidR="00B958B1" w:rsidRPr="007660C2" w:rsidTr="009F3B54">
        <w:trPr>
          <w:cantSplit/>
        </w:trPr>
        <w:tc>
          <w:tcPr>
            <w:tcW w:w="3344" w:type="dxa"/>
            <w:tcBorders>
              <w:top w:val="nil"/>
              <w:left w:val="nil"/>
              <w:bottom w:val="nil"/>
              <w:right w:val="nil"/>
            </w:tcBorders>
          </w:tcPr>
          <w:p w:rsidR="00B958B1" w:rsidRPr="007660C2" w:rsidRDefault="00B958B1" w:rsidP="009F3B54">
            <w:pPr>
              <w:pStyle w:val="Tabletext"/>
              <w:rPr>
                <w:b/>
                <w:bCs/>
                <w:lang w:eastAsia="en-AU"/>
              </w:rPr>
            </w:pPr>
            <w:r w:rsidRPr="007660C2">
              <w:rPr>
                <w:b/>
                <w:bCs/>
                <w:lang w:eastAsia="en-AU"/>
              </w:rPr>
              <w:t>Ageing, Aged and Home Care</w:t>
            </w:r>
          </w:p>
        </w:tc>
        <w:tc>
          <w:tcPr>
            <w:tcW w:w="886"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 xml:space="preserve"> </w:t>
            </w:r>
          </w:p>
        </w:tc>
        <w:tc>
          <w:tcPr>
            <w:tcW w:w="88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 xml:space="preserve"> </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r>
      <w:tr w:rsidR="00B958B1" w:rsidRPr="007660C2" w:rsidTr="009F3B54">
        <w:trPr>
          <w:cantSplit/>
        </w:trPr>
        <w:tc>
          <w:tcPr>
            <w:tcW w:w="334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Home and Community Care</w:t>
            </w:r>
          </w:p>
        </w:tc>
        <w:tc>
          <w:tcPr>
            <w:tcW w:w="886"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8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33.7</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34.6</w:t>
            </w: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35.4</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36.3</w:t>
            </w:r>
          </w:p>
        </w:tc>
      </w:tr>
      <w:tr w:rsidR="00B958B1" w:rsidRPr="007660C2" w:rsidTr="009F3B54">
        <w:trPr>
          <w:cantSplit/>
        </w:trPr>
        <w:tc>
          <w:tcPr>
            <w:tcW w:w="3344" w:type="dxa"/>
            <w:tcBorders>
              <w:top w:val="nil"/>
              <w:left w:val="nil"/>
              <w:bottom w:val="nil"/>
              <w:right w:val="nil"/>
            </w:tcBorders>
          </w:tcPr>
          <w:p w:rsidR="00B958B1" w:rsidRPr="007660C2" w:rsidRDefault="00B958B1" w:rsidP="009F3B54">
            <w:pPr>
              <w:pStyle w:val="Tabletext"/>
              <w:rPr>
                <w:rFonts w:ascii="Times New Roman" w:hAnsi="Times New Roman"/>
                <w:b/>
                <w:bCs/>
                <w:lang w:eastAsia="en-AU"/>
              </w:rPr>
            </w:pPr>
            <w:r w:rsidRPr="007660C2">
              <w:rPr>
                <w:lang w:eastAsia="en-AU"/>
              </w:rPr>
              <w:t>Increasing the availability of information for senior Victorians</w:t>
            </w:r>
            <w:r w:rsidRPr="007660C2">
              <w:rPr>
                <w:rFonts w:ascii="Times New Roman" w:hAnsi="Times New Roman"/>
                <w:b/>
                <w:bCs/>
                <w:lang w:eastAsia="en-AU"/>
              </w:rPr>
              <w:t xml:space="preserve"> </w:t>
            </w:r>
          </w:p>
        </w:tc>
        <w:tc>
          <w:tcPr>
            <w:tcW w:w="886"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8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0.5</w:t>
            </w:r>
          </w:p>
        </w:tc>
        <w:tc>
          <w:tcPr>
            <w:tcW w:w="887"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0.5</w:t>
            </w:r>
          </w:p>
        </w:tc>
        <w:tc>
          <w:tcPr>
            <w:tcW w:w="88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0.5</w:t>
            </w:r>
          </w:p>
        </w:tc>
        <w:tc>
          <w:tcPr>
            <w:tcW w:w="887"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0.5</w:t>
            </w:r>
          </w:p>
        </w:tc>
      </w:tr>
      <w:tr w:rsidR="00B958B1" w:rsidRPr="007660C2" w:rsidTr="009F3B54">
        <w:trPr>
          <w:cantSplit/>
        </w:trPr>
        <w:tc>
          <w:tcPr>
            <w:tcW w:w="3344" w:type="dxa"/>
            <w:tcBorders>
              <w:top w:val="nil"/>
              <w:left w:val="nil"/>
              <w:bottom w:val="nil"/>
              <w:right w:val="nil"/>
            </w:tcBorders>
          </w:tcPr>
          <w:p w:rsidR="00B958B1" w:rsidRPr="007660C2" w:rsidRDefault="00B958B1" w:rsidP="009F3B54">
            <w:pPr>
              <w:pStyle w:val="Tabletext"/>
              <w:rPr>
                <w:b/>
                <w:bCs/>
                <w:lang w:eastAsia="en-AU"/>
              </w:rPr>
            </w:pPr>
            <w:r w:rsidRPr="007660C2">
              <w:rPr>
                <w:b/>
                <w:bCs/>
                <w:lang w:eastAsia="en-AU"/>
              </w:rPr>
              <w:t>Mental Health</w:t>
            </w:r>
          </w:p>
        </w:tc>
        <w:tc>
          <w:tcPr>
            <w:tcW w:w="886" w:type="dxa"/>
            <w:gridSpan w:val="2"/>
            <w:tcBorders>
              <w:top w:val="nil"/>
              <w:left w:val="nil"/>
              <w:bottom w:val="nil"/>
              <w:right w:val="nil"/>
            </w:tcBorders>
          </w:tcPr>
          <w:p w:rsidR="00B958B1" w:rsidRPr="007660C2" w:rsidRDefault="00B958B1" w:rsidP="009F3B54">
            <w:pPr>
              <w:pStyle w:val="TableofFigures"/>
              <w:rPr>
                <w:lang w:eastAsia="en-AU"/>
              </w:rPr>
            </w:pPr>
          </w:p>
        </w:tc>
        <w:tc>
          <w:tcPr>
            <w:tcW w:w="886" w:type="dxa"/>
            <w:tcBorders>
              <w:top w:val="nil"/>
              <w:left w:val="nil"/>
              <w:bottom w:val="nil"/>
              <w:right w:val="nil"/>
            </w:tcBorders>
          </w:tcPr>
          <w:p w:rsidR="00B958B1" w:rsidRPr="007660C2" w:rsidRDefault="00B958B1" w:rsidP="009F3B54">
            <w:pPr>
              <w:pStyle w:val="TableofFigures"/>
              <w:rPr>
                <w:lang w:eastAsia="en-AU"/>
              </w:rPr>
            </w:pP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p>
        </w:tc>
      </w:tr>
      <w:tr w:rsidR="00B958B1" w:rsidRPr="007660C2" w:rsidTr="009F3B54">
        <w:trPr>
          <w:cantSplit/>
        </w:trPr>
        <w:tc>
          <w:tcPr>
            <w:tcW w:w="334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Bairnsdale Mental Health and Wellbeing Centre</w:t>
            </w:r>
          </w:p>
        </w:tc>
        <w:tc>
          <w:tcPr>
            <w:tcW w:w="886"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8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0.3</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0.3</w:t>
            </w: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0.3</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0.3</w:t>
            </w:r>
          </w:p>
        </w:tc>
      </w:tr>
      <w:tr w:rsidR="00B958B1" w:rsidRPr="007660C2" w:rsidTr="009F3B54">
        <w:trPr>
          <w:cantSplit/>
        </w:trPr>
        <w:tc>
          <w:tcPr>
            <w:tcW w:w="334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Mother</w:t>
            </w:r>
            <w:r w:rsidR="009F0F49">
              <w:rPr>
                <w:lang w:eastAsia="en-AU"/>
              </w:rPr>
              <w:noBreakHyphen/>
            </w:r>
            <w:r w:rsidRPr="007660C2">
              <w:rPr>
                <w:lang w:eastAsia="en-AU"/>
              </w:rPr>
              <w:t>baby units</w:t>
            </w:r>
          </w:p>
        </w:tc>
        <w:tc>
          <w:tcPr>
            <w:tcW w:w="886"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8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2.0</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2.0</w:t>
            </w: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2.0</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3.4</w:t>
            </w:r>
          </w:p>
        </w:tc>
      </w:tr>
      <w:tr w:rsidR="00B958B1" w:rsidRPr="007660C2" w:rsidTr="009F3B54">
        <w:trPr>
          <w:cantSplit/>
        </w:trPr>
        <w:tc>
          <w:tcPr>
            <w:tcW w:w="334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New mental health beds</w:t>
            </w:r>
          </w:p>
        </w:tc>
        <w:tc>
          <w:tcPr>
            <w:tcW w:w="886"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8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2.0</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4.2</w:t>
            </w: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4.2</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4.2</w:t>
            </w:r>
          </w:p>
        </w:tc>
      </w:tr>
      <w:tr w:rsidR="00B958B1" w:rsidRPr="007660C2" w:rsidTr="009F3B54">
        <w:trPr>
          <w:cantSplit/>
        </w:trPr>
        <w:tc>
          <w:tcPr>
            <w:tcW w:w="334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Support for mental health beds</w:t>
            </w:r>
          </w:p>
        </w:tc>
        <w:tc>
          <w:tcPr>
            <w:tcW w:w="886"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8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10.2</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10.5</w:t>
            </w: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10.7</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11.0</w:t>
            </w:r>
          </w:p>
        </w:tc>
      </w:tr>
      <w:tr w:rsidR="00B958B1" w:rsidRPr="007660C2" w:rsidTr="009F3B54">
        <w:trPr>
          <w:cantSplit/>
        </w:trPr>
        <w:tc>
          <w:tcPr>
            <w:tcW w:w="3956" w:type="dxa"/>
            <w:gridSpan w:val="2"/>
            <w:tcBorders>
              <w:top w:val="nil"/>
              <w:left w:val="nil"/>
              <w:bottom w:val="nil"/>
              <w:right w:val="nil"/>
            </w:tcBorders>
          </w:tcPr>
          <w:p w:rsidR="00B958B1" w:rsidRPr="007660C2" w:rsidRDefault="00B958B1" w:rsidP="009F3B54">
            <w:pPr>
              <w:pStyle w:val="Tabletext"/>
              <w:rPr>
                <w:b/>
                <w:bCs/>
                <w:lang w:eastAsia="en-AU"/>
              </w:rPr>
            </w:pPr>
            <w:r w:rsidRPr="007660C2">
              <w:rPr>
                <w:b/>
                <w:bCs/>
                <w:lang w:eastAsia="en-AU"/>
              </w:rPr>
              <w:t>Primary, Community and Dental Health</w:t>
            </w:r>
          </w:p>
        </w:tc>
        <w:tc>
          <w:tcPr>
            <w:tcW w:w="274" w:type="dxa"/>
            <w:tcBorders>
              <w:top w:val="nil"/>
              <w:left w:val="nil"/>
              <w:bottom w:val="nil"/>
              <w:right w:val="nil"/>
            </w:tcBorders>
          </w:tcPr>
          <w:p w:rsidR="00B958B1" w:rsidRPr="007660C2" w:rsidRDefault="00B958B1" w:rsidP="009F3B54">
            <w:pPr>
              <w:pStyle w:val="TableofFigures"/>
              <w:rPr>
                <w:lang w:eastAsia="en-AU"/>
              </w:rPr>
            </w:pPr>
          </w:p>
        </w:tc>
        <w:tc>
          <w:tcPr>
            <w:tcW w:w="886" w:type="dxa"/>
            <w:tcBorders>
              <w:top w:val="nil"/>
              <w:left w:val="nil"/>
              <w:bottom w:val="nil"/>
              <w:right w:val="nil"/>
            </w:tcBorders>
          </w:tcPr>
          <w:p w:rsidR="00B958B1" w:rsidRPr="007660C2" w:rsidRDefault="00B958B1" w:rsidP="009F3B54">
            <w:pPr>
              <w:pStyle w:val="TableofFigures"/>
              <w:rPr>
                <w:lang w:eastAsia="en-AU"/>
              </w:rPr>
            </w:pP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p>
        </w:tc>
      </w:tr>
      <w:tr w:rsidR="00B958B1" w:rsidRPr="007660C2" w:rsidTr="009F3B54">
        <w:trPr>
          <w:cantSplit/>
        </w:trPr>
        <w:tc>
          <w:tcPr>
            <w:tcW w:w="334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Boosting community health services</w:t>
            </w:r>
          </w:p>
        </w:tc>
        <w:tc>
          <w:tcPr>
            <w:tcW w:w="886"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8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3.0</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3.1</w:t>
            </w: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3.2</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3.2</w:t>
            </w:r>
          </w:p>
        </w:tc>
      </w:tr>
      <w:tr w:rsidR="00B958B1" w:rsidRPr="007660C2" w:rsidTr="009F3B54">
        <w:trPr>
          <w:cantSplit/>
        </w:trPr>
        <w:tc>
          <w:tcPr>
            <w:tcW w:w="334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Improving health outcomes for Aboriginal Victorians</w:t>
            </w:r>
          </w:p>
        </w:tc>
        <w:tc>
          <w:tcPr>
            <w:tcW w:w="886"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8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15.1</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15.6</w:t>
            </w: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15.8</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15.3</w:t>
            </w:r>
          </w:p>
        </w:tc>
      </w:tr>
      <w:tr w:rsidR="00B958B1" w:rsidRPr="007660C2" w:rsidTr="009F3B54">
        <w:trPr>
          <w:cantSplit/>
        </w:trPr>
        <w:tc>
          <w:tcPr>
            <w:tcW w:w="334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Meeting the needs of refugees and asylum seekers</w:t>
            </w:r>
          </w:p>
        </w:tc>
        <w:tc>
          <w:tcPr>
            <w:tcW w:w="886"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8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5.0</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5.6</w:t>
            </w: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5.7</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5.9</w:t>
            </w:r>
          </w:p>
        </w:tc>
      </w:tr>
      <w:tr w:rsidR="00B958B1" w:rsidRPr="007660C2" w:rsidTr="009F3B54">
        <w:trPr>
          <w:cantSplit/>
        </w:trPr>
        <w:tc>
          <w:tcPr>
            <w:tcW w:w="3344" w:type="dxa"/>
            <w:tcBorders>
              <w:top w:val="nil"/>
              <w:left w:val="nil"/>
              <w:bottom w:val="nil"/>
              <w:right w:val="nil"/>
            </w:tcBorders>
          </w:tcPr>
          <w:p w:rsidR="00B958B1" w:rsidRPr="007660C2" w:rsidRDefault="00B958B1" w:rsidP="009F3B54">
            <w:pPr>
              <w:pStyle w:val="Tabletext"/>
              <w:pageBreakBefore/>
              <w:ind w:left="187" w:hanging="187"/>
              <w:rPr>
                <w:b/>
                <w:bCs/>
                <w:lang w:eastAsia="en-AU"/>
              </w:rPr>
            </w:pPr>
            <w:r w:rsidRPr="007660C2">
              <w:rPr>
                <w:b/>
                <w:bCs/>
                <w:lang w:eastAsia="en-AU"/>
              </w:rPr>
              <w:lastRenderedPageBreak/>
              <w:t>Public Health</w:t>
            </w:r>
          </w:p>
        </w:tc>
        <w:tc>
          <w:tcPr>
            <w:tcW w:w="886" w:type="dxa"/>
            <w:gridSpan w:val="2"/>
            <w:tcBorders>
              <w:top w:val="nil"/>
              <w:left w:val="nil"/>
              <w:bottom w:val="nil"/>
              <w:right w:val="nil"/>
            </w:tcBorders>
          </w:tcPr>
          <w:p w:rsidR="00B958B1" w:rsidRPr="007660C2" w:rsidRDefault="00B958B1" w:rsidP="009F3B54">
            <w:pPr>
              <w:pStyle w:val="TableofFigures"/>
              <w:rPr>
                <w:lang w:eastAsia="en-AU"/>
              </w:rPr>
            </w:pPr>
          </w:p>
        </w:tc>
        <w:tc>
          <w:tcPr>
            <w:tcW w:w="886" w:type="dxa"/>
            <w:tcBorders>
              <w:top w:val="nil"/>
              <w:left w:val="nil"/>
              <w:bottom w:val="nil"/>
              <w:right w:val="nil"/>
            </w:tcBorders>
          </w:tcPr>
          <w:p w:rsidR="00B958B1" w:rsidRPr="007660C2" w:rsidRDefault="00B958B1" w:rsidP="009F3B54">
            <w:pPr>
              <w:pStyle w:val="TableofFigures"/>
              <w:rPr>
                <w:lang w:eastAsia="en-AU"/>
              </w:rPr>
            </w:pP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p>
        </w:tc>
      </w:tr>
      <w:tr w:rsidR="00B958B1" w:rsidRPr="007660C2" w:rsidTr="009F3B54">
        <w:trPr>
          <w:cantSplit/>
        </w:trPr>
        <w:tc>
          <w:tcPr>
            <w:tcW w:w="334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Healthy Together Victoria</w:t>
            </w:r>
            <w:r>
              <w:rPr>
                <w:lang w:eastAsia="en-AU"/>
              </w:rPr>
              <w:t xml:space="preserve"> – </w:t>
            </w:r>
            <w:r w:rsidRPr="007660C2">
              <w:rPr>
                <w:lang w:eastAsia="en-AU"/>
              </w:rPr>
              <w:t>Active Cities</w:t>
            </w:r>
            <w:r>
              <w:rPr>
                <w:lang w:eastAsia="en-AU"/>
              </w:rPr>
              <w:t xml:space="preserve"> – </w:t>
            </w:r>
            <w:r w:rsidRPr="007660C2">
              <w:rPr>
                <w:lang w:eastAsia="en-AU"/>
              </w:rPr>
              <w:t>Melbourne</w:t>
            </w:r>
          </w:p>
        </w:tc>
        <w:tc>
          <w:tcPr>
            <w:tcW w:w="886"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8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1.2</w:t>
            </w:r>
          </w:p>
        </w:tc>
        <w:tc>
          <w:tcPr>
            <w:tcW w:w="887"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8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87"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r>
      <w:tr w:rsidR="00B958B1" w:rsidRPr="007660C2" w:rsidTr="009F3B54">
        <w:trPr>
          <w:cantSplit/>
        </w:trPr>
        <w:tc>
          <w:tcPr>
            <w:tcW w:w="334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HIV prevention — Community based rapid HIV testing</w:t>
            </w:r>
          </w:p>
        </w:tc>
        <w:tc>
          <w:tcPr>
            <w:tcW w:w="886"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0.2</w:t>
            </w:r>
          </w:p>
        </w:tc>
        <w:tc>
          <w:tcPr>
            <w:tcW w:w="88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0.5</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0.5</w:t>
            </w:r>
          </w:p>
        </w:tc>
        <w:tc>
          <w:tcPr>
            <w:tcW w:w="88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87"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r>
      <w:tr w:rsidR="00B958B1" w:rsidRPr="007660C2" w:rsidTr="009F3B54">
        <w:trPr>
          <w:cantSplit/>
        </w:trPr>
        <w:tc>
          <w:tcPr>
            <w:tcW w:w="334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Skin cancer prevention — shade in public places</w:t>
            </w:r>
          </w:p>
        </w:tc>
        <w:tc>
          <w:tcPr>
            <w:tcW w:w="886"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8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1.0</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1.0</w:t>
            </w:r>
          </w:p>
        </w:tc>
        <w:tc>
          <w:tcPr>
            <w:tcW w:w="886"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1.0</w:t>
            </w:r>
          </w:p>
        </w:tc>
        <w:tc>
          <w:tcPr>
            <w:tcW w:w="88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1.0</w:t>
            </w:r>
          </w:p>
        </w:tc>
      </w:tr>
      <w:tr w:rsidR="00B958B1" w:rsidRPr="007660C2" w:rsidTr="009F3B54">
        <w:trPr>
          <w:cantSplit/>
        </w:trPr>
        <w:tc>
          <w:tcPr>
            <w:tcW w:w="3344" w:type="dxa"/>
            <w:tcBorders>
              <w:top w:val="single" w:sz="6" w:space="0" w:color="auto"/>
              <w:left w:val="nil"/>
              <w:bottom w:val="single" w:sz="6" w:space="0" w:color="auto"/>
              <w:right w:val="nil"/>
            </w:tcBorders>
          </w:tcPr>
          <w:p w:rsidR="00B958B1" w:rsidRPr="007660C2" w:rsidRDefault="00B958B1" w:rsidP="009F3B54">
            <w:pPr>
              <w:pStyle w:val="Tabletext"/>
              <w:rPr>
                <w:b/>
                <w:bCs/>
                <w:lang w:eastAsia="en-AU"/>
              </w:rPr>
            </w:pPr>
            <w:r>
              <w:rPr>
                <w:b/>
                <w:bCs/>
                <w:lang w:eastAsia="en-AU"/>
              </w:rPr>
              <w:t>Sub total</w:t>
            </w:r>
            <w:r w:rsidRPr="007660C2">
              <w:rPr>
                <w:b/>
                <w:bCs/>
                <w:lang w:eastAsia="en-AU"/>
              </w:rPr>
              <w:t xml:space="preserve"> output initiatives</w:t>
            </w:r>
          </w:p>
        </w:tc>
        <w:tc>
          <w:tcPr>
            <w:tcW w:w="886" w:type="dxa"/>
            <w:gridSpan w:val="2"/>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0.6</w:t>
            </w:r>
          </w:p>
        </w:tc>
        <w:tc>
          <w:tcPr>
            <w:tcW w:w="886" w:type="dxa"/>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426.3</w:t>
            </w:r>
          </w:p>
        </w:tc>
        <w:tc>
          <w:tcPr>
            <w:tcW w:w="887" w:type="dxa"/>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444.7</w:t>
            </w:r>
          </w:p>
        </w:tc>
        <w:tc>
          <w:tcPr>
            <w:tcW w:w="886" w:type="dxa"/>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453.3</w:t>
            </w:r>
          </w:p>
        </w:tc>
        <w:tc>
          <w:tcPr>
            <w:tcW w:w="887" w:type="dxa"/>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467.1</w:t>
            </w:r>
          </w:p>
        </w:tc>
      </w:tr>
      <w:tr w:rsidR="00B958B1" w:rsidRPr="007660C2" w:rsidTr="009F3B54">
        <w:trPr>
          <w:cantSplit/>
        </w:trPr>
        <w:tc>
          <w:tcPr>
            <w:tcW w:w="3344" w:type="dxa"/>
            <w:tcBorders>
              <w:top w:val="single" w:sz="6" w:space="0" w:color="auto"/>
              <w:left w:val="nil"/>
              <w:bottom w:val="nil"/>
              <w:right w:val="nil"/>
            </w:tcBorders>
          </w:tcPr>
          <w:p w:rsidR="00B958B1" w:rsidRPr="007660C2" w:rsidRDefault="00B958B1" w:rsidP="009F3B54">
            <w:pPr>
              <w:pStyle w:val="Tabletext"/>
              <w:rPr>
                <w:lang w:eastAsia="en-AU"/>
              </w:rPr>
            </w:pPr>
            <w:r w:rsidRPr="007660C2">
              <w:rPr>
                <w:lang w:eastAsia="en-AU"/>
              </w:rPr>
              <w:t>Existing resources</w:t>
            </w:r>
          </w:p>
        </w:tc>
        <w:tc>
          <w:tcPr>
            <w:tcW w:w="886" w:type="dxa"/>
            <w:gridSpan w:val="2"/>
            <w:tcBorders>
              <w:top w:val="nil"/>
              <w:left w:val="nil"/>
              <w:bottom w:val="nil"/>
              <w:right w:val="nil"/>
            </w:tcBorders>
            <w:shd w:val="solid" w:color="FFFFFF" w:fill="auto"/>
          </w:tcPr>
          <w:p w:rsidR="00B958B1" w:rsidRPr="007660C2" w:rsidRDefault="009F0F49" w:rsidP="009F3B54">
            <w:pPr>
              <w:pStyle w:val="TableofFigures"/>
              <w:rPr>
                <w:lang w:eastAsia="en-AU"/>
              </w:rPr>
            </w:pPr>
            <w:r>
              <w:rPr>
                <w:lang w:eastAsia="en-AU"/>
              </w:rPr>
              <w:noBreakHyphen/>
            </w:r>
            <w:r w:rsidR="00B958B1" w:rsidRPr="007660C2">
              <w:rPr>
                <w:lang w:eastAsia="en-AU"/>
              </w:rPr>
              <w:t>0.6</w:t>
            </w:r>
          </w:p>
        </w:tc>
        <w:tc>
          <w:tcPr>
            <w:tcW w:w="886" w:type="dxa"/>
            <w:tcBorders>
              <w:top w:val="nil"/>
              <w:left w:val="nil"/>
              <w:bottom w:val="nil"/>
              <w:right w:val="nil"/>
            </w:tcBorders>
            <w:shd w:val="solid" w:color="FFFFFF" w:fill="auto"/>
          </w:tcPr>
          <w:p w:rsidR="00B958B1" w:rsidRPr="007660C2" w:rsidRDefault="009F0F49" w:rsidP="009F3B54">
            <w:pPr>
              <w:pStyle w:val="TableofFigures"/>
              <w:rPr>
                <w:lang w:eastAsia="en-AU"/>
              </w:rPr>
            </w:pPr>
            <w:r>
              <w:rPr>
                <w:lang w:eastAsia="en-AU"/>
              </w:rPr>
              <w:noBreakHyphen/>
            </w:r>
            <w:r w:rsidR="00B958B1" w:rsidRPr="007660C2">
              <w:rPr>
                <w:lang w:eastAsia="en-AU"/>
              </w:rPr>
              <w:t>53.8</w:t>
            </w:r>
          </w:p>
        </w:tc>
        <w:tc>
          <w:tcPr>
            <w:tcW w:w="887" w:type="dxa"/>
            <w:tcBorders>
              <w:top w:val="nil"/>
              <w:left w:val="nil"/>
              <w:bottom w:val="nil"/>
              <w:right w:val="nil"/>
            </w:tcBorders>
            <w:shd w:val="solid" w:color="FFFFFF" w:fill="auto"/>
          </w:tcPr>
          <w:p w:rsidR="00B958B1" w:rsidRPr="007660C2" w:rsidRDefault="009F0F49" w:rsidP="009F3B54">
            <w:pPr>
              <w:pStyle w:val="TableofFigures"/>
              <w:rPr>
                <w:lang w:eastAsia="en-AU"/>
              </w:rPr>
            </w:pPr>
            <w:r>
              <w:rPr>
                <w:lang w:eastAsia="en-AU"/>
              </w:rPr>
              <w:noBreakHyphen/>
            </w:r>
            <w:r w:rsidR="00B958B1" w:rsidRPr="007660C2">
              <w:rPr>
                <w:lang w:eastAsia="en-AU"/>
              </w:rPr>
              <w:t>53.3</w:t>
            </w:r>
          </w:p>
        </w:tc>
        <w:tc>
          <w:tcPr>
            <w:tcW w:w="886" w:type="dxa"/>
            <w:tcBorders>
              <w:top w:val="nil"/>
              <w:left w:val="nil"/>
              <w:bottom w:val="nil"/>
              <w:right w:val="nil"/>
            </w:tcBorders>
            <w:shd w:val="solid" w:color="FFFFFF" w:fill="auto"/>
          </w:tcPr>
          <w:p w:rsidR="00B958B1" w:rsidRPr="007660C2" w:rsidRDefault="009F0F49" w:rsidP="009F3B54">
            <w:pPr>
              <w:pStyle w:val="TableofFigures"/>
              <w:rPr>
                <w:lang w:eastAsia="en-AU"/>
              </w:rPr>
            </w:pPr>
            <w:r>
              <w:rPr>
                <w:lang w:eastAsia="en-AU"/>
              </w:rPr>
              <w:noBreakHyphen/>
            </w:r>
            <w:r w:rsidR="00B958B1" w:rsidRPr="007660C2">
              <w:rPr>
                <w:lang w:eastAsia="en-AU"/>
              </w:rPr>
              <w:t>50.5</w:t>
            </w:r>
          </w:p>
        </w:tc>
        <w:tc>
          <w:tcPr>
            <w:tcW w:w="887" w:type="dxa"/>
            <w:tcBorders>
              <w:top w:val="nil"/>
              <w:left w:val="nil"/>
              <w:bottom w:val="nil"/>
              <w:right w:val="nil"/>
            </w:tcBorders>
            <w:shd w:val="solid" w:color="FFFFFF" w:fill="auto"/>
          </w:tcPr>
          <w:p w:rsidR="00B958B1" w:rsidRPr="007660C2" w:rsidRDefault="009F0F49" w:rsidP="009F3B54">
            <w:pPr>
              <w:pStyle w:val="TableofFigures"/>
              <w:rPr>
                <w:lang w:eastAsia="en-AU"/>
              </w:rPr>
            </w:pPr>
            <w:r>
              <w:rPr>
                <w:lang w:eastAsia="en-AU"/>
              </w:rPr>
              <w:noBreakHyphen/>
            </w:r>
            <w:r w:rsidR="00B958B1" w:rsidRPr="007660C2">
              <w:rPr>
                <w:lang w:eastAsia="en-AU"/>
              </w:rPr>
              <w:t>51.4</w:t>
            </w:r>
          </w:p>
        </w:tc>
      </w:tr>
      <w:tr w:rsidR="00B958B1" w:rsidRPr="007660C2" w:rsidTr="009F3B54">
        <w:trPr>
          <w:cantSplit/>
        </w:trPr>
        <w:tc>
          <w:tcPr>
            <w:tcW w:w="3344" w:type="dxa"/>
            <w:tcBorders>
              <w:top w:val="single" w:sz="6" w:space="0" w:color="auto"/>
              <w:left w:val="nil"/>
              <w:bottom w:val="single" w:sz="12" w:space="0" w:color="auto"/>
              <w:right w:val="nil"/>
            </w:tcBorders>
          </w:tcPr>
          <w:p w:rsidR="00B958B1" w:rsidRPr="007660C2" w:rsidRDefault="00B958B1" w:rsidP="009F3B54">
            <w:pPr>
              <w:pStyle w:val="Tabletext"/>
              <w:rPr>
                <w:b/>
                <w:bCs/>
                <w:lang w:eastAsia="en-AU"/>
              </w:rPr>
            </w:pPr>
            <w:r w:rsidRPr="007660C2">
              <w:rPr>
                <w:b/>
                <w:bCs/>
                <w:lang w:eastAsia="en-AU"/>
              </w:rPr>
              <w:t>Total output initiatives</w:t>
            </w:r>
          </w:p>
        </w:tc>
        <w:tc>
          <w:tcPr>
            <w:tcW w:w="886" w:type="dxa"/>
            <w:gridSpan w:val="2"/>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w:t>
            </w:r>
          </w:p>
        </w:tc>
        <w:tc>
          <w:tcPr>
            <w:tcW w:w="886" w:type="dxa"/>
            <w:tcBorders>
              <w:top w:val="single" w:sz="6" w:space="0" w:color="auto"/>
              <w:left w:val="nil"/>
              <w:bottom w:val="single" w:sz="12" w:space="0" w:color="auto"/>
              <w:right w:val="nil"/>
            </w:tcBorders>
            <w:shd w:val="solid" w:color="FFFFFF" w:fill="auto"/>
          </w:tcPr>
          <w:p w:rsidR="00B958B1" w:rsidRPr="007660C2" w:rsidRDefault="00B958B1" w:rsidP="009F3B54">
            <w:pPr>
              <w:pStyle w:val="TableofFigures"/>
              <w:rPr>
                <w:b/>
                <w:bCs/>
                <w:lang w:eastAsia="en-AU"/>
              </w:rPr>
            </w:pPr>
            <w:r w:rsidRPr="007660C2">
              <w:rPr>
                <w:b/>
                <w:bCs/>
                <w:lang w:eastAsia="en-AU"/>
              </w:rPr>
              <w:t>372.5</w:t>
            </w:r>
          </w:p>
        </w:tc>
        <w:tc>
          <w:tcPr>
            <w:tcW w:w="887" w:type="dxa"/>
            <w:tcBorders>
              <w:top w:val="single" w:sz="6" w:space="0" w:color="auto"/>
              <w:left w:val="nil"/>
              <w:bottom w:val="single" w:sz="12" w:space="0" w:color="auto"/>
              <w:right w:val="nil"/>
            </w:tcBorders>
            <w:shd w:val="solid" w:color="FFFFFF" w:fill="auto"/>
          </w:tcPr>
          <w:p w:rsidR="00B958B1" w:rsidRPr="007660C2" w:rsidRDefault="00B958B1" w:rsidP="009F3B54">
            <w:pPr>
              <w:pStyle w:val="TableofFigures"/>
              <w:rPr>
                <w:b/>
                <w:bCs/>
                <w:lang w:eastAsia="en-AU"/>
              </w:rPr>
            </w:pPr>
            <w:r w:rsidRPr="007660C2">
              <w:rPr>
                <w:b/>
                <w:bCs/>
                <w:lang w:eastAsia="en-AU"/>
              </w:rPr>
              <w:t>391.4</w:t>
            </w:r>
          </w:p>
        </w:tc>
        <w:tc>
          <w:tcPr>
            <w:tcW w:w="886" w:type="dxa"/>
            <w:tcBorders>
              <w:top w:val="single" w:sz="6" w:space="0" w:color="auto"/>
              <w:left w:val="nil"/>
              <w:bottom w:val="single" w:sz="12" w:space="0" w:color="auto"/>
              <w:right w:val="nil"/>
            </w:tcBorders>
            <w:shd w:val="solid" w:color="FFFFFF" w:fill="auto"/>
          </w:tcPr>
          <w:p w:rsidR="00B958B1" w:rsidRPr="007660C2" w:rsidRDefault="00B958B1" w:rsidP="009F3B54">
            <w:pPr>
              <w:pStyle w:val="TableofFigures"/>
              <w:rPr>
                <w:b/>
                <w:bCs/>
                <w:lang w:eastAsia="en-AU"/>
              </w:rPr>
            </w:pPr>
            <w:r w:rsidRPr="007660C2">
              <w:rPr>
                <w:b/>
                <w:bCs/>
                <w:lang w:eastAsia="en-AU"/>
              </w:rPr>
              <w:t>402.9</w:t>
            </w:r>
          </w:p>
        </w:tc>
        <w:tc>
          <w:tcPr>
            <w:tcW w:w="887" w:type="dxa"/>
            <w:tcBorders>
              <w:top w:val="single" w:sz="6" w:space="0" w:color="auto"/>
              <w:left w:val="nil"/>
              <w:bottom w:val="single" w:sz="12" w:space="0" w:color="auto"/>
              <w:right w:val="nil"/>
            </w:tcBorders>
            <w:shd w:val="solid" w:color="FFFFFF" w:fill="auto"/>
          </w:tcPr>
          <w:p w:rsidR="00B958B1" w:rsidRPr="007660C2" w:rsidRDefault="00B958B1" w:rsidP="009F3B54">
            <w:pPr>
              <w:pStyle w:val="TableofFigures"/>
              <w:rPr>
                <w:b/>
                <w:bCs/>
                <w:lang w:eastAsia="en-AU"/>
              </w:rPr>
            </w:pPr>
            <w:r w:rsidRPr="007660C2">
              <w:rPr>
                <w:b/>
                <w:bCs/>
                <w:lang w:eastAsia="en-AU"/>
              </w:rPr>
              <w:t>415.7</w:t>
            </w:r>
          </w:p>
        </w:tc>
      </w:tr>
    </w:tbl>
    <w:p w:rsidR="00B958B1" w:rsidRPr="00A20936" w:rsidRDefault="00B958B1" w:rsidP="009F3B54">
      <w:pPr>
        <w:pStyle w:val="Source"/>
      </w:pPr>
      <w:r w:rsidRPr="00A20936">
        <w:t>Source: Department of Treasury and Finance</w:t>
      </w:r>
    </w:p>
    <w:p w:rsidR="00B958B1" w:rsidRPr="0094637D" w:rsidRDefault="00B958B1" w:rsidP="009F3B54">
      <w:pPr>
        <w:pStyle w:val="Notes"/>
      </w:pPr>
      <w:r>
        <w:fldChar w:fldCharType="begin"/>
      </w:r>
      <w:r>
        <w:instrText xml:space="preserve"> XE "</w:instrText>
      </w:r>
      <w:r w:rsidRPr="00B31197">
        <w:instrText xml:space="preserve">Health:Public </w:instrText>
      </w:r>
      <w:r>
        <w:instrText>H</w:instrText>
      </w:r>
      <w:r w:rsidRPr="00B31197">
        <w:instrText>ealth</w:instrText>
      </w:r>
      <w:r>
        <w:instrText xml:space="preserve">" </w:instrText>
      </w:r>
      <w:r>
        <w:fldChar w:fldCharType="end"/>
      </w:r>
      <w:r>
        <w:fldChar w:fldCharType="begin"/>
      </w:r>
      <w:r>
        <w:instrText xml:space="preserve"> XE "</w:instrText>
      </w:r>
      <w:r w:rsidRPr="00E52CDF">
        <w:instrText xml:space="preserve">Health:Acute </w:instrText>
      </w:r>
      <w:r>
        <w:instrText>H</w:instrText>
      </w:r>
      <w:r w:rsidRPr="00E52CDF">
        <w:instrText>ealth</w:instrText>
      </w:r>
      <w:r>
        <w:instrText xml:space="preserve">" </w:instrText>
      </w:r>
      <w:r>
        <w:fldChar w:fldCharType="end"/>
      </w:r>
      <w:r>
        <w:fldChar w:fldCharType="begin"/>
      </w:r>
      <w:r>
        <w:instrText xml:space="preserve"> XE "</w:instrText>
      </w:r>
      <w:r w:rsidRPr="00025721">
        <w:instrText>Health:Mental Health</w:instrText>
      </w:r>
      <w:r>
        <w:instrText xml:space="preserve">" </w:instrText>
      </w:r>
      <w:r>
        <w:fldChar w:fldCharType="end"/>
      </w:r>
      <w:r>
        <w:fldChar w:fldCharType="begin"/>
      </w:r>
      <w:r>
        <w:instrText xml:space="preserve"> XE "</w:instrText>
      </w:r>
      <w:r w:rsidRPr="006E6C71">
        <w:instrText>Health:Refugees</w:instrText>
      </w:r>
      <w:r>
        <w:instrText xml:space="preserve">" </w:instrText>
      </w:r>
      <w:r>
        <w:fldChar w:fldCharType="end"/>
      </w:r>
      <w:r w:rsidRPr="0094637D">
        <w:t>Note:</w:t>
      </w:r>
    </w:p>
    <w:p w:rsidR="00B958B1" w:rsidRDefault="00B958B1" w:rsidP="009F3B54">
      <w:pPr>
        <w:pStyle w:val="Notes"/>
      </w:pPr>
      <w:r>
        <w:t>(</w:t>
      </w:r>
      <w:r w:rsidRPr="0094637D">
        <w:t>a)</w:t>
      </w:r>
      <w:r w:rsidRPr="0094637D">
        <w:tab/>
        <w:t>Includes Commonwealth funding under the National Health Reform Agreement.</w:t>
      </w:r>
    </w:p>
    <w:p w:rsidR="00B958B1" w:rsidRPr="0094637D" w:rsidRDefault="00B958B1" w:rsidP="009F3B54">
      <w:pPr>
        <w:pStyle w:val="Notes"/>
      </w:pPr>
    </w:p>
    <w:p w:rsidR="00B958B1" w:rsidRPr="00DE65E7" w:rsidRDefault="00B958B1" w:rsidP="009F3B54">
      <w:pPr>
        <w:pStyle w:val="Heading4"/>
      </w:pPr>
      <w:bookmarkStart w:id="28" w:name="BP3Ch1DHAcuteHlth"/>
      <w:r>
        <w:t>Acute Health</w:t>
      </w:r>
    </w:p>
    <w:p w:rsidR="00B958B1" w:rsidRDefault="00B958B1" w:rsidP="009F3B54">
      <w:pPr>
        <w:pStyle w:val="Heading5"/>
      </w:pPr>
      <w:r>
        <w:t>Improving cardiovascular disease health outcomes</w:t>
      </w:r>
    </w:p>
    <w:p w:rsidR="00B958B1" w:rsidRPr="0053353C" w:rsidRDefault="00B958B1" w:rsidP="009F3B54">
      <w:r w:rsidRPr="0053353C">
        <w:t>Access to lifesaving treatment for heart attack and stroke will be improved with a focus on rural and regional Victoria, delivering better outcomes for patients. Re</w:t>
      </w:r>
      <w:r w:rsidR="009F0F49">
        <w:noBreakHyphen/>
      </w:r>
      <w:r w:rsidRPr="0053353C">
        <w:t>admission and disease progression rates will be reduced through better managing and supporting people with chronic heart failure and introducing new models of care to enhance rehabilitation.</w:t>
      </w:r>
    </w:p>
    <w:p w:rsidR="00B958B1" w:rsidRDefault="00B958B1" w:rsidP="009F3B54">
      <w:r w:rsidRPr="0053353C">
        <w:t>This initiative contributes to</w:t>
      </w:r>
      <w:r>
        <w:t xml:space="preserve"> the Department of Health’s Non</w:t>
      </w:r>
      <w:r w:rsidR="009F0F49">
        <w:noBreakHyphen/>
      </w:r>
      <w:r w:rsidRPr="0053353C">
        <w:t>Admitted Services output</w:t>
      </w:r>
      <w:r>
        <w:t>.</w:t>
      </w:r>
    </w:p>
    <w:p w:rsidR="00B958B1" w:rsidRDefault="00B958B1" w:rsidP="009F3B54">
      <w:pPr>
        <w:pStyle w:val="Heading5"/>
      </w:pPr>
      <w:r>
        <w:t>Infection prevention</w:t>
      </w:r>
    </w:p>
    <w:p w:rsidR="00B958B1" w:rsidRPr="00E61E96" w:rsidRDefault="00B958B1" w:rsidP="009F3B54">
      <w:pPr>
        <w:rPr>
          <w:lang w:eastAsia="en-AU"/>
        </w:rPr>
      </w:pPr>
      <w:r w:rsidRPr="00E61E96">
        <w:rPr>
          <w:lang w:eastAsia="en-AU"/>
        </w:rPr>
        <w:t>An infection prevention and control strategy will be implemented, improving patient outcomes and reducing the cost burden of health associated infections in Victorian public health services. This will include a specific focus on hand hygiene.</w:t>
      </w:r>
    </w:p>
    <w:p w:rsidR="00B958B1" w:rsidRDefault="00B958B1" w:rsidP="009F3B54">
      <w:r>
        <w:t>This initiative contributes to the Department of Health’s Admitted Services output.</w:t>
      </w:r>
    </w:p>
    <w:p w:rsidR="00B958B1" w:rsidRDefault="00B958B1" w:rsidP="009F3B54">
      <w:pPr>
        <w:pStyle w:val="Heading5"/>
      </w:pPr>
      <w:r>
        <w:t>Informing consumers about maternity care</w:t>
      </w:r>
    </w:p>
    <w:p w:rsidR="00B958B1" w:rsidRPr="000F19B6" w:rsidRDefault="00B958B1" w:rsidP="009F3B54">
      <w:r w:rsidRPr="00E61E96">
        <w:t>Improved health literacy of Victorian women and their families will be supported through developing and piloting a statewide parenting kit led by the Royal Women</w:t>
      </w:r>
      <w:r>
        <w:t>’</w:t>
      </w:r>
      <w:r w:rsidRPr="00E61E96">
        <w:t>s Hospital, and developing and publishing consumer information on having a baby in Victoria.</w:t>
      </w:r>
    </w:p>
    <w:p w:rsidR="00B958B1" w:rsidRDefault="00B958B1" w:rsidP="009F3B54">
      <w:r>
        <w:t>This initiative contributes to the Department of Health’s Admitted Services output.</w:t>
      </w:r>
    </w:p>
    <w:p w:rsidR="00B958B1" w:rsidRDefault="00B958B1" w:rsidP="009F3B54">
      <w:pPr>
        <w:pStyle w:val="Heading5"/>
      </w:pPr>
      <w:r>
        <w:t>Innovation and improvement fund</w:t>
      </w:r>
    </w:p>
    <w:p w:rsidR="00B958B1" w:rsidRDefault="00B958B1" w:rsidP="009F3B54">
      <w:r>
        <w:t>An innovation and improvement fund will be established, to support a range of hospital innovations and improvements in efficiency, quality, safety and patient</w:t>
      </w:r>
      <w:r w:rsidR="009F0F49">
        <w:noBreakHyphen/>
      </w:r>
      <w:r>
        <w:t>centred care.</w:t>
      </w:r>
    </w:p>
    <w:p w:rsidR="00B958B1" w:rsidRDefault="00B958B1" w:rsidP="009F3B54">
      <w:r>
        <w:t>This initiative contributes to the Department of Health’s Admitted Services output.</w:t>
      </w:r>
    </w:p>
    <w:p w:rsidR="00B958B1" w:rsidRDefault="00B958B1" w:rsidP="009F3B54">
      <w:pPr>
        <w:pStyle w:val="Heading5"/>
      </w:pPr>
      <w:r>
        <w:br w:type="page"/>
      </w:r>
      <w:bookmarkStart w:id="29" w:name="BP3Ch1DHSecureVicsHealth"/>
      <w:r>
        <w:lastRenderedPageBreak/>
        <w:t>Securing Victoria’s health system – elective surgery</w:t>
      </w:r>
    </w:p>
    <w:p w:rsidR="00B958B1" w:rsidRDefault="00B958B1" w:rsidP="009F3B54">
      <w:r>
        <w:fldChar w:fldCharType="begin"/>
      </w:r>
      <w:r>
        <w:instrText xml:space="preserve"> XE "</w:instrText>
      </w:r>
      <w:r w:rsidRPr="00DF6441">
        <w:instrText xml:space="preserve">Health:Securing Victoria’s </w:instrText>
      </w:r>
      <w:r>
        <w:instrText>H</w:instrText>
      </w:r>
      <w:r w:rsidRPr="00DF6441">
        <w:instrText xml:space="preserve">ealth </w:instrText>
      </w:r>
      <w:r>
        <w:instrText>S</w:instrText>
      </w:r>
      <w:r w:rsidRPr="00DF6441">
        <w:instrText>ystem</w:instrText>
      </w:r>
      <w:r>
        <w:instrText xml:space="preserve">" \r "BP3Ch1DHSecureVicsHealth" </w:instrText>
      </w:r>
      <w:r>
        <w:fldChar w:fldCharType="end"/>
      </w:r>
      <w:r>
        <w:t>A pool of funding will be allocated on a competitive basis to drive efficiencies</w:t>
      </w:r>
      <w:r>
        <w:fldChar w:fldCharType="begin"/>
      </w:r>
      <w:r>
        <w:instrText xml:space="preserve"> XE "</w:instrText>
      </w:r>
      <w:r w:rsidRPr="001902E6">
        <w:instrText>Efficiencies</w:instrText>
      </w:r>
      <w:r>
        <w:instrText xml:space="preserve">" </w:instrText>
      </w:r>
      <w:r>
        <w:fldChar w:fldCharType="end"/>
      </w:r>
      <w:r>
        <w:t xml:space="preserve"> in elective surgery, meet increasing levels of demand and treat more Victorian elective surgery patients sooner.</w:t>
      </w:r>
    </w:p>
    <w:p w:rsidR="00B958B1" w:rsidRPr="009C3F1E" w:rsidRDefault="00B958B1" w:rsidP="009F3B54">
      <w:r w:rsidRPr="009C3F1E">
        <w:t>This initiative contributes to the Department of Health’s Admitted Services output.</w:t>
      </w:r>
    </w:p>
    <w:p w:rsidR="00B958B1" w:rsidRPr="009C3F1E" w:rsidRDefault="00B958B1" w:rsidP="009F3B54">
      <w:pPr>
        <w:pStyle w:val="Heading5"/>
      </w:pPr>
      <w:r w:rsidRPr="009C3F1E">
        <w:t>Securing Victoria’</w:t>
      </w:r>
      <w:r>
        <w:t>s health system – o</w:t>
      </w:r>
      <w:r w:rsidRPr="009C3F1E">
        <w:t>rgan retrieval and transplantation services</w:t>
      </w:r>
    </w:p>
    <w:p w:rsidR="00B958B1" w:rsidRPr="009C3F1E" w:rsidRDefault="00B958B1" w:rsidP="009F3B54">
      <w:pPr>
        <w:rPr>
          <w:b/>
        </w:rPr>
      </w:pPr>
      <w:r w:rsidRPr="009C3F1E">
        <w:t>The program will continue to support the capacity of health services to meet substantial growth in life</w:t>
      </w:r>
      <w:r w:rsidR="009F0F49">
        <w:noBreakHyphen/>
      </w:r>
      <w:r w:rsidRPr="009C3F1E">
        <w:t>saving and life</w:t>
      </w:r>
      <w:r w:rsidR="009F0F49">
        <w:noBreakHyphen/>
      </w:r>
      <w:r w:rsidRPr="009C3F1E">
        <w:t>transforming transplanta</w:t>
      </w:r>
      <w:r>
        <w:t>tion services resulting from</w:t>
      </w:r>
      <w:r w:rsidRPr="009C3F1E">
        <w:t xml:space="preserve"> increases in organ and tissue donation. </w:t>
      </w:r>
    </w:p>
    <w:p w:rsidR="00B958B1" w:rsidRPr="009C3F1E" w:rsidRDefault="00B958B1" w:rsidP="009F3B54">
      <w:r w:rsidRPr="009C3F1E">
        <w:t>This initiative contributes to the Department of Health’s Admitted Services output.</w:t>
      </w:r>
    </w:p>
    <w:p w:rsidR="00B958B1" w:rsidRDefault="00B958B1" w:rsidP="009F3B54">
      <w:pPr>
        <w:pStyle w:val="Heading5"/>
      </w:pPr>
      <w:r w:rsidRPr="009C3F1E">
        <w:t>Securing Victoria’s health system</w:t>
      </w:r>
      <w:r>
        <w:t xml:space="preserve"> – </w:t>
      </w:r>
      <w:r w:rsidRPr="009C3F1E">
        <w:t>treating more patients</w:t>
      </w:r>
      <w:r>
        <w:t xml:space="preserve"> </w:t>
      </w:r>
    </w:p>
    <w:p w:rsidR="00B958B1" w:rsidRDefault="00B958B1" w:rsidP="009F3B54">
      <w:r>
        <w:t>Additional support will be provided to enhance the capacity of health services to meet and manage growth in demand for essential hospital services. Support will target services such as emergency inpatient bed capacity, outpatient services, renal dialysis, chemotherapy and radiotherapy services, as well as cost</w:t>
      </w:r>
      <w:r w:rsidR="009F0F49">
        <w:noBreakHyphen/>
      </w:r>
      <w:r>
        <w:t>effective substitutes for acute care. As part of the new National Health Reform Agreement, Victoria will make explicit decisions about the contribution to both price and volume providing greater transparency for the community.</w:t>
      </w:r>
    </w:p>
    <w:p w:rsidR="00B958B1" w:rsidRDefault="00B958B1" w:rsidP="009F3B54">
      <w:r>
        <w:t>This funding also includes additional critical care capacity in intensive care units, as well as additional maternity and neonatal</w:t>
      </w:r>
      <w:r w:rsidR="009F0F49">
        <w:noBreakHyphen/>
      </w:r>
      <w:r>
        <w:t>service care funding.</w:t>
      </w:r>
    </w:p>
    <w:p w:rsidR="00B958B1" w:rsidRDefault="00B958B1" w:rsidP="009F3B54">
      <w:r>
        <w:t>This initiative contributes to the Department of Health’s:</w:t>
      </w:r>
    </w:p>
    <w:p w:rsidR="00B958B1" w:rsidRDefault="00B958B1" w:rsidP="009F3B54">
      <w:pPr>
        <w:pStyle w:val="BulletText"/>
      </w:pPr>
      <w:r>
        <w:t xml:space="preserve">Admitted </w:t>
      </w:r>
      <w:r w:rsidRPr="00BB51B3">
        <w:t>Services</w:t>
      </w:r>
      <w:r>
        <w:t xml:space="preserve"> output;</w:t>
      </w:r>
    </w:p>
    <w:p w:rsidR="00B958B1" w:rsidRDefault="00B958B1" w:rsidP="009F3B54">
      <w:pPr>
        <w:pStyle w:val="BulletText"/>
      </w:pPr>
      <w:r>
        <w:t>Drug Prevention and Control output;</w:t>
      </w:r>
    </w:p>
    <w:p w:rsidR="00B958B1" w:rsidRDefault="00B958B1" w:rsidP="009F3B54">
      <w:pPr>
        <w:pStyle w:val="BulletText"/>
      </w:pPr>
      <w:r>
        <w:t>Emergency Services</w:t>
      </w:r>
      <w:r>
        <w:fldChar w:fldCharType="begin"/>
      </w:r>
      <w:r>
        <w:instrText xml:space="preserve"> XE "</w:instrText>
      </w:r>
      <w:r w:rsidRPr="009E53A6">
        <w:instrText>Emergency Services</w:instrText>
      </w:r>
      <w:r>
        <w:instrText xml:space="preserve">" </w:instrText>
      </w:r>
      <w:r>
        <w:fldChar w:fldCharType="end"/>
      </w:r>
      <w:r>
        <w:t xml:space="preserve"> output; and</w:t>
      </w:r>
    </w:p>
    <w:p w:rsidR="00B958B1" w:rsidRDefault="00B958B1" w:rsidP="009F3B54">
      <w:pPr>
        <w:pStyle w:val="BulletText"/>
      </w:pPr>
      <w:r>
        <w:t>Non</w:t>
      </w:r>
      <w:r w:rsidR="009F0F49">
        <w:noBreakHyphen/>
      </w:r>
      <w:r>
        <w:t>Admitted Services output.</w:t>
      </w:r>
    </w:p>
    <w:p w:rsidR="00B958B1" w:rsidRDefault="00B958B1" w:rsidP="009F3B54">
      <w:pPr>
        <w:pStyle w:val="Heading5"/>
      </w:pPr>
      <w:bookmarkStart w:id="30" w:name="BP3Ch1DHTraining"/>
      <w:bookmarkEnd w:id="29"/>
      <w:r>
        <w:t>Training the future health workforce – postgraduate</w:t>
      </w:r>
    </w:p>
    <w:p w:rsidR="00B958B1" w:rsidRDefault="00B958B1" w:rsidP="009F3B54">
      <w:r>
        <w:t>Additional intern and new graduate places will be established in medicine, nursing, midwifery and medical radiation, increasing the overall supply of qualified health professionals.</w:t>
      </w:r>
    </w:p>
    <w:p w:rsidR="00B958B1" w:rsidRDefault="00B958B1" w:rsidP="009F3B54">
      <w:r>
        <w:t>This initiative contributes to the Department of Health’s Acute Training and Development output.</w:t>
      </w:r>
    </w:p>
    <w:p w:rsidR="00B958B1" w:rsidRDefault="00B958B1" w:rsidP="009F3B54">
      <w:pPr>
        <w:pStyle w:val="Heading5"/>
      </w:pPr>
      <w:r>
        <w:t>Training the future health workforce – rural GP proceduralists</w:t>
      </w:r>
    </w:p>
    <w:p w:rsidR="00B958B1" w:rsidRDefault="00B958B1" w:rsidP="009F3B54">
      <w:r>
        <w:t>An additional six training posts will be established for rural general practitioners, building on current programs to train rural doctors in procedural skills in areas such as obstetrics, anaesthetics, emergency and surgery.</w:t>
      </w:r>
    </w:p>
    <w:p w:rsidR="00B958B1" w:rsidRDefault="00B958B1" w:rsidP="009F3B54">
      <w:r>
        <w:t>This initiative contributes to the Department of Health’s Acute Training and Development output.</w:t>
      </w:r>
    </w:p>
    <w:p w:rsidR="00B958B1" w:rsidRDefault="00B958B1" w:rsidP="009F3B54">
      <w:pPr>
        <w:pStyle w:val="Heading5"/>
      </w:pPr>
      <w:r>
        <w:lastRenderedPageBreak/>
        <w:t xml:space="preserve">Training the future health workforce – undergraduate </w:t>
      </w:r>
    </w:p>
    <w:p w:rsidR="00B958B1" w:rsidRDefault="00B958B1" w:rsidP="009F3B54">
      <w:r>
        <w:t xml:space="preserve">The delivery of clinical training for undergraduate students will be increased. The initiative will support an increase of more than 20 per cent in clinical placement days over the next four years. </w:t>
      </w:r>
      <w:r>
        <w:fldChar w:fldCharType="begin"/>
      </w:r>
      <w:r>
        <w:instrText xml:space="preserve"> XE "</w:instrText>
      </w:r>
      <w:r w:rsidRPr="001A471D">
        <w:instrText>Health:Training</w:instrText>
      </w:r>
      <w:r>
        <w:instrText xml:space="preserve">" \r "BP3Ch1DHTraining" </w:instrText>
      </w:r>
      <w:r>
        <w:fldChar w:fldCharType="end"/>
      </w:r>
    </w:p>
    <w:bookmarkEnd w:id="30"/>
    <w:p w:rsidR="00B958B1" w:rsidRDefault="00B958B1" w:rsidP="009F3B54">
      <w:r>
        <w:t>This initiative contributes to the Department of Health’s Acute Training and Development output.</w:t>
      </w:r>
      <w:r>
        <w:fldChar w:fldCharType="begin"/>
      </w:r>
      <w:r>
        <w:instrText xml:space="preserve"> XE "</w:instrText>
      </w:r>
      <w:r w:rsidRPr="00235B1F">
        <w:instrText>Department of Health:Acute Health</w:instrText>
      </w:r>
      <w:r>
        <w:instrText xml:space="preserve">" \r "BP3Ch1DHAcuteHlth" </w:instrText>
      </w:r>
      <w:r>
        <w:fldChar w:fldCharType="end"/>
      </w:r>
      <w:r>
        <w:fldChar w:fldCharType="begin"/>
      </w:r>
      <w:r>
        <w:instrText xml:space="preserve"> XE "</w:instrText>
      </w:r>
      <w:r w:rsidRPr="00FE65C6">
        <w:instrText>Health:Acute Health</w:instrText>
      </w:r>
      <w:r>
        <w:instrText xml:space="preserve">" \r "BP3Ch1DHAcuteHlth" </w:instrText>
      </w:r>
      <w:r>
        <w:fldChar w:fldCharType="end"/>
      </w:r>
      <w:r>
        <w:t xml:space="preserve"> </w:t>
      </w:r>
    </w:p>
    <w:p w:rsidR="00B958B1" w:rsidRDefault="00B958B1" w:rsidP="009F3B54">
      <w:pPr>
        <w:pStyle w:val="Heading4"/>
      </w:pPr>
      <w:bookmarkStart w:id="31" w:name="BP3Ch1DHAgeing"/>
      <w:bookmarkEnd w:id="28"/>
      <w:r>
        <w:t>Ageing, Aged and Home Care</w:t>
      </w:r>
    </w:p>
    <w:p w:rsidR="00B958B1" w:rsidRDefault="00B958B1" w:rsidP="009F3B54">
      <w:pPr>
        <w:pStyle w:val="Heading5"/>
      </w:pPr>
      <w:r>
        <w:t>Home and Community Care</w:t>
      </w:r>
    </w:p>
    <w:p w:rsidR="00B958B1" w:rsidRDefault="00B958B1" w:rsidP="009F3B54">
      <w:r>
        <w:fldChar w:fldCharType="begin"/>
      </w:r>
      <w:r>
        <w:instrText xml:space="preserve"> XE "</w:instrText>
      </w:r>
      <w:r w:rsidRPr="009E53A6">
        <w:instrText xml:space="preserve">Home and </w:instrText>
      </w:r>
      <w:r>
        <w:instrText>C</w:instrText>
      </w:r>
      <w:r w:rsidRPr="009E53A6">
        <w:instrText xml:space="preserve">ommunity </w:instrText>
      </w:r>
      <w:r>
        <w:instrText>C</w:instrText>
      </w:r>
      <w:r w:rsidRPr="009E53A6">
        <w:instrText>are</w:instrText>
      </w:r>
      <w:r>
        <w:instrText xml:space="preserve">" </w:instrText>
      </w:r>
      <w:r>
        <w:fldChar w:fldCharType="end"/>
      </w:r>
      <w:r w:rsidRPr="00FF136B">
        <w:t>Service delivery in the Home and Communit</w:t>
      </w:r>
      <w:r>
        <w:t xml:space="preserve">y Care (HACC) program will provide </w:t>
      </w:r>
      <w:r w:rsidRPr="00FF136B">
        <w:t>increased support for older and younger people with a disability to remain in their home and help reduce the pressure on h</w:t>
      </w:r>
      <w:r>
        <w:t>ospital services.</w:t>
      </w:r>
      <w:r w:rsidRPr="00FF136B">
        <w:t xml:space="preserve"> </w:t>
      </w:r>
    </w:p>
    <w:p w:rsidR="00B958B1" w:rsidRPr="009C3F1E" w:rsidRDefault="00B958B1" w:rsidP="009F3B54">
      <w:r>
        <w:t xml:space="preserve">This initiative will contribute to the Department of Health’s HACC Primary Health, </w:t>
      </w:r>
      <w:r w:rsidRPr="009C3F1E">
        <w:t xml:space="preserve">Community Care and Support output. </w:t>
      </w:r>
    </w:p>
    <w:p w:rsidR="00B958B1" w:rsidRPr="009C3F1E" w:rsidRDefault="00B958B1" w:rsidP="009F3B54">
      <w:pPr>
        <w:pStyle w:val="Heading5"/>
      </w:pPr>
      <w:r w:rsidRPr="009C3F1E">
        <w:t xml:space="preserve">Increasing the availability of information for senior Victorians </w:t>
      </w:r>
    </w:p>
    <w:p w:rsidR="00B958B1" w:rsidRPr="009C3F1E" w:rsidRDefault="00B958B1" w:rsidP="009F3B54">
      <w:r>
        <w:fldChar w:fldCharType="begin"/>
      </w:r>
      <w:r>
        <w:instrText xml:space="preserve"> XE "</w:instrText>
      </w:r>
      <w:r w:rsidRPr="009E53A6">
        <w:instrText>Senior Victorians</w:instrText>
      </w:r>
      <w:r>
        <w:instrText xml:space="preserve">" </w:instrText>
      </w:r>
      <w:r>
        <w:fldChar w:fldCharType="end"/>
      </w:r>
      <w:r w:rsidRPr="009C3F1E">
        <w:t xml:space="preserve">Senior Victorians will be given support to access information and tools to assist them to live independently in their own home longer. </w:t>
      </w:r>
      <w:r>
        <w:fldChar w:fldCharType="begin"/>
      </w:r>
      <w:r>
        <w:instrText xml:space="preserve"> XE "</w:instrText>
      </w:r>
      <w:r w:rsidRPr="004505AC">
        <w:instrText xml:space="preserve">Health:Ageing, </w:instrText>
      </w:r>
      <w:r>
        <w:instrText>A</w:instrText>
      </w:r>
      <w:r w:rsidRPr="004505AC">
        <w:instrText xml:space="preserve">ged and </w:instrText>
      </w:r>
      <w:r>
        <w:instrText>H</w:instrText>
      </w:r>
      <w:r w:rsidRPr="004505AC">
        <w:instrText xml:space="preserve">ome </w:instrText>
      </w:r>
      <w:r>
        <w:instrText>C</w:instrText>
      </w:r>
      <w:r w:rsidRPr="004505AC">
        <w:instrText>are</w:instrText>
      </w:r>
      <w:r>
        <w:instrText xml:space="preserve">" \r "BP3Ch1DHAgeing" </w:instrText>
      </w:r>
      <w:r>
        <w:fldChar w:fldCharType="end"/>
      </w:r>
    </w:p>
    <w:p w:rsidR="00B958B1" w:rsidRPr="009C3F1E" w:rsidRDefault="00B958B1" w:rsidP="009F3B54">
      <w:r w:rsidRPr="009C3F1E">
        <w:t>This initiative contributes to the Department of Health’s Aged Support Services output.</w:t>
      </w:r>
    </w:p>
    <w:p w:rsidR="00B958B1" w:rsidRPr="009C3F1E" w:rsidRDefault="00B958B1" w:rsidP="009F3B54">
      <w:pPr>
        <w:pStyle w:val="Heading4"/>
      </w:pPr>
      <w:bookmarkStart w:id="32" w:name="BP3Ch1DHMentalhealth"/>
      <w:bookmarkEnd w:id="31"/>
      <w:r w:rsidRPr="009C3F1E">
        <w:t>Mental Health</w:t>
      </w:r>
    </w:p>
    <w:p w:rsidR="00B958B1" w:rsidRPr="009C3F1E" w:rsidRDefault="00B958B1" w:rsidP="009F3B54">
      <w:pPr>
        <w:pStyle w:val="Heading5"/>
      </w:pPr>
      <w:r w:rsidRPr="009C3F1E">
        <w:t>Bairnsdale Mental Health and Wellbeing Centre</w:t>
      </w:r>
    </w:p>
    <w:p w:rsidR="00B958B1" w:rsidRPr="00E61E96" w:rsidRDefault="00B958B1" w:rsidP="009F3B54">
      <w:pPr>
        <w:rPr>
          <w:lang w:eastAsia="en-AU"/>
        </w:rPr>
      </w:pPr>
      <w:r w:rsidRPr="009C3F1E">
        <w:rPr>
          <w:lang w:eastAsia="en-AU"/>
        </w:rPr>
        <w:t>Community mental health services in East Gippsland will be expanded to support people to access coordinated mental health, drug and alcohol</w:t>
      </w:r>
      <w:r w:rsidRPr="00E61E96">
        <w:rPr>
          <w:lang w:eastAsia="en-AU"/>
        </w:rPr>
        <w:t>, welfare and social services. This initiative delivers on the Government</w:t>
      </w:r>
      <w:r>
        <w:rPr>
          <w:lang w:eastAsia="en-AU"/>
        </w:rPr>
        <w:t>’</w:t>
      </w:r>
      <w:r w:rsidRPr="00E61E96">
        <w:rPr>
          <w:lang w:eastAsia="en-AU"/>
        </w:rPr>
        <w:t>s election commitment.</w:t>
      </w:r>
    </w:p>
    <w:p w:rsidR="00B958B1" w:rsidRDefault="00B958B1" w:rsidP="009F3B54">
      <w:r w:rsidRPr="00FE76FE">
        <w:t>This initiative contributes to the Department of Health’s Psychiatric Disability Rehabilitation and Support Services outputs.</w:t>
      </w:r>
    </w:p>
    <w:p w:rsidR="00B958B1" w:rsidRDefault="00B958B1" w:rsidP="009F3B54">
      <w:pPr>
        <w:pStyle w:val="Heading5"/>
      </w:pPr>
      <w:r>
        <w:t>Mother</w:t>
      </w:r>
      <w:r w:rsidR="009F0F49">
        <w:noBreakHyphen/>
      </w:r>
      <w:r>
        <w:t>baby units</w:t>
      </w:r>
    </w:p>
    <w:p w:rsidR="00B958B1" w:rsidRDefault="00B958B1" w:rsidP="009F3B54">
      <w:pPr>
        <w:rPr>
          <w:lang w:eastAsia="en-AU"/>
        </w:rPr>
      </w:pPr>
      <w:r w:rsidRPr="00656B4D">
        <w:rPr>
          <w:lang w:eastAsia="en-AU"/>
        </w:rPr>
        <w:t>This initiative will deliver the Government</w:t>
      </w:r>
      <w:r>
        <w:rPr>
          <w:lang w:eastAsia="en-AU"/>
        </w:rPr>
        <w:t>’s</w:t>
      </w:r>
      <w:r w:rsidRPr="00656B4D">
        <w:rPr>
          <w:lang w:eastAsia="en-AU"/>
        </w:rPr>
        <w:t xml:space="preserve"> election commitment to operate three mother</w:t>
      </w:r>
      <w:r w:rsidR="009F0F49">
        <w:rPr>
          <w:lang w:eastAsia="en-AU"/>
        </w:rPr>
        <w:noBreakHyphen/>
      </w:r>
      <w:r w:rsidRPr="00656B4D">
        <w:rPr>
          <w:lang w:eastAsia="en-AU"/>
        </w:rPr>
        <w:t xml:space="preserve">baby units in regional Victoria for women with a mental illness and their infants. </w:t>
      </w:r>
      <w:r>
        <w:rPr>
          <w:lang w:eastAsia="en-AU"/>
        </w:rPr>
        <w:t xml:space="preserve">These units will be </w:t>
      </w:r>
      <w:r w:rsidRPr="00656B4D">
        <w:rPr>
          <w:lang w:eastAsia="en-AU"/>
        </w:rPr>
        <w:t>located at Latrobe Regional Hospital, Ballarat Health Service and the new Bendigo Hospital.</w:t>
      </w:r>
    </w:p>
    <w:p w:rsidR="00B958B1" w:rsidRDefault="00B958B1" w:rsidP="009F3B54">
      <w:r>
        <w:t>This initiative contributes to the Department of Health’s Clinical Care output.</w:t>
      </w:r>
    </w:p>
    <w:p w:rsidR="00B958B1" w:rsidRDefault="00B958B1" w:rsidP="009F3B54">
      <w:pPr>
        <w:pStyle w:val="Heading5"/>
      </w:pPr>
      <w:r>
        <w:t>New mental health beds</w:t>
      </w:r>
    </w:p>
    <w:p w:rsidR="00B958B1" w:rsidRPr="00BF2995" w:rsidRDefault="00B958B1" w:rsidP="009F3B54">
      <w:r w:rsidRPr="00BF2995">
        <w:t xml:space="preserve">As part of the Government's election commitment, 20 new psychiatric assessment and planning and inpatient beds were constructed as part of </w:t>
      </w:r>
      <w:r>
        <w:t xml:space="preserve">the </w:t>
      </w:r>
      <w:r w:rsidRPr="00BF2995">
        <w:t>2011</w:t>
      </w:r>
      <w:r w:rsidR="009F0F49">
        <w:noBreakHyphen/>
      </w:r>
      <w:r w:rsidRPr="00BF2995">
        <w:t>12 and 2012</w:t>
      </w:r>
      <w:r w:rsidR="009F0F49">
        <w:noBreakHyphen/>
      </w:r>
      <w:r>
        <w:t>13 b</w:t>
      </w:r>
      <w:r w:rsidRPr="00BF2995">
        <w:t>udgets, with operational funding for four beds at Sunshine Hospital being provided</w:t>
      </w:r>
      <w:r>
        <w:t xml:space="preserve"> </w:t>
      </w:r>
      <w:r w:rsidRPr="00BF2995">
        <w:t>in the</w:t>
      </w:r>
      <w:r>
        <w:t xml:space="preserve"> </w:t>
      </w:r>
      <w:r w:rsidRPr="002246E6">
        <w:rPr>
          <w:i/>
        </w:rPr>
        <w:t>2012</w:t>
      </w:r>
      <w:r w:rsidR="009F0F49">
        <w:rPr>
          <w:i/>
        </w:rPr>
        <w:noBreakHyphen/>
      </w:r>
      <w:r w:rsidRPr="002246E6">
        <w:rPr>
          <w:i/>
        </w:rPr>
        <w:t>13 Budget</w:t>
      </w:r>
      <w:r>
        <w:t>.</w:t>
      </w:r>
    </w:p>
    <w:p w:rsidR="00B958B1" w:rsidRDefault="00B958B1" w:rsidP="009F3B54">
      <w:r>
        <w:br w:type="page"/>
      </w:r>
      <w:r w:rsidRPr="00BF2995">
        <w:lastRenderedPageBreak/>
        <w:t>This initiative will deliver the funding to operate the remaining 16 new mental health beds, including three four</w:t>
      </w:r>
      <w:r w:rsidR="009F0F49">
        <w:noBreakHyphen/>
      </w:r>
      <w:r w:rsidRPr="00BF2995">
        <w:t>bed psychiatric assessment and planning units. The  psychiatric assessment and planning units provide accelerated access to specialist  psychiatric assessment and short</w:t>
      </w:r>
      <w:r w:rsidR="009F0F49">
        <w:noBreakHyphen/>
      </w:r>
      <w:r w:rsidRPr="00BF2995">
        <w:t>term treatment, without requiring admission to general adult acute inpatient units.</w:t>
      </w:r>
    </w:p>
    <w:p w:rsidR="00B958B1" w:rsidRDefault="00B958B1" w:rsidP="009F3B54">
      <w:r w:rsidRPr="009C3F1E">
        <w:t>This initiative contributes to the Department of Health’s Clinical C</w:t>
      </w:r>
      <w:r>
        <w:t>are output.</w:t>
      </w:r>
    </w:p>
    <w:p w:rsidR="00B958B1" w:rsidRPr="007C29DA" w:rsidRDefault="00B958B1" w:rsidP="009F3B54">
      <w:pPr>
        <w:pStyle w:val="Heading5"/>
      </w:pPr>
      <w:r w:rsidRPr="009C3F1E">
        <w:t>Support for mental health beds</w:t>
      </w:r>
    </w:p>
    <w:p w:rsidR="00B958B1" w:rsidRPr="009C3F1E" w:rsidRDefault="00B958B1" w:rsidP="009F3B54">
      <w:pPr>
        <w:rPr>
          <w:lang w:eastAsia="en-AU"/>
        </w:rPr>
      </w:pPr>
      <w:r w:rsidRPr="009C3F1E">
        <w:rPr>
          <w:lang w:eastAsia="en-AU"/>
        </w:rPr>
        <w:t xml:space="preserve">Support </w:t>
      </w:r>
      <w:r>
        <w:rPr>
          <w:lang w:eastAsia="en-AU"/>
        </w:rPr>
        <w:t>for Monash Health</w:t>
      </w:r>
      <w:r w:rsidRPr="009C3F1E">
        <w:rPr>
          <w:lang w:eastAsia="en-AU"/>
        </w:rPr>
        <w:t xml:space="preserve"> and Austin Health to meet and manage growth in presentations for mental health services. Funding is provided for the ongoing operation of acute inpatient beds, secure extend</w:t>
      </w:r>
      <w:r>
        <w:rPr>
          <w:lang w:eastAsia="en-AU"/>
        </w:rPr>
        <w:t>ed care units, adult and youth prevention and recovery care</w:t>
      </w:r>
      <w:r w:rsidRPr="009C3F1E">
        <w:rPr>
          <w:lang w:eastAsia="en-AU"/>
        </w:rPr>
        <w:t xml:space="preserve"> beds and beds in the new Community Care Unit at Austin Health.</w:t>
      </w:r>
      <w:r>
        <w:rPr>
          <w:lang w:eastAsia="en-AU"/>
        </w:rPr>
        <w:t xml:space="preserve"> </w:t>
      </w:r>
      <w:r>
        <w:rPr>
          <w:lang w:eastAsia="en-AU"/>
        </w:rPr>
        <w:fldChar w:fldCharType="begin"/>
      </w:r>
      <w:r>
        <w:instrText xml:space="preserve"> XE "</w:instrText>
      </w:r>
      <w:r w:rsidRPr="009E53A6">
        <w:instrText xml:space="preserve">Mental </w:instrText>
      </w:r>
      <w:r>
        <w:instrText>H</w:instrText>
      </w:r>
      <w:r w:rsidRPr="009E53A6">
        <w:instrText>ealth</w:instrText>
      </w:r>
      <w:r>
        <w:instrText xml:space="preserve">" \r "BP3Ch1DHMentalhealth" </w:instrText>
      </w:r>
      <w:r>
        <w:rPr>
          <w:lang w:eastAsia="en-AU"/>
        </w:rPr>
        <w:fldChar w:fldCharType="end"/>
      </w:r>
      <w:r>
        <w:rPr>
          <w:lang w:eastAsia="en-AU"/>
        </w:rPr>
        <w:fldChar w:fldCharType="begin"/>
      </w:r>
      <w:r>
        <w:instrText xml:space="preserve"> XE "</w:instrText>
      </w:r>
      <w:r w:rsidRPr="005A5E55">
        <w:instrText xml:space="preserve">Health:Mental </w:instrText>
      </w:r>
      <w:r>
        <w:instrText>H</w:instrText>
      </w:r>
      <w:r w:rsidRPr="005A5E55">
        <w:instrText>ealth</w:instrText>
      </w:r>
      <w:r>
        <w:instrText xml:space="preserve">" </w:instrText>
      </w:r>
      <w:r>
        <w:rPr>
          <w:lang w:eastAsia="en-AU"/>
        </w:rPr>
        <w:fldChar w:fldCharType="end"/>
      </w:r>
    </w:p>
    <w:p w:rsidR="00B958B1" w:rsidRPr="009C3F1E" w:rsidRDefault="00B958B1" w:rsidP="009F3B54">
      <w:r w:rsidRPr="009C3F1E">
        <w:t>This initiative contributes to the Department of Health’s Clinical Care output.</w:t>
      </w:r>
    </w:p>
    <w:p w:rsidR="00B958B1" w:rsidRPr="009C3F1E" w:rsidRDefault="00B958B1" w:rsidP="009F3B54">
      <w:pPr>
        <w:pStyle w:val="Heading4"/>
      </w:pPr>
      <w:bookmarkStart w:id="33" w:name="BP3Ch1DHPrimCommDental"/>
      <w:bookmarkEnd w:id="32"/>
      <w:r w:rsidRPr="009C3F1E">
        <w:t>Primary, Community and Dental Health</w:t>
      </w:r>
    </w:p>
    <w:p w:rsidR="00B958B1" w:rsidRPr="009C3F1E" w:rsidRDefault="00B958B1" w:rsidP="009F3B54">
      <w:pPr>
        <w:pStyle w:val="Heading5"/>
      </w:pPr>
      <w:r w:rsidRPr="009C3F1E">
        <w:t>Boosting community health services</w:t>
      </w:r>
    </w:p>
    <w:p w:rsidR="00B958B1" w:rsidRPr="009C3F1E" w:rsidRDefault="00B958B1" w:rsidP="009F3B54">
      <w:r>
        <w:t>Additional</w:t>
      </w:r>
      <w:r w:rsidRPr="009C3F1E">
        <w:t xml:space="preserve"> hours of care for nursing and allied healthcare services </w:t>
      </w:r>
      <w:r>
        <w:t xml:space="preserve">will be </w:t>
      </w:r>
      <w:r w:rsidRPr="009C3F1E">
        <w:t>delivered by community health services with a focus on services in growth areas.</w:t>
      </w:r>
    </w:p>
    <w:p w:rsidR="00B958B1" w:rsidRDefault="00B958B1" w:rsidP="009F3B54">
      <w:r w:rsidRPr="009C3F1E">
        <w:t>This initiative contributes to the Department</w:t>
      </w:r>
      <w:r>
        <w:t xml:space="preserve"> of Health’s Community Health Care output.</w:t>
      </w:r>
    </w:p>
    <w:p w:rsidR="00B958B1" w:rsidRDefault="00B958B1" w:rsidP="009F3B54">
      <w:pPr>
        <w:pStyle w:val="Heading5"/>
      </w:pPr>
      <w:r>
        <w:t>Improving health outcomes for Aboriginal Victorians</w:t>
      </w:r>
    </w:p>
    <w:p w:rsidR="00B958B1" w:rsidRPr="009E22A7" w:rsidRDefault="00B958B1" w:rsidP="009F3B54">
      <w:r>
        <w:fldChar w:fldCharType="begin"/>
      </w:r>
      <w:r>
        <w:instrText xml:space="preserve"> XE "</w:instrText>
      </w:r>
      <w:r w:rsidRPr="00241E7A">
        <w:instrText>Health:Aboriginals</w:instrText>
      </w:r>
      <w:r>
        <w:instrText xml:space="preserve">" </w:instrText>
      </w:r>
      <w:r>
        <w:fldChar w:fldCharType="end"/>
      </w:r>
      <w:r>
        <w:fldChar w:fldCharType="begin"/>
      </w:r>
      <w:r>
        <w:instrText xml:space="preserve"> XE "</w:instrText>
      </w:r>
      <w:r w:rsidRPr="007A5F80">
        <w:instrText>Health:Refugees</w:instrText>
      </w:r>
      <w:r>
        <w:instrText xml:space="preserve">" </w:instrText>
      </w:r>
      <w:r>
        <w:fldChar w:fldCharType="end"/>
      </w:r>
      <w:r w:rsidRPr="0053353C">
        <w:t>Culturally appropriate service options for Aboriginal Victorians will be</w:t>
      </w:r>
      <w:r>
        <w:t xml:space="preserve"> expanded</w:t>
      </w:r>
      <w:r w:rsidRPr="0053353C">
        <w:t xml:space="preserve"> to ensure that Aboriginal Victorians receive access to appropriate health care. The investment will build pathways to support increased use of Aboriginal community</w:t>
      </w:r>
      <w:r w:rsidR="009F0F49">
        <w:noBreakHyphen/>
      </w:r>
      <w:r w:rsidRPr="0053353C">
        <w:t>controlled health organisations and mainstream services by Aboriginal Victorians, including assisting mainstream services to better respond to their needs.</w:t>
      </w:r>
    </w:p>
    <w:p w:rsidR="00B958B1" w:rsidRDefault="00B958B1" w:rsidP="009F3B54">
      <w:r>
        <w:t>This initiative contributes to the Department of Health’s Community Health Care, Drug Prevention and Control and Non</w:t>
      </w:r>
      <w:r w:rsidR="009F0F49">
        <w:noBreakHyphen/>
      </w:r>
      <w:r>
        <w:t>Admitted Services outputs.</w:t>
      </w:r>
    </w:p>
    <w:p w:rsidR="00B958B1" w:rsidRDefault="00B958B1" w:rsidP="009F3B54">
      <w:pPr>
        <w:pStyle w:val="Heading5"/>
      </w:pPr>
      <w:r>
        <w:t>Meeting the needs of refugees and asylum seekers</w:t>
      </w:r>
    </w:p>
    <w:p w:rsidR="00B958B1" w:rsidRPr="00CB1008" w:rsidRDefault="00B958B1" w:rsidP="009F3B54">
      <w:pPr>
        <w:rPr>
          <w:i/>
        </w:rPr>
      </w:pPr>
      <w:r w:rsidRPr="00CB1008">
        <w:t>Additional health and mental health services will be provided to ensure timely intervention and preventative care in primary care settings in high settlement areas of Victoria. This builds on the existing Victorian refugee health care model to meet increased demand for services in Victoria and includes refugee health nurse program, refugee mental health services, language services support and expansion of the Refugee Health Network.</w:t>
      </w:r>
      <w:r>
        <w:fldChar w:fldCharType="begin"/>
      </w:r>
      <w:r>
        <w:instrText xml:space="preserve"> XE "</w:instrText>
      </w:r>
      <w:r w:rsidRPr="009516B4">
        <w:instrText xml:space="preserve">Health:Primary, </w:instrText>
      </w:r>
      <w:r>
        <w:instrText>C</w:instrText>
      </w:r>
      <w:r w:rsidRPr="009516B4">
        <w:instrText xml:space="preserve">ommunity and </w:instrText>
      </w:r>
      <w:r>
        <w:instrText>D</w:instrText>
      </w:r>
      <w:r w:rsidRPr="009516B4">
        <w:instrText xml:space="preserve">ental </w:instrText>
      </w:r>
      <w:r>
        <w:instrText>H</w:instrText>
      </w:r>
      <w:r w:rsidRPr="009516B4">
        <w:instrText>ealth</w:instrText>
      </w:r>
      <w:r>
        <w:instrText xml:space="preserve">" \r "BP3Ch1DHPrimCommDental" </w:instrText>
      </w:r>
      <w:r>
        <w:fldChar w:fldCharType="end"/>
      </w:r>
    </w:p>
    <w:p w:rsidR="00B958B1" w:rsidRDefault="00B958B1" w:rsidP="009F3B54">
      <w:r w:rsidRPr="00CB1008">
        <w:t>This initiative contributes to the Department of Health’s Community Health Care, Non</w:t>
      </w:r>
      <w:r w:rsidR="009F0F49">
        <w:rPr>
          <w:i/>
        </w:rPr>
        <w:noBreakHyphen/>
      </w:r>
      <w:r w:rsidRPr="00CB1008">
        <w:t>Admitted Services and Psychiatric Disability Rehabilitation and Support Services outputs.</w:t>
      </w:r>
    </w:p>
    <w:p w:rsidR="00B958B1" w:rsidRDefault="00B958B1" w:rsidP="009F3B54">
      <w:pPr>
        <w:pStyle w:val="Heading4"/>
      </w:pPr>
      <w:bookmarkStart w:id="34" w:name="BP3Ch1DHPubHealth"/>
      <w:bookmarkEnd w:id="33"/>
      <w:r>
        <w:br w:type="page"/>
      </w:r>
      <w:r>
        <w:lastRenderedPageBreak/>
        <w:t>Public Health</w:t>
      </w:r>
    </w:p>
    <w:p w:rsidR="00B958B1" w:rsidRDefault="00B958B1" w:rsidP="009F3B54">
      <w:pPr>
        <w:pStyle w:val="Heading5"/>
      </w:pPr>
      <w:r>
        <w:t>Healthy Together Victoria – Active Cities – Melbourne</w:t>
      </w:r>
    </w:p>
    <w:p w:rsidR="00B958B1" w:rsidRDefault="00B958B1" w:rsidP="009F3B54">
      <w:r>
        <w:t>A pilot will be established to promote increased physical activity, particularly by utilising Melbourne’s parks</w:t>
      </w:r>
      <w:r>
        <w:fldChar w:fldCharType="begin"/>
      </w:r>
      <w:r>
        <w:instrText xml:space="preserve"> XE "</w:instrText>
      </w:r>
      <w:r w:rsidRPr="009E53A6">
        <w:instrText>Parks</w:instrText>
      </w:r>
      <w:r>
        <w:instrText xml:space="preserve">" </w:instrText>
      </w:r>
      <w:r>
        <w:fldChar w:fldCharType="end"/>
      </w:r>
      <w:r>
        <w:t xml:space="preserve"> and open spaces and creating opportunities for physical activities in the workplace.</w:t>
      </w:r>
    </w:p>
    <w:p w:rsidR="00B958B1" w:rsidRDefault="00B958B1" w:rsidP="009F3B54">
      <w:r>
        <w:t>This initiative contributes to the Department of Health’s Health Advancement output.</w:t>
      </w:r>
    </w:p>
    <w:p w:rsidR="00B958B1" w:rsidRDefault="00B958B1" w:rsidP="009F3B54">
      <w:pPr>
        <w:pStyle w:val="Heading5"/>
      </w:pPr>
      <w:r>
        <w:t>HIV prevention – Community based rapid HIV testing</w:t>
      </w:r>
    </w:p>
    <w:p w:rsidR="00B958B1" w:rsidRDefault="00B958B1" w:rsidP="009F3B54">
      <w:r>
        <w:t>A community</w:t>
      </w:r>
      <w:r w:rsidR="009F0F49">
        <w:noBreakHyphen/>
      </w:r>
      <w:r>
        <w:t>based pilot has been established providing a rapid point</w:t>
      </w:r>
      <w:r w:rsidR="009F0F49">
        <w:noBreakHyphen/>
      </w:r>
      <w:r>
        <w:t>of</w:t>
      </w:r>
      <w:r w:rsidR="009F0F49">
        <w:noBreakHyphen/>
      </w:r>
      <w:r>
        <w:t>care HIV testing service as part of Victoria’s response to reducing the incidence of HIV/STI transmission.</w:t>
      </w:r>
    </w:p>
    <w:p w:rsidR="00B958B1" w:rsidRDefault="00B958B1" w:rsidP="009F3B54">
      <w:r>
        <w:t>This initiative contributes to the Department of Health’s Health Protection output.</w:t>
      </w:r>
    </w:p>
    <w:p w:rsidR="00B958B1" w:rsidRDefault="00B958B1" w:rsidP="009F3B54">
      <w:pPr>
        <w:pStyle w:val="Heading5"/>
      </w:pPr>
      <w:r>
        <w:t>Skin cancer prevention – shade in public places</w:t>
      </w:r>
    </w:p>
    <w:p w:rsidR="00B958B1" w:rsidRDefault="00B958B1" w:rsidP="009F3B54">
      <w:r>
        <w:t>Grants will be provided to local government</w:t>
      </w:r>
      <w:r>
        <w:fldChar w:fldCharType="begin"/>
      </w:r>
      <w:r>
        <w:instrText xml:space="preserve"> XE "</w:instrText>
      </w:r>
      <w:r w:rsidRPr="009E53A6">
        <w:instrText>Local government</w:instrText>
      </w:r>
      <w:r>
        <w:instrText xml:space="preserve">" </w:instrText>
      </w:r>
      <w:r>
        <w:fldChar w:fldCharType="end"/>
      </w:r>
      <w:r>
        <w:t>, community groups and sporting clubs to install shade in public places, including developing natural and built shade (for example shade sails).</w:t>
      </w:r>
    </w:p>
    <w:p w:rsidR="00B958B1" w:rsidRDefault="00B958B1" w:rsidP="009F3B54">
      <w:r>
        <w:t>This initiative contributes to the Department of Health’s Health Advancement output.</w:t>
      </w:r>
      <w:r>
        <w:fldChar w:fldCharType="begin"/>
      </w:r>
      <w:r>
        <w:instrText xml:space="preserve"> XE "</w:instrText>
      </w:r>
      <w:r w:rsidRPr="00832862">
        <w:instrText xml:space="preserve">Health:Public </w:instrText>
      </w:r>
      <w:r>
        <w:instrText>H</w:instrText>
      </w:r>
      <w:r w:rsidRPr="00832862">
        <w:instrText>ealth</w:instrText>
      </w:r>
      <w:r>
        <w:instrText xml:space="preserve">" </w:instrText>
      </w:r>
      <w:r>
        <w:fldChar w:fldCharType="end"/>
      </w:r>
      <w:r>
        <w:t xml:space="preserve"> </w:t>
      </w:r>
      <w:bookmarkEnd w:id="34"/>
      <w:r>
        <w:fldChar w:fldCharType="begin"/>
      </w:r>
      <w:r>
        <w:instrText xml:space="preserve"> XE "</w:instrText>
      </w:r>
      <w:r w:rsidRPr="009E53A6">
        <w:instrText xml:space="preserve">Public </w:instrText>
      </w:r>
      <w:r>
        <w:instrText>H</w:instrText>
      </w:r>
      <w:r w:rsidRPr="009E53A6">
        <w:instrText>ealth</w:instrText>
      </w:r>
      <w:r>
        <w:instrText xml:space="preserve">" \r "BP3Ch1DHPubHealth" </w:instrText>
      </w:r>
      <w:r>
        <w:fldChar w:fldCharType="end"/>
      </w:r>
      <w:r>
        <w:fldChar w:fldCharType="begin"/>
      </w:r>
      <w:r>
        <w:instrText xml:space="preserve"> XE "</w:instrText>
      </w:r>
      <w:r w:rsidRPr="00306254">
        <w:instrText>Department of Health:Output initiatives</w:instrText>
      </w:r>
      <w:r>
        <w:instrText xml:space="preserve">" \r "BP3Ch1DHOutputInitves" </w:instrText>
      </w:r>
      <w:r>
        <w:fldChar w:fldCharType="end"/>
      </w:r>
    </w:p>
    <w:p w:rsidR="00B958B1" w:rsidRDefault="00B958B1" w:rsidP="009F3B54">
      <w:pPr>
        <w:pStyle w:val="Heading3"/>
      </w:pPr>
      <w:bookmarkStart w:id="35" w:name="BP3Ch1DHAssetIniti"/>
      <w:bookmarkEnd w:id="27"/>
      <w:r>
        <w:t>Asset initiatives</w:t>
      </w:r>
    </w:p>
    <w:p w:rsidR="00B958B1" w:rsidRDefault="00B958B1" w:rsidP="009F3B54">
      <w:pPr>
        <w:pStyle w:val="Tableheading"/>
      </w:pPr>
      <w:r>
        <w:t>Table 1.6:</w:t>
      </w:r>
      <w:r>
        <w:tab/>
        <w:t>Asset initiatives – Health</w:t>
      </w:r>
    </w:p>
    <w:p w:rsidR="00B958B1" w:rsidRPr="007C29DA" w:rsidRDefault="00B958B1" w:rsidP="009F3B5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984"/>
        <w:gridCol w:w="592"/>
        <w:gridCol w:w="236"/>
        <w:gridCol w:w="828"/>
        <w:gridCol w:w="828"/>
        <w:gridCol w:w="828"/>
        <w:gridCol w:w="828"/>
        <w:gridCol w:w="652"/>
      </w:tblGrid>
      <w:tr w:rsidR="00B958B1" w:rsidRPr="007C29DA" w:rsidTr="009F3B54">
        <w:trPr>
          <w:cantSplit/>
          <w:tblHeader/>
        </w:trPr>
        <w:tc>
          <w:tcPr>
            <w:tcW w:w="2984" w:type="dxa"/>
            <w:tcBorders>
              <w:top w:val="single" w:sz="6" w:space="0" w:color="auto"/>
              <w:left w:val="single" w:sz="4" w:space="0" w:color="auto"/>
              <w:bottom w:val="single" w:sz="4" w:space="0" w:color="auto"/>
              <w:right w:val="nil"/>
            </w:tcBorders>
            <w:shd w:val="clear" w:color="auto" w:fill="000000"/>
          </w:tcPr>
          <w:p w:rsidR="00B958B1" w:rsidRPr="007C29DA" w:rsidRDefault="00B958B1" w:rsidP="009F3B54">
            <w:pPr>
              <w:pStyle w:val="Tabletext"/>
              <w:rPr>
                <w:rFonts w:eastAsiaTheme="minorEastAsia"/>
                <w:lang w:eastAsia="en-AU"/>
              </w:rPr>
            </w:pPr>
          </w:p>
        </w:tc>
        <w:tc>
          <w:tcPr>
            <w:tcW w:w="828" w:type="dxa"/>
            <w:gridSpan w:val="2"/>
            <w:tcBorders>
              <w:top w:val="single" w:sz="6" w:space="0" w:color="auto"/>
              <w:left w:val="nil"/>
              <w:bottom w:val="single" w:sz="4" w:space="0" w:color="auto"/>
              <w:right w:val="nil"/>
            </w:tcBorders>
            <w:shd w:val="clear" w:color="auto" w:fill="000000"/>
          </w:tcPr>
          <w:p w:rsidR="00B958B1" w:rsidRPr="007C29DA" w:rsidRDefault="00B958B1" w:rsidP="009F3B54">
            <w:pPr>
              <w:pStyle w:val="Tabletextheading"/>
              <w:rPr>
                <w:rFonts w:eastAsiaTheme="minorEastAsia"/>
                <w:lang w:eastAsia="en-AU"/>
              </w:rPr>
            </w:pPr>
            <w:r w:rsidRPr="007C29DA">
              <w:rPr>
                <w:rFonts w:eastAsiaTheme="minorEastAsia"/>
                <w:lang w:eastAsia="en-AU"/>
              </w:rPr>
              <w:t>2012</w:t>
            </w:r>
            <w:r w:rsidR="009F0F49">
              <w:rPr>
                <w:rFonts w:eastAsiaTheme="minorEastAsia"/>
                <w:lang w:eastAsia="en-AU"/>
              </w:rPr>
              <w:noBreakHyphen/>
            </w:r>
            <w:r w:rsidRPr="007C29DA">
              <w:rPr>
                <w:rFonts w:eastAsiaTheme="minorEastAsia"/>
                <w:lang w:eastAsia="en-AU"/>
              </w:rPr>
              <w:t>13</w:t>
            </w:r>
          </w:p>
        </w:tc>
        <w:tc>
          <w:tcPr>
            <w:tcW w:w="828" w:type="dxa"/>
            <w:tcBorders>
              <w:top w:val="single" w:sz="6" w:space="0" w:color="auto"/>
              <w:left w:val="nil"/>
              <w:bottom w:val="single" w:sz="4" w:space="0" w:color="auto"/>
              <w:right w:val="nil"/>
            </w:tcBorders>
            <w:shd w:val="clear" w:color="auto" w:fill="000000"/>
          </w:tcPr>
          <w:p w:rsidR="00B958B1" w:rsidRPr="007C29DA" w:rsidRDefault="00B958B1" w:rsidP="009F3B54">
            <w:pPr>
              <w:pStyle w:val="Tabletextheading"/>
              <w:rPr>
                <w:rFonts w:eastAsiaTheme="minorEastAsia"/>
                <w:lang w:eastAsia="en-AU"/>
              </w:rPr>
            </w:pPr>
            <w:r w:rsidRPr="007C29DA">
              <w:rPr>
                <w:rFonts w:eastAsiaTheme="minorEastAsia"/>
                <w:lang w:eastAsia="en-AU"/>
              </w:rPr>
              <w:t>2013</w:t>
            </w:r>
            <w:r w:rsidR="009F0F49">
              <w:rPr>
                <w:rFonts w:eastAsiaTheme="minorEastAsia"/>
                <w:lang w:eastAsia="en-AU"/>
              </w:rPr>
              <w:noBreakHyphen/>
            </w:r>
            <w:r w:rsidRPr="007C29DA">
              <w:rPr>
                <w:rFonts w:eastAsiaTheme="minorEastAsia"/>
                <w:lang w:eastAsia="en-AU"/>
              </w:rPr>
              <w:t>14</w:t>
            </w:r>
          </w:p>
        </w:tc>
        <w:tc>
          <w:tcPr>
            <w:tcW w:w="828" w:type="dxa"/>
            <w:tcBorders>
              <w:top w:val="single" w:sz="6" w:space="0" w:color="auto"/>
              <w:left w:val="nil"/>
              <w:bottom w:val="single" w:sz="4" w:space="0" w:color="auto"/>
              <w:right w:val="nil"/>
            </w:tcBorders>
            <w:shd w:val="clear" w:color="auto" w:fill="000000"/>
          </w:tcPr>
          <w:p w:rsidR="00B958B1" w:rsidRPr="007C29DA" w:rsidRDefault="00B958B1" w:rsidP="009F3B54">
            <w:pPr>
              <w:pStyle w:val="Tabletextheading"/>
              <w:rPr>
                <w:rFonts w:eastAsiaTheme="minorEastAsia"/>
                <w:lang w:eastAsia="en-AU"/>
              </w:rPr>
            </w:pPr>
            <w:r w:rsidRPr="007C29DA">
              <w:rPr>
                <w:rFonts w:eastAsiaTheme="minorEastAsia"/>
                <w:lang w:eastAsia="en-AU"/>
              </w:rPr>
              <w:t>2014</w:t>
            </w:r>
            <w:r w:rsidR="009F0F49">
              <w:rPr>
                <w:rFonts w:eastAsiaTheme="minorEastAsia"/>
                <w:lang w:eastAsia="en-AU"/>
              </w:rPr>
              <w:noBreakHyphen/>
            </w:r>
            <w:r w:rsidRPr="007C29DA">
              <w:rPr>
                <w:rFonts w:eastAsiaTheme="minorEastAsia"/>
                <w:lang w:eastAsia="en-AU"/>
              </w:rPr>
              <w:t>15</w:t>
            </w:r>
          </w:p>
        </w:tc>
        <w:tc>
          <w:tcPr>
            <w:tcW w:w="828" w:type="dxa"/>
            <w:tcBorders>
              <w:top w:val="single" w:sz="6" w:space="0" w:color="auto"/>
              <w:left w:val="nil"/>
              <w:bottom w:val="single" w:sz="4" w:space="0" w:color="auto"/>
              <w:right w:val="nil"/>
            </w:tcBorders>
            <w:shd w:val="clear" w:color="auto" w:fill="000000"/>
          </w:tcPr>
          <w:p w:rsidR="00B958B1" w:rsidRPr="007C29DA" w:rsidRDefault="00B958B1" w:rsidP="009F3B54">
            <w:pPr>
              <w:pStyle w:val="Tabletextheading"/>
              <w:rPr>
                <w:rFonts w:eastAsiaTheme="minorEastAsia"/>
                <w:lang w:eastAsia="en-AU"/>
              </w:rPr>
            </w:pPr>
            <w:r w:rsidRPr="007C29DA">
              <w:rPr>
                <w:rFonts w:eastAsiaTheme="minorEastAsia"/>
                <w:lang w:eastAsia="en-AU"/>
              </w:rPr>
              <w:t>2015</w:t>
            </w:r>
            <w:r w:rsidR="009F0F49">
              <w:rPr>
                <w:rFonts w:eastAsiaTheme="minorEastAsia"/>
                <w:lang w:eastAsia="en-AU"/>
              </w:rPr>
              <w:noBreakHyphen/>
            </w:r>
            <w:r w:rsidRPr="007C29DA">
              <w:rPr>
                <w:rFonts w:eastAsiaTheme="minorEastAsia"/>
                <w:lang w:eastAsia="en-AU"/>
              </w:rPr>
              <w:t>16</w:t>
            </w:r>
          </w:p>
        </w:tc>
        <w:tc>
          <w:tcPr>
            <w:tcW w:w="828" w:type="dxa"/>
            <w:tcBorders>
              <w:top w:val="single" w:sz="6" w:space="0" w:color="auto"/>
              <w:left w:val="nil"/>
              <w:bottom w:val="single" w:sz="4" w:space="0" w:color="auto"/>
              <w:right w:val="nil"/>
            </w:tcBorders>
            <w:shd w:val="clear" w:color="auto" w:fill="000000"/>
          </w:tcPr>
          <w:p w:rsidR="00B958B1" w:rsidRPr="007C29DA" w:rsidRDefault="00B958B1" w:rsidP="009F3B54">
            <w:pPr>
              <w:pStyle w:val="Tabletextheading"/>
              <w:rPr>
                <w:rFonts w:eastAsiaTheme="minorEastAsia"/>
                <w:lang w:eastAsia="en-AU"/>
              </w:rPr>
            </w:pPr>
            <w:r w:rsidRPr="007C29DA">
              <w:rPr>
                <w:rFonts w:eastAsiaTheme="minorEastAsia"/>
                <w:lang w:eastAsia="en-AU"/>
              </w:rPr>
              <w:t>2016</w:t>
            </w:r>
            <w:r w:rsidR="009F0F49">
              <w:rPr>
                <w:rFonts w:eastAsiaTheme="minorEastAsia"/>
                <w:lang w:eastAsia="en-AU"/>
              </w:rPr>
              <w:noBreakHyphen/>
            </w:r>
            <w:r w:rsidRPr="007C29DA">
              <w:rPr>
                <w:rFonts w:eastAsiaTheme="minorEastAsia"/>
                <w:lang w:eastAsia="en-AU"/>
              </w:rPr>
              <w:t>17</w:t>
            </w:r>
          </w:p>
        </w:tc>
        <w:tc>
          <w:tcPr>
            <w:tcW w:w="652" w:type="dxa"/>
            <w:tcBorders>
              <w:top w:val="single" w:sz="6" w:space="0" w:color="auto"/>
              <w:left w:val="nil"/>
              <w:bottom w:val="single" w:sz="4" w:space="0" w:color="auto"/>
              <w:right w:val="single" w:sz="4" w:space="0" w:color="auto"/>
            </w:tcBorders>
            <w:shd w:val="clear" w:color="auto" w:fill="000000"/>
          </w:tcPr>
          <w:p w:rsidR="00B958B1" w:rsidRPr="007C29DA" w:rsidRDefault="00B958B1" w:rsidP="009F3B54">
            <w:pPr>
              <w:pStyle w:val="Tabletextheading"/>
              <w:rPr>
                <w:rFonts w:eastAsiaTheme="minorEastAsia"/>
                <w:lang w:eastAsia="en-AU"/>
              </w:rPr>
            </w:pPr>
            <w:r w:rsidRPr="007C29DA">
              <w:rPr>
                <w:rFonts w:eastAsiaTheme="minorEastAsia"/>
                <w:lang w:eastAsia="en-AU"/>
              </w:rPr>
              <w:t>TEI</w:t>
            </w:r>
          </w:p>
        </w:tc>
      </w:tr>
      <w:tr w:rsidR="00B958B1" w:rsidRPr="007C29DA" w:rsidTr="009F3B54">
        <w:trPr>
          <w:cantSplit/>
        </w:trPr>
        <w:tc>
          <w:tcPr>
            <w:tcW w:w="2984" w:type="dxa"/>
            <w:tcBorders>
              <w:top w:val="single" w:sz="4" w:space="0" w:color="auto"/>
              <w:left w:val="nil"/>
              <w:bottom w:val="nil"/>
              <w:right w:val="nil"/>
            </w:tcBorders>
          </w:tcPr>
          <w:p w:rsidR="00B958B1" w:rsidRPr="007C29DA" w:rsidRDefault="00B958B1" w:rsidP="009F3B54">
            <w:pPr>
              <w:pStyle w:val="Tabletext"/>
              <w:rPr>
                <w:rFonts w:eastAsiaTheme="minorEastAsia"/>
                <w:b/>
                <w:bCs/>
                <w:lang w:eastAsia="en-AU"/>
              </w:rPr>
            </w:pPr>
            <w:r w:rsidRPr="007C29DA">
              <w:rPr>
                <w:rFonts w:eastAsiaTheme="minorEastAsia"/>
                <w:b/>
                <w:bCs/>
                <w:lang w:eastAsia="en-AU"/>
              </w:rPr>
              <w:t>Acute Health</w:t>
            </w:r>
          </w:p>
        </w:tc>
        <w:tc>
          <w:tcPr>
            <w:tcW w:w="828" w:type="dxa"/>
            <w:gridSpan w:val="2"/>
            <w:tcBorders>
              <w:top w:val="single" w:sz="4" w:space="0" w:color="auto"/>
              <w:left w:val="nil"/>
              <w:bottom w:val="nil"/>
              <w:right w:val="nil"/>
            </w:tcBorders>
          </w:tcPr>
          <w:p w:rsidR="00B958B1" w:rsidRPr="007C29DA" w:rsidRDefault="00B958B1" w:rsidP="009F3B54">
            <w:pPr>
              <w:pStyle w:val="TableofFigures"/>
              <w:rPr>
                <w:rFonts w:eastAsiaTheme="minorEastAsia"/>
                <w:lang w:eastAsia="en-AU"/>
              </w:rPr>
            </w:pPr>
          </w:p>
        </w:tc>
        <w:tc>
          <w:tcPr>
            <w:tcW w:w="828" w:type="dxa"/>
            <w:tcBorders>
              <w:top w:val="single" w:sz="4" w:space="0" w:color="auto"/>
              <w:left w:val="nil"/>
              <w:bottom w:val="nil"/>
              <w:right w:val="nil"/>
            </w:tcBorders>
            <w:shd w:val="solid" w:color="FFFFFF" w:fill="auto"/>
          </w:tcPr>
          <w:p w:rsidR="00B958B1" w:rsidRPr="007C29DA" w:rsidRDefault="00B958B1" w:rsidP="009F3B54">
            <w:pPr>
              <w:pStyle w:val="TableofFigures"/>
              <w:rPr>
                <w:rFonts w:eastAsiaTheme="minorEastAsia"/>
                <w:lang w:eastAsia="en-AU"/>
              </w:rPr>
            </w:pPr>
          </w:p>
        </w:tc>
        <w:tc>
          <w:tcPr>
            <w:tcW w:w="828" w:type="dxa"/>
            <w:tcBorders>
              <w:top w:val="single" w:sz="4" w:space="0" w:color="auto"/>
              <w:left w:val="nil"/>
              <w:bottom w:val="nil"/>
              <w:right w:val="nil"/>
            </w:tcBorders>
          </w:tcPr>
          <w:p w:rsidR="00B958B1" w:rsidRPr="007C29DA" w:rsidRDefault="00B958B1" w:rsidP="009F3B54">
            <w:pPr>
              <w:pStyle w:val="TableofFigures"/>
              <w:rPr>
                <w:rFonts w:eastAsiaTheme="minorEastAsia"/>
                <w:lang w:eastAsia="en-AU"/>
              </w:rPr>
            </w:pPr>
          </w:p>
        </w:tc>
        <w:tc>
          <w:tcPr>
            <w:tcW w:w="828" w:type="dxa"/>
            <w:tcBorders>
              <w:top w:val="single" w:sz="4" w:space="0" w:color="auto"/>
              <w:left w:val="nil"/>
              <w:bottom w:val="nil"/>
              <w:right w:val="nil"/>
            </w:tcBorders>
          </w:tcPr>
          <w:p w:rsidR="00B958B1" w:rsidRPr="007C29DA" w:rsidRDefault="00B958B1" w:rsidP="009F3B54">
            <w:pPr>
              <w:pStyle w:val="TableofFigures"/>
              <w:rPr>
                <w:rFonts w:eastAsiaTheme="minorEastAsia"/>
                <w:lang w:eastAsia="en-AU"/>
              </w:rPr>
            </w:pPr>
          </w:p>
        </w:tc>
        <w:tc>
          <w:tcPr>
            <w:tcW w:w="828" w:type="dxa"/>
            <w:tcBorders>
              <w:top w:val="single" w:sz="4" w:space="0" w:color="auto"/>
              <w:left w:val="nil"/>
              <w:bottom w:val="nil"/>
              <w:right w:val="nil"/>
            </w:tcBorders>
          </w:tcPr>
          <w:p w:rsidR="00B958B1" w:rsidRPr="007C29DA" w:rsidRDefault="00B958B1" w:rsidP="009F3B54">
            <w:pPr>
              <w:pStyle w:val="TableofFigures"/>
              <w:rPr>
                <w:rFonts w:eastAsiaTheme="minorEastAsia"/>
                <w:lang w:eastAsia="en-AU"/>
              </w:rPr>
            </w:pPr>
          </w:p>
        </w:tc>
        <w:tc>
          <w:tcPr>
            <w:tcW w:w="652" w:type="dxa"/>
            <w:tcBorders>
              <w:top w:val="single" w:sz="4" w:space="0" w:color="auto"/>
              <w:left w:val="nil"/>
              <w:bottom w:val="nil"/>
              <w:right w:val="nil"/>
            </w:tcBorders>
          </w:tcPr>
          <w:p w:rsidR="00B958B1" w:rsidRPr="007C29DA" w:rsidRDefault="00B958B1" w:rsidP="009F3B54">
            <w:pPr>
              <w:pStyle w:val="TableofFigures"/>
              <w:rPr>
                <w:rFonts w:eastAsiaTheme="minorEastAsia"/>
                <w:lang w:eastAsia="en-AU"/>
              </w:rPr>
            </w:pPr>
          </w:p>
        </w:tc>
      </w:tr>
      <w:tr w:rsidR="00B958B1" w:rsidRPr="007C29DA" w:rsidTr="009F3B54">
        <w:trPr>
          <w:cantSplit/>
        </w:trPr>
        <w:tc>
          <w:tcPr>
            <w:tcW w:w="2984" w:type="dxa"/>
            <w:tcBorders>
              <w:top w:val="nil"/>
              <w:left w:val="nil"/>
              <w:bottom w:val="nil"/>
              <w:right w:val="nil"/>
            </w:tcBorders>
          </w:tcPr>
          <w:p w:rsidR="00B958B1" w:rsidRPr="007C29DA" w:rsidRDefault="00B958B1" w:rsidP="009F3B54">
            <w:pPr>
              <w:pStyle w:val="Tabletext"/>
              <w:rPr>
                <w:rFonts w:eastAsiaTheme="minorEastAsia"/>
                <w:lang w:eastAsia="en-AU"/>
              </w:rPr>
            </w:pPr>
            <w:r w:rsidRPr="007C29DA">
              <w:rPr>
                <w:rFonts w:eastAsiaTheme="minorEastAsia"/>
                <w:lang w:eastAsia="en-AU"/>
              </w:rPr>
              <w:t>Critical care capacity expansion</w:t>
            </w:r>
          </w:p>
        </w:tc>
        <w:tc>
          <w:tcPr>
            <w:tcW w:w="828" w:type="dxa"/>
            <w:gridSpan w:val="2"/>
            <w:tcBorders>
              <w:top w:val="nil"/>
              <w:left w:val="nil"/>
              <w:bottom w:val="nil"/>
              <w:right w:val="nil"/>
            </w:tcBorders>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2.2</w:t>
            </w:r>
          </w:p>
        </w:tc>
        <w:tc>
          <w:tcPr>
            <w:tcW w:w="828" w:type="dxa"/>
            <w:tcBorders>
              <w:top w:val="nil"/>
              <w:left w:val="nil"/>
              <w:bottom w:val="nil"/>
              <w:right w:val="nil"/>
            </w:tcBorders>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828" w:type="dxa"/>
            <w:tcBorders>
              <w:top w:val="nil"/>
              <w:left w:val="nil"/>
              <w:bottom w:val="nil"/>
              <w:right w:val="nil"/>
            </w:tcBorders>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828" w:type="dxa"/>
            <w:tcBorders>
              <w:top w:val="nil"/>
              <w:left w:val="nil"/>
              <w:bottom w:val="nil"/>
              <w:right w:val="nil"/>
            </w:tcBorders>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652" w:type="dxa"/>
            <w:tcBorders>
              <w:top w:val="nil"/>
              <w:left w:val="nil"/>
              <w:bottom w:val="nil"/>
              <w:right w:val="nil"/>
            </w:tcBorders>
          </w:tcPr>
          <w:p w:rsidR="00B958B1" w:rsidRPr="007C29DA" w:rsidRDefault="00B958B1" w:rsidP="009F3B54">
            <w:pPr>
              <w:pStyle w:val="TableofFigures"/>
              <w:rPr>
                <w:rFonts w:eastAsiaTheme="minorEastAsia"/>
                <w:lang w:eastAsia="en-AU"/>
              </w:rPr>
            </w:pPr>
            <w:r w:rsidRPr="007C29DA">
              <w:rPr>
                <w:rFonts w:eastAsiaTheme="minorEastAsia"/>
                <w:lang w:eastAsia="en-AU"/>
              </w:rPr>
              <w:t>2.2</w:t>
            </w:r>
          </w:p>
        </w:tc>
      </w:tr>
      <w:tr w:rsidR="00B958B1" w:rsidRPr="007C29DA" w:rsidTr="009F3B54">
        <w:trPr>
          <w:cantSplit/>
        </w:trPr>
        <w:tc>
          <w:tcPr>
            <w:tcW w:w="2984" w:type="dxa"/>
            <w:tcBorders>
              <w:top w:val="nil"/>
              <w:left w:val="nil"/>
              <w:bottom w:val="nil"/>
              <w:right w:val="nil"/>
            </w:tcBorders>
          </w:tcPr>
          <w:p w:rsidR="00B958B1" w:rsidRPr="007C29DA" w:rsidRDefault="00B958B1" w:rsidP="009F3B54">
            <w:pPr>
              <w:pStyle w:val="Tabletext"/>
              <w:rPr>
                <w:rFonts w:eastAsiaTheme="minorEastAsia"/>
                <w:lang w:eastAsia="en-AU"/>
              </w:rPr>
            </w:pPr>
            <w:r w:rsidRPr="007C29DA">
              <w:rPr>
                <w:rFonts w:eastAsiaTheme="minorEastAsia"/>
                <w:lang w:eastAsia="en-AU"/>
              </w:rPr>
              <w:t>Health and Medical Precinct and Community</w:t>
            </w:r>
            <w:r w:rsidR="009F0F49">
              <w:rPr>
                <w:rFonts w:eastAsiaTheme="minorEastAsia"/>
                <w:lang w:eastAsia="en-AU"/>
              </w:rPr>
              <w:noBreakHyphen/>
            </w:r>
            <w:r w:rsidRPr="007C29DA">
              <w:rPr>
                <w:rFonts w:eastAsiaTheme="minorEastAsia"/>
                <w:lang w:eastAsia="en-AU"/>
              </w:rPr>
              <w:t>Based Ambulatory Care Centre</w:t>
            </w:r>
          </w:p>
        </w:tc>
        <w:tc>
          <w:tcPr>
            <w:tcW w:w="828" w:type="dxa"/>
            <w:gridSpan w:val="2"/>
            <w:tcBorders>
              <w:top w:val="nil"/>
              <w:left w:val="nil"/>
              <w:bottom w:val="nil"/>
              <w:right w:val="nil"/>
            </w:tcBorders>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1.6</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9.5</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7.0</w:t>
            </w:r>
          </w:p>
        </w:tc>
        <w:tc>
          <w:tcPr>
            <w:tcW w:w="828" w:type="dxa"/>
            <w:tcBorders>
              <w:top w:val="nil"/>
              <w:left w:val="nil"/>
              <w:bottom w:val="nil"/>
              <w:right w:val="nil"/>
            </w:tcBorders>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652" w:type="dxa"/>
            <w:tcBorders>
              <w:top w:val="nil"/>
              <w:left w:val="nil"/>
              <w:bottom w:val="nil"/>
              <w:right w:val="nil"/>
            </w:tcBorders>
          </w:tcPr>
          <w:p w:rsidR="00B958B1" w:rsidRPr="007C29DA" w:rsidRDefault="00B958B1" w:rsidP="009F3B54">
            <w:pPr>
              <w:pStyle w:val="TableofFigures"/>
              <w:rPr>
                <w:rFonts w:eastAsiaTheme="minorEastAsia"/>
                <w:lang w:eastAsia="en-AU"/>
              </w:rPr>
            </w:pPr>
            <w:r w:rsidRPr="007C29DA">
              <w:rPr>
                <w:rFonts w:eastAsiaTheme="minorEastAsia"/>
                <w:lang w:eastAsia="en-AU"/>
              </w:rPr>
              <w:t>18.2</w:t>
            </w:r>
          </w:p>
        </w:tc>
      </w:tr>
      <w:tr w:rsidR="00B958B1" w:rsidRPr="007C29DA" w:rsidTr="009F3B54">
        <w:trPr>
          <w:cantSplit/>
        </w:trPr>
        <w:tc>
          <w:tcPr>
            <w:tcW w:w="2984" w:type="dxa"/>
            <w:tcBorders>
              <w:top w:val="nil"/>
              <w:left w:val="nil"/>
              <w:bottom w:val="nil"/>
              <w:right w:val="nil"/>
            </w:tcBorders>
            <w:shd w:val="solid" w:color="FFFFFF" w:fill="auto"/>
          </w:tcPr>
          <w:p w:rsidR="00B958B1" w:rsidRPr="007C29DA" w:rsidRDefault="00B958B1" w:rsidP="009F3B54">
            <w:pPr>
              <w:pStyle w:val="Tabletext"/>
              <w:rPr>
                <w:rFonts w:eastAsiaTheme="minorEastAsia"/>
                <w:vertAlign w:val="superscript"/>
                <w:lang w:eastAsia="en-AU"/>
              </w:rPr>
            </w:pPr>
            <w:r w:rsidRPr="007C29DA">
              <w:rPr>
                <w:rFonts w:eastAsiaTheme="minorEastAsia"/>
                <w:lang w:eastAsia="en-AU"/>
              </w:rPr>
              <w:t xml:space="preserve">Monash Children's Hospital </w:t>
            </w:r>
            <w:r w:rsidRPr="007C29DA">
              <w:rPr>
                <w:rFonts w:eastAsiaTheme="minorEastAsia"/>
                <w:vertAlign w:val="superscript"/>
                <w:lang w:eastAsia="en-AU"/>
              </w:rPr>
              <w:t>(a)</w:t>
            </w:r>
          </w:p>
        </w:tc>
        <w:tc>
          <w:tcPr>
            <w:tcW w:w="828" w:type="dxa"/>
            <w:gridSpan w:val="2"/>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tbc</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tbc</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tbc</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tbc</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tbc</w:t>
            </w:r>
          </w:p>
        </w:tc>
        <w:tc>
          <w:tcPr>
            <w:tcW w:w="652"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tbc</w:t>
            </w:r>
          </w:p>
        </w:tc>
      </w:tr>
      <w:tr w:rsidR="00B958B1" w:rsidRPr="007C29DA" w:rsidTr="009F3B54">
        <w:trPr>
          <w:cantSplit/>
        </w:trPr>
        <w:tc>
          <w:tcPr>
            <w:tcW w:w="2984" w:type="dxa"/>
            <w:tcBorders>
              <w:top w:val="nil"/>
              <w:left w:val="nil"/>
              <w:bottom w:val="nil"/>
              <w:right w:val="nil"/>
            </w:tcBorders>
            <w:shd w:val="solid" w:color="FFFFFF" w:fill="auto"/>
          </w:tcPr>
          <w:p w:rsidR="00B958B1" w:rsidRPr="007C29DA" w:rsidRDefault="00B958B1" w:rsidP="009F3B54">
            <w:pPr>
              <w:pStyle w:val="Tabletext"/>
              <w:rPr>
                <w:rFonts w:eastAsiaTheme="minorEastAsia"/>
                <w:lang w:eastAsia="en-AU"/>
              </w:rPr>
            </w:pPr>
            <w:r w:rsidRPr="007C29DA">
              <w:rPr>
                <w:rFonts w:eastAsiaTheme="minorEastAsia"/>
                <w:lang w:eastAsia="en-AU"/>
              </w:rPr>
              <w:t>Northern Hospital inpatient capacity expansion</w:t>
            </w:r>
          </w:p>
        </w:tc>
        <w:tc>
          <w:tcPr>
            <w:tcW w:w="828" w:type="dxa"/>
            <w:gridSpan w:val="2"/>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1.2</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10.3</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15.7</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1.7</w:t>
            </w:r>
          </w:p>
        </w:tc>
        <w:tc>
          <w:tcPr>
            <w:tcW w:w="652"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29.0</w:t>
            </w:r>
          </w:p>
        </w:tc>
      </w:tr>
      <w:tr w:rsidR="00B958B1" w:rsidRPr="007C29DA" w:rsidTr="009F3B54">
        <w:trPr>
          <w:cantSplit/>
        </w:trPr>
        <w:tc>
          <w:tcPr>
            <w:tcW w:w="2984" w:type="dxa"/>
            <w:tcBorders>
              <w:top w:val="nil"/>
              <w:left w:val="nil"/>
              <w:bottom w:val="nil"/>
              <w:right w:val="nil"/>
            </w:tcBorders>
            <w:shd w:val="solid" w:color="FFFFFF" w:fill="auto"/>
          </w:tcPr>
          <w:p w:rsidR="00B958B1" w:rsidRPr="007C29DA" w:rsidRDefault="00B958B1" w:rsidP="009F3B54">
            <w:pPr>
              <w:pStyle w:val="Tabletext"/>
              <w:rPr>
                <w:rFonts w:eastAsiaTheme="minorEastAsia"/>
                <w:lang w:eastAsia="en-AU"/>
              </w:rPr>
            </w:pPr>
            <w:r w:rsidRPr="007C29DA">
              <w:rPr>
                <w:rFonts w:eastAsiaTheme="minorEastAsia"/>
                <w:lang w:eastAsia="en-AU"/>
              </w:rPr>
              <w:t>Numurkah Hospital</w:t>
            </w:r>
            <w:r>
              <w:rPr>
                <w:rFonts w:eastAsiaTheme="minorEastAsia"/>
                <w:lang w:eastAsia="en-AU"/>
              </w:rPr>
              <w:t xml:space="preserve"> – </w:t>
            </w:r>
            <w:r w:rsidRPr="007C29DA">
              <w:rPr>
                <w:rFonts w:eastAsiaTheme="minorEastAsia"/>
                <w:lang w:eastAsia="en-AU"/>
              </w:rPr>
              <w:t>reinstatement of acute services</w:t>
            </w:r>
          </w:p>
        </w:tc>
        <w:tc>
          <w:tcPr>
            <w:tcW w:w="828" w:type="dxa"/>
            <w:gridSpan w:val="2"/>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3.5</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8.4</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6.4</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652"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18.3</w:t>
            </w:r>
          </w:p>
        </w:tc>
      </w:tr>
      <w:tr w:rsidR="00B958B1" w:rsidRPr="007C29DA" w:rsidTr="009F3B54">
        <w:trPr>
          <w:cantSplit/>
        </w:trPr>
        <w:tc>
          <w:tcPr>
            <w:tcW w:w="2984" w:type="dxa"/>
            <w:tcBorders>
              <w:top w:val="nil"/>
              <w:left w:val="nil"/>
              <w:bottom w:val="nil"/>
              <w:right w:val="nil"/>
            </w:tcBorders>
            <w:shd w:val="solid" w:color="FFFFFF" w:fill="auto"/>
          </w:tcPr>
          <w:p w:rsidR="00B958B1" w:rsidRPr="007C29DA" w:rsidRDefault="00B958B1" w:rsidP="009F3B54">
            <w:pPr>
              <w:pStyle w:val="Tabletext"/>
              <w:rPr>
                <w:rFonts w:eastAsiaTheme="minorEastAsia"/>
                <w:lang w:eastAsia="en-AU"/>
              </w:rPr>
            </w:pPr>
            <w:r w:rsidRPr="007C29DA">
              <w:rPr>
                <w:rFonts w:eastAsiaTheme="minorEastAsia"/>
                <w:lang w:eastAsia="en-AU"/>
              </w:rPr>
              <w:t>Radiotherapy services in South West Victoria — Stage 2</w:t>
            </w:r>
          </w:p>
        </w:tc>
        <w:tc>
          <w:tcPr>
            <w:tcW w:w="828" w:type="dxa"/>
            <w:gridSpan w:val="2"/>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5.0</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5.0</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652"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10.0</w:t>
            </w:r>
          </w:p>
        </w:tc>
      </w:tr>
      <w:tr w:rsidR="00B958B1" w:rsidRPr="007C29DA" w:rsidTr="009F3B54">
        <w:trPr>
          <w:cantSplit/>
        </w:trPr>
        <w:tc>
          <w:tcPr>
            <w:tcW w:w="2984" w:type="dxa"/>
            <w:tcBorders>
              <w:top w:val="nil"/>
              <w:left w:val="nil"/>
              <w:bottom w:val="nil"/>
              <w:right w:val="nil"/>
            </w:tcBorders>
            <w:shd w:val="solid" w:color="FFFFFF" w:fill="auto"/>
          </w:tcPr>
          <w:p w:rsidR="00B958B1" w:rsidRPr="007C29DA" w:rsidRDefault="00B958B1" w:rsidP="009F3B54">
            <w:pPr>
              <w:pStyle w:val="Tabletext"/>
              <w:rPr>
                <w:rFonts w:eastAsiaTheme="minorEastAsia"/>
                <w:vertAlign w:val="superscript"/>
                <w:lang w:eastAsia="en-AU"/>
              </w:rPr>
            </w:pPr>
            <w:r w:rsidRPr="007C29DA">
              <w:rPr>
                <w:rFonts w:eastAsiaTheme="minorEastAsia"/>
                <w:lang w:eastAsia="en-AU"/>
              </w:rPr>
              <w:t xml:space="preserve">Royal Victorian Eye and Ear Hospital redevelopment </w:t>
            </w:r>
            <w:r w:rsidRPr="007C29DA">
              <w:rPr>
                <w:rFonts w:eastAsiaTheme="minorEastAsia"/>
                <w:vertAlign w:val="superscript"/>
                <w:lang w:eastAsia="en-AU"/>
              </w:rPr>
              <w:t>(a)</w:t>
            </w:r>
          </w:p>
        </w:tc>
        <w:tc>
          <w:tcPr>
            <w:tcW w:w="828" w:type="dxa"/>
            <w:gridSpan w:val="2"/>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tbc</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tbc</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tbc</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tbc</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tbc</w:t>
            </w:r>
          </w:p>
        </w:tc>
        <w:tc>
          <w:tcPr>
            <w:tcW w:w="652"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tbc</w:t>
            </w:r>
          </w:p>
        </w:tc>
      </w:tr>
      <w:tr w:rsidR="00B958B1" w:rsidRPr="007C29DA" w:rsidTr="009F3B54">
        <w:trPr>
          <w:cantSplit/>
        </w:trPr>
        <w:tc>
          <w:tcPr>
            <w:tcW w:w="2984" w:type="dxa"/>
            <w:tcBorders>
              <w:top w:val="nil"/>
              <w:left w:val="nil"/>
              <w:bottom w:val="nil"/>
              <w:right w:val="nil"/>
            </w:tcBorders>
            <w:shd w:val="solid" w:color="FFFFFF" w:fill="auto"/>
          </w:tcPr>
          <w:p w:rsidR="00B958B1" w:rsidRPr="007C29DA" w:rsidRDefault="00B958B1" w:rsidP="009F3B54">
            <w:pPr>
              <w:pStyle w:val="Tabletext"/>
              <w:rPr>
                <w:rFonts w:eastAsiaTheme="minorEastAsia"/>
                <w:lang w:eastAsia="en-AU"/>
              </w:rPr>
            </w:pPr>
            <w:r w:rsidRPr="007C29DA">
              <w:rPr>
                <w:rFonts w:eastAsiaTheme="minorEastAsia"/>
                <w:lang w:eastAsia="en-AU"/>
              </w:rPr>
              <w:t>Securing our Health System — medical equipment replacement</w:t>
            </w:r>
          </w:p>
        </w:tc>
        <w:tc>
          <w:tcPr>
            <w:tcW w:w="828" w:type="dxa"/>
            <w:gridSpan w:val="2"/>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35.0</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652"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35.0</w:t>
            </w:r>
          </w:p>
        </w:tc>
      </w:tr>
      <w:tr w:rsidR="00B958B1" w:rsidRPr="007C29DA" w:rsidTr="009F3B54">
        <w:trPr>
          <w:cantSplit/>
        </w:trPr>
        <w:tc>
          <w:tcPr>
            <w:tcW w:w="2984" w:type="dxa"/>
            <w:tcBorders>
              <w:top w:val="nil"/>
              <w:left w:val="nil"/>
              <w:bottom w:val="nil"/>
              <w:right w:val="nil"/>
            </w:tcBorders>
            <w:shd w:val="solid" w:color="FFFFFF" w:fill="auto"/>
          </w:tcPr>
          <w:p w:rsidR="00B958B1" w:rsidRPr="007C29DA" w:rsidRDefault="00B958B1" w:rsidP="009F3B54">
            <w:pPr>
              <w:pStyle w:val="Tabletext"/>
              <w:rPr>
                <w:rFonts w:eastAsiaTheme="minorEastAsia"/>
                <w:lang w:eastAsia="en-AU"/>
              </w:rPr>
            </w:pPr>
            <w:r w:rsidRPr="007C29DA">
              <w:rPr>
                <w:rFonts w:eastAsiaTheme="minorEastAsia"/>
                <w:lang w:eastAsia="en-AU"/>
              </w:rPr>
              <w:t>Securing our Health System — statewide infrastructure replacement</w:t>
            </w:r>
          </w:p>
        </w:tc>
        <w:tc>
          <w:tcPr>
            <w:tcW w:w="828" w:type="dxa"/>
            <w:gridSpan w:val="2"/>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25.0</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652"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25.0</w:t>
            </w:r>
          </w:p>
        </w:tc>
      </w:tr>
      <w:tr w:rsidR="00B958B1" w:rsidRPr="007C29DA" w:rsidTr="009F3B54">
        <w:trPr>
          <w:cantSplit/>
        </w:trPr>
        <w:tc>
          <w:tcPr>
            <w:tcW w:w="2984" w:type="dxa"/>
            <w:tcBorders>
              <w:top w:val="nil"/>
              <w:left w:val="nil"/>
              <w:bottom w:val="nil"/>
              <w:right w:val="nil"/>
            </w:tcBorders>
            <w:shd w:val="solid" w:color="FFFFFF" w:fill="auto"/>
          </w:tcPr>
          <w:p w:rsidR="00B958B1" w:rsidRPr="007C29DA" w:rsidRDefault="00B958B1" w:rsidP="009F3B54">
            <w:pPr>
              <w:pStyle w:val="Tabletext"/>
              <w:rPr>
                <w:rFonts w:eastAsiaTheme="minorEastAsia"/>
                <w:lang w:eastAsia="en-AU"/>
              </w:rPr>
            </w:pPr>
            <w:r w:rsidRPr="007C29DA">
              <w:rPr>
                <w:rFonts w:eastAsiaTheme="minorEastAsia"/>
                <w:lang w:eastAsia="en-AU"/>
              </w:rPr>
              <w:lastRenderedPageBreak/>
              <w:t>Waurn Ponds Community Hospital</w:t>
            </w:r>
          </w:p>
        </w:tc>
        <w:tc>
          <w:tcPr>
            <w:tcW w:w="828" w:type="dxa"/>
            <w:gridSpan w:val="2"/>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2.0</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8.7</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30.2</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9.3</w:t>
            </w:r>
          </w:p>
        </w:tc>
        <w:tc>
          <w:tcPr>
            <w:tcW w:w="652"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50.2</w:t>
            </w:r>
          </w:p>
        </w:tc>
      </w:tr>
      <w:tr w:rsidR="00B958B1" w:rsidRPr="007C29DA" w:rsidTr="009F3B54">
        <w:trPr>
          <w:cantSplit/>
        </w:trPr>
        <w:tc>
          <w:tcPr>
            <w:tcW w:w="2984" w:type="dxa"/>
            <w:tcBorders>
              <w:top w:val="nil"/>
              <w:left w:val="nil"/>
              <w:bottom w:val="nil"/>
              <w:right w:val="nil"/>
            </w:tcBorders>
          </w:tcPr>
          <w:p w:rsidR="00B958B1" w:rsidRPr="007C29DA" w:rsidRDefault="00B958B1" w:rsidP="009F3B54">
            <w:pPr>
              <w:pStyle w:val="Tabletext"/>
              <w:pageBreakBefore/>
              <w:ind w:left="187" w:hanging="187"/>
              <w:rPr>
                <w:rFonts w:eastAsiaTheme="minorEastAsia"/>
                <w:b/>
                <w:bCs/>
                <w:lang w:eastAsia="en-AU"/>
              </w:rPr>
            </w:pPr>
            <w:r w:rsidRPr="007C29DA">
              <w:rPr>
                <w:rFonts w:eastAsiaTheme="minorEastAsia"/>
                <w:b/>
                <w:bCs/>
                <w:lang w:eastAsia="en-AU"/>
              </w:rPr>
              <w:lastRenderedPageBreak/>
              <w:t>Mental Health</w:t>
            </w:r>
          </w:p>
        </w:tc>
        <w:tc>
          <w:tcPr>
            <w:tcW w:w="828" w:type="dxa"/>
            <w:gridSpan w:val="2"/>
            <w:tcBorders>
              <w:top w:val="nil"/>
              <w:left w:val="nil"/>
              <w:bottom w:val="nil"/>
              <w:right w:val="nil"/>
            </w:tcBorders>
          </w:tcPr>
          <w:p w:rsidR="00B958B1" w:rsidRPr="007C29DA" w:rsidRDefault="00B958B1" w:rsidP="009F3B54">
            <w:pPr>
              <w:pStyle w:val="TableofFigures"/>
              <w:rPr>
                <w:rFonts w:eastAsiaTheme="minorEastAsia"/>
                <w:lang w:eastAsia="en-AU"/>
              </w:rPr>
            </w:pP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p>
        </w:tc>
        <w:tc>
          <w:tcPr>
            <w:tcW w:w="652" w:type="dxa"/>
            <w:tcBorders>
              <w:top w:val="nil"/>
              <w:left w:val="nil"/>
              <w:bottom w:val="nil"/>
              <w:right w:val="nil"/>
            </w:tcBorders>
          </w:tcPr>
          <w:p w:rsidR="00B958B1" w:rsidRPr="007C29DA" w:rsidRDefault="00B958B1" w:rsidP="009F3B54">
            <w:pPr>
              <w:pStyle w:val="TableofFigures"/>
              <w:rPr>
                <w:rFonts w:eastAsiaTheme="minorEastAsia"/>
                <w:lang w:eastAsia="en-AU"/>
              </w:rPr>
            </w:pPr>
          </w:p>
        </w:tc>
      </w:tr>
      <w:tr w:rsidR="00B958B1" w:rsidRPr="007C29DA" w:rsidTr="009F3B54">
        <w:trPr>
          <w:cantSplit/>
        </w:trPr>
        <w:tc>
          <w:tcPr>
            <w:tcW w:w="2984" w:type="dxa"/>
            <w:tcBorders>
              <w:top w:val="nil"/>
              <w:left w:val="nil"/>
              <w:bottom w:val="nil"/>
              <w:right w:val="nil"/>
            </w:tcBorders>
          </w:tcPr>
          <w:p w:rsidR="00B958B1" w:rsidRPr="007C29DA" w:rsidRDefault="00B958B1" w:rsidP="009F3B54">
            <w:pPr>
              <w:pStyle w:val="Tabletext"/>
              <w:rPr>
                <w:rFonts w:eastAsiaTheme="minorEastAsia"/>
                <w:lang w:eastAsia="en-AU"/>
              </w:rPr>
            </w:pPr>
            <w:r w:rsidRPr="007C29DA">
              <w:rPr>
                <w:rFonts w:eastAsiaTheme="minorEastAsia"/>
                <w:lang w:eastAsia="en-AU"/>
              </w:rPr>
              <w:t>Werribee Mercy Hospital Mental Health expansion</w:t>
            </w:r>
          </w:p>
        </w:tc>
        <w:tc>
          <w:tcPr>
            <w:tcW w:w="828" w:type="dxa"/>
            <w:gridSpan w:val="2"/>
            <w:tcBorders>
              <w:top w:val="nil"/>
              <w:left w:val="nil"/>
              <w:bottom w:val="nil"/>
              <w:right w:val="nil"/>
            </w:tcBorders>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3.7</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19.0</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12.0</w:t>
            </w:r>
          </w:p>
        </w:tc>
        <w:tc>
          <w:tcPr>
            <w:tcW w:w="828" w:type="dxa"/>
            <w:tcBorders>
              <w:top w:val="nil"/>
              <w:left w:val="nil"/>
              <w:bottom w:val="nil"/>
              <w:right w:val="nil"/>
            </w:tcBorders>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652" w:type="dxa"/>
            <w:tcBorders>
              <w:top w:val="nil"/>
              <w:left w:val="nil"/>
              <w:bottom w:val="nil"/>
              <w:right w:val="nil"/>
            </w:tcBorders>
          </w:tcPr>
          <w:p w:rsidR="00B958B1" w:rsidRPr="007C29DA" w:rsidRDefault="00B958B1" w:rsidP="009F3B54">
            <w:pPr>
              <w:pStyle w:val="TableofFigures"/>
              <w:rPr>
                <w:rFonts w:eastAsiaTheme="minorEastAsia"/>
                <w:lang w:eastAsia="en-AU"/>
              </w:rPr>
            </w:pPr>
            <w:r w:rsidRPr="007C29DA">
              <w:rPr>
                <w:rFonts w:eastAsiaTheme="minorEastAsia"/>
                <w:lang w:eastAsia="en-AU"/>
              </w:rPr>
              <w:t>34.7</w:t>
            </w:r>
          </w:p>
        </w:tc>
      </w:tr>
      <w:tr w:rsidR="00B958B1" w:rsidRPr="007C29DA" w:rsidTr="009F3B54">
        <w:trPr>
          <w:cantSplit/>
        </w:trPr>
        <w:tc>
          <w:tcPr>
            <w:tcW w:w="3576" w:type="dxa"/>
            <w:gridSpan w:val="2"/>
            <w:tcBorders>
              <w:top w:val="nil"/>
              <w:left w:val="nil"/>
              <w:bottom w:val="nil"/>
              <w:right w:val="nil"/>
            </w:tcBorders>
          </w:tcPr>
          <w:p w:rsidR="00B958B1" w:rsidRPr="007C29DA" w:rsidRDefault="00B958B1" w:rsidP="009F3B54">
            <w:pPr>
              <w:pStyle w:val="Tabletext"/>
              <w:rPr>
                <w:rFonts w:eastAsiaTheme="minorEastAsia"/>
                <w:b/>
                <w:bCs/>
                <w:lang w:eastAsia="en-AU"/>
              </w:rPr>
            </w:pPr>
            <w:r w:rsidRPr="007C29DA">
              <w:rPr>
                <w:rFonts w:eastAsiaTheme="minorEastAsia"/>
                <w:b/>
                <w:bCs/>
                <w:lang w:eastAsia="en-AU"/>
              </w:rPr>
              <w:t>Primary, Community and Dental Health</w:t>
            </w:r>
          </w:p>
        </w:tc>
        <w:tc>
          <w:tcPr>
            <w:tcW w:w="236" w:type="dxa"/>
            <w:tcBorders>
              <w:top w:val="nil"/>
              <w:left w:val="nil"/>
              <w:bottom w:val="nil"/>
              <w:right w:val="nil"/>
            </w:tcBorders>
          </w:tcPr>
          <w:p w:rsidR="00B958B1" w:rsidRPr="007C29DA" w:rsidRDefault="00B958B1" w:rsidP="009F3B54">
            <w:pPr>
              <w:pStyle w:val="TableofFigures"/>
              <w:rPr>
                <w:rFonts w:eastAsiaTheme="minorEastAsia"/>
                <w:lang w:eastAsia="en-AU"/>
              </w:rPr>
            </w:pP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p>
        </w:tc>
        <w:tc>
          <w:tcPr>
            <w:tcW w:w="828" w:type="dxa"/>
            <w:tcBorders>
              <w:top w:val="nil"/>
              <w:left w:val="nil"/>
              <w:bottom w:val="nil"/>
              <w:right w:val="nil"/>
            </w:tcBorders>
          </w:tcPr>
          <w:p w:rsidR="00B958B1" w:rsidRPr="007C29DA" w:rsidRDefault="00B958B1" w:rsidP="009F3B54">
            <w:pPr>
              <w:pStyle w:val="TableofFigures"/>
              <w:rPr>
                <w:rFonts w:eastAsiaTheme="minorEastAsia"/>
                <w:lang w:eastAsia="en-AU"/>
              </w:rPr>
            </w:pPr>
          </w:p>
        </w:tc>
        <w:tc>
          <w:tcPr>
            <w:tcW w:w="652" w:type="dxa"/>
            <w:tcBorders>
              <w:top w:val="nil"/>
              <w:left w:val="nil"/>
              <w:bottom w:val="nil"/>
              <w:right w:val="nil"/>
            </w:tcBorders>
          </w:tcPr>
          <w:p w:rsidR="00B958B1" w:rsidRPr="007C29DA" w:rsidRDefault="00B958B1" w:rsidP="009F3B54">
            <w:pPr>
              <w:pStyle w:val="TableofFigures"/>
              <w:rPr>
                <w:rFonts w:eastAsiaTheme="minorEastAsia"/>
                <w:lang w:eastAsia="en-AU"/>
              </w:rPr>
            </w:pPr>
          </w:p>
        </w:tc>
      </w:tr>
      <w:tr w:rsidR="00B958B1" w:rsidRPr="007C29DA" w:rsidTr="009F3B54">
        <w:trPr>
          <w:cantSplit/>
        </w:trPr>
        <w:tc>
          <w:tcPr>
            <w:tcW w:w="2984" w:type="dxa"/>
            <w:tcBorders>
              <w:top w:val="nil"/>
              <w:left w:val="nil"/>
              <w:bottom w:val="nil"/>
              <w:right w:val="nil"/>
            </w:tcBorders>
          </w:tcPr>
          <w:p w:rsidR="00B958B1" w:rsidRPr="007C29DA" w:rsidRDefault="00B958B1" w:rsidP="009F3B54">
            <w:pPr>
              <w:pStyle w:val="Tabletext"/>
              <w:rPr>
                <w:rFonts w:eastAsiaTheme="minorEastAsia"/>
                <w:lang w:eastAsia="en-AU"/>
              </w:rPr>
            </w:pPr>
            <w:r w:rsidRPr="007C29DA">
              <w:rPr>
                <w:rFonts w:eastAsiaTheme="minorEastAsia"/>
                <w:lang w:eastAsia="en-AU"/>
              </w:rPr>
              <w:t>Western Region Health Centre</w:t>
            </w:r>
            <w:r>
              <w:rPr>
                <w:rFonts w:eastAsiaTheme="minorEastAsia"/>
                <w:lang w:eastAsia="en-AU"/>
              </w:rPr>
              <w:t xml:space="preserve"> – </w:t>
            </w:r>
            <w:r w:rsidRPr="007C29DA">
              <w:rPr>
                <w:rFonts w:eastAsiaTheme="minorEastAsia"/>
                <w:lang w:eastAsia="en-AU"/>
              </w:rPr>
              <w:t>dental service redevelopment</w:t>
            </w:r>
          </w:p>
        </w:tc>
        <w:tc>
          <w:tcPr>
            <w:tcW w:w="828" w:type="dxa"/>
            <w:gridSpan w:val="2"/>
            <w:tcBorders>
              <w:top w:val="nil"/>
              <w:left w:val="nil"/>
              <w:bottom w:val="nil"/>
              <w:right w:val="nil"/>
            </w:tcBorders>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1.6</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6.9</w:t>
            </w:r>
          </w:p>
        </w:tc>
        <w:tc>
          <w:tcPr>
            <w:tcW w:w="828" w:type="dxa"/>
            <w:tcBorders>
              <w:top w:val="nil"/>
              <w:left w:val="nil"/>
              <w:bottom w:val="nil"/>
              <w:right w:val="nil"/>
            </w:tcBorders>
            <w:shd w:val="solid" w:color="FFFFFF" w:fill="auto"/>
          </w:tcPr>
          <w:p w:rsidR="00B958B1" w:rsidRPr="007C29DA" w:rsidRDefault="00B958B1" w:rsidP="009F3B54">
            <w:pPr>
              <w:pStyle w:val="TableofFigures"/>
              <w:rPr>
                <w:rFonts w:eastAsiaTheme="minorEastAsia"/>
                <w:lang w:eastAsia="en-AU"/>
              </w:rPr>
            </w:pPr>
            <w:r w:rsidRPr="007C29DA">
              <w:rPr>
                <w:rFonts w:eastAsiaTheme="minorEastAsia"/>
                <w:lang w:eastAsia="en-AU"/>
              </w:rPr>
              <w:t>1.3</w:t>
            </w:r>
          </w:p>
        </w:tc>
        <w:tc>
          <w:tcPr>
            <w:tcW w:w="828" w:type="dxa"/>
            <w:tcBorders>
              <w:top w:val="nil"/>
              <w:left w:val="nil"/>
              <w:bottom w:val="nil"/>
              <w:right w:val="nil"/>
            </w:tcBorders>
          </w:tcPr>
          <w:p w:rsidR="00B958B1" w:rsidRPr="007C29DA" w:rsidRDefault="00B958B1" w:rsidP="009F3B54">
            <w:pPr>
              <w:pStyle w:val="TableofFigures"/>
              <w:rPr>
                <w:rFonts w:eastAsiaTheme="minorEastAsia"/>
                <w:lang w:eastAsia="en-AU"/>
              </w:rPr>
            </w:pPr>
            <w:r w:rsidRPr="007C29DA">
              <w:rPr>
                <w:rFonts w:eastAsiaTheme="minorEastAsia"/>
                <w:lang w:eastAsia="en-AU"/>
              </w:rPr>
              <w:t>..</w:t>
            </w:r>
          </w:p>
        </w:tc>
        <w:tc>
          <w:tcPr>
            <w:tcW w:w="652" w:type="dxa"/>
            <w:tcBorders>
              <w:top w:val="nil"/>
              <w:left w:val="nil"/>
              <w:bottom w:val="nil"/>
              <w:right w:val="nil"/>
            </w:tcBorders>
          </w:tcPr>
          <w:p w:rsidR="00B958B1" w:rsidRPr="007C29DA" w:rsidRDefault="00B958B1" w:rsidP="009F3B54">
            <w:pPr>
              <w:pStyle w:val="TableofFigures"/>
              <w:rPr>
                <w:rFonts w:eastAsiaTheme="minorEastAsia"/>
                <w:lang w:eastAsia="en-AU"/>
              </w:rPr>
            </w:pPr>
            <w:r w:rsidRPr="007C29DA">
              <w:rPr>
                <w:rFonts w:eastAsiaTheme="minorEastAsia"/>
                <w:lang w:eastAsia="en-AU"/>
              </w:rPr>
              <w:t>9.7</w:t>
            </w:r>
          </w:p>
        </w:tc>
      </w:tr>
      <w:tr w:rsidR="00B958B1" w:rsidRPr="007C29DA" w:rsidTr="009F3B54">
        <w:trPr>
          <w:cantSplit/>
        </w:trPr>
        <w:tc>
          <w:tcPr>
            <w:tcW w:w="2984" w:type="dxa"/>
            <w:tcBorders>
              <w:top w:val="single" w:sz="6" w:space="0" w:color="auto"/>
              <w:left w:val="nil"/>
              <w:bottom w:val="single" w:sz="12" w:space="0" w:color="auto"/>
              <w:right w:val="nil"/>
            </w:tcBorders>
          </w:tcPr>
          <w:p w:rsidR="00B958B1" w:rsidRPr="007C29DA" w:rsidRDefault="00B958B1" w:rsidP="009F3B54">
            <w:pPr>
              <w:pStyle w:val="Tabletext"/>
              <w:rPr>
                <w:rFonts w:eastAsiaTheme="minorEastAsia"/>
                <w:b/>
                <w:bCs/>
                <w:vertAlign w:val="superscript"/>
                <w:lang w:eastAsia="en-AU"/>
              </w:rPr>
            </w:pPr>
            <w:r w:rsidRPr="007C29DA">
              <w:rPr>
                <w:rFonts w:eastAsiaTheme="minorEastAsia"/>
                <w:b/>
                <w:bCs/>
                <w:lang w:eastAsia="en-AU"/>
              </w:rPr>
              <w:t xml:space="preserve">Total asset initiatives </w:t>
            </w:r>
            <w:r w:rsidRPr="007C29DA">
              <w:rPr>
                <w:rFonts w:eastAsiaTheme="minorEastAsia"/>
                <w:b/>
                <w:bCs/>
                <w:vertAlign w:val="superscript"/>
                <w:lang w:eastAsia="en-AU"/>
              </w:rPr>
              <w:t>(b)</w:t>
            </w:r>
          </w:p>
        </w:tc>
        <w:tc>
          <w:tcPr>
            <w:tcW w:w="828" w:type="dxa"/>
            <w:gridSpan w:val="2"/>
            <w:tcBorders>
              <w:top w:val="single" w:sz="6" w:space="0" w:color="auto"/>
              <w:left w:val="nil"/>
              <w:bottom w:val="single" w:sz="12" w:space="0" w:color="auto"/>
              <w:right w:val="nil"/>
            </w:tcBorders>
          </w:tcPr>
          <w:p w:rsidR="00B958B1" w:rsidRPr="007C29DA" w:rsidRDefault="00B958B1" w:rsidP="009F3B54">
            <w:pPr>
              <w:pStyle w:val="TableofFigures"/>
              <w:rPr>
                <w:rFonts w:eastAsiaTheme="minorEastAsia"/>
                <w:b/>
                <w:bCs/>
                <w:lang w:eastAsia="en-AU"/>
              </w:rPr>
            </w:pPr>
            <w:r w:rsidRPr="007C29DA">
              <w:rPr>
                <w:rFonts w:eastAsiaTheme="minorEastAsia"/>
                <w:b/>
                <w:bCs/>
                <w:lang w:eastAsia="en-AU"/>
              </w:rPr>
              <w:t>1.7</w:t>
            </w:r>
          </w:p>
        </w:tc>
        <w:tc>
          <w:tcPr>
            <w:tcW w:w="828" w:type="dxa"/>
            <w:tcBorders>
              <w:top w:val="single" w:sz="6" w:space="0" w:color="auto"/>
              <w:left w:val="nil"/>
              <w:bottom w:val="single" w:sz="12" w:space="0" w:color="auto"/>
              <w:right w:val="nil"/>
            </w:tcBorders>
          </w:tcPr>
          <w:p w:rsidR="00B958B1" w:rsidRPr="007C29DA" w:rsidRDefault="00B958B1" w:rsidP="009F3B54">
            <w:pPr>
              <w:pStyle w:val="TableofFigures"/>
              <w:rPr>
                <w:rFonts w:eastAsiaTheme="minorEastAsia"/>
                <w:b/>
                <w:bCs/>
                <w:lang w:eastAsia="en-AU"/>
              </w:rPr>
            </w:pPr>
            <w:r w:rsidRPr="007C29DA">
              <w:rPr>
                <w:rFonts w:eastAsiaTheme="minorEastAsia"/>
                <w:b/>
                <w:bCs/>
                <w:lang w:eastAsia="en-AU"/>
              </w:rPr>
              <w:t>110.1</w:t>
            </w:r>
          </w:p>
        </w:tc>
        <w:tc>
          <w:tcPr>
            <w:tcW w:w="828" w:type="dxa"/>
            <w:tcBorders>
              <w:top w:val="single" w:sz="6" w:space="0" w:color="auto"/>
              <w:left w:val="nil"/>
              <w:bottom w:val="single" w:sz="12" w:space="0" w:color="auto"/>
              <w:right w:val="nil"/>
            </w:tcBorders>
          </w:tcPr>
          <w:p w:rsidR="00B958B1" w:rsidRPr="007C29DA" w:rsidRDefault="00B958B1" w:rsidP="009F3B54">
            <w:pPr>
              <w:pStyle w:val="TableofFigures"/>
              <w:rPr>
                <w:rFonts w:eastAsiaTheme="minorEastAsia"/>
                <w:b/>
                <w:bCs/>
                <w:lang w:eastAsia="en-AU"/>
              </w:rPr>
            </w:pPr>
            <w:r w:rsidRPr="007C29DA">
              <w:rPr>
                <w:rFonts w:eastAsiaTheme="minorEastAsia"/>
                <w:b/>
                <w:bCs/>
                <w:lang w:eastAsia="en-AU"/>
              </w:rPr>
              <w:t>138.1</w:t>
            </w:r>
          </w:p>
        </w:tc>
        <w:tc>
          <w:tcPr>
            <w:tcW w:w="828" w:type="dxa"/>
            <w:tcBorders>
              <w:top w:val="single" w:sz="6" w:space="0" w:color="auto"/>
              <w:left w:val="nil"/>
              <w:bottom w:val="single" w:sz="12" w:space="0" w:color="auto"/>
              <w:right w:val="nil"/>
            </w:tcBorders>
          </w:tcPr>
          <w:p w:rsidR="00B958B1" w:rsidRPr="007C29DA" w:rsidRDefault="00B958B1" w:rsidP="009F3B54">
            <w:pPr>
              <w:pStyle w:val="TableofFigures"/>
              <w:rPr>
                <w:rFonts w:eastAsiaTheme="minorEastAsia"/>
                <w:b/>
                <w:bCs/>
                <w:lang w:eastAsia="en-AU"/>
              </w:rPr>
            </w:pPr>
            <w:r w:rsidRPr="007C29DA">
              <w:rPr>
                <w:rFonts w:eastAsiaTheme="minorEastAsia"/>
                <w:b/>
                <w:bCs/>
                <w:lang w:eastAsia="en-AU"/>
              </w:rPr>
              <w:t>197.9</w:t>
            </w:r>
          </w:p>
        </w:tc>
        <w:tc>
          <w:tcPr>
            <w:tcW w:w="828" w:type="dxa"/>
            <w:tcBorders>
              <w:top w:val="single" w:sz="6" w:space="0" w:color="auto"/>
              <w:left w:val="nil"/>
              <w:bottom w:val="single" w:sz="12" w:space="0" w:color="auto"/>
              <w:right w:val="nil"/>
            </w:tcBorders>
          </w:tcPr>
          <w:p w:rsidR="00B958B1" w:rsidRPr="007C29DA" w:rsidRDefault="00B958B1" w:rsidP="009F3B54">
            <w:pPr>
              <w:pStyle w:val="TableofFigures"/>
              <w:rPr>
                <w:rFonts w:eastAsiaTheme="minorEastAsia"/>
                <w:b/>
                <w:bCs/>
                <w:lang w:eastAsia="en-AU"/>
              </w:rPr>
            </w:pPr>
            <w:r w:rsidRPr="007C29DA">
              <w:rPr>
                <w:rFonts w:eastAsiaTheme="minorEastAsia"/>
                <w:b/>
                <w:bCs/>
                <w:lang w:eastAsia="en-AU"/>
              </w:rPr>
              <w:t>150.5</w:t>
            </w:r>
          </w:p>
        </w:tc>
        <w:tc>
          <w:tcPr>
            <w:tcW w:w="652" w:type="dxa"/>
            <w:tcBorders>
              <w:top w:val="single" w:sz="6" w:space="0" w:color="auto"/>
              <w:left w:val="nil"/>
              <w:bottom w:val="single" w:sz="12" w:space="0" w:color="auto"/>
              <w:right w:val="nil"/>
            </w:tcBorders>
          </w:tcPr>
          <w:p w:rsidR="00B958B1" w:rsidRPr="007C29DA" w:rsidRDefault="00B958B1" w:rsidP="009F3B54">
            <w:pPr>
              <w:pStyle w:val="TableofFigures"/>
              <w:rPr>
                <w:rFonts w:eastAsiaTheme="minorEastAsia"/>
                <w:b/>
                <w:bCs/>
                <w:lang w:eastAsia="en-AU"/>
              </w:rPr>
            </w:pPr>
            <w:r w:rsidRPr="007C29DA">
              <w:rPr>
                <w:rFonts w:eastAsiaTheme="minorEastAsia"/>
                <w:b/>
                <w:bCs/>
                <w:lang w:eastAsia="en-AU"/>
              </w:rPr>
              <w:t>629.4</w:t>
            </w:r>
          </w:p>
        </w:tc>
      </w:tr>
    </w:tbl>
    <w:p w:rsidR="00B958B1" w:rsidRPr="00A20936" w:rsidRDefault="00B958B1" w:rsidP="009F3B54">
      <w:pPr>
        <w:pStyle w:val="Source"/>
      </w:pPr>
      <w:r w:rsidRPr="00A20936">
        <w:t>Source: Department of Treasury and Finance</w:t>
      </w:r>
    </w:p>
    <w:p w:rsidR="00B958B1" w:rsidRPr="00775C93" w:rsidRDefault="00B958B1" w:rsidP="009F3B54">
      <w:pPr>
        <w:pStyle w:val="Notes"/>
      </w:pPr>
      <w:r>
        <w:t>Notes</w:t>
      </w:r>
      <w:r w:rsidRPr="00775C93">
        <w:t>:</w:t>
      </w:r>
    </w:p>
    <w:p w:rsidR="00B958B1" w:rsidRPr="00761A6E" w:rsidRDefault="00B958B1" w:rsidP="009F3B54">
      <w:pPr>
        <w:pStyle w:val="Notes"/>
      </w:pPr>
      <w:r>
        <w:t>(a)</w:t>
      </w:r>
      <w:r w:rsidRPr="00761A6E">
        <w:tab/>
      </w:r>
      <w:r>
        <w:t>D</w:t>
      </w:r>
      <w:r w:rsidRPr="00761A6E">
        <w:t xml:space="preserve">etails of the available funding are not being released  prior to completion of the tender process, to ensure that the Government is able to achieve the best outcome from the market and accordingly, the best value for money for Victorians. </w:t>
      </w:r>
    </w:p>
    <w:p w:rsidR="00B958B1" w:rsidRDefault="00B958B1" w:rsidP="009F3B54">
      <w:pPr>
        <w:pStyle w:val="Notes"/>
      </w:pPr>
      <w:r w:rsidRPr="00761A6E">
        <w:t>(b)</w:t>
      </w:r>
      <w:r w:rsidRPr="00761A6E">
        <w:tab/>
        <w:t xml:space="preserve">Note totals do not add due to the </w:t>
      </w:r>
      <w:r>
        <w:t xml:space="preserve">inclusion of the indicative TEIs </w:t>
      </w:r>
      <w:r w:rsidRPr="00761A6E">
        <w:t>f</w:t>
      </w:r>
      <w:r>
        <w:t>or</w:t>
      </w:r>
      <w:r w:rsidRPr="00761A6E">
        <w:t xml:space="preserve"> the Monash Children’s Hospital and the Royal Victorian Eye</w:t>
      </w:r>
      <w:r>
        <w:t xml:space="preserve"> and Ear Hospital redevelopment which are to be confirmed. The indicative TEIs exclude previously announced funding.</w:t>
      </w:r>
    </w:p>
    <w:p w:rsidR="00B958B1" w:rsidRPr="007C29DA" w:rsidRDefault="00B958B1" w:rsidP="009F3B54">
      <w:pPr>
        <w:pStyle w:val="Notes"/>
      </w:pPr>
    </w:p>
    <w:p w:rsidR="00B958B1" w:rsidRPr="00DE65E7" w:rsidRDefault="00B958B1" w:rsidP="009F3B54">
      <w:pPr>
        <w:pStyle w:val="Heading4"/>
      </w:pPr>
      <w:bookmarkStart w:id="36" w:name="BP3Ch1DHAcuteHlthPt2"/>
      <w:r>
        <w:t>Acute Health</w:t>
      </w:r>
    </w:p>
    <w:p w:rsidR="00B958B1" w:rsidRDefault="00B958B1" w:rsidP="009F3B54">
      <w:pPr>
        <w:pStyle w:val="Heading5"/>
      </w:pPr>
      <w:r>
        <w:t>Critical care capacity expansion</w:t>
      </w:r>
    </w:p>
    <w:p w:rsidR="00B958B1" w:rsidRDefault="00B958B1" w:rsidP="009F3B54">
      <w:r>
        <w:t>Critical care capacity will be expanded with an additional four adult intensive care beds and five neonatal intensive care respiratory support beds, together with upgraded medical retrieval equipment for health services across Victoria. This will provide sophisticated technology and medical management to care for patients with complex illness and injuries.</w:t>
      </w:r>
    </w:p>
    <w:p w:rsidR="00B958B1" w:rsidRPr="009C3F1E" w:rsidRDefault="00B958B1" w:rsidP="009F3B54">
      <w:r>
        <w:t xml:space="preserve">This initiative contributes to the Government’s election commitment to deliver 800 new </w:t>
      </w:r>
      <w:r w:rsidRPr="009C3F1E">
        <w:t>hospital beds.</w:t>
      </w:r>
    </w:p>
    <w:p w:rsidR="00B958B1" w:rsidRPr="009C3F1E" w:rsidRDefault="00B958B1" w:rsidP="009F3B54">
      <w:r w:rsidRPr="009C3F1E">
        <w:t>This initiative contributes to the Department of Health’s Admitted Services output.</w:t>
      </w:r>
    </w:p>
    <w:p w:rsidR="00B958B1" w:rsidRPr="009C3F1E" w:rsidRDefault="00B958B1" w:rsidP="009F3B54">
      <w:pPr>
        <w:pStyle w:val="Heading5"/>
      </w:pPr>
      <w:r w:rsidRPr="009C3F1E">
        <w:t>Health and Medical Precinct and Community</w:t>
      </w:r>
      <w:r w:rsidR="009F0F49">
        <w:noBreakHyphen/>
      </w:r>
      <w:r w:rsidRPr="009C3F1E">
        <w:t>Based Ambulatory Care Centre</w:t>
      </w:r>
    </w:p>
    <w:p w:rsidR="00B958B1" w:rsidRPr="009C3F1E" w:rsidRDefault="00B958B1" w:rsidP="009F3B54">
      <w:r w:rsidRPr="009C3F1E">
        <w:t>A designated health and medical precinct will be established and facilitated through new planning tools and streamlined land</w:t>
      </w:r>
      <w:r w:rsidR="009F0F49">
        <w:noBreakHyphen/>
      </w:r>
      <w:r w:rsidRPr="009C3F1E">
        <w:t>zoning. Streamlined land</w:t>
      </w:r>
      <w:r w:rsidR="009F0F49">
        <w:noBreakHyphen/>
      </w:r>
      <w:r w:rsidRPr="009C3F1E">
        <w:t>use zoning requirements for health care providers will promote private sector investment and partnerships between the private and public sectors in the provision of health services.</w:t>
      </w:r>
    </w:p>
    <w:p w:rsidR="00B958B1" w:rsidRPr="009C3F1E" w:rsidRDefault="00B958B1" w:rsidP="009F3B54">
      <w:r>
        <w:t>A community</w:t>
      </w:r>
      <w:r w:rsidR="009F0F49">
        <w:noBreakHyphen/>
      </w:r>
      <w:r w:rsidRPr="009C3F1E">
        <w:t xml:space="preserve">based ambulatory care centre will be </w:t>
      </w:r>
      <w:r>
        <w:t xml:space="preserve">established in a health and medical precinct that </w:t>
      </w:r>
      <w:r w:rsidRPr="009C3F1E">
        <w:t>promot</w:t>
      </w:r>
      <w:r>
        <w:t>es</w:t>
      </w:r>
      <w:r w:rsidRPr="009C3F1E">
        <w:t xml:space="preserve"> an integrated service model that will combine primary and secondary services.</w:t>
      </w:r>
    </w:p>
    <w:p w:rsidR="00B958B1" w:rsidRDefault="00B958B1" w:rsidP="009F3B54">
      <w:r w:rsidRPr="009C3F1E">
        <w:t>This initiative contributes to the Department of Health’s Community Health Care output.</w:t>
      </w:r>
    </w:p>
    <w:p w:rsidR="00B958B1" w:rsidRPr="00736B1F" w:rsidRDefault="00B958B1" w:rsidP="009F3B54">
      <w:pPr>
        <w:pStyle w:val="Heading5"/>
      </w:pPr>
      <w:r w:rsidRPr="00736B1F">
        <w:t>Monash Children's Hospital</w:t>
      </w:r>
    </w:p>
    <w:p w:rsidR="00B958B1" w:rsidRPr="00736B1F" w:rsidRDefault="00B958B1" w:rsidP="009F3B54">
      <w:r>
        <w:fldChar w:fldCharType="begin"/>
      </w:r>
      <w:r>
        <w:instrText xml:space="preserve"> XE "</w:instrText>
      </w:r>
      <w:r w:rsidRPr="009E53A6">
        <w:instrText>Children</w:instrText>
      </w:r>
      <w:r>
        <w:instrText xml:space="preserve">" </w:instrText>
      </w:r>
      <w:r>
        <w:fldChar w:fldCharType="end"/>
      </w:r>
      <w:r w:rsidRPr="00736B1F">
        <w:t>This initiative delivers on the Government’s election commitment to fund a new purpose built paediatric hospital at the Monash Medical Centre in Clayton. The new hospital, delivering 230 beds, will provide capacity for increases in demand and improve access for the growing population in the south east of Melbourne, the Mornington Peninsula and south east Victoria.</w:t>
      </w:r>
    </w:p>
    <w:p w:rsidR="00B958B1" w:rsidRPr="00736B1F" w:rsidRDefault="00B958B1" w:rsidP="009F3B54">
      <w:r>
        <w:br w:type="page"/>
      </w:r>
      <w:r w:rsidRPr="00736B1F">
        <w:lastRenderedPageBreak/>
        <w:t>Provision has been made in the forward estimates for the project funding required to complete this project. The hospital is expected to commence providing services in 2017.</w:t>
      </w:r>
    </w:p>
    <w:p w:rsidR="00B958B1" w:rsidRPr="00736B1F" w:rsidRDefault="00B958B1" w:rsidP="009F3B54">
      <w:r w:rsidRPr="00736B1F">
        <w:t>This initiative contributes to the Department of Health’s:</w:t>
      </w:r>
    </w:p>
    <w:p w:rsidR="00B958B1" w:rsidRPr="00736B1F" w:rsidRDefault="00B958B1" w:rsidP="009F3B54">
      <w:pPr>
        <w:pStyle w:val="BulletText"/>
      </w:pPr>
      <w:r w:rsidRPr="00736B1F">
        <w:t>Admitted Services output; and</w:t>
      </w:r>
    </w:p>
    <w:p w:rsidR="00B958B1" w:rsidRPr="007C29DA" w:rsidRDefault="00B958B1" w:rsidP="009F3B54">
      <w:pPr>
        <w:pStyle w:val="BulletText"/>
      </w:pPr>
      <w:r w:rsidRPr="00736B1F">
        <w:t>Non</w:t>
      </w:r>
      <w:r w:rsidR="009F0F49">
        <w:noBreakHyphen/>
      </w:r>
      <w:r w:rsidRPr="00736B1F">
        <w:t>Admitted Services output.</w:t>
      </w:r>
    </w:p>
    <w:p w:rsidR="00B958B1" w:rsidRDefault="00B958B1" w:rsidP="009F3B54">
      <w:pPr>
        <w:pStyle w:val="Heading5"/>
      </w:pPr>
      <w:r w:rsidRPr="009C3F1E">
        <w:t>Northern Hospital inpatient capacity expansion</w:t>
      </w:r>
    </w:p>
    <w:p w:rsidR="00B958B1" w:rsidRDefault="00B958B1" w:rsidP="009F3B54">
      <w:r>
        <w:t>A new three storey building will be built at t</w:t>
      </w:r>
      <w:r w:rsidRPr="003C3545">
        <w:t xml:space="preserve">he Northern Hospital to </w:t>
      </w:r>
      <w:r>
        <w:t>accommodate 32 </w:t>
      </w:r>
      <w:r w:rsidRPr="003C3545">
        <w:t>additional beds</w:t>
      </w:r>
      <w:r>
        <w:t xml:space="preserve"> and support services</w:t>
      </w:r>
      <w:r w:rsidRPr="003C3545">
        <w:t>. This investment will expand services at Northern Health to better meet the demands of the northern growth corridor.</w:t>
      </w:r>
    </w:p>
    <w:p w:rsidR="00B958B1" w:rsidRDefault="00B958B1" w:rsidP="009F3B54">
      <w:r>
        <w:t>This initiative contributes to the Government’s election commitment to deliver 800 new hospital beds.</w:t>
      </w:r>
    </w:p>
    <w:p w:rsidR="00B958B1" w:rsidRDefault="00B958B1" w:rsidP="009F3B54">
      <w:r>
        <w:t>This initiative contributes to the Department of Health’s Admitted Services output.</w:t>
      </w:r>
    </w:p>
    <w:p w:rsidR="00B958B1" w:rsidRDefault="00B958B1" w:rsidP="009F3B54">
      <w:pPr>
        <w:pStyle w:val="Heading5"/>
      </w:pPr>
      <w:r>
        <w:t>Numurkah Hospital – reinstatement of acute services</w:t>
      </w:r>
    </w:p>
    <w:p w:rsidR="00B958B1" w:rsidRDefault="00B958B1" w:rsidP="009F3B54">
      <w:r>
        <w:t>This investment will re</w:t>
      </w:r>
      <w:r w:rsidR="009F0F49">
        <w:noBreakHyphen/>
      </w:r>
      <w:r>
        <w:t>establish a range of acute health services at Numurkah Hospital which was damaged extensively in the March 2012 floods. The new purpose</w:t>
      </w:r>
      <w:r w:rsidR="009F0F49">
        <w:noBreakHyphen/>
      </w:r>
      <w:r>
        <w:t>built facility includes ten acute beds, a two</w:t>
      </w:r>
      <w:r w:rsidR="009F0F49">
        <w:noBreakHyphen/>
      </w:r>
      <w:r>
        <w:t>bed High Dependency unit, four beds for palliative or restorative care and a six</w:t>
      </w:r>
      <w:r w:rsidR="009F0F49">
        <w:noBreakHyphen/>
      </w:r>
      <w:r>
        <w:t>bed day procedure unit.</w:t>
      </w:r>
    </w:p>
    <w:p w:rsidR="00B958B1" w:rsidRDefault="00B958B1" w:rsidP="009F3B54">
      <w:r>
        <w:t>This project may be eligible for funding from the Commonwealth Government</w:t>
      </w:r>
      <w:r>
        <w:fldChar w:fldCharType="begin"/>
      </w:r>
      <w:r>
        <w:instrText xml:space="preserve"> XE "</w:instrText>
      </w:r>
      <w:r w:rsidRPr="009E53A6">
        <w:instrText>Commonwealth Government</w:instrText>
      </w:r>
      <w:r>
        <w:instrText xml:space="preserve">" </w:instrText>
      </w:r>
      <w:r>
        <w:fldChar w:fldCharType="end"/>
      </w:r>
      <w:r>
        <w:t xml:space="preserve"> under the Natural Disaster Relief and Recovery Arrangements.</w:t>
      </w:r>
    </w:p>
    <w:p w:rsidR="00B958B1" w:rsidRDefault="00B958B1" w:rsidP="009F3B54">
      <w:r>
        <w:t>This initiative contributes to the Department of Health’s Admitted Services output.</w:t>
      </w:r>
    </w:p>
    <w:p w:rsidR="00B958B1" w:rsidRDefault="00B958B1" w:rsidP="009F3B54">
      <w:pPr>
        <w:pStyle w:val="Heading5"/>
      </w:pPr>
      <w:r>
        <w:t>Radiotherapy services in South West Victoria – Stage 2</w:t>
      </w:r>
    </w:p>
    <w:p w:rsidR="00B958B1" w:rsidRDefault="00B958B1" w:rsidP="009F3B54">
      <w:r>
        <w:t xml:space="preserve">A radiotherapy service will be developed for south west Victoria in Warrnambool. This will deliver the Government’s election commitment, and enable residents to receive treatment locally instead of travelling long distances. </w:t>
      </w:r>
    </w:p>
    <w:p w:rsidR="00B958B1" w:rsidRDefault="00B958B1" w:rsidP="009F3B54">
      <w:r>
        <w:t>This initiative contributes to the Department of Health’s Non</w:t>
      </w:r>
      <w:r w:rsidR="009F0F49">
        <w:noBreakHyphen/>
      </w:r>
      <w:r>
        <w:t>Admitted Services output.</w:t>
      </w:r>
    </w:p>
    <w:p w:rsidR="00B958B1" w:rsidRPr="00736B1F" w:rsidRDefault="00B958B1" w:rsidP="009F3B54">
      <w:pPr>
        <w:pStyle w:val="Heading5"/>
      </w:pPr>
      <w:r w:rsidRPr="00736B1F">
        <w:t>Royal Victorian Eye and Ear Hospital redevelopment</w:t>
      </w:r>
    </w:p>
    <w:p w:rsidR="00B958B1" w:rsidRPr="00736B1F" w:rsidRDefault="00B958B1" w:rsidP="009F3B54">
      <w:r>
        <w:fldChar w:fldCharType="begin"/>
      </w:r>
      <w:r>
        <w:instrText xml:space="preserve"> XE "</w:instrText>
      </w:r>
      <w:r w:rsidRPr="009E53A6">
        <w:instrText>Royal Victorian Eye and Ear Hospital redevelopment</w:instrText>
      </w:r>
      <w:r>
        <w:instrText xml:space="preserve">" </w:instrText>
      </w:r>
      <w:r>
        <w:fldChar w:fldCharType="end"/>
      </w:r>
      <w:r w:rsidRPr="00736B1F">
        <w:t xml:space="preserve">This initiative delivers on the Government’s election commitment to fund the redevelopment of the Royal Victorian Eye and Ear Hospital. The redevelopment will enable the hospital to meet current and future demand for specialist adult and paediatric ophthalmology and ear, nose and throat services on its existing site in East Melbourne. It will include major reconfiguration, upgrade and expansion of facilities for clinical services and significant improvements to the onsite teaching, training and research facilities. </w:t>
      </w:r>
    </w:p>
    <w:p w:rsidR="00B958B1" w:rsidRPr="00736B1F" w:rsidRDefault="00B958B1" w:rsidP="009F3B54">
      <w:r w:rsidRPr="00736B1F">
        <w:t xml:space="preserve">The redevelopment of the hospital is expected to be completed in late 2017. </w:t>
      </w:r>
    </w:p>
    <w:p w:rsidR="00B958B1" w:rsidRPr="00736B1F" w:rsidRDefault="00B958B1" w:rsidP="009F3B54">
      <w:r w:rsidRPr="00736B1F">
        <w:t xml:space="preserve">This initiative contributes to the Department of Health’s: </w:t>
      </w:r>
    </w:p>
    <w:p w:rsidR="00B958B1" w:rsidRPr="00736B1F" w:rsidRDefault="00B958B1" w:rsidP="009F3B54">
      <w:pPr>
        <w:pStyle w:val="BulletText"/>
      </w:pPr>
      <w:r w:rsidRPr="00736B1F">
        <w:t>Admitted Services output; and</w:t>
      </w:r>
    </w:p>
    <w:p w:rsidR="00B958B1" w:rsidRPr="00736B1F" w:rsidRDefault="00B958B1" w:rsidP="009F3B54">
      <w:pPr>
        <w:pStyle w:val="BulletText"/>
      </w:pPr>
      <w:r w:rsidRPr="00736B1F">
        <w:t>Non</w:t>
      </w:r>
      <w:r w:rsidR="009F0F49">
        <w:noBreakHyphen/>
      </w:r>
      <w:r w:rsidRPr="00736B1F">
        <w:t>Admitted Services output.</w:t>
      </w:r>
    </w:p>
    <w:p w:rsidR="00B958B1" w:rsidRDefault="00B958B1" w:rsidP="009F3B54">
      <w:pPr>
        <w:pStyle w:val="Heading5"/>
      </w:pPr>
      <w:r>
        <w:br w:type="page"/>
      </w:r>
      <w:r>
        <w:lastRenderedPageBreak/>
        <w:t>Securing our Health System – medical equipment replacement</w:t>
      </w:r>
    </w:p>
    <w:p w:rsidR="00B958B1" w:rsidRDefault="00B958B1" w:rsidP="009F3B54">
      <w:r w:rsidRPr="004333FF">
        <w:t>The replacement of medical equipment in the health system will continue to be undertaken on a priority basis. This will enable health services to reduce risk to patients and staff and improve service availability. This program supports the integration of new technology by providing up to date medical equipment to metropolitan and rural health facilities including acute hospitals</w:t>
      </w:r>
      <w:r>
        <w:fldChar w:fldCharType="begin"/>
      </w:r>
      <w:r>
        <w:instrText xml:space="preserve"> XE "</w:instrText>
      </w:r>
      <w:r w:rsidRPr="009E53A6">
        <w:instrText>Hospitals</w:instrText>
      </w:r>
      <w:r>
        <w:instrText xml:space="preserve">" </w:instrText>
      </w:r>
      <w:r>
        <w:fldChar w:fldCharType="end"/>
      </w:r>
      <w:r w:rsidRPr="004333FF">
        <w:t>, dental health</w:t>
      </w:r>
      <w:r>
        <w:fldChar w:fldCharType="begin"/>
      </w:r>
      <w:r>
        <w:instrText xml:space="preserve"> XE "</w:instrText>
      </w:r>
      <w:r w:rsidRPr="009E53A6">
        <w:instrText xml:space="preserve">Dental </w:instrText>
      </w:r>
      <w:r>
        <w:instrText>H</w:instrText>
      </w:r>
      <w:r w:rsidRPr="009E53A6">
        <w:instrText>ealth</w:instrText>
      </w:r>
      <w:r>
        <w:instrText xml:space="preserve">" </w:instrText>
      </w:r>
      <w:r>
        <w:fldChar w:fldCharType="end"/>
      </w:r>
      <w:r w:rsidRPr="004333FF">
        <w:t xml:space="preserve"> services, mental health services and aged care</w:t>
      </w:r>
      <w:r>
        <w:fldChar w:fldCharType="begin"/>
      </w:r>
      <w:r>
        <w:instrText xml:space="preserve"> XE "A</w:instrText>
      </w:r>
      <w:r w:rsidRPr="009E53A6">
        <w:instrText xml:space="preserve">ged </w:instrText>
      </w:r>
      <w:r>
        <w:instrText>C</w:instrText>
      </w:r>
      <w:r w:rsidRPr="009E53A6">
        <w:instrText>are</w:instrText>
      </w:r>
      <w:r>
        <w:instrText xml:space="preserve">" </w:instrText>
      </w:r>
      <w:r>
        <w:fldChar w:fldCharType="end"/>
      </w:r>
      <w:r w:rsidRPr="004333FF">
        <w:t xml:space="preserve"> services. </w:t>
      </w:r>
    </w:p>
    <w:p w:rsidR="00B958B1" w:rsidRDefault="00B958B1" w:rsidP="009F3B54">
      <w:r>
        <w:t>This initiative contributes to the Department of Health’s Admitted Services output.</w:t>
      </w:r>
    </w:p>
    <w:p w:rsidR="00B958B1" w:rsidRDefault="00B958B1" w:rsidP="009F3B54">
      <w:pPr>
        <w:pStyle w:val="Heading5"/>
      </w:pPr>
      <w:r>
        <w:t>Securing our Health System – statewide infrastructure replacement</w:t>
      </w:r>
    </w:p>
    <w:p w:rsidR="00B958B1" w:rsidRDefault="00B958B1" w:rsidP="009F3B54">
      <w:r>
        <w:t xml:space="preserve">The quality and standard of health services assets, such as lifts, generators and fire safety equipment will be improved by addressing immediate infrastructure risks and funding critical renewal programs across Victoria. </w:t>
      </w:r>
    </w:p>
    <w:p w:rsidR="00B958B1" w:rsidRDefault="00B958B1" w:rsidP="009F3B54">
      <w:r>
        <w:t>This initiative contributes to the Department’s Admitted Services output.</w:t>
      </w:r>
    </w:p>
    <w:p w:rsidR="00B958B1" w:rsidRDefault="00B958B1" w:rsidP="009F3B54">
      <w:pPr>
        <w:pStyle w:val="Heading5"/>
      </w:pPr>
      <w:r>
        <w:t>Waurn Ponds Community Hospital</w:t>
      </w:r>
    </w:p>
    <w:p w:rsidR="00B958B1" w:rsidRDefault="00B958B1" w:rsidP="009F3B54">
      <w:r>
        <w:t>The Government will deliver its election commitment to build a new 32</w:t>
      </w:r>
      <w:r w:rsidR="009F0F49">
        <w:noBreakHyphen/>
      </w:r>
      <w:r>
        <w:t>bed community hospital in the southern suburbs of Geelong. The new facility will provide same day surgery, chemotherapy chairs, renal chairs and capacity for specialist clinics. This will increase services for the growing population of Geelong and the Surf Coast Shire.</w:t>
      </w:r>
      <w:r>
        <w:fldChar w:fldCharType="begin"/>
      </w:r>
      <w:r>
        <w:instrText xml:space="preserve"> XE "</w:instrText>
      </w:r>
      <w:r w:rsidRPr="00506038">
        <w:instrText>Health:Acute Health</w:instrText>
      </w:r>
      <w:r>
        <w:instrText xml:space="preserve">" \r "BP3Ch1DHAcuteHlthPt2" </w:instrText>
      </w:r>
      <w:r>
        <w:fldChar w:fldCharType="end"/>
      </w:r>
      <w:r>
        <w:t xml:space="preserve"> </w:t>
      </w:r>
      <w:r>
        <w:fldChar w:fldCharType="begin"/>
      </w:r>
      <w:r>
        <w:instrText xml:space="preserve"> XE "</w:instrText>
      </w:r>
      <w:r w:rsidRPr="009E53A6">
        <w:instrText>Acute Health</w:instrText>
      </w:r>
      <w:r>
        <w:instrText xml:space="preserve">" \r "BP3Ch1DHAcuteHlthPt2" </w:instrText>
      </w:r>
      <w:r>
        <w:fldChar w:fldCharType="end"/>
      </w:r>
    </w:p>
    <w:bookmarkEnd w:id="36"/>
    <w:p w:rsidR="00B958B1" w:rsidRDefault="00B958B1" w:rsidP="009F3B54">
      <w:r>
        <w:t>This initiative contributes to the Department of Health’s Admitted Services output.</w:t>
      </w:r>
    </w:p>
    <w:p w:rsidR="00B958B1" w:rsidRDefault="00B958B1" w:rsidP="009F3B54">
      <w:pPr>
        <w:pStyle w:val="Heading4"/>
      </w:pPr>
      <w:r>
        <w:t>Mental Health</w:t>
      </w:r>
    </w:p>
    <w:p w:rsidR="00B958B1" w:rsidRDefault="00B958B1" w:rsidP="009F3B54">
      <w:pPr>
        <w:pStyle w:val="Heading5"/>
      </w:pPr>
      <w:r>
        <w:t xml:space="preserve">Werribee Mercy Hospital Mental Health expansion </w:t>
      </w:r>
    </w:p>
    <w:p w:rsidR="00B958B1" w:rsidRDefault="00B958B1" w:rsidP="009F3B54">
      <w:r w:rsidRPr="00F935ED">
        <w:t>New Werribee Mercy Hospital mental health facilities will be built through the construction of a new 54</w:t>
      </w:r>
      <w:r w:rsidR="009F0F49">
        <w:noBreakHyphen/>
      </w:r>
      <w:r w:rsidRPr="00F935ED">
        <w:t>bed acute menta</w:t>
      </w:r>
      <w:r>
        <w:t xml:space="preserve">l health facility, including 25 </w:t>
      </w:r>
      <w:r w:rsidRPr="00F935ED">
        <w:t>additional beds. This investment will increase local access to mental health services and improve the efficiency of service delivery in the western suburbs of Melbourne.</w:t>
      </w:r>
    </w:p>
    <w:p w:rsidR="00B958B1" w:rsidRDefault="00B958B1" w:rsidP="009F3B54">
      <w:r>
        <w:t xml:space="preserve">This initiative contributes to the Government’s election commitment to deliver 800 new hospital beds. </w:t>
      </w:r>
    </w:p>
    <w:p w:rsidR="00B958B1" w:rsidRDefault="00B958B1" w:rsidP="009F3B54">
      <w:r>
        <w:t xml:space="preserve">This initiative contributes to the Department of Health’s Clinical Care output. </w:t>
      </w:r>
      <w:r>
        <w:fldChar w:fldCharType="begin"/>
      </w:r>
      <w:r>
        <w:instrText xml:space="preserve"> XE "</w:instrText>
      </w:r>
      <w:r w:rsidRPr="00DD087A">
        <w:instrText>Department of Health:Mental Health</w:instrText>
      </w:r>
      <w:r>
        <w:instrText xml:space="preserve">" </w:instrText>
      </w:r>
      <w:r>
        <w:fldChar w:fldCharType="end"/>
      </w:r>
      <w:r>
        <w:t xml:space="preserve"> </w:t>
      </w:r>
      <w:r>
        <w:fldChar w:fldCharType="begin"/>
      </w:r>
      <w:r>
        <w:instrText xml:space="preserve"> XE "</w:instrText>
      </w:r>
      <w:r w:rsidRPr="009E53A6">
        <w:instrText xml:space="preserve">Mental </w:instrText>
      </w:r>
      <w:r>
        <w:instrText>H</w:instrText>
      </w:r>
      <w:r w:rsidRPr="009E53A6">
        <w:instrText>ealth</w:instrText>
      </w:r>
      <w:r>
        <w:instrText xml:space="preserve">" </w:instrText>
      </w:r>
      <w:r>
        <w:fldChar w:fldCharType="end"/>
      </w:r>
    </w:p>
    <w:p w:rsidR="00B958B1" w:rsidRDefault="00B958B1" w:rsidP="009F3B54">
      <w:pPr>
        <w:pStyle w:val="Heading4"/>
      </w:pPr>
      <w:r>
        <w:t>Primary, Community and Dental Health</w:t>
      </w:r>
    </w:p>
    <w:p w:rsidR="00B958B1" w:rsidRDefault="00B958B1" w:rsidP="009F3B54">
      <w:pPr>
        <w:pStyle w:val="Heading5"/>
      </w:pPr>
      <w:r>
        <w:t>Western Region Health Centre – dental service redevelopment</w:t>
      </w:r>
    </w:p>
    <w:p w:rsidR="00B958B1" w:rsidRDefault="00B958B1" w:rsidP="009F3B54">
      <w:r>
        <w:fldChar w:fldCharType="begin"/>
      </w:r>
      <w:r>
        <w:instrText xml:space="preserve"> XE "</w:instrText>
      </w:r>
      <w:r w:rsidRPr="000651B8">
        <w:instrText>Department of Health:Primary, Community and Dental Health</w:instrText>
      </w:r>
      <w:r>
        <w:instrText xml:space="preserve">" </w:instrText>
      </w:r>
      <w:r>
        <w:fldChar w:fldCharType="end"/>
      </w:r>
      <w:r>
        <w:fldChar w:fldCharType="begin"/>
      </w:r>
      <w:r>
        <w:instrText xml:space="preserve"> XE "</w:instrText>
      </w:r>
      <w:r w:rsidRPr="009E53A6">
        <w:instrText xml:space="preserve">Primary, </w:instrText>
      </w:r>
      <w:r>
        <w:instrText>C</w:instrText>
      </w:r>
      <w:r w:rsidRPr="009E53A6">
        <w:instrText xml:space="preserve">ommunity and </w:instrText>
      </w:r>
      <w:r>
        <w:instrText>D</w:instrText>
      </w:r>
      <w:r w:rsidRPr="009E53A6">
        <w:instrText xml:space="preserve">ental </w:instrText>
      </w:r>
      <w:r>
        <w:instrText>H</w:instrText>
      </w:r>
      <w:r w:rsidRPr="009E53A6">
        <w:instrText>ealth</w:instrText>
      </w:r>
      <w:r>
        <w:instrText xml:space="preserve">" </w:instrText>
      </w:r>
      <w:r>
        <w:fldChar w:fldCharType="end"/>
      </w:r>
      <w:r>
        <w:t>Western Region Health Centre Dental Service will be redeveloped to enhance the provision of dental services for the inner west metropolitan area. The new 12</w:t>
      </w:r>
      <w:r w:rsidR="009F0F49">
        <w:noBreakHyphen/>
      </w:r>
      <w:r>
        <w:t xml:space="preserve">chair dental clinic will consolidate two existing dental service facilities and will be integrated with the community health centre. </w:t>
      </w:r>
    </w:p>
    <w:p w:rsidR="00B958B1" w:rsidRDefault="00B958B1" w:rsidP="009F3B54">
      <w:r>
        <w:lastRenderedPageBreak/>
        <w:t xml:space="preserve">This initiative contributes to the Department of Health’s Dental Services output. </w:t>
      </w:r>
      <w:bookmarkEnd w:id="35"/>
      <w:r>
        <w:fldChar w:fldCharType="begin"/>
      </w:r>
      <w:r>
        <w:instrText xml:space="preserve"> XE "</w:instrText>
      </w:r>
      <w:r w:rsidRPr="00A6359B">
        <w:instrText>Department of Health:Asset initiatives</w:instrText>
      </w:r>
      <w:r>
        <w:instrText xml:space="preserve">" \r "BP3Ch1DHAssetIniti" </w:instrText>
      </w:r>
      <w:r>
        <w:fldChar w:fldCharType="end"/>
      </w:r>
    </w:p>
    <w:p w:rsidR="00B958B1" w:rsidRDefault="00B958B1" w:rsidP="009F3B54">
      <w:pPr>
        <w:pStyle w:val="Heading1"/>
      </w:pPr>
      <w:r>
        <w:br w:type="page"/>
      </w:r>
      <w:bookmarkStart w:id="37" w:name="_Toc355248217"/>
      <w:bookmarkStart w:id="38" w:name="_Toc355362269"/>
      <w:r>
        <w:lastRenderedPageBreak/>
        <w:t>Department of Human Services</w:t>
      </w:r>
      <w:bookmarkEnd w:id="37"/>
      <w:bookmarkEnd w:id="38"/>
    </w:p>
    <w:p w:rsidR="00B958B1" w:rsidRDefault="00B958B1" w:rsidP="009F3B54">
      <w:pPr>
        <w:pStyle w:val="Heading3"/>
      </w:pPr>
      <w:bookmarkStart w:id="39" w:name="BP3Ch1DHSOutputInitves"/>
      <w:r>
        <w:t>Output initiatives</w:t>
      </w:r>
    </w:p>
    <w:p w:rsidR="00B958B1" w:rsidRDefault="00B958B1" w:rsidP="009F3B54">
      <w:pPr>
        <w:pStyle w:val="Tableheading"/>
      </w:pPr>
      <w:r w:rsidRPr="006C13A1">
        <w:t>Table 1.</w:t>
      </w:r>
      <w:r>
        <w:t>7</w:t>
      </w:r>
      <w:r w:rsidRPr="006C13A1">
        <w:t>:</w:t>
      </w:r>
      <w:r w:rsidRPr="006C13A1">
        <w:tab/>
        <w:t>Output initiatives – Human Services</w:t>
      </w:r>
    </w:p>
    <w:p w:rsidR="00B958B1" w:rsidRPr="00DE16A7" w:rsidRDefault="00B958B1" w:rsidP="009F3B54">
      <w:pPr>
        <w:pStyle w:val="million"/>
        <w:rPr>
          <w:rFonts w:ascii="Times New Roman" w:hAnsi="Times New Roman"/>
          <w:i w:val="0"/>
          <w:sz w:val="20"/>
          <w:szCs w:val="20"/>
          <w:lang w:eastAsia="en-AU"/>
        </w:rPr>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704"/>
        <w:gridCol w:w="810"/>
        <w:gridCol w:w="810"/>
        <w:gridCol w:w="810"/>
        <w:gridCol w:w="630"/>
        <w:gridCol w:w="180"/>
        <w:gridCol w:w="22"/>
        <w:gridCol w:w="68"/>
        <w:gridCol w:w="134"/>
        <w:gridCol w:w="14"/>
        <w:gridCol w:w="148"/>
        <w:gridCol w:w="41"/>
        <w:gridCol w:w="107"/>
        <w:gridCol w:w="95"/>
        <w:gridCol w:w="53"/>
        <w:gridCol w:w="150"/>
      </w:tblGrid>
      <w:tr w:rsidR="00B958B1" w:rsidRPr="00DE16A7" w:rsidTr="009F3B54">
        <w:tc>
          <w:tcPr>
            <w:tcW w:w="3704" w:type="dxa"/>
            <w:tcBorders>
              <w:top w:val="single" w:sz="4" w:space="0" w:color="auto"/>
              <w:left w:val="single" w:sz="4" w:space="0" w:color="auto"/>
              <w:bottom w:val="single" w:sz="6" w:space="0" w:color="auto"/>
              <w:right w:val="nil"/>
            </w:tcBorders>
            <w:shd w:val="clear" w:color="auto" w:fill="000000"/>
          </w:tcPr>
          <w:p w:rsidR="00B958B1" w:rsidRPr="00DE16A7" w:rsidRDefault="00B958B1" w:rsidP="009F3B54">
            <w:pPr>
              <w:pStyle w:val="Tabletext"/>
              <w:rPr>
                <w:lang w:eastAsia="en-AU"/>
              </w:rPr>
            </w:pPr>
          </w:p>
        </w:tc>
        <w:tc>
          <w:tcPr>
            <w:tcW w:w="810" w:type="dxa"/>
            <w:tcBorders>
              <w:top w:val="single" w:sz="4" w:space="0" w:color="auto"/>
              <w:left w:val="nil"/>
              <w:bottom w:val="single" w:sz="6" w:space="0" w:color="auto"/>
              <w:right w:val="nil"/>
            </w:tcBorders>
            <w:shd w:val="clear" w:color="auto" w:fill="000000"/>
          </w:tcPr>
          <w:p w:rsidR="00B958B1" w:rsidRPr="00DE16A7" w:rsidRDefault="00B958B1" w:rsidP="009F3B54">
            <w:pPr>
              <w:pStyle w:val="Tabletextheading"/>
              <w:rPr>
                <w:lang w:eastAsia="en-AU"/>
              </w:rPr>
            </w:pPr>
            <w:r w:rsidRPr="00DE16A7">
              <w:rPr>
                <w:lang w:eastAsia="en-AU"/>
              </w:rPr>
              <w:t>2012</w:t>
            </w:r>
            <w:r w:rsidR="009F0F49">
              <w:rPr>
                <w:lang w:eastAsia="en-AU"/>
              </w:rPr>
              <w:noBreakHyphen/>
            </w:r>
            <w:r w:rsidRPr="00DE16A7">
              <w:rPr>
                <w:lang w:eastAsia="en-AU"/>
              </w:rPr>
              <w:t>13</w:t>
            </w:r>
          </w:p>
        </w:tc>
        <w:tc>
          <w:tcPr>
            <w:tcW w:w="810" w:type="dxa"/>
            <w:tcBorders>
              <w:top w:val="single" w:sz="4" w:space="0" w:color="auto"/>
              <w:left w:val="nil"/>
              <w:bottom w:val="single" w:sz="6" w:space="0" w:color="auto"/>
              <w:right w:val="nil"/>
            </w:tcBorders>
            <w:shd w:val="clear" w:color="auto" w:fill="000000"/>
          </w:tcPr>
          <w:p w:rsidR="00B958B1" w:rsidRPr="00DE16A7" w:rsidRDefault="00B958B1" w:rsidP="009F3B54">
            <w:pPr>
              <w:pStyle w:val="Tabletextheading"/>
              <w:rPr>
                <w:lang w:eastAsia="en-AU"/>
              </w:rPr>
            </w:pPr>
            <w:r w:rsidRPr="00DE16A7">
              <w:rPr>
                <w:lang w:eastAsia="en-AU"/>
              </w:rPr>
              <w:t>2013</w:t>
            </w:r>
            <w:r w:rsidR="009F0F49">
              <w:rPr>
                <w:lang w:eastAsia="en-AU"/>
              </w:rPr>
              <w:noBreakHyphen/>
            </w:r>
            <w:r w:rsidRPr="00DE16A7">
              <w:rPr>
                <w:lang w:eastAsia="en-AU"/>
              </w:rPr>
              <w:t>14</w:t>
            </w:r>
          </w:p>
        </w:tc>
        <w:tc>
          <w:tcPr>
            <w:tcW w:w="810" w:type="dxa"/>
            <w:tcBorders>
              <w:top w:val="single" w:sz="4" w:space="0" w:color="auto"/>
              <w:left w:val="nil"/>
              <w:bottom w:val="single" w:sz="6" w:space="0" w:color="auto"/>
              <w:right w:val="nil"/>
            </w:tcBorders>
            <w:shd w:val="clear" w:color="auto" w:fill="000000"/>
          </w:tcPr>
          <w:p w:rsidR="00B958B1" w:rsidRPr="00DE16A7" w:rsidRDefault="00B958B1" w:rsidP="009F3B54">
            <w:pPr>
              <w:pStyle w:val="Tabletextheading"/>
              <w:rPr>
                <w:lang w:eastAsia="en-AU"/>
              </w:rPr>
            </w:pPr>
            <w:r w:rsidRPr="00DE16A7">
              <w:rPr>
                <w:lang w:eastAsia="en-AU"/>
              </w:rPr>
              <w:t>2014</w:t>
            </w:r>
            <w:r w:rsidR="009F0F49">
              <w:rPr>
                <w:lang w:eastAsia="en-AU"/>
              </w:rPr>
              <w:noBreakHyphen/>
            </w:r>
            <w:r w:rsidRPr="00DE16A7">
              <w:rPr>
                <w:lang w:eastAsia="en-AU"/>
              </w:rPr>
              <w:t>15</w:t>
            </w:r>
          </w:p>
        </w:tc>
        <w:tc>
          <w:tcPr>
            <w:tcW w:w="810" w:type="dxa"/>
            <w:gridSpan w:val="2"/>
            <w:tcBorders>
              <w:top w:val="single" w:sz="4" w:space="0" w:color="auto"/>
              <w:left w:val="nil"/>
              <w:bottom w:val="single" w:sz="6" w:space="0" w:color="auto"/>
              <w:right w:val="nil"/>
            </w:tcBorders>
            <w:shd w:val="clear" w:color="auto" w:fill="000000"/>
          </w:tcPr>
          <w:p w:rsidR="00B958B1" w:rsidRPr="00DE16A7" w:rsidRDefault="00B958B1" w:rsidP="009F3B54">
            <w:pPr>
              <w:pStyle w:val="Tabletextheading"/>
              <w:rPr>
                <w:lang w:eastAsia="en-AU"/>
              </w:rPr>
            </w:pPr>
            <w:r w:rsidRPr="00DE16A7">
              <w:rPr>
                <w:lang w:eastAsia="en-AU"/>
              </w:rPr>
              <w:t>2015</w:t>
            </w:r>
            <w:r w:rsidR="009F0F49">
              <w:rPr>
                <w:lang w:eastAsia="en-AU"/>
              </w:rPr>
              <w:noBreakHyphen/>
            </w:r>
            <w:r w:rsidRPr="00DE16A7">
              <w:rPr>
                <w:lang w:eastAsia="en-AU"/>
              </w:rPr>
              <w:t>16</w:t>
            </w:r>
          </w:p>
        </w:tc>
        <w:tc>
          <w:tcPr>
            <w:tcW w:w="832" w:type="dxa"/>
            <w:gridSpan w:val="10"/>
            <w:tcBorders>
              <w:top w:val="single" w:sz="4" w:space="0" w:color="auto"/>
              <w:left w:val="nil"/>
              <w:bottom w:val="single" w:sz="6" w:space="0" w:color="auto"/>
              <w:right w:val="single" w:sz="4" w:space="0" w:color="auto"/>
            </w:tcBorders>
            <w:shd w:val="clear" w:color="auto" w:fill="000000"/>
          </w:tcPr>
          <w:p w:rsidR="00B958B1" w:rsidRPr="00DE16A7" w:rsidRDefault="00B958B1" w:rsidP="009F3B54">
            <w:pPr>
              <w:pStyle w:val="Tabletextheading"/>
              <w:rPr>
                <w:lang w:eastAsia="en-AU"/>
              </w:rPr>
            </w:pPr>
            <w:r w:rsidRPr="00DE16A7">
              <w:rPr>
                <w:lang w:eastAsia="en-AU"/>
              </w:rPr>
              <w:t>2016</w:t>
            </w:r>
            <w:r w:rsidR="009F0F49">
              <w:rPr>
                <w:lang w:eastAsia="en-AU"/>
              </w:rPr>
              <w:noBreakHyphen/>
            </w:r>
            <w:r w:rsidRPr="00DE16A7">
              <w:rPr>
                <w:lang w:eastAsia="en-AU"/>
              </w:rPr>
              <w:t>17</w:t>
            </w:r>
          </w:p>
        </w:tc>
      </w:tr>
      <w:tr w:rsidR="00B958B1" w:rsidRPr="00DE16A7" w:rsidTr="009F3B54">
        <w:tc>
          <w:tcPr>
            <w:tcW w:w="3704" w:type="dxa"/>
            <w:tcBorders>
              <w:top w:val="single" w:sz="4" w:space="0" w:color="auto"/>
              <w:left w:val="nil"/>
              <w:bottom w:val="nil"/>
              <w:right w:val="nil"/>
            </w:tcBorders>
          </w:tcPr>
          <w:p w:rsidR="00B958B1" w:rsidRPr="00DE16A7" w:rsidRDefault="00B958B1" w:rsidP="009F3B54">
            <w:pPr>
              <w:pStyle w:val="Tabletext"/>
              <w:rPr>
                <w:b/>
                <w:bCs/>
                <w:lang w:eastAsia="en-AU"/>
              </w:rPr>
            </w:pPr>
            <w:r w:rsidRPr="00DE16A7">
              <w:rPr>
                <w:b/>
                <w:bCs/>
                <w:lang w:eastAsia="en-AU"/>
              </w:rPr>
              <w:t>All</w:t>
            </w:r>
          </w:p>
        </w:tc>
        <w:tc>
          <w:tcPr>
            <w:tcW w:w="810" w:type="dxa"/>
            <w:tcBorders>
              <w:top w:val="single" w:sz="4" w:space="0" w:color="auto"/>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 xml:space="preserve"> </w:t>
            </w:r>
          </w:p>
        </w:tc>
        <w:tc>
          <w:tcPr>
            <w:tcW w:w="810" w:type="dxa"/>
            <w:tcBorders>
              <w:top w:val="single" w:sz="4" w:space="0" w:color="auto"/>
              <w:left w:val="nil"/>
              <w:bottom w:val="nil"/>
              <w:right w:val="nil"/>
            </w:tcBorders>
          </w:tcPr>
          <w:p w:rsidR="00B958B1" w:rsidRPr="00DE16A7" w:rsidRDefault="00B958B1" w:rsidP="009F3B54">
            <w:pPr>
              <w:pStyle w:val="TableofFigures"/>
              <w:rPr>
                <w:lang w:eastAsia="en-AU"/>
              </w:rPr>
            </w:pPr>
            <w:r w:rsidRPr="00DE16A7">
              <w:rPr>
                <w:lang w:eastAsia="en-AU"/>
              </w:rPr>
              <w:t xml:space="preserve"> </w:t>
            </w:r>
          </w:p>
        </w:tc>
        <w:tc>
          <w:tcPr>
            <w:tcW w:w="810" w:type="dxa"/>
            <w:tcBorders>
              <w:top w:val="single" w:sz="4" w:space="0" w:color="auto"/>
              <w:left w:val="nil"/>
              <w:bottom w:val="nil"/>
              <w:right w:val="nil"/>
            </w:tcBorders>
          </w:tcPr>
          <w:p w:rsidR="00B958B1" w:rsidRPr="00DE16A7" w:rsidRDefault="00B958B1" w:rsidP="009F3B54">
            <w:pPr>
              <w:pStyle w:val="TableofFigures"/>
              <w:rPr>
                <w:lang w:eastAsia="en-AU"/>
              </w:rPr>
            </w:pPr>
            <w:r w:rsidRPr="00DE16A7">
              <w:rPr>
                <w:lang w:eastAsia="en-AU"/>
              </w:rPr>
              <w:t xml:space="preserve"> </w:t>
            </w:r>
          </w:p>
        </w:tc>
        <w:tc>
          <w:tcPr>
            <w:tcW w:w="810" w:type="dxa"/>
            <w:gridSpan w:val="2"/>
            <w:tcBorders>
              <w:top w:val="single" w:sz="4" w:space="0" w:color="auto"/>
              <w:left w:val="nil"/>
              <w:bottom w:val="nil"/>
              <w:right w:val="nil"/>
            </w:tcBorders>
          </w:tcPr>
          <w:p w:rsidR="00B958B1" w:rsidRPr="00DE16A7" w:rsidRDefault="00B958B1" w:rsidP="009F3B54">
            <w:pPr>
              <w:pStyle w:val="TableofFigures"/>
              <w:rPr>
                <w:lang w:eastAsia="en-AU"/>
              </w:rPr>
            </w:pPr>
            <w:r w:rsidRPr="00DE16A7">
              <w:rPr>
                <w:lang w:eastAsia="en-AU"/>
              </w:rPr>
              <w:t xml:space="preserve"> </w:t>
            </w:r>
          </w:p>
        </w:tc>
        <w:tc>
          <w:tcPr>
            <w:tcW w:w="832" w:type="dxa"/>
            <w:gridSpan w:val="10"/>
            <w:tcBorders>
              <w:top w:val="single" w:sz="4" w:space="0" w:color="auto"/>
              <w:left w:val="nil"/>
              <w:bottom w:val="nil"/>
              <w:right w:val="nil"/>
            </w:tcBorders>
          </w:tcPr>
          <w:p w:rsidR="00B958B1" w:rsidRPr="00DE16A7" w:rsidRDefault="00B958B1" w:rsidP="009F3B54">
            <w:pPr>
              <w:pStyle w:val="TableofFigures"/>
              <w:rPr>
                <w:lang w:eastAsia="en-AU"/>
              </w:rPr>
            </w:pPr>
            <w:r w:rsidRPr="00DE16A7">
              <w:rPr>
                <w:lang w:eastAsia="en-AU"/>
              </w:rPr>
              <w:t xml:space="preserve"> </w:t>
            </w:r>
          </w:p>
        </w:tc>
      </w:tr>
      <w:tr w:rsidR="00B958B1" w:rsidRPr="00DE16A7" w:rsidTr="009F3B54">
        <w:tc>
          <w:tcPr>
            <w:tcW w:w="3704" w:type="dxa"/>
            <w:tcBorders>
              <w:top w:val="nil"/>
              <w:left w:val="nil"/>
              <w:bottom w:val="nil"/>
              <w:right w:val="nil"/>
            </w:tcBorders>
          </w:tcPr>
          <w:p w:rsidR="00B958B1" w:rsidRPr="00DE16A7" w:rsidRDefault="00B958B1" w:rsidP="009F3B54">
            <w:pPr>
              <w:pStyle w:val="Tabletext"/>
              <w:rPr>
                <w:lang w:eastAsia="en-AU"/>
              </w:rPr>
            </w:pPr>
            <w:r w:rsidRPr="00DE16A7">
              <w:rPr>
                <w:lang w:eastAsia="en-AU"/>
              </w:rPr>
              <w:t>Services Connect</w:t>
            </w:r>
          </w:p>
        </w:tc>
        <w:tc>
          <w:tcPr>
            <w:tcW w:w="810" w:type="dxa"/>
            <w:tcBorders>
              <w:top w:val="nil"/>
              <w:left w:val="nil"/>
              <w:bottom w:val="nil"/>
              <w:right w:val="nil"/>
            </w:tcBorders>
          </w:tcPr>
          <w:p w:rsidR="00B958B1" w:rsidRPr="00DE16A7" w:rsidRDefault="00B958B1" w:rsidP="009F3B54">
            <w:pPr>
              <w:pStyle w:val="TableofFigures"/>
              <w:rPr>
                <w:lang w:eastAsia="en-AU"/>
              </w:rPr>
            </w:pPr>
            <w:r w:rsidRPr="00DE16A7">
              <w:rPr>
                <w:lang w:eastAsia="en-AU"/>
              </w:rPr>
              <w:t>..</w:t>
            </w:r>
          </w:p>
        </w:tc>
        <w:tc>
          <w:tcPr>
            <w:tcW w:w="810" w:type="dxa"/>
            <w:tcBorders>
              <w:top w:val="nil"/>
              <w:left w:val="nil"/>
              <w:bottom w:val="nil"/>
              <w:right w:val="nil"/>
            </w:tcBorders>
          </w:tcPr>
          <w:p w:rsidR="00B958B1" w:rsidRPr="00DE16A7" w:rsidRDefault="00B958B1" w:rsidP="009F3B54">
            <w:pPr>
              <w:pStyle w:val="TableofFigures"/>
              <w:rPr>
                <w:lang w:eastAsia="en-AU"/>
              </w:rPr>
            </w:pPr>
            <w:r w:rsidRPr="00DE16A7">
              <w:rPr>
                <w:lang w:eastAsia="en-AU"/>
              </w:rPr>
              <w:t>6.0</w:t>
            </w:r>
          </w:p>
        </w:tc>
        <w:tc>
          <w:tcPr>
            <w:tcW w:w="810" w:type="dxa"/>
            <w:tcBorders>
              <w:top w:val="nil"/>
              <w:left w:val="nil"/>
              <w:bottom w:val="nil"/>
              <w:right w:val="nil"/>
            </w:tcBorders>
          </w:tcPr>
          <w:p w:rsidR="00B958B1" w:rsidRPr="00DE16A7" w:rsidRDefault="00B958B1" w:rsidP="009F3B54">
            <w:pPr>
              <w:pStyle w:val="TableofFigures"/>
              <w:rPr>
                <w:lang w:eastAsia="en-AU"/>
              </w:rPr>
            </w:pPr>
            <w:r w:rsidRPr="00DE16A7">
              <w:rPr>
                <w:lang w:eastAsia="en-AU"/>
              </w:rPr>
              <w:t>3.0</w:t>
            </w:r>
          </w:p>
        </w:tc>
        <w:tc>
          <w:tcPr>
            <w:tcW w:w="810" w:type="dxa"/>
            <w:gridSpan w:val="2"/>
            <w:tcBorders>
              <w:top w:val="nil"/>
              <w:left w:val="nil"/>
              <w:bottom w:val="nil"/>
              <w:right w:val="nil"/>
            </w:tcBorders>
          </w:tcPr>
          <w:p w:rsidR="00B958B1" w:rsidRPr="00DE16A7" w:rsidRDefault="00B958B1" w:rsidP="009F3B54">
            <w:pPr>
              <w:pStyle w:val="TableofFigures"/>
              <w:rPr>
                <w:lang w:eastAsia="en-AU"/>
              </w:rPr>
            </w:pPr>
            <w:r w:rsidRPr="00DE16A7">
              <w:rPr>
                <w:lang w:eastAsia="en-AU"/>
              </w:rPr>
              <w:t>..</w:t>
            </w:r>
          </w:p>
        </w:tc>
        <w:tc>
          <w:tcPr>
            <w:tcW w:w="832" w:type="dxa"/>
            <w:gridSpan w:val="10"/>
            <w:tcBorders>
              <w:top w:val="nil"/>
              <w:left w:val="nil"/>
              <w:bottom w:val="nil"/>
              <w:right w:val="nil"/>
            </w:tcBorders>
          </w:tcPr>
          <w:p w:rsidR="00B958B1" w:rsidRPr="00DE16A7" w:rsidRDefault="00B958B1" w:rsidP="009F3B54">
            <w:pPr>
              <w:pStyle w:val="TableofFigures"/>
              <w:rPr>
                <w:lang w:eastAsia="en-AU"/>
              </w:rPr>
            </w:pPr>
            <w:r w:rsidRPr="00DE16A7">
              <w:rPr>
                <w:lang w:eastAsia="en-AU"/>
              </w:rPr>
              <w:t>..</w:t>
            </w:r>
          </w:p>
        </w:tc>
      </w:tr>
      <w:tr w:rsidR="00B958B1" w:rsidRPr="00DE16A7" w:rsidTr="009F3B54">
        <w:tc>
          <w:tcPr>
            <w:tcW w:w="3704" w:type="dxa"/>
            <w:tcBorders>
              <w:top w:val="nil"/>
              <w:left w:val="nil"/>
              <w:bottom w:val="nil"/>
              <w:right w:val="nil"/>
            </w:tcBorders>
          </w:tcPr>
          <w:p w:rsidR="00B958B1" w:rsidRPr="00DE16A7" w:rsidRDefault="00B958B1" w:rsidP="009F3B54">
            <w:pPr>
              <w:pStyle w:val="Tabletext"/>
              <w:rPr>
                <w:b/>
                <w:bCs/>
                <w:lang w:eastAsia="en-AU"/>
              </w:rPr>
            </w:pPr>
            <w:r w:rsidRPr="00DE16A7">
              <w:rPr>
                <w:b/>
                <w:bCs/>
                <w:lang w:eastAsia="en-AU"/>
              </w:rPr>
              <w:t>Child Protection and Family Services</w:t>
            </w:r>
          </w:p>
        </w:tc>
        <w:tc>
          <w:tcPr>
            <w:tcW w:w="810" w:type="dxa"/>
            <w:tcBorders>
              <w:top w:val="nil"/>
              <w:left w:val="nil"/>
              <w:bottom w:val="nil"/>
              <w:right w:val="nil"/>
            </w:tcBorders>
          </w:tcPr>
          <w:p w:rsidR="00B958B1" w:rsidRPr="00DE16A7" w:rsidRDefault="00B958B1" w:rsidP="009F3B54">
            <w:pPr>
              <w:pStyle w:val="TableofFigures"/>
              <w:rPr>
                <w:lang w:eastAsia="en-AU"/>
              </w:rPr>
            </w:pPr>
            <w:r w:rsidRPr="00DE16A7">
              <w:rPr>
                <w:lang w:eastAsia="en-AU"/>
              </w:rPr>
              <w:t xml:space="preserve"> </w:t>
            </w:r>
          </w:p>
        </w:tc>
        <w:tc>
          <w:tcPr>
            <w:tcW w:w="810" w:type="dxa"/>
            <w:tcBorders>
              <w:top w:val="nil"/>
              <w:left w:val="nil"/>
              <w:bottom w:val="nil"/>
              <w:right w:val="nil"/>
            </w:tcBorders>
          </w:tcPr>
          <w:p w:rsidR="00B958B1" w:rsidRPr="00DE16A7" w:rsidRDefault="00B958B1" w:rsidP="009F3B54">
            <w:pPr>
              <w:pStyle w:val="TableofFigures"/>
              <w:rPr>
                <w:lang w:eastAsia="en-AU"/>
              </w:rPr>
            </w:pPr>
            <w:r w:rsidRPr="00DE16A7">
              <w:rPr>
                <w:lang w:eastAsia="en-AU"/>
              </w:rPr>
              <w:t xml:space="preserve"> </w:t>
            </w:r>
          </w:p>
        </w:tc>
        <w:tc>
          <w:tcPr>
            <w:tcW w:w="810" w:type="dxa"/>
            <w:tcBorders>
              <w:top w:val="nil"/>
              <w:left w:val="nil"/>
              <w:bottom w:val="nil"/>
              <w:right w:val="nil"/>
            </w:tcBorders>
          </w:tcPr>
          <w:p w:rsidR="00B958B1" w:rsidRPr="00DE16A7" w:rsidRDefault="00B958B1" w:rsidP="009F3B54">
            <w:pPr>
              <w:pStyle w:val="TableofFigures"/>
              <w:rPr>
                <w:lang w:eastAsia="en-AU"/>
              </w:rPr>
            </w:pPr>
            <w:r w:rsidRPr="00DE16A7">
              <w:rPr>
                <w:lang w:eastAsia="en-AU"/>
              </w:rPr>
              <w:t xml:space="preserve"> </w:t>
            </w:r>
          </w:p>
        </w:tc>
        <w:tc>
          <w:tcPr>
            <w:tcW w:w="810" w:type="dxa"/>
            <w:gridSpan w:val="2"/>
            <w:tcBorders>
              <w:top w:val="nil"/>
              <w:left w:val="nil"/>
              <w:bottom w:val="nil"/>
              <w:right w:val="nil"/>
            </w:tcBorders>
          </w:tcPr>
          <w:p w:rsidR="00B958B1" w:rsidRPr="00DE16A7" w:rsidRDefault="00B958B1" w:rsidP="009F3B54">
            <w:pPr>
              <w:pStyle w:val="TableofFigures"/>
              <w:rPr>
                <w:lang w:eastAsia="en-AU"/>
              </w:rPr>
            </w:pPr>
            <w:r w:rsidRPr="00DE16A7">
              <w:rPr>
                <w:lang w:eastAsia="en-AU"/>
              </w:rPr>
              <w:t xml:space="preserve"> </w:t>
            </w:r>
          </w:p>
        </w:tc>
        <w:tc>
          <w:tcPr>
            <w:tcW w:w="832" w:type="dxa"/>
            <w:gridSpan w:val="10"/>
            <w:tcBorders>
              <w:top w:val="nil"/>
              <w:left w:val="nil"/>
              <w:bottom w:val="nil"/>
              <w:right w:val="nil"/>
            </w:tcBorders>
          </w:tcPr>
          <w:p w:rsidR="00B958B1" w:rsidRPr="00DE16A7" w:rsidRDefault="00B958B1" w:rsidP="009F3B54">
            <w:pPr>
              <w:pStyle w:val="TableofFigures"/>
              <w:rPr>
                <w:lang w:eastAsia="en-AU"/>
              </w:rPr>
            </w:pPr>
            <w:r w:rsidRPr="00DE16A7">
              <w:rPr>
                <w:lang w:eastAsia="en-AU"/>
              </w:rPr>
              <w:t xml:space="preserve"> </w:t>
            </w:r>
          </w:p>
        </w:tc>
      </w:tr>
      <w:tr w:rsidR="00B958B1" w:rsidRPr="00DE16A7" w:rsidTr="009F3B54">
        <w:tc>
          <w:tcPr>
            <w:tcW w:w="3704" w:type="dxa"/>
            <w:tcBorders>
              <w:top w:val="nil"/>
              <w:left w:val="nil"/>
              <w:bottom w:val="nil"/>
              <w:right w:val="nil"/>
            </w:tcBorders>
          </w:tcPr>
          <w:p w:rsidR="00B958B1" w:rsidRPr="00DE16A7" w:rsidRDefault="00B958B1" w:rsidP="009F3B54">
            <w:pPr>
              <w:pStyle w:val="Tabletext"/>
              <w:rPr>
                <w:lang w:eastAsia="en-AU"/>
              </w:rPr>
            </w:pPr>
            <w:r w:rsidRPr="00DE16A7">
              <w:rPr>
                <w:lang w:eastAsia="en-AU"/>
              </w:rPr>
              <w:t>Central After Hours Services</w:t>
            </w:r>
          </w:p>
        </w:tc>
        <w:tc>
          <w:tcPr>
            <w:tcW w:w="810" w:type="dxa"/>
            <w:tcBorders>
              <w:top w:val="nil"/>
              <w:left w:val="nil"/>
              <w:bottom w:val="nil"/>
              <w:right w:val="nil"/>
            </w:tcBorders>
          </w:tcPr>
          <w:p w:rsidR="00B958B1" w:rsidRPr="00DE16A7" w:rsidRDefault="00B958B1" w:rsidP="009F3B54">
            <w:pPr>
              <w:pStyle w:val="TableofFigures"/>
              <w:rPr>
                <w:lang w:eastAsia="en-AU"/>
              </w:rPr>
            </w:pPr>
            <w:r w:rsidRPr="00DE16A7">
              <w:rPr>
                <w:lang w:eastAsia="en-AU"/>
              </w:rPr>
              <w:t>..</w:t>
            </w:r>
          </w:p>
        </w:tc>
        <w:tc>
          <w:tcPr>
            <w:tcW w:w="810" w:type="dxa"/>
            <w:tcBorders>
              <w:top w:val="nil"/>
              <w:left w:val="nil"/>
              <w:bottom w:val="nil"/>
              <w:right w:val="nil"/>
            </w:tcBorders>
          </w:tcPr>
          <w:p w:rsidR="00B958B1" w:rsidRPr="00DE16A7" w:rsidRDefault="00B958B1" w:rsidP="009F3B54">
            <w:pPr>
              <w:pStyle w:val="TableofFigures"/>
              <w:rPr>
                <w:lang w:eastAsia="en-AU"/>
              </w:rPr>
            </w:pPr>
            <w:r w:rsidRPr="00DE16A7">
              <w:rPr>
                <w:lang w:eastAsia="en-AU"/>
              </w:rPr>
              <w:t>4.2</w:t>
            </w:r>
          </w:p>
        </w:tc>
        <w:tc>
          <w:tcPr>
            <w:tcW w:w="810" w:type="dxa"/>
            <w:tcBorders>
              <w:top w:val="nil"/>
              <w:left w:val="nil"/>
              <w:bottom w:val="nil"/>
              <w:right w:val="nil"/>
            </w:tcBorders>
          </w:tcPr>
          <w:p w:rsidR="00B958B1" w:rsidRPr="00DE16A7" w:rsidRDefault="00B958B1" w:rsidP="009F3B54">
            <w:pPr>
              <w:pStyle w:val="TableofFigures"/>
              <w:rPr>
                <w:lang w:eastAsia="en-AU"/>
              </w:rPr>
            </w:pPr>
            <w:r w:rsidRPr="00DE16A7">
              <w:rPr>
                <w:lang w:eastAsia="en-AU"/>
              </w:rPr>
              <w:t>4.3</w:t>
            </w:r>
          </w:p>
        </w:tc>
        <w:tc>
          <w:tcPr>
            <w:tcW w:w="810" w:type="dxa"/>
            <w:gridSpan w:val="2"/>
            <w:tcBorders>
              <w:top w:val="nil"/>
              <w:left w:val="nil"/>
              <w:bottom w:val="nil"/>
              <w:right w:val="nil"/>
            </w:tcBorders>
          </w:tcPr>
          <w:p w:rsidR="00B958B1" w:rsidRPr="00DE16A7" w:rsidRDefault="00B958B1" w:rsidP="009F3B54">
            <w:pPr>
              <w:pStyle w:val="TableofFigures"/>
              <w:rPr>
                <w:lang w:eastAsia="en-AU"/>
              </w:rPr>
            </w:pPr>
            <w:r w:rsidRPr="00DE16A7">
              <w:rPr>
                <w:lang w:eastAsia="en-AU"/>
              </w:rPr>
              <w:t>4.4</w:t>
            </w:r>
          </w:p>
        </w:tc>
        <w:tc>
          <w:tcPr>
            <w:tcW w:w="832" w:type="dxa"/>
            <w:gridSpan w:val="10"/>
            <w:tcBorders>
              <w:top w:val="nil"/>
              <w:left w:val="nil"/>
              <w:bottom w:val="nil"/>
              <w:right w:val="nil"/>
            </w:tcBorders>
          </w:tcPr>
          <w:p w:rsidR="00B958B1" w:rsidRPr="00DE16A7" w:rsidRDefault="00B958B1" w:rsidP="009F3B54">
            <w:pPr>
              <w:pStyle w:val="TableofFigures"/>
              <w:rPr>
                <w:lang w:eastAsia="en-AU"/>
              </w:rPr>
            </w:pPr>
            <w:r w:rsidRPr="00DE16A7">
              <w:rPr>
                <w:lang w:eastAsia="en-AU"/>
              </w:rPr>
              <w:t>4.6</w:t>
            </w:r>
          </w:p>
        </w:tc>
      </w:tr>
      <w:tr w:rsidR="00B958B1" w:rsidRPr="00DE16A7" w:rsidTr="009F3B54">
        <w:tc>
          <w:tcPr>
            <w:tcW w:w="3704" w:type="dxa"/>
            <w:tcBorders>
              <w:top w:val="nil"/>
              <w:left w:val="nil"/>
              <w:bottom w:val="nil"/>
              <w:right w:val="nil"/>
            </w:tcBorders>
            <w:shd w:val="solid" w:color="FFFFFF" w:fill="auto"/>
          </w:tcPr>
          <w:p w:rsidR="00B958B1" w:rsidRPr="00DE16A7" w:rsidRDefault="00B958B1" w:rsidP="009F3B54">
            <w:pPr>
              <w:pStyle w:val="Tabletext"/>
              <w:rPr>
                <w:lang w:eastAsia="en-AU"/>
              </w:rPr>
            </w:pPr>
            <w:r w:rsidRPr="00DE16A7">
              <w:rPr>
                <w:lang w:eastAsia="en-AU"/>
              </w:rPr>
              <w:t>Demand and reform for out</w:t>
            </w:r>
            <w:r w:rsidR="009F0F49">
              <w:rPr>
                <w:lang w:eastAsia="en-AU"/>
              </w:rPr>
              <w:noBreakHyphen/>
            </w:r>
            <w:r w:rsidRPr="00DE16A7">
              <w:rPr>
                <w:lang w:eastAsia="en-AU"/>
              </w:rPr>
              <w:t>of</w:t>
            </w:r>
            <w:r w:rsidR="009F0F49">
              <w:rPr>
                <w:lang w:eastAsia="en-AU"/>
              </w:rPr>
              <w:noBreakHyphen/>
            </w:r>
            <w:r w:rsidRPr="00DE16A7">
              <w:rPr>
                <w:lang w:eastAsia="en-AU"/>
              </w:rPr>
              <w:t>home care services</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20.7</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20.2</w:t>
            </w:r>
          </w:p>
        </w:tc>
        <w:tc>
          <w:tcPr>
            <w:tcW w:w="810" w:type="dxa"/>
            <w:gridSpan w:val="2"/>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24.4</w:t>
            </w:r>
          </w:p>
        </w:tc>
        <w:tc>
          <w:tcPr>
            <w:tcW w:w="832" w:type="dxa"/>
            <w:gridSpan w:val="10"/>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26.0</w:t>
            </w:r>
          </w:p>
        </w:tc>
      </w:tr>
      <w:tr w:rsidR="00B958B1" w:rsidRPr="00DE16A7" w:rsidTr="009F3B54">
        <w:tc>
          <w:tcPr>
            <w:tcW w:w="3704" w:type="dxa"/>
            <w:tcBorders>
              <w:top w:val="nil"/>
              <w:left w:val="nil"/>
              <w:bottom w:val="nil"/>
              <w:right w:val="nil"/>
            </w:tcBorders>
            <w:shd w:val="solid" w:color="FFFFFF" w:fill="auto"/>
          </w:tcPr>
          <w:p w:rsidR="00B958B1" w:rsidRPr="00DE16A7" w:rsidRDefault="00B958B1" w:rsidP="009F3B54">
            <w:pPr>
              <w:pStyle w:val="Tabletext"/>
              <w:rPr>
                <w:lang w:eastAsia="en-AU"/>
              </w:rPr>
            </w:pPr>
            <w:r w:rsidRPr="00DE16A7">
              <w:rPr>
                <w:lang w:eastAsia="en-AU"/>
              </w:rPr>
              <w:t>Protecting women and children from violence and abuse</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0.7</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1.0</w:t>
            </w:r>
          </w:p>
        </w:tc>
        <w:tc>
          <w:tcPr>
            <w:tcW w:w="810" w:type="dxa"/>
            <w:gridSpan w:val="2"/>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1.0</w:t>
            </w:r>
          </w:p>
        </w:tc>
        <w:tc>
          <w:tcPr>
            <w:tcW w:w="832" w:type="dxa"/>
            <w:gridSpan w:val="10"/>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1.1</w:t>
            </w:r>
          </w:p>
        </w:tc>
      </w:tr>
      <w:tr w:rsidR="00B958B1" w:rsidRPr="00DE16A7" w:rsidTr="009F3B54">
        <w:tc>
          <w:tcPr>
            <w:tcW w:w="7034" w:type="dxa"/>
            <w:gridSpan w:val="8"/>
            <w:tcBorders>
              <w:top w:val="nil"/>
              <w:left w:val="nil"/>
              <w:bottom w:val="nil"/>
              <w:right w:val="nil"/>
            </w:tcBorders>
            <w:shd w:val="solid" w:color="FFFFFF" w:fill="auto"/>
          </w:tcPr>
          <w:p w:rsidR="00B958B1" w:rsidRPr="00DE16A7" w:rsidRDefault="00B958B1" w:rsidP="009F3B54">
            <w:pPr>
              <w:pStyle w:val="Tabletext"/>
              <w:rPr>
                <w:b/>
                <w:bCs/>
                <w:lang w:eastAsia="en-AU"/>
              </w:rPr>
            </w:pPr>
            <w:r w:rsidRPr="00DE16A7">
              <w:rPr>
                <w:b/>
                <w:bCs/>
                <w:lang w:eastAsia="en-AU"/>
              </w:rPr>
              <w:t>Concessions to pensioners and beneficiaries</w:t>
            </w:r>
          </w:p>
        </w:tc>
        <w:tc>
          <w:tcPr>
            <w:tcW w:w="148" w:type="dxa"/>
            <w:gridSpan w:val="2"/>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 xml:space="preserve"> </w:t>
            </w:r>
          </w:p>
        </w:tc>
        <w:tc>
          <w:tcPr>
            <w:tcW w:w="148"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 xml:space="preserve"> </w:t>
            </w:r>
          </w:p>
        </w:tc>
        <w:tc>
          <w:tcPr>
            <w:tcW w:w="148" w:type="dxa"/>
            <w:gridSpan w:val="2"/>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 xml:space="preserve"> </w:t>
            </w:r>
          </w:p>
        </w:tc>
        <w:tc>
          <w:tcPr>
            <w:tcW w:w="148" w:type="dxa"/>
            <w:gridSpan w:val="2"/>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 xml:space="preserve"> </w:t>
            </w:r>
          </w:p>
        </w:tc>
        <w:tc>
          <w:tcPr>
            <w:tcW w:w="15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 xml:space="preserve"> </w:t>
            </w:r>
          </w:p>
        </w:tc>
      </w:tr>
      <w:tr w:rsidR="00B958B1" w:rsidRPr="00DE16A7" w:rsidTr="009F3B54">
        <w:tc>
          <w:tcPr>
            <w:tcW w:w="3704" w:type="dxa"/>
            <w:tcBorders>
              <w:top w:val="nil"/>
              <w:left w:val="nil"/>
              <w:bottom w:val="nil"/>
              <w:right w:val="nil"/>
            </w:tcBorders>
            <w:shd w:val="solid" w:color="FFFFFF" w:fill="auto"/>
          </w:tcPr>
          <w:p w:rsidR="00B958B1" w:rsidRPr="00DE16A7" w:rsidRDefault="00B958B1" w:rsidP="009F3B54">
            <w:pPr>
              <w:pStyle w:val="Tabletext"/>
              <w:rPr>
                <w:lang w:eastAsia="en-AU"/>
              </w:rPr>
            </w:pPr>
            <w:r w:rsidRPr="00DE16A7">
              <w:rPr>
                <w:lang w:eastAsia="en-AU"/>
              </w:rPr>
              <w:t>Concessions to pensioners and beneficiaries</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12.9</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13.5</w:t>
            </w:r>
          </w:p>
        </w:tc>
        <w:tc>
          <w:tcPr>
            <w:tcW w:w="810" w:type="dxa"/>
            <w:gridSpan w:val="2"/>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14.1</w:t>
            </w:r>
          </w:p>
        </w:tc>
        <w:tc>
          <w:tcPr>
            <w:tcW w:w="832" w:type="dxa"/>
            <w:gridSpan w:val="10"/>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14.7</w:t>
            </w:r>
          </w:p>
        </w:tc>
      </w:tr>
      <w:tr w:rsidR="00B958B1" w:rsidRPr="00DE16A7" w:rsidTr="009F3B54">
        <w:tc>
          <w:tcPr>
            <w:tcW w:w="3704" w:type="dxa"/>
            <w:tcBorders>
              <w:top w:val="nil"/>
              <w:left w:val="nil"/>
              <w:bottom w:val="nil"/>
              <w:right w:val="nil"/>
            </w:tcBorders>
            <w:shd w:val="solid" w:color="FFFFFF" w:fill="auto"/>
          </w:tcPr>
          <w:p w:rsidR="00B958B1" w:rsidRPr="00DE16A7" w:rsidRDefault="00B958B1" w:rsidP="009F3B54">
            <w:pPr>
              <w:pStyle w:val="Tabletext"/>
              <w:rPr>
                <w:b/>
                <w:bCs/>
                <w:lang w:eastAsia="en-AU"/>
              </w:rPr>
            </w:pPr>
            <w:r w:rsidRPr="00DE16A7">
              <w:rPr>
                <w:b/>
                <w:bCs/>
                <w:lang w:eastAsia="en-AU"/>
              </w:rPr>
              <w:t>Disability Services</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 xml:space="preserve"> </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 xml:space="preserve"> </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 xml:space="preserve"> </w:t>
            </w:r>
          </w:p>
        </w:tc>
        <w:tc>
          <w:tcPr>
            <w:tcW w:w="810" w:type="dxa"/>
            <w:gridSpan w:val="2"/>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 xml:space="preserve"> </w:t>
            </w:r>
          </w:p>
        </w:tc>
        <w:tc>
          <w:tcPr>
            <w:tcW w:w="832" w:type="dxa"/>
            <w:gridSpan w:val="10"/>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 xml:space="preserve"> </w:t>
            </w:r>
          </w:p>
        </w:tc>
      </w:tr>
      <w:tr w:rsidR="00B958B1" w:rsidRPr="00DE16A7" w:rsidTr="009F3B54">
        <w:tc>
          <w:tcPr>
            <w:tcW w:w="3704" w:type="dxa"/>
            <w:tcBorders>
              <w:top w:val="nil"/>
              <w:left w:val="nil"/>
              <w:bottom w:val="nil"/>
              <w:right w:val="nil"/>
            </w:tcBorders>
            <w:shd w:val="solid" w:color="FFFFFF" w:fill="auto"/>
          </w:tcPr>
          <w:p w:rsidR="00B958B1" w:rsidRPr="00DE16A7" w:rsidRDefault="00B958B1" w:rsidP="009F3B54">
            <w:pPr>
              <w:pStyle w:val="Tabletext"/>
              <w:rPr>
                <w:lang w:eastAsia="en-AU"/>
              </w:rPr>
            </w:pPr>
            <w:r w:rsidRPr="00DE16A7">
              <w:rPr>
                <w:lang w:eastAsia="en-AU"/>
              </w:rPr>
              <w:t>Aids and equipment</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1.3</w:t>
            </w:r>
          </w:p>
        </w:tc>
        <w:tc>
          <w:tcPr>
            <w:tcW w:w="810" w:type="dxa"/>
            <w:gridSpan w:val="2"/>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1.3</w:t>
            </w:r>
          </w:p>
        </w:tc>
        <w:tc>
          <w:tcPr>
            <w:tcW w:w="832" w:type="dxa"/>
            <w:gridSpan w:val="10"/>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1.4</w:t>
            </w:r>
          </w:p>
        </w:tc>
      </w:tr>
      <w:tr w:rsidR="00B958B1" w:rsidRPr="00DE16A7" w:rsidTr="009F3B54">
        <w:tc>
          <w:tcPr>
            <w:tcW w:w="3704" w:type="dxa"/>
            <w:tcBorders>
              <w:top w:val="nil"/>
              <w:left w:val="nil"/>
              <w:bottom w:val="nil"/>
              <w:right w:val="nil"/>
            </w:tcBorders>
            <w:shd w:val="solid" w:color="FFFFFF" w:fill="auto"/>
          </w:tcPr>
          <w:p w:rsidR="00B958B1" w:rsidRPr="00DE16A7" w:rsidRDefault="00B958B1" w:rsidP="009F3B54">
            <w:pPr>
              <w:pStyle w:val="Tabletext"/>
              <w:rPr>
                <w:lang w:eastAsia="en-AU"/>
              </w:rPr>
            </w:pPr>
            <w:r w:rsidRPr="00DE16A7">
              <w:rPr>
                <w:lang w:eastAsia="en-AU"/>
              </w:rPr>
              <w:t>Improved disability accommodation support</w:t>
            </w:r>
          </w:p>
        </w:tc>
        <w:tc>
          <w:tcPr>
            <w:tcW w:w="810" w:type="dxa"/>
            <w:tcBorders>
              <w:top w:val="nil"/>
              <w:left w:val="nil"/>
              <w:bottom w:val="nil"/>
              <w:right w:val="nil"/>
            </w:tcBorders>
            <w:shd w:val="solid" w:color="FFFFFF" w:fill="auto"/>
          </w:tcPr>
          <w:p w:rsidR="00B958B1" w:rsidRPr="00DE16A7" w:rsidRDefault="00AE07D0" w:rsidP="009F3B54">
            <w:pPr>
              <w:pStyle w:val="TableofFigures"/>
              <w:rPr>
                <w:lang w:eastAsia="en-AU"/>
              </w:rPr>
            </w:pPr>
            <w:r>
              <w:rPr>
                <w:lang w:eastAsia="en-AU"/>
              </w:rPr>
              <w:t>..</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15.0</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15.4</w:t>
            </w:r>
          </w:p>
        </w:tc>
        <w:tc>
          <w:tcPr>
            <w:tcW w:w="810" w:type="dxa"/>
            <w:gridSpan w:val="2"/>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15.8</w:t>
            </w:r>
          </w:p>
        </w:tc>
        <w:tc>
          <w:tcPr>
            <w:tcW w:w="832" w:type="dxa"/>
            <w:gridSpan w:val="10"/>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16.2</w:t>
            </w:r>
          </w:p>
        </w:tc>
      </w:tr>
      <w:tr w:rsidR="00B958B1" w:rsidRPr="00DE16A7" w:rsidTr="009F3B54">
        <w:tc>
          <w:tcPr>
            <w:tcW w:w="3704" w:type="dxa"/>
            <w:tcBorders>
              <w:top w:val="nil"/>
              <w:left w:val="nil"/>
              <w:bottom w:val="nil"/>
              <w:right w:val="nil"/>
            </w:tcBorders>
            <w:shd w:val="solid" w:color="FFFFFF" w:fill="auto"/>
          </w:tcPr>
          <w:p w:rsidR="00B958B1" w:rsidRPr="00DE16A7" w:rsidRDefault="00B958B1" w:rsidP="009F3B54">
            <w:pPr>
              <w:pStyle w:val="Tabletext"/>
              <w:rPr>
                <w:lang w:eastAsia="en-AU"/>
              </w:rPr>
            </w:pPr>
            <w:r w:rsidRPr="00DE16A7">
              <w:rPr>
                <w:lang w:eastAsia="en-AU"/>
              </w:rPr>
              <w:t>Individualised support for people with a disability, their families and carers</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25.2</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26.4</w:t>
            </w:r>
          </w:p>
        </w:tc>
        <w:tc>
          <w:tcPr>
            <w:tcW w:w="810" w:type="dxa"/>
            <w:gridSpan w:val="2"/>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27.2</w:t>
            </w:r>
          </w:p>
        </w:tc>
        <w:tc>
          <w:tcPr>
            <w:tcW w:w="832" w:type="dxa"/>
            <w:gridSpan w:val="10"/>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28.1</w:t>
            </w:r>
          </w:p>
        </w:tc>
      </w:tr>
      <w:tr w:rsidR="00B958B1" w:rsidRPr="00DE16A7" w:rsidTr="009F3B54">
        <w:tc>
          <w:tcPr>
            <w:tcW w:w="3704" w:type="dxa"/>
            <w:tcBorders>
              <w:top w:val="nil"/>
              <w:left w:val="nil"/>
              <w:bottom w:val="nil"/>
              <w:right w:val="nil"/>
            </w:tcBorders>
            <w:shd w:val="solid" w:color="FFFFFF" w:fill="auto"/>
          </w:tcPr>
          <w:p w:rsidR="00B958B1" w:rsidRPr="00DE16A7" w:rsidRDefault="00B958B1" w:rsidP="009F3B54">
            <w:pPr>
              <w:pStyle w:val="Tabletext"/>
              <w:rPr>
                <w:lang w:eastAsia="en-AU"/>
              </w:rPr>
            </w:pPr>
            <w:r w:rsidRPr="00DE16A7">
              <w:rPr>
                <w:lang w:eastAsia="en-AU"/>
              </w:rPr>
              <w:t>National Disability Insurance Scheme</w:t>
            </w:r>
            <w:r>
              <w:rPr>
                <w:lang w:eastAsia="en-AU"/>
              </w:rPr>
              <w:t xml:space="preserve"> – </w:t>
            </w:r>
            <w:r w:rsidRPr="00DE16A7">
              <w:rPr>
                <w:lang w:eastAsia="en-AU"/>
              </w:rPr>
              <w:t>launch site</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0.4</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3.3</w:t>
            </w:r>
          </w:p>
        </w:tc>
        <w:tc>
          <w:tcPr>
            <w:tcW w:w="810" w:type="dxa"/>
            <w:gridSpan w:val="2"/>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13.3</w:t>
            </w:r>
          </w:p>
        </w:tc>
        <w:tc>
          <w:tcPr>
            <w:tcW w:w="832" w:type="dxa"/>
            <w:gridSpan w:val="10"/>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w:t>
            </w:r>
          </w:p>
        </w:tc>
      </w:tr>
      <w:tr w:rsidR="00B958B1" w:rsidRPr="00DE16A7" w:rsidTr="009F3B54">
        <w:tc>
          <w:tcPr>
            <w:tcW w:w="6764" w:type="dxa"/>
            <w:gridSpan w:val="5"/>
            <w:tcBorders>
              <w:top w:val="nil"/>
              <w:left w:val="nil"/>
              <w:bottom w:val="nil"/>
              <w:right w:val="nil"/>
            </w:tcBorders>
            <w:shd w:val="solid" w:color="FFFFFF" w:fill="auto"/>
          </w:tcPr>
          <w:p w:rsidR="00B958B1" w:rsidRPr="00DE16A7" w:rsidRDefault="00B958B1" w:rsidP="009F3B54">
            <w:pPr>
              <w:pStyle w:val="Tabletext"/>
              <w:rPr>
                <w:b/>
                <w:bCs/>
                <w:lang w:eastAsia="en-AU"/>
              </w:rPr>
            </w:pPr>
            <w:r w:rsidRPr="00DE16A7">
              <w:rPr>
                <w:b/>
                <w:bCs/>
                <w:lang w:eastAsia="en-AU"/>
              </w:rPr>
              <w:t>Empowering Individuals and Communities</w:t>
            </w:r>
          </w:p>
        </w:tc>
        <w:tc>
          <w:tcPr>
            <w:tcW w:w="202" w:type="dxa"/>
            <w:gridSpan w:val="2"/>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 xml:space="preserve"> </w:t>
            </w:r>
          </w:p>
        </w:tc>
        <w:tc>
          <w:tcPr>
            <w:tcW w:w="202" w:type="dxa"/>
            <w:gridSpan w:val="2"/>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 xml:space="preserve"> </w:t>
            </w:r>
          </w:p>
        </w:tc>
        <w:tc>
          <w:tcPr>
            <w:tcW w:w="203" w:type="dxa"/>
            <w:gridSpan w:val="3"/>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 xml:space="preserve"> </w:t>
            </w:r>
          </w:p>
        </w:tc>
        <w:tc>
          <w:tcPr>
            <w:tcW w:w="202" w:type="dxa"/>
            <w:gridSpan w:val="2"/>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 xml:space="preserve"> </w:t>
            </w:r>
          </w:p>
        </w:tc>
        <w:tc>
          <w:tcPr>
            <w:tcW w:w="203" w:type="dxa"/>
            <w:gridSpan w:val="2"/>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 xml:space="preserve"> </w:t>
            </w:r>
          </w:p>
        </w:tc>
      </w:tr>
      <w:tr w:rsidR="00B958B1" w:rsidRPr="00DE16A7" w:rsidTr="009F3B54">
        <w:tc>
          <w:tcPr>
            <w:tcW w:w="3704" w:type="dxa"/>
            <w:tcBorders>
              <w:top w:val="nil"/>
              <w:left w:val="nil"/>
              <w:bottom w:val="nil"/>
              <w:right w:val="nil"/>
            </w:tcBorders>
            <w:shd w:val="solid" w:color="FFFFFF" w:fill="auto"/>
          </w:tcPr>
          <w:p w:rsidR="00B958B1" w:rsidRPr="00DE16A7" w:rsidRDefault="00B958B1" w:rsidP="009F3B54">
            <w:pPr>
              <w:pStyle w:val="Tabletext"/>
              <w:rPr>
                <w:lang w:eastAsia="en-AU"/>
              </w:rPr>
            </w:pPr>
            <w:r w:rsidRPr="00DE16A7">
              <w:rPr>
                <w:lang w:eastAsia="en-AU"/>
              </w:rPr>
              <w:t>Driving youth enterprise</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0.5</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0.5</w:t>
            </w:r>
          </w:p>
        </w:tc>
        <w:tc>
          <w:tcPr>
            <w:tcW w:w="810" w:type="dxa"/>
            <w:gridSpan w:val="2"/>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0.5</w:t>
            </w:r>
          </w:p>
        </w:tc>
        <w:tc>
          <w:tcPr>
            <w:tcW w:w="832" w:type="dxa"/>
            <w:gridSpan w:val="10"/>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0.5</w:t>
            </w:r>
          </w:p>
        </w:tc>
      </w:tr>
      <w:tr w:rsidR="00B958B1" w:rsidRPr="00DE16A7" w:rsidTr="009F3B54">
        <w:tc>
          <w:tcPr>
            <w:tcW w:w="3704" w:type="dxa"/>
            <w:tcBorders>
              <w:top w:val="nil"/>
              <w:left w:val="nil"/>
              <w:bottom w:val="nil"/>
              <w:right w:val="nil"/>
            </w:tcBorders>
            <w:shd w:val="solid" w:color="FFFFFF" w:fill="auto"/>
          </w:tcPr>
          <w:p w:rsidR="00B958B1" w:rsidRPr="00DE16A7" w:rsidRDefault="00B958B1" w:rsidP="009F3B54">
            <w:pPr>
              <w:pStyle w:val="Tabletext"/>
              <w:rPr>
                <w:b/>
                <w:bCs/>
                <w:lang w:eastAsia="en-AU"/>
              </w:rPr>
            </w:pPr>
            <w:r w:rsidRPr="00DE16A7">
              <w:rPr>
                <w:b/>
                <w:bCs/>
                <w:lang w:eastAsia="en-AU"/>
              </w:rPr>
              <w:t>Housing Assistance</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 xml:space="preserve"> </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 xml:space="preserve"> </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 xml:space="preserve"> </w:t>
            </w:r>
          </w:p>
        </w:tc>
        <w:tc>
          <w:tcPr>
            <w:tcW w:w="810" w:type="dxa"/>
            <w:gridSpan w:val="2"/>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 xml:space="preserve"> </w:t>
            </w:r>
          </w:p>
        </w:tc>
        <w:tc>
          <w:tcPr>
            <w:tcW w:w="832" w:type="dxa"/>
            <w:gridSpan w:val="10"/>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 xml:space="preserve"> </w:t>
            </w:r>
          </w:p>
        </w:tc>
      </w:tr>
      <w:tr w:rsidR="00B958B1" w:rsidRPr="00DE16A7" w:rsidTr="009F3B54">
        <w:tc>
          <w:tcPr>
            <w:tcW w:w="3704" w:type="dxa"/>
            <w:tcBorders>
              <w:top w:val="nil"/>
              <w:left w:val="nil"/>
              <w:bottom w:val="nil"/>
              <w:right w:val="nil"/>
            </w:tcBorders>
            <w:shd w:val="solid" w:color="FFFFFF" w:fill="auto"/>
          </w:tcPr>
          <w:p w:rsidR="00B958B1" w:rsidRPr="00DE16A7" w:rsidRDefault="00B958B1" w:rsidP="009F3B54">
            <w:pPr>
              <w:pStyle w:val="Tabletext"/>
              <w:rPr>
                <w:lang w:eastAsia="en-AU"/>
              </w:rPr>
            </w:pPr>
            <w:r w:rsidRPr="00DE16A7">
              <w:rPr>
                <w:lang w:eastAsia="en-AU"/>
              </w:rPr>
              <w:t>Accommodation options for families</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3.0</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1.6</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4.7</w:t>
            </w:r>
          </w:p>
        </w:tc>
        <w:tc>
          <w:tcPr>
            <w:tcW w:w="810" w:type="dxa"/>
            <w:gridSpan w:val="2"/>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4.8</w:t>
            </w:r>
          </w:p>
        </w:tc>
        <w:tc>
          <w:tcPr>
            <w:tcW w:w="832" w:type="dxa"/>
            <w:gridSpan w:val="10"/>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4.9</w:t>
            </w:r>
          </w:p>
        </w:tc>
      </w:tr>
      <w:tr w:rsidR="00B958B1" w:rsidRPr="00DE16A7" w:rsidTr="009F3B54">
        <w:tc>
          <w:tcPr>
            <w:tcW w:w="3704" w:type="dxa"/>
            <w:tcBorders>
              <w:top w:val="nil"/>
              <w:left w:val="nil"/>
              <w:bottom w:val="nil"/>
              <w:right w:val="nil"/>
            </w:tcBorders>
            <w:shd w:val="solid" w:color="FFFFFF" w:fill="auto"/>
          </w:tcPr>
          <w:p w:rsidR="00B958B1" w:rsidRPr="00DE16A7" w:rsidRDefault="00B958B1" w:rsidP="009F3B54">
            <w:pPr>
              <w:pStyle w:val="Tabletext"/>
              <w:rPr>
                <w:lang w:eastAsia="en-AU"/>
              </w:rPr>
            </w:pPr>
            <w:r w:rsidRPr="00DE16A7">
              <w:rPr>
                <w:lang w:eastAsia="en-AU"/>
              </w:rPr>
              <w:t>Bendigo social housing project</w:t>
            </w:r>
          </w:p>
        </w:tc>
        <w:tc>
          <w:tcPr>
            <w:tcW w:w="810" w:type="dxa"/>
            <w:tcBorders>
              <w:top w:val="nil"/>
              <w:left w:val="nil"/>
              <w:bottom w:val="nil"/>
              <w:right w:val="nil"/>
            </w:tcBorders>
            <w:shd w:val="solid" w:color="FFFFFF" w:fill="auto"/>
          </w:tcPr>
          <w:p w:rsidR="00B958B1" w:rsidRPr="00DE16A7" w:rsidRDefault="00B958B1" w:rsidP="009F3B54">
            <w:pPr>
              <w:pStyle w:val="TableofFigures"/>
              <w:rPr>
                <w:rFonts w:cs="Calibri"/>
                <w:color w:val="000000"/>
                <w:lang w:eastAsia="en-AU"/>
              </w:rPr>
            </w:pPr>
            <w:r w:rsidRPr="00DE16A7">
              <w:rPr>
                <w:lang w:eastAsia="en-AU"/>
              </w:rPr>
              <w:t>..</w:t>
            </w:r>
          </w:p>
        </w:tc>
        <w:tc>
          <w:tcPr>
            <w:tcW w:w="810" w:type="dxa"/>
            <w:tcBorders>
              <w:top w:val="nil"/>
              <w:left w:val="nil"/>
              <w:bottom w:val="nil"/>
              <w:right w:val="nil"/>
            </w:tcBorders>
            <w:shd w:val="solid" w:color="FFFFFF" w:fill="auto"/>
          </w:tcPr>
          <w:p w:rsidR="00B958B1" w:rsidRPr="00DE16A7" w:rsidRDefault="00B958B1" w:rsidP="009F3B54">
            <w:pPr>
              <w:pStyle w:val="TableofFigures"/>
              <w:rPr>
                <w:rFonts w:cs="Calibri"/>
                <w:color w:val="000000"/>
                <w:lang w:eastAsia="en-AU"/>
              </w:rPr>
            </w:pPr>
            <w:r w:rsidRPr="00DE16A7">
              <w:rPr>
                <w:lang w:eastAsia="en-AU"/>
              </w:rPr>
              <w:t>..</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2.0</w:t>
            </w:r>
          </w:p>
        </w:tc>
        <w:tc>
          <w:tcPr>
            <w:tcW w:w="810" w:type="dxa"/>
            <w:gridSpan w:val="2"/>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2.0</w:t>
            </w:r>
          </w:p>
        </w:tc>
        <w:tc>
          <w:tcPr>
            <w:tcW w:w="832" w:type="dxa"/>
            <w:gridSpan w:val="10"/>
            <w:tcBorders>
              <w:top w:val="nil"/>
              <w:left w:val="nil"/>
              <w:bottom w:val="nil"/>
              <w:right w:val="nil"/>
            </w:tcBorders>
            <w:shd w:val="solid" w:color="FFFFFF" w:fill="auto"/>
          </w:tcPr>
          <w:p w:rsidR="00B958B1" w:rsidRPr="00DE16A7" w:rsidRDefault="00B958B1" w:rsidP="009F3B54">
            <w:pPr>
              <w:pStyle w:val="TableofFigures"/>
              <w:rPr>
                <w:rFonts w:cs="Calibri"/>
                <w:color w:val="000000"/>
                <w:lang w:eastAsia="en-AU"/>
              </w:rPr>
            </w:pPr>
            <w:r w:rsidRPr="00DE16A7">
              <w:rPr>
                <w:lang w:eastAsia="en-AU"/>
              </w:rPr>
              <w:t>..</w:t>
            </w:r>
          </w:p>
        </w:tc>
      </w:tr>
      <w:tr w:rsidR="00B958B1" w:rsidRPr="00DE16A7" w:rsidTr="009F3B54">
        <w:tc>
          <w:tcPr>
            <w:tcW w:w="3704" w:type="dxa"/>
            <w:tcBorders>
              <w:top w:val="nil"/>
              <w:left w:val="nil"/>
              <w:bottom w:val="nil"/>
              <w:right w:val="nil"/>
            </w:tcBorders>
            <w:shd w:val="solid" w:color="FFFFFF" w:fill="auto"/>
          </w:tcPr>
          <w:p w:rsidR="00B958B1" w:rsidRPr="00DE16A7" w:rsidRDefault="00B958B1" w:rsidP="009F3B54">
            <w:pPr>
              <w:pStyle w:val="Tabletext"/>
              <w:rPr>
                <w:rFonts w:cs="Calibri"/>
                <w:color w:val="000000"/>
                <w:lang w:eastAsia="en-AU"/>
              </w:rPr>
            </w:pPr>
            <w:r w:rsidRPr="00DE16A7">
              <w:rPr>
                <w:lang w:eastAsia="en-AU"/>
              </w:rPr>
              <w:t xml:space="preserve">Gas heater servicing </w:t>
            </w:r>
            <w:r w:rsidRPr="00DE16A7">
              <w:rPr>
                <w:rFonts w:cs="Calibri"/>
                <w:color w:val="000000"/>
                <w:lang w:eastAsia="en-AU"/>
              </w:rPr>
              <w:t>in public housing properties</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1.6</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1.8</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1.8</w:t>
            </w:r>
          </w:p>
        </w:tc>
        <w:tc>
          <w:tcPr>
            <w:tcW w:w="810" w:type="dxa"/>
            <w:gridSpan w:val="2"/>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1.9</w:t>
            </w:r>
          </w:p>
        </w:tc>
        <w:tc>
          <w:tcPr>
            <w:tcW w:w="832" w:type="dxa"/>
            <w:gridSpan w:val="10"/>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1.9</w:t>
            </w:r>
          </w:p>
        </w:tc>
      </w:tr>
      <w:tr w:rsidR="00B958B1" w:rsidRPr="00DE16A7" w:rsidTr="009F3B54">
        <w:tc>
          <w:tcPr>
            <w:tcW w:w="3704" w:type="dxa"/>
            <w:tcBorders>
              <w:top w:val="nil"/>
              <w:left w:val="nil"/>
              <w:bottom w:val="nil"/>
              <w:right w:val="nil"/>
            </w:tcBorders>
            <w:shd w:val="solid" w:color="FFFFFF" w:fill="auto"/>
          </w:tcPr>
          <w:p w:rsidR="00B958B1" w:rsidRPr="00DE16A7" w:rsidRDefault="00B958B1" w:rsidP="009F3B54">
            <w:pPr>
              <w:pStyle w:val="Tabletext"/>
              <w:rPr>
                <w:lang w:eastAsia="en-AU"/>
              </w:rPr>
            </w:pPr>
            <w:r w:rsidRPr="00DE16A7">
              <w:rPr>
                <w:lang w:eastAsia="en-AU"/>
              </w:rPr>
              <w:t>Kids Under Cover</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1.1</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1.1</w:t>
            </w:r>
          </w:p>
        </w:tc>
        <w:tc>
          <w:tcPr>
            <w:tcW w:w="810" w:type="dxa"/>
            <w:gridSpan w:val="2"/>
            <w:tcBorders>
              <w:top w:val="nil"/>
              <w:left w:val="nil"/>
              <w:bottom w:val="nil"/>
              <w:right w:val="nil"/>
            </w:tcBorders>
            <w:shd w:val="solid" w:color="FFFFFF" w:fill="auto"/>
          </w:tcPr>
          <w:p w:rsidR="00B958B1" w:rsidRPr="00DE16A7" w:rsidRDefault="00B958B1" w:rsidP="009F3B54">
            <w:pPr>
              <w:pStyle w:val="TableofFigures"/>
              <w:rPr>
                <w:rFonts w:cs="Calibri"/>
                <w:color w:val="000000"/>
                <w:lang w:eastAsia="en-AU"/>
              </w:rPr>
            </w:pPr>
            <w:r w:rsidRPr="00DE16A7">
              <w:rPr>
                <w:lang w:eastAsia="en-AU"/>
              </w:rPr>
              <w:t>..</w:t>
            </w:r>
          </w:p>
        </w:tc>
        <w:tc>
          <w:tcPr>
            <w:tcW w:w="832" w:type="dxa"/>
            <w:gridSpan w:val="10"/>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w:t>
            </w:r>
          </w:p>
        </w:tc>
      </w:tr>
      <w:tr w:rsidR="00B958B1" w:rsidRPr="00DE16A7" w:rsidTr="009F3B54">
        <w:tc>
          <w:tcPr>
            <w:tcW w:w="3704" w:type="dxa"/>
            <w:tcBorders>
              <w:top w:val="nil"/>
              <w:left w:val="nil"/>
              <w:bottom w:val="nil"/>
              <w:right w:val="nil"/>
            </w:tcBorders>
            <w:shd w:val="solid" w:color="FFFFFF" w:fill="auto"/>
          </w:tcPr>
          <w:p w:rsidR="00B958B1" w:rsidRPr="00DE16A7" w:rsidRDefault="00B958B1" w:rsidP="009F3B54">
            <w:pPr>
              <w:pStyle w:val="Tabletext"/>
              <w:rPr>
                <w:vertAlign w:val="superscript"/>
                <w:lang w:eastAsia="en-AU"/>
              </w:rPr>
            </w:pPr>
            <w:r w:rsidRPr="00DE16A7">
              <w:rPr>
                <w:lang w:eastAsia="en-AU"/>
              </w:rPr>
              <w:t>Transitional National Partnership Agreement on Homelessness</w:t>
            </w:r>
            <w:r w:rsidRPr="00DE16A7">
              <w:rPr>
                <w:vertAlign w:val="superscript"/>
                <w:lang w:eastAsia="en-AU"/>
              </w:rPr>
              <w:t>(a)</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27.3</w:t>
            </w:r>
          </w:p>
        </w:tc>
        <w:tc>
          <w:tcPr>
            <w:tcW w:w="810" w:type="dxa"/>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w:t>
            </w:r>
          </w:p>
        </w:tc>
        <w:tc>
          <w:tcPr>
            <w:tcW w:w="810" w:type="dxa"/>
            <w:gridSpan w:val="2"/>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w:t>
            </w:r>
          </w:p>
        </w:tc>
        <w:tc>
          <w:tcPr>
            <w:tcW w:w="832" w:type="dxa"/>
            <w:gridSpan w:val="10"/>
            <w:tcBorders>
              <w:top w:val="nil"/>
              <w:left w:val="nil"/>
              <w:bottom w:val="nil"/>
              <w:right w:val="nil"/>
            </w:tcBorders>
            <w:shd w:val="solid" w:color="FFFFFF" w:fill="auto"/>
          </w:tcPr>
          <w:p w:rsidR="00B958B1" w:rsidRPr="00DE16A7" w:rsidRDefault="00B958B1" w:rsidP="009F3B54">
            <w:pPr>
              <w:pStyle w:val="TableofFigures"/>
              <w:rPr>
                <w:lang w:eastAsia="en-AU"/>
              </w:rPr>
            </w:pPr>
            <w:r w:rsidRPr="00DE16A7">
              <w:rPr>
                <w:lang w:eastAsia="en-AU"/>
              </w:rPr>
              <w:t>..</w:t>
            </w:r>
          </w:p>
        </w:tc>
      </w:tr>
      <w:tr w:rsidR="00B958B1" w:rsidRPr="00DE16A7" w:rsidTr="009F3B54">
        <w:tc>
          <w:tcPr>
            <w:tcW w:w="3704" w:type="dxa"/>
            <w:tcBorders>
              <w:top w:val="single" w:sz="6" w:space="0" w:color="auto"/>
              <w:left w:val="nil"/>
              <w:bottom w:val="single" w:sz="6" w:space="0" w:color="auto"/>
              <w:right w:val="nil"/>
            </w:tcBorders>
          </w:tcPr>
          <w:p w:rsidR="00B958B1" w:rsidRPr="00DE16A7" w:rsidRDefault="00B958B1" w:rsidP="009F3B54">
            <w:pPr>
              <w:pStyle w:val="Tabletext"/>
              <w:rPr>
                <w:b/>
                <w:bCs/>
                <w:lang w:eastAsia="en-AU"/>
              </w:rPr>
            </w:pPr>
            <w:r>
              <w:rPr>
                <w:b/>
                <w:bCs/>
                <w:lang w:eastAsia="en-AU"/>
              </w:rPr>
              <w:t>Sub total</w:t>
            </w:r>
            <w:r w:rsidRPr="00DE16A7">
              <w:rPr>
                <w:b/>
                <w:bCs/>
                <w:lang w:eastAsia="en-AU"/>
              </w:rPr>
              <w:t xml:space="preserve"> output initiatives</w:t>
            </w:r>
          </w:p>
        </w:tc>
        <w:tc>
          <w:tcPr>
            <w:tcW w:w="810" w:type="dxa"/>
            <w:tcBorders>
              <w:top w:val="single" w:sz="6" w:space="0" w:color="auto"/>
              <w:left w:val="nil"/>
              <w:bottom w:val="single" w:sz="6" w:space="0" w:color="auto"/>
              <w:right w:val="nil"/>
            </w:tcBorders>
          </w:tcPr>
          <w:p w:rsidR="00B958B1" w:rsidRPr="00DE16A7" w:rsidRDefault="00B958B1" w:rsidP="009F3B54">
            <w:pPr>
              <w:pStyle w:val="TableofFigures"/>
              <w:rPr>
                <w:b/>
                <w:bCs/>
                <w:lang w:eastAsia="en-AU"/>
              </w:rPr>
            </w:pPr>
            <w:r w:rsidRPr="00DE16A7">
              <w:rPr>
                <w:b/>
                <w:bCs/>
                <w:lang w:eastAsia="en-AU"/>
              </w:rPr>
              <w:t>4.6</w:t>
            </w:r>
          </w:p>
        </w:tc>
        <w:tc>
          <w:tcPr>
            <w:tcW w:w="810" w:type="dxa"/>
            <w:tcBorders>
              <w:top w:val="single" w:sz="6" w:space="0" w:color="auto"/>
              <w:left w:val="nil"/>
              <w:bottom w:val="single" w:sz="6" w:space="0" w:color="auto"/>
              <w:right w:val="nil"/>
            </w:tcBorders>
          </w:tcPr>
          <w:p w:rsidR="00B958B1" w:rsidRPr="00DE16A7" w:rsidRDefault="00B958B1" w:rsidP="009F3B54">
            <w:pPr>
              <w:pStyle w:val="TableofFigures"/>
              <w:rPr>
                <w:b/>
                <w:bCs/>
                <w:lang w:eastAsia="en-AU"/>
              </w:rPr>
            </w:pPr>
            <w:r w:rsidRPr="00DE16A7">
              <w:rPr>
                <w:b/>
                <w:bCs/>
                <w:lang w:eastAsia="en-AU"/>
              </w:rPr>
              <w:t>117.5</w:t>
            </w:r>
          </w:p>
        </w:tc>
        <w:tc>
          <w:tcPr>
            <w:tcW w:w="810" w:type="dxa"/>
            <w:tcBorders>
              <w:top w:val="single" w:sz="6" w:space="0" w:color="auto"/>
              <w:left w:val="nil"/>
              <w:bottom w:val="single" w:sz="6" w:space="0" w:color="auto"/>
              <w:right w:val="nil"/>
            </w:tcBorders>
          </w:tcPr>
          <w:p w:rsidR="00B958B1" w:rsidRPr="00DE16A7" w:rsidRDefault="00B958B1" w:rsidP="009F3B54">
            <w:pPr>
              <w:pStyle w:val="TableofFigures"/>
              <w:rPr>
                <w:b/>
                <w:bCs/>
                <w:lang w:eastAsia="en-AU"/>
              </w:rPr>
            </w:pPr>
            <w:r w:rsidRPr="00DE16A7">
              <w:rPr>
                <w:b/>
                <w:bCs/>
                <w:lang w:eastAsia="en-AU"/>
              </w:rPr>
              <w:t>98.5</w:t>
            </w:r>
          </w:p>
        </w:tc>
        <w:tc>
          <w:tcPr>
            <w:tcW w:w="810" w:type="dxa"/>
            <w:gridSpan w:val="2"/>
            <w:tcBorders>
              <w:top w:val="single" w:sz="6" w:space="0" w:color="auto"/>
              <w:left w:val="nil"/>
              <w:bottom w:val="single" w:sz="6" w:space="0" w:color="auto"/>
              <w:right w:val="nil"/>
            </w:tcBorders>
          </w:tcPr>
          <w:p w:rsidR="00B958B1" w:rsidRPr="00DE16A7" w:rsidRDefault="00B958B1" w:rsidP="009F3B54">
            <w:pPr>
              <w:pStyle w:val="TableofFigures"/>
              <w:rPr>
                <w:b/>
                <w:bCs/>
                <w:lang w:eastAsia="en-AU"/>
              </w:rPr>
            </w:pPr>
            <w:r w:rsidRPr="00DE16A7">
              <w:rPr>
                <w:b/>
                <w:bCs/>
                <w:lang w:eastAsia="en-AU"/>
              </w:rPr>
              <w:t>110.7</w:t>
            </w:r>
          </w:p>
        </w:tc>
        <w:tc>
          <w:tcPr>
            <w:tcW w:w="832" w:type="dxa"/>
            <w:gridSpan w:val="10"/>
            <w:tcBorders>
              <w:top w:val="single" w:sz="6" w:space="0" w:color="auto"/>
              <w:left w:val="nil"/>
              <w:bottom w:val="single" w:sz="6" w:space="0" w:color="auto"/>
              <w:right w:val="nil"/>
            </w:tcBorders>
          </w:tcPr>
          <w:p w:rsidR="00B958B1" w:rsidRPr="00DE16A7" w:rsidRDefault="00B958B1" w:rsidP="009F3B54">
            <w:pPr>
              <w:pStyle w:val="TableofFigures"/>
              <w:rPr>
                <w:b/>
                <w:bCs/>
                <w:lang w:eastAsia="en-AU"/>
              </w:rPr>
            </w:pPr>
            <w:r w:rsidRPr="00DE16A7">
              <w:rPr>
                <w:b/>
                <w:bCs/>
                <w:lang w:eastAsia="en-AU"/>
              </w:rPr>
              <w:t>99.3</w:t>
            </w:r>
          </w:p>
        </w:tc>
      </w:tr>
      <w:tr w:rsidR="00B958B1" w:rsidRPr="00DE16A7" w:rsidTr="009F3B54">
        <w:tc>
          <w:tcPr>
            <w:tcW w:w="3704" w:type="dxa"/>
            <w:tcBorders>
              <w:top w:val="single" w:sz="6" w:space="0" w:color="auto"/>
              <w:left w:val="nil"/>
              <w:bottom w:val="nil"/>
              <w:right w:val="nil"/>
            </w:tcBorders>
          </w:tcPr>
          <w:p w:rsidR="00B958B1" w:rsidRPr="00DE16A7" w:rsidRDefault="00B958B1" w:rsidP="009F3B54">
            <w:pPr>
              <w:pStyle w:val="Tabletext"/>
              <w:rPr>
                <w:lang w:eastAsia="en-AU"/>
              </w:rPr>
            </w:pPr>
            <w:r w:rsidRPr="00DE16A7">
              <w:rPr>
                <w:lang w:eastAsia="en-AU"/>
              </w:rPr>
              <w:t>Existing resources</w:t>
            </w:r>
          </w:p>
        </w:tc>
        <w:tc>
          <w:tcPr>
            <w:tcW w:w="810" w:type="dxa"/>
            <w:tcBorders>
              <w:top w:val="nil"/>
              <w:left w:val="nil"/>
              <w:bottom w:val="nil"/>
              <w:right w:val="nil"/>
            </w:tcBorders>
          </w:tcPr>
          <w:p w:rsidR="00B958B1" w:rsidRPr="00DE16A7" w:rsidRDefault="009F0F49" w:rsidP="009F3B54">
            <w:pPr>
              <w:pStyle w:val="TableofFigures"/>
              <w:rPr>
                <w:lang w:eastAsia="en-AU"/>
              </w:rPr>
            </w:pPr>
            <w:r>
              <w:rPr>
                <w:lang w:eastAsia="en-AU"/>
              </w:rPr>
              <w:noBreakHyphen/>
            </w:r>
            <w:r w:rsidR="00B958B1" w:rsidRPr="00DE16A7">
              <w:rPr>
                <w:lang w:eastAsia="en-AU"/>
              </w:rPr>
              <w:t>1.6</w:t>
            </w:r>
          </w:p>
        </w:tc>
        <w:tc>
          <w:tcPr>
            <w:tcW w:w="810" w:type="dxa"/>
            <w:tcBorders>
              <w:top w:val="nil"/>
              <w:left w:val="nil"/>
              <w:bottom w:val="nil"/>
              <w:right w:val="nil"/>
            </w:tcBorders>
          </w:tcPr>
          <w:p w:rsidR="00B958B1" w:rsidRPr="00DE16A7" w:rsidRDefault="009F0F49" w:rsidP="009F3B54">
            <w:pPr>
              <w:pStyle w:val="TableofFigures"/>
              <w:rPr>
                <w:lang w:eastAsia="en-AU"/>
              </w:rPr>
            </w:pPr>
            <w:r>
              <w:rPr>
                <w:lang w:eastAsia="en-AU"/>
              </w:rPr>
              <w:noBreakHyphen/>
            </w:r>
            <w:r w:rsidR="00B958B1" w:rsidRPr="00DE16A7">
              <w:rPr>
                <w:lang w:eastAsia="en-AU"/>
              </w:rPr>
              <w:t>3.9</w:t>
            </w:r>
          </w:p>
        </w:tc>
        <w:tc>
          <w:tcPr>
            <w:tcW w:w="810" w:type="dxa"/>
            <w:tcBorders>
              <w:top w:val="nil"/>
              <w:left w:val="nil"/>
              <w:bottom w:val="nil"/>
              <w:right w:val="nil"/>
            </w:tcBorders>
          </w:tcPr>
          <w:p w:rsidR="00B958B1" w:rsidRPr="00DE16A7" w:rsidRDefault="009F0F49" w:rsidP="009F3B54">
            <w:pPr>
              <w:pStyle w:val="TableofFigures"/>
              <w:rPr>
                <w:lang w:eastAsia="en-AU"/>
              </w:rPr>
            </w:pPr>
            <w:r>
              <w:rPr>
                <w:lang w:eastAsia="en-AU"/>
              </w:rPr>
              <w:noBreakHyphen/>
            </w:r>
            <w:r w:rsidR="00B958B1" w:rsidRPr="00DE16A7">
              <w:rPr>
                <w:lang w:eastAsia="en-AU"/>
              </w:rPr>
              <w:t>3.0</w:t>
            </w:r>
          </w:p>
        </w:tc>
        <w:tc>
          <w:tcPr>
            <w:tcW w:w="810" w:type="dxa"/>
            <w:gridSpan w:val="2"/>
            <w:tcBorders>
              <w:top w:val="nil"/>
              <w:left w:val="nil"/>
              <w:bottom w:val="nil"/>
              <w:right w:val="nil"/>
            </w:tcBorders>
          </w:tcPr>
          <w:p w:rsidR="00B958B1" w:rsidRPr="00DE16A7" w:rsidRDefault="009F0F49" w:rsidP="009F3B54">
            <w:pPr>
              <w:pStyle w:val="TableofFigures"/>
              <w:rPr>
                <w:lang w:eastAsia="en-AU"/>
              </w:rPr>
            </w:pPr>
            <w:r>
              <w:rPr>
                <w:lang w:eastAsia="en-AU"/>
              </w:rPr>
              <w:noBreakHyphen/>
            </w:r>
            <w:r w:rsidR="00B958B1" w:rsidRPr="00DE16A7">
              <w:rPr>
                <w:lang w:eastAsia="en-AU"/>
              </w:rPr>
              <w:t>1.9</w:t>
            </w:r>
          </w:p>
        </w:tc>
        <w:tc>
          <w:tcPr>
            <w:tcW w:w="832" w:type="dxa"/>
            <w:gridSpan w:val="10"/>
            <w:tcBorders>
              <w:top w:val="nil"/>
              <w:left w:val="nil"/>
              <w:bottom w:val="nil"/>
              <w:right w:val="nil"/>
            </w:tcBorders>
          </w:tcPr>
          <w:p w:rsidR="00B958B1" w:rsidRPr="00DE16A7" w:rsidRDefault="009F0F49" w:rsidP="009F3B54">
            <w:pPr>
              <w:pStyle w:val="TableofFigures"/>
              <w:rPr>
                <w:lang w:eastAsia="en-AU"/>
              </w:rPr>
            </w:pPr>
            <w:r>
              <w:rPr>
                <w:lang w:eastAsia="en-AU"/>
              </w:rPr>
              <w:noBreakHyphen/>
            </w:r>
            <w:r w:rsidR="00B958B1" w:rsidRPr="00DE16A7">
              <w:rPr>
                <w:lang w:eastAsia="en-AU"/>
              </w:rPr>
              <w:t>1.9</w:t>
            </w:r>
          </w:p>
        </w:tc>
      </w:tr>
      <w:tr w:rsidR="00B958B1" w:rsidRPr="00DE16A7" w:rsidTr="009F3B54">
        <w:tc>
          <w:tcPr>
            <w:tcW w:w="3704" w:type="dxa"/>
            <w:tcBorders>
              <w:top w:val="single" w:sz="6" w:space="0" w:color="auto"/>
              <w:left w:val="nil"/>
              <w:bottom w:val="single" w:sz="12" w:space="0" w:color="auto"/>
              <w:right w:val="nil"/>
            </w:tcBorders>
          </w:tcPr>
          <w:p w:rsidR="00B958B1" w:rsidRPr="00DE16A7" w:rsidRDefault="00B958B1" w:rsidP="009F3B54">
            <w:pPr>
              <w:pStyle w:val="Tabletext"/>
              <w:rPr>
                <w:b/>
                <w:bCs/>
                <w:lang w:eastAsia="en-AU"/>
              </w:rPr>
            </w:pPr>
            <w:r w:rsidRPr="00DE16A7">
              <w:rPr>
                <w:b/>
                <w:bCs/>
                <w:lang w:eastAsia="en-AU"/>
              </w:rPr>
              <w:t>Total output initiatives</w:t>
            </w:r>
          </w:p>
        </w:tc>
        <w:tc>
          <w:tcPr>
            <w:tcW w:w="810" w:type="dxa"/>
            <w:tcBorders>
              <w:top w:val="single" w:sz="6" w:space="0" w:color="auto"/>
              <w:left w:val="nil"/>
              <w:bottom w:val="single" w:sz="12" w:space="0" w:color="auto"/>
              <w:right w:val="nil"/>
            </w:tcBorders>
          </w:tcPr>
          <w:p w:rsidR="00B958B1" w:rsidRPr="00DE16A7" w:rsidRDefault="00B958B1" w:rsidP="009F3B54">
            <w:pPr>
              <w:pStyle w:val="TableofFigures"/>
              <w:rPr>
                <w:b/>
                <w:bCs/>
                <w:lang w:eastAsia="en-AU"/>
              </w:rPr>
            </w:pPr>
            <w:r w:rsidRPr="00DE16A7">
              <w:rPr>
                <w:b/>
                <w:bCs/>
                <w:lang w:eastAsia="en-AU"/>
              </w:rPr>
              <w:t>3.0</w:t>
            </w:r>
          </w:p>
        </w:tc>
        <w:tc>
          <w:tcPr>
            <w:tcW w:w="810" w:type="dxa"/>
            <w:tcBorders>
              <w:top w:val="single" w:sz="6" w:space="0" w:color="auto"/>
              <w:left w:val="nil"/>
              <w:bottom w:val="single" w:sz="12" w:space="0" w:color="auto"/>
              <w:right w:val="nil"/>
            </w:tcBorders>
          </w:tcPr>
          <w:p w:rsidR="00B958B1" w:rsidRPr="00DE16A7" w:rsidRDefault="00B958B1" w:rsidP="009F3B54">
            <w:pPr>
              <w:pStyle w:val="TableofFigures"/>
              <w:rPr>
                <w:b/>
                <w:bCs/>
                <w:lang w:eastAsia="en-AU"/>
              </w:rPr>
            </w:pPr>
            <w:r w:rsidRPr="00DE16A7">
              <w:rPr>
                <w:b/>
                <w:bCs/>
                <w:lang w:eastAsia="en-AU"/>
              </w:rPr>
              <w:t>113.5</w:t>
            </w:r>
          </w:p>
        </w:tc>
        <w:tc>
          <w:tcPr>
            <w:tcW w:w="810" w:type="dxa"/>
            <w:tcBorders>
              <w:top w:val="single" w:sz="6" w:space="0" w:color="auto"/>
              <w:left w:val="nil"/>
              <w:bottom w:val="single" w:sz="12" w:space="0" w:color="auto"/>
              <w:right w:val="nil"/>
            </w:tcBorders>
          </w:tcPr>
          <w:p w:rsidR="00B958B1" w:rsidRPr="00DE16A7" w:rsidRDefault="00B958B1" w:rsidP="009F3B54">
            <w:pPr>
              <w:pStyle w:val="TableofFigures"/>
              <w:rPr>
                <w:b/>
                <w:bCs/>
                <w:lang w:eastAsia="en-AU"/>
              </w:rPr>
            </w:pPr>
            <w:r w:rsidRPr="00DE16A7">
              <w:rPr>
                <w:b/>
                <w:bCs/>
                <w:lang w:eastAsia="en-AU"/>
              </w:rPr>
              <w:t>95.6</w:t>
            </w:r>
          </w:p>
        </w:tc>
        <w:tc>
          <w:tcPr>
            <w:tcW w:w="810" w:type="dxa"/>
            <w:gridSpan w:val="2"/>
            <w:tcBorders>
              <w:top w:val="single" w:sz="6" w:space="0" w:color="auto"/>
              <w:left w:val="nil"/>
              <w:bottom w:val="single" w:sz="12" w:space="0" w:color="auto"/>
              <w:right w:val="nil"/>
            </w:tcBorders>
          </w:tcPr>
          <w:p w:rsidR="00B958B1" w:rsidRPr="00DE16A7" w:rsidRDefault="00B958B1" w:rsidP="009F3B54">
            <w:pPr>
              <w:pStyle w:val="TableofFigures"/>
              <w:rPr>
                <w:b/>
                <w:bCs/>
                <w:lang w:eastAsia="en-AU"/>
              </w:rPr>
            </w:pPr>
            <w:r w:rsidRPr="00DE16A7">
              <w:rPr>
                <w:b/>
                <w:bCs/>
                <w:lang w:eastAsia="en-AU"/>
              </w:rPr>
              <w:t>108.8</w:t>
            </w:r>
          </w:p>
        </w:tc>
        <w:tc>
          <w:tcPr>
            <w:tcW w:w="832" w:type="dxa"/>
            <w:gridSpan w:val="10"/>
            <w:tcBorders>
              <w:top w:val="single" w:sz="6" w:space="0" w:color="auto"/>
              <w:left w:val="nil"/>
              <w:bottom w:val="single" w:sz="12" w:space="0" w:color="auto"/>
              <w:right w:val="nil"/>
            </w:tcBorders>
          </w:tcPr>
          <w:p w:rsidR="00B958B1" w:rsidRPr="00DE16A7" w:rsidRDefault="00B958B1" w:rsidP="009F3B54">
            <w:pPr>
              <w:pStyle w:val="TableofFigures"/>
              <w:rPr>
                <w:b/>
                <w:bCs/>
                <w:lang w:eastAsia="en-AU"/>
              </w:rPr>
            </w:pPr>
            <w:r w:rsidRPr="00DE16A7">
              <w:rPr>
                <w:b/>
                <w:bCs/>
                <w:lang w:eastAsia="en-AU"/>
              </w:rPr>
              <w:t>97.4</w:t>
            </w:r>
          </w:p>
        </w:tc>
      </w:tr>
    </w:tbl>
    <w:p w:rsidR="00B958B1" w:rsidRDefault="00B958B1" w:rsidP="009F3B54">
      <w:pPr>
        <w:pStyle w:val="Source"/>
      </w:pPr>
      <w:r w:rsidRPr="00A20936">
        <w:t>Source: Department of Treasury and Finance</w:t>
      </w:r>
    </w:p>
    <w:p w:rsidR="00B958B1" w:rsidRPr="007C29DA" w:rsidRDefault="00B958B1" w:rsidP="009F3B54">
      <w:pPr>
        <w:pStyle w:val="Notes"/>
      </w:pPr>
      <w:r w:rsidRPr="00E06726">
        <w:t>Note:</w:t>
      </w:r>
    </w:p>
    <w:p w:rsidR="00B958B1" w:rsidRDefault="00B958B1" w:rsidP="009F3B54">
      <w:pPr>
        <w:pStyle w:val="Notes"/>
        <w:rPr>
          <w:lang w:eastAsia="en-AU"/>
        </w:rPr>
      </w:pPr>
      <w:r>
        <w:t>(a)</w:t>
      </w:r>
      <w:r w:rsidRPr="004B23A6">
        <w:rPr>
          <w:lang w:eastAsia="en-AU"/>
        </w:rPr>
        <w:t xml:space="preserve"> </w:t>
      </w:r>
      <w:r>
        <w:rPr>
          <w:lang w:eastAsia="en-AU"/>
        </w:rPr>
        <w:tab/>
        <w:t>Represents Victoria's contribution required under the Transitional National Partnership Agreement on Homelessness.</w:t>
      </w:r>
    </w:p>
    <w:p w:rsidR="00B958B1" w:rsidRPr="00AB121E" w:rsidRDefault="00B958B1" w:rsidP="009F3B54">
      <w:pPr>
        <w:pStyle w:val="Notes"/>
      </w:pPr>
    </w:p>
    <w:p w:rsidR="00B958B1" w:rsidRDefault="00B958B1" w:rsidP="009F3B54">
      <w:pPr>
        <w:pStyle w:val="Heading4"/>
      </w:pPr>
      <w:r>
        <w:br w:type="page"/>
      </w:r>
      <w:r w:rsidRPr="00D567F8">
        <w:lastRenderedPageBreak/>
        <w:t>All</w:t>
      </w:r>
    </w:p>
    <w:p w:rsidR="00B958B1" w:rsidRDefault="00B958B1" w:rsidP="009F3B54">
      <w:pPr>
        <w:pStyle w:val="Heading5"/>
      </w:pPr>
      <w:r>
        <w:t xml:space="preserve">Services Connect </w:t>
      </w:r>
    </w:p>
    <w:p w:rsidR="00B958B1" w:rsidRDefault="00B958B1" w:rsidP="009F3B54">
      <w:r w:rsidRPr="00764408">
        <w:t>Services Connect responds to the need for transformative change to human services</w:t>
      </w:r>
      <w:r>
        <w:fldChar w:fldCharType="begin"/>
      </w:r>
      <w:r>
        <w:instrText xml:space="preserve"> XE "</w:instrText>
      </w:r>
      <w:r w:rsidRPr="009E53A6">
        <w:instrText xml:space="preserve">Human </w:instrText>
      </w:r>
      <w:r>
        <w:instrText>S</w:instrText>
      </w:r>
      <w:r w:rsidRPr="009E53A6">
        <w:instrText>ervices</w:instrText>
      </w:r>
      <w:r>
        <w:instrText xml:space="preserve">" </w:instrText>
      </w:r>
      <w:r>
        <w:fldChar w:fldCharType="end"/>
      </w:r>
      <w:r w:rsidRPr="00764408">
        <w:rPr>
          <w:lang w:eastAsia="en-AU"/>
        </w:rPr>
        <w:t xml:space="preserve"> including disability, child protection, mental health and housing assistance, ensuring an efficient but more client</w:t>
      </w:r>
      <w:r w:rsidR="009F0F49">
        <w:rPr>
          <w:lang w:eastAsia="en-AU"/>
        </w:rPr>
        <w:noBreakHyphen/>
      </w:r>
      <w:r w:rsidRPr="00764408">
        <w:rPr>
          <w:lang w:eastAsia="en-AU"/>
        </w:rPr>
        <w:t>centred model.</w:t>
      </w:r>
      <w:r w:rsidRPr="00764408">
        <w:t xml:space="preserve"> Funding will support the extension of Services Connect lead sites and the implementation of new elements in the model. It will also fund testing and development of the systems and processes needed for Services Connect to function effectively and efficiently.</w:t>
      </w:r>
      <w:r>
        <w:t xml:space="preserve"> </w:t>
      </w:r>
    </w:p>
    <w:p w:rsidR="00B958B1" w:rsidRDefault="00B958B1" w:rsidP="009F3B54">
      <w:r>
        <w:t>This initiative contributes to all the Department of Human Services’ service delivery outputs.</w:t>
      </w:r>
    </w:p>
    <w:p w:rsidR="00B958B1" w:rsidRDefault="00B958B1" w:rsidP="009F3B54">
      <w:pPr>
        <w:pStyle w:val="Heading4"/>
      </w:pPr>
      <w:r>
        <w:t>Child Protection and Family Services</w:t>
      </w:r>
    </w:p>
    <w:p w:rsidR="00B958B1" w:rsidRDefault="00B958B1" w:rsidP="009F3B54">
      <w:pPr>
        <w:pStyle w:val="Heading5"/>
      </w:pPr>
      <w:r>
        <w:t xml:space="preserve">Central After Hours Services </w:t>
      </w:r>
    </w:p>
    <w:p w:rsidR="00B958B1" w:rsidRDefault="00B958B1" w:rsidP="009F3B54">
      <w:r>
        <w:fldChar w:fldCharType="begin"/>
      </w:r>
      <w:r>
        <w:instrText xml:space="preserve"> XE "</w:instrText>
      </w:r>
      <w:r w:rsidRPr="002C57FB">
        <w:instrText xml:space="preserve">Department of Human Services:Child </w:instrText>
      </w:r>
      <w:r>
        <w:instrText>P</w:instrText>
      </w:r>
      <w:r w:rsidRPr="002C57FB">
        <w:instrText xml:space="preserve">rotection and </w:instrText>
      </w:r>
      <w:r>
        <w:instrText>F</w:instrText>
      </w:r>
      <w:r w:rsidRPr="002C57FB">
        <w:instrText xml:space="preserve">amily </w:instrText>
      </w:r>
      <w:r>
        <w:instrText>S</w:instrText>
      </w:r>
      <w:r w:rsidRPr="002C57FB">
        <w:instrText>ervices</w:instrText>
      </w:r>
      <w:r>
        <w:instrText xml:space="preserve">" </w:instrText>
      </w:r>
      <w:r>
        <w:fldChar w:fldCharType="end"/>
      </w:r>
      <w:r>
        <w:t xml:space="preserve"> </w:t>
      </w:r>
      <w:r>
        <w:fldChar w:fldCharType="begin"/>
      </w:r>
      <w:r>
        <w:instrText xml:space="preserve"> XE "</w:instrText>
      </w:r>
      <w:r w:rsidRPr="009E53A6">
        <w:instrText xml:space="preserve">Child </w:instrText>
      </w:r>
      <w:r>
        <w:instrText>P</w:instrText>
      </w:r>
      <w:r w:rsidRPr="009E53A6">
        <w:instrText xml:space="preserve">rotection and </w:instrText>
      </w:r>
      <w:r>
        <w:instrText>F</w:instrText>
      </w:r>
      <w:r w:rsidRPr="009E53A6">
        <w:instrText xml:space="preserve">amily </w:instrText>
      </w:r>
      <w:r>
        <w:instrText>S</w:instrText>
      </w:r>
      <w:r w:rsidRPr="009E53A6">
        <w:instrText>ervices</w:instrText>
      </w:r>
      <w:r>
        <w:instrText xml:space="preserve">" </w:instrText>
      </w:r>
      <w:r>
        <w:fldChar w:fldCharType="end"/>
      </w:r>
      <w:r>
        <w:t>Support will be continued for child protection emergency and crisis services to respond to the needs of vulnerable children</w:t>
      </w:r>
      <w:r>
        <w:fldChar w:fldCharType="begin"/>
      </w:r>
      <w:r>
        <w:instrText xml:space="preserve"> XE "</w:instrText>
      </w:r>
      <w:r w:rsidRPr="009E53A6">
        <w:instrText>Children</w:instrText>
      </w:r>
      <w:r>
        <w:instrText xml:space="preserve">" </w:instrText>
      </w:r>
      <w:r>
        <w:fldChar w:fldCharType="end"/>
      </w:r>
      <w:r>
        <w:t xml:space="preserve"> and young people. These services include the After Hours Child Protection Emergency Services</w:t>
      </w:r>
      <w:r>
        <w:fldChar w:fldCharType="begin"/>
      </w:r>
      <w:r>
        <w:instrText xml:space="preserve"> XE "</w:instrText>
      </w:r>
      <w:r w:rsidRPr="009E53A6">
        <w:instrText>Emergency Services</w:instrText>
      </w:r>
      <w:r>
        <w:instrText xml:space="preserve">" </w:instrText>
      </w:r>
      <w:r>
        <w:fldChar w:fldCharType="end"/>
      </w:r>
      <w:r>
        <w:t xml:space="preserve">, the Streetworks Outreach Service and the Central After Hours Assessment and Bail Placement Service. </w:t>
      </w:r>
    </w:p>
    <w:p w:rsidR="00B958B1" w:rsidRDefault="00B958B1" w:rsidP="009F3B54">
      <w:r>
        <w:t>This initiative contributes to the Department of Human Services’ Child Protection and Family Services output.</w:t>
      </w:r>
    </w:p>
    <w:p w:rsidR="00B958B1" w:rsidRDefault="00B958B1" w:rsidP="009F3B54">
      <w:pPr>
        <w:pStyle w:val="Heading5"/>
      </w:pPr>
      <w:r>
        <w:t>Demand and reform for out</w:t>
      </w:r>
      <w:r w:rsidR="009F0F49">
        <w:noBreakHyphen/>
      </w:r>
      <w:r>
        <w:t>of</w:t>
      </w:r>
      <w:r w:rsidR="009F0F49">
        <w:noBreakHyphen/>
      </w:r>
      <w:r>
        <w:t xml:space="preserve">home care services </w:t>
      </w:r>
    </w:p>
    <w:p w:rsidR="00B958B1" w:rsidRDefault="00B958B1" w:rsidP="009F3B54">
      <w:r>
        <w:t>Additional residential and home based care placements will be provided along with financial assistance for education</w:t>
      </w:r>
      <w:r>
        <w:fldChar w:fldCharType="begin"/>
      </w:r>
      <w:r>
        <w:instrText xml:space="preserve"> XE "</w:instrText>
      </w:r>
      <w:r w:rsidRPr="009E53A6">
        <w:instrText>Education</w:instrText>
      </w:r>
      <w:r>
        <w:instrText xml:space="preserve">" </w:instrText>
      </w:r>
      <w:r>
        <w:fldChar w:fldCharType="end"/>
      </w:r>
      <w:r>
        <w:t>, medical and other client expenses. This initiative will support additional therapeutic foster care and capacity to respond to the needs of children with complex needs. This will improve the quality and stability of placements, reducing the reliance on contingency placements, and increase the effectiveness and efficiency of existing out</w:t>
      </w:r>
      <w:r w:rsidR="009F0F49">
        <w:noBreakHyphen/>
      </w:r>
      <w:r>
        <w:t>of</w:t>
      </w:r>
      <w:r w:rsidR="009F0F49">
        <w:noBreakHyphen/>
      </w:r>
      <w:r>
        <w:t>home care</w:t>
      </w:r>
      <w:r>
        <w:fldChar w:fldCharType="begin"/>
      </w:r>
      <w:r>
        <w:instrText xml:space="preserve"> XE "</w:instrText>
      </w:r>
      <w:r w:rsidRPr="009E53A6">
        <w:instrText xml:space="preserve">Out of </w:instrText>
      </w:r>
      <w:r>
        <w:instrText>H</w:instrText>
      </w:r>
      <w:r w:rsidRPr="009E53A6">
        <w:instrText xml:space="preserve">ome </w:instrText>
      </w:r>
      <w:r>
        <w:instrText>C</w:instrText>
      </w:r>
      <w:r w:rsidRPr="009E53A6">
        <w:instrText>are</w:instrText>
      </w:r>
      <w:r>
        <w:instrText xml:space="preserve">" </w:instrText>
      </w:r>
      <w:r>
        <w:fldChar w:fldCharType="end"/>
      </w:r>
      <w:r>
        <w:t xml:space="preserve"> service arrangements.</w:t>
      </w:r>
    </w:p>
    <w:p w:rsidR="00B958B1" w:rsidRDefault="00B958B1" w:rsidP="009F3B54">
      <w:r>
        <w:t>This initiative contributes to the Department of Human Services’ Child Protection and Family Services output.</w:t>
      </w:r>
    </w:p>
    <w:p w:rsidR="00B958B1" w:rsidRDefault="00B958B1" w:rsidP="009F3B54">
      <w:pPr>
        <w:pStyle w:val="Heading5"/>
      </w:pPr>
      <w:r>
        <w:t xml:space="preserve">Protecting women and children from violence and abuse </w:t>
      </w:r>
    </w:p>
    <w:p w:rsidR="00B958B1" w:rsidRDefault="00B958B1" w:rsidP="009F3B54">
      <w:r>
        <w:fldChar w:fldCharType="begin"/>
      </w:r>
      <w:r>
        <w:instrText xml:space="preserve"> XE "</w:instrText>
      </w:r>
      <w:r w:rsidRPr="009E53A6">
        <w:instrText>Children</w:instrText>
      </w:r>
      <w:r>
        <w:instrText xml:space="preserve">" </w:instrText>
      </w:r>
      <w:r>
        <w:fldChar w:fldCharType="end"/>
      </w:r>
      <w:r>
        <w:t xml:space="preserve">The safety of women and children will be enhanced by expanding the capacity of voluntary men’s behaviour change programs as well as expanding the pilot program for adolescents using violence in the home. </w:t>
      </w:r>
    </w:p>
    <w:p w:rsidR="00B958B1" w:rsidRDefault="00B958B1" w:rsidP="009F3B54">
      <w:r>
        <w:t>This initiative contributes to the Department of Human Services’ Child Protection and Family Services output.</w:t>
      </w:r>
    </w:p>
    <w:p w:rsidR="00B958B1" w:rsidRPr="00D567F8" w:rsidRDefault="00B958B1" w:rsidP="009F3B54">
      <w:pPr>
        <w:pStyle w:val="Heading4"/>
        <w:rPr>
          <w:lang w:eastAsia="en-AU"/>
        </w:rPr>
      </w:pPr>
      <w:r w:rsidRPr="00D567F8">
        <w:rPr>
          <w:lang w:eastAsia="en-AU"/>
        </w:rPr>
        <w:lastRenderedPageBreak/>
        <w:t>Concessions to pensioners and beneficiaries</w:t>
      </w:r>
    </w:p>
    <w:p w:rsidR="00B958B1" w:rsidRDefault="00B958B1" w:rsidP="009F3B54">
      <w:pPr>
        <w:pStyle w:val="Heading5"/>
      </w:pPr>
      <w:r>
        <w:t xml:space="preserve">Concessions to pensioners and beneficiaries </w:t>
      </w:r>
    </w:p>
    <w:p w:rsidR="00B958B1" w:rsidRDefault="00B958B1" w:rsidP="009F3B54">
      <w:r>
        <w:fldChar w:fldCharType="begin"/>
      </w:r>
      <w:r>
        <w:instrText xml:space="preserve"> XE "</w:instrText>
      </w:r>
      <w:r w:rsidRPr="004B52A0">
        <w:instrText xml:space="preserve">Department of Human Services:Concessions to </w:instrText>
      </w:r>
      <w:r>
        <w:instrText>P</w:instrText>
      </w:r>
      <w:r w:rsidRPr="004B52A0">
        <w:instrText xml:space="preserve">ensioners and </w:instrText>
      </w:r>
      <w:r>
        <w:instrText>B</w:instrText>
      </w:r>
      <w:r w:rsidRPr="004B52A0">
        <w:instrText>eneficiaries</w:instrText>
      </w:r>
      <w:r>
        <w:instrText xml:space="preserve">" </w:instrText>
      </w:r>
      <w:r>
        <w:fldChar w:fldCharType="end"/>
      </w:r>
      <w:r>
        <w:fldChar w:fldCharType="begin"/>
      </w:r>
      <w:r>
        <w:instrText xml:space="preserve"> XE "</w:instrText>
      </w:r>
      <w:r w:rsidRPr="009E53A6">
        <w:instrText>Concessions</w:instrText>
      </w:r>
      <w:r>
        <w:instrText>:P</w:instrText>
      </w:r>
      <w:r w:rsidRPr="009E53A6">
        <w:instrText xml:space="preserve">ensioners and </w:instrText>
      </w:r>
      <w:r>
        <w:instrText>B</w:instrText>
      </w:r>
      <w:r w:rsidRPr="009E53A6">
        <w:instrText>eneficiaries</w:instrText>
      </w:r>
      <w:r>
        <w:instrText xml:space="preserve">" </w:instrText>
      </w:r>
      <w:r>
        <w:fldChar w:fldCharType="end"/>
      </w:r>
      <w:r>
        <w:t xml:space="preserve">The Government will support the growth in eligible concession card holders and enable the Government’s concession program to continue to assist low income households to meet utility costs, including electricity, gas, water and property rates. </w:t>
      </w:r>
      <w:r w:rsidRPr="007E1F46">
        <w:t>This is in addition to concessions provided to pensioner households through the Fire Services Property Levy.</w:t>
      </w:r>
    </w:p>
    <w:p w:rsidR="00B958B1" w:rsidRDefault="00B958B1" w:rsidP="009F3B54">
      <w:r>
        <w:t>This initiative contributes to the Department of Human Services’ Concessions to Pensioners and Beneficiaries output.</w:t>
      </w:r>
    </w:p>
    <w:p w:rsidR="00B958B1" w:rsidRPr="00D567F8" w:rsidRDefault="00B958B1" w:rsidP="009F3B54">
      <w:pPr>
        <w:pStyle w:val="Heading4"/>
        <w:rPr>
          <w:lang w:eastAsia="en-AU"/>
        </w:rPr>
      </w:pPr>
      <w:bookmarkStart w:id="40" w:name="BP3Ch1DHSDisabSvces"/>
      <w:r w:rsidRPr="00D567F8">
        <w:rPr>
          <w:lang w:eastAsia="en-AU"/>
        </w:rPr>
        <w:t>Disability Services</w:t>
      </w:r>
    </w:p>
    <w:p w:rsidR="00B958B1" w:rsidRDefault="00B958B1" w:rsidP="009F3B54">
      <w:pPr>
        <w:pStyle w:val="Heading5"/>
      </w:pPr>
      <w:r>
        <w:t>Aids and equipment</w:t>
      </w:r>
    </w:p>
    <w:p w:rsidR="00B958B1" w:rsidRDefault="00B958B1" w:rsidP="009F3B54">
      <w:r>
        <w:t xml:space="preserve">Additional subsidies for aids and equipment will be provided to people living with a disability to enhance their quality of life and build independent living skills. The Aids and Equipment program provides subsidised support for items such as wheelchairs, walking aids, shower chairs, continence aids, and home and vehicle modifications. </w:t>
      </w:r>
    </w:p>
    <w:p w:rsidR="00B958B1" w:rsidRDefault="00B958B1" w:rsidP="009F3B54">
      <w:r>
        <w:t xml:space="preserve">This initiative contributes to the Department of Human Services’ Disability Services output. </w:t>
      </w:r>
    </w:p>
    <w:p w:rsidR="00B958B1" w:rsidRPr="00D51BA7" w:rsidRDefault="00B958B1" w:rsidP="009F3B54">
      <w:pPr>
        <w:pStyle w:val="Heading5"/>
      </w:pPr>
      <w:r w:rsidRPr="00D51BA7">
        <w:t>Improved disability accommodation support</w:t>
      </w:r>
    </w:p>
    <w:p w:rsidR="00B958B1" w:rsidRDefault="00B958B1" w:rsidP="009F3B54">
      <w:r w:rsidRPr="00D51BA7">
        <w:t xml:space="preserve">This </w:t>
      </w:r>
      <w:r>
        <w:t>initiative will improve disability shared support accommodation services. This funding will allow the Department of Human Services to better utilise innovative accommodation models to meet the growing needs of complex clients.</w:t>
      </w:r>
    </w:p>
    <w:p w:rsidR="00B958B1" w:rsidRPr="00D51BA7" w:rsidRDefault="00B958B1" w:rsidP="009F3B54">
      <w:r>
        <w:t xml:space="preserve">This initiative contributes to the Department of Human Services’ Disability Services output. </w:t>
      </w:r>
    </w:p>
    <w:p w:rsidR="00B958B1" w:rsidRDefault="00B958B1" w:rsidP="009F3B54">
      <w:pPr>
        <w:pStyle w:val="Heading5"/>
      </w:pPr>
      <w:r>
        <w:t>Individualised support for people with a disability, their families and carers</w:t>
      </w:r>
    </w:p>
    <w:p w:rsidR="00B958B1" w:rsidRDefault="00B958B1" w:rsidP="009F3B54">
      <w:r>
        <w:fldChar w:fldCharType="begin"/>
      </w:r>
      <w:r>
        <w:instrText xml:space="preserve"> XE "</w:instrText>
      </w:r>
      <w:r w:rsidRPr="009E53A6">
        <w:instrText>Carers</w:instrText>
      </w:r>
      <w:r>
        <w:instrText xml:space="preserve">" </w:instrText>
      </w:r>
      <w:r>
        <w:fldChar w:fldCharType="end"/>
      </w:r>
      <w:r>
        <w:t xml:space="preserve">Up to 720 additional individual support packages will be available to provide essential care and support services for people with a disability, their families and carers. Individual support packages provide Victorians with a disability choice about the types of support they access and greater control over their own lives. </w:t>
      </w:r>
    </w:p>
    <w:p w:rsidR="00B958B1" w:rsidRDefault="00B958B1" w:rsidP="009F3B54">
      <w:r>
        <w:t>A number of these packages will be available to meet demand for students with a disability currently exiting the school system, and those exiting the Futures for Young Adults program. This will ensure that young people with high ongoing needs are provided with the assistance they require.</w:t>
      </w:r>
    </w:p>
    <w:p w:rsidR="00B958B1" w:rsidRDefault="00B958B1" w:rsidP="009F3B54">
      <w:r>
        <w:t xml:space="preserve">This initiative contributes to the Department of Human Services’ Disability Services output. </w:t>
      </w:r>
    </w:p>
    <w:p w:rsidR="00B958B1" w:rsidRDefault="00B958B1" w:rsidP="009F3B54">
      <w:pPr>
        <w:pStyle w:val="Heading5"/>
      </w:pPr>
      <w:r>
        <w:t>National Disability Insurance Scheme – launch site</w:t>
      </w:r>
    </w:p>
    <w:p w:rsidR="00B958B1" w:rsidRDefault="00B958B1" w:rsidP="009F3B54">
      <w:r>
        <w:t xml:space="preserve">As part of the National Disability Insurance Scheme trial in the Barwon area that is due to commence on 1 July 2013, the Victorian Government is committing additional funding over the three year period of the trial to support approximately 5 000 eligible people with significant disabilities. This additional funding contributes to the Victorian Government's </w:t>
      </w:r>
      <w:r>
        <w:lastRenderedPageBreak/>
        <w:t xml:space="preserve">total investment of over $300 million for disability services for people in the Barwon area over the three year trial period. Over the course of the launch, eligible people will have their needs assessed and will start to receive care and support under a National Disability Insurance Scheme model. </w:t>
      </w:r>
      <w:r>
        <w:fldChar w:fldCharType="begin"/>
      </w:r>
      <w:r>
        <w:instrText xml:space="preserve"> XE "</w:instrText>
      </w:r>
      <w:r w:rsidRPr="00AE3BD7">
        <w:instrText>Department of Human Services:Disability</w:instrText>
      </w:r>
      <w:r>
        <w:instrText xml:space="preserve"> Ser</w:instrText>
      </w:r>
      <w:r w:rsidRPr="00AE3BD7">
        <w:instrText>vices</w:instrText>
      </w:r>
      <w:r>
        <w:instrText xml:space="preserve">" </w:instrText>
      </w:r>
      <w:r>
        <w:fldChar w:fldCharType="end"/>
      </w:r>
      <w:r>
        <w:t xml:space="preserve"> </w:t>
      </w:r>
      <w:r>
        <w:fldChar w:fldCharType="begin"/>
      </w:r>
      <w:r>
        <w:instrText xml:space="preserve"> XE "Disability:</w:instrText>
      </w:r>
      <w:r w:rsidRPr="009E53A6">
        <w:instrText xml:space="preserve">Disability </w:instrText>
      </w:r>
      <w:r>
        <w:instrText>S</w:instrText>
      </w:r>
      <w:r w:rsidRPr="009E53A6">
        <w:instrText>ervices</w:instrText>
      </w:r>
      <w:r>
        <w:instrText xml:space="preserve">" </w:instrText>
      </w:r>
      <w:r>
        <w:fldChar w:fldCharType="end"/>
      </w:r>
    </w:p>
    <w:bookmarkEnd w:id="40"/>
    <w:p w:rsidR="00B958B1" w:rsidRDefault="00B958B1" w:rsidP="009F3B54">
      <w:r>
        <w:t>This initiative contributes to the Department of Human Services Disability Services output.</w:t>
      </w:r>
    </w:p>
    <w:p w:rsidR="00B958B1" w:rsidRPr="00D567F8" w:rsidRDefault="00B958B1" w:rsidP="009F3B54">
      <w:pPr>
        <w:pStyle w:val="Heading4"/>
        <w:rPr>
          <w:lang w:eastAsia="en-AU"/>
        </w:rPr>
      </w:pPr>
      <w:r>
        <w:rPr>
          <w:lang w:eastAsia="en-AU"/>
        </w:rPr>
        <w:br w:type="page"/>
      </w:r>
      <w:r w:rsidRPr="00D567F8">
        <w:rPr>
          <w:lang w:eastAsia="en-AU"/>
        </w:rPr>
        <w:t>Empowering Individuals and Communities</w:t>
      </w:r>
    </w:p>
    <w:p w:rsidR="00B958B1" w:rsidRDefault="00B958B1" w:rsidP="009F3B54">
      <w:pPr>
        <w:pStyle w:val="Heading5"/>
      </w:pPr>
      <w:r>
        <w:t>Driving youth enterprise</w:t>
      </w:r>
    </w:p>
    <w:p w:rsidR="00B958B1" w:rsidRDefault="00B958B1" w:rsidP="009F3B54">
      <w:pPr>
        <w:rPr>
          <w:lang w:eastAsia="en-AU"/>
        </w:rPr>
      </w:pPr>
      <w:r>
        <w:rPr>
          <w:lang w:eastAsia="en-AU"/>
        </w:rPr>
        <w:fldChar w:fldCharType="begin"/>
      </w:r>
      <w:r>
        <w:instrText xml:space="preserve"> XE "</w:instrText>
      </w:r>
      <w:r w:rsidRPr="001902E6">
        <w:instrText>Communities</w:instrText>
      </w:r>
      <w:r>
        <w:instrText xml:space="preserve">" </w:instrText>
      </w:r>
      <w:r>
        <w:rPr>
          <w:lang w:eastAsia="en-AU"/>
        </w:rPr>
        <w:fldChar w:fldCharType="end"/>
      </w:r>
      <w:r>
        <w:rPr>
          <w:lang w:eastAsia="en-AU"/>
        </w:rPr>
        <w:t>Engagement and participation of young people in Victoria’s economy and community will be enhanced through new enterprise and mentoring programs. These programs will focus on supporting young people aged 18</w:t>
      </w:r>
      <w:r w:rsidR="009F0F49">
        <w:rPr>
          <w:lang w:eastAsia="en-AU"/>
        </w:rPr>
        <w:noBreakHyphen/>
      </w:r>
      <w:r>
        <w:rPr>
          <w:lang w:eastAsia="en-AU"/>
        </w:rPr>
        <w:t>25 years to be engaged, involved and creative in a range of mentoring, training and business start</w:t>
      </w:r>
      <w:r w:rsidR="009F0F49">
        <w:rPr>
          <w:lang w:eastAsia="en-AU"/>
        </w:rPr>
        <w:noBreakHyphen/>
      </w:r>
      <w:r>
        <w:rPr>
          <w:lang w:eastAsia="en-AU"/>
        </w:rPr>
        <w:t>up and support initiatives. Additionally, funding will be provided for three Victorian local government areas to manage safer annual school leaver celebrations.</w:t>
      </w:r>
      <w:r>
        <w:rPr>
          <w:lang w:eastAsia="en-AU"/>
        </w:rPr>
        <w:fldChar w:fldCharType="begin"/>
      </w:r>
      <w:r>
        <w:instrText xml:space="preserve"> XE "</w:instrText>
      </w:r>
      <w:r w:rsidRPr="009E53A6">
        <w:instrText xml:space="preserve">Empowering </w:instrText>
      </w:r>
      <w:r>
        <w:instrText>I</w:instrText>
      </w:r>
      <w:r w:rsidRPr="009E53A6">
        <w:instrText xml:space="preserve">ndividuals and </w:instrText>
      </w:r>
      <w:r>
        <w:instrText>C</w:instrText>
      </w:r>
      <w:r w:rsidRPr="009E53A6">
        <w:instrText>ommunities</w:instrText>
      </w:r>
      <w:r>
        <w:instrText xml:space="preserve">" </w:instrText>
      </w:r>
      <w:r>
        <w:rPr>
          <w:lang w:eastAsia="en-AU"/>
        </w:rPr>
        <w:fldChar w:fldCharType="end"/>
      </w:r>
      <w:r>
        <w:rPr>
          <w:lang w:eastAsia="en-AU"/>
        </w:rPr>
        <w:fldChar w:fldCharType="begin"/>
      </w:r>
      <w:r>
        <w:instrText xml:space="preserve"> XE "</w:instrText>
      </w:r>
      <w:r w:rsidRPr="00523DF9">
        <w:instrText xml:space="preserve">Department of Human Services:Empowering </w:instrText>
      </w:r>
      <w:r>
        <w:instrText>I</w:instrText>
      </w:r>
      <w:r w:rsidRPr="00523DF9">
        <w:instrText xml:space="preserve">ndividuals and </w:instrText>
      </w:r>
      <w:r>
        <w:instrText>C</w:instrText>
      </w:r>
      <w:r w:rsidRPr="00523DF9">
        <w:instrText>ommunities</w:instrText>
      </w:r>
      <w:r>
        <w:instrText xml:space="preserve">" </w:instrText>
      </w:r>
      <w:r>
        <w:rPr>
          <w:lang w:eastAsia="en-AU"/>
        </w:rPr>
        <w:fldChar w:fldCharType="end"/>
      </w:r>
    </w:p>
    <w:p w:rsidR="00B958B1" w:rsidRDefault="00B958B1" w:rsidP="009F3B54">
      <w:r>
        <w:t>This initiative contributes to the Department of Human Services’ Youth Affairs output.</w:t>
      </w:r>
    </w:p>
    <w:p w:rsidR="00B958B1" w:rsidRPr="00D567F8" w:rsidRDefault="00B958B1" w:rsidP="009F3B54">
      <w:pPr>
        <w:pStyle w:val="Heading4"/>
        <w:rPr>
          <w:lang w:eastAsia="en-AU"/>
        </w:rPr>
      </w:pPr>
      <w:bookmarkStart w:id="41" w:name="BP3Ch1DHSHousingAssist"/>
      <w:r w:rsidRPr="00D567F8">
        <w:rPr>
          <w:lang w:eastAsia="en-AU"/>
        </w:rPr>
        <w:t>Housing Assistance</w:t>
      </w:r>
    </w:p>
    <w:p w:rsidR="00B958B1" w:rsidRDefault="00B958B1" w:rsidP="009F3B54">
      <w:pPr>
        <w:pStyle w:val="Heading5"/>
      </w:pPr>
      <w:r>
        <w:t xml:space="preserve">Accommodation options for families </w:t>
      </w:r>
    </w:p>
    <w:p w:rsidR="00B958B1" w:rsidRDefault="00B958B1" w:rsidP="009F3B54">
      <w:r>
        <w:t>Families living in inappropriate accommodation such as rooming houses will continue to be assisted with casework support and brokerage funding to access a range of affordable and appropriate accommodation options. Families eligible for public housing will be assisted to access and sustain private rental options.</w:t>
      </w:r>
    </w:p>
    <w:p w:rsidR="00B958B1" w:rsidRDefault="00B958B1" w:rsidP="009F3B54">
      <w:r>
        <w:t>This initiative contributes to the Department of Human Services’ Housing Assistance output.</w:t>
      </w:r>
    </w:p>
    <w:p w:rsidR="00B958B1" w:rsidRDefault="00B958B1" w:rsidP="009F3B54">
      <w:pPr>
        <w:pStyle w:val="Heading5"/>
      </w:pPr>
      <w:r>
        <w:t>Bendigo social housing project</w:t>
      </w:r>
    </w:p>
    <w:p w:rsidR="00B958B1" w:rsidRDefault="00B958B1" w:rsidP="009F3B54">
      <w:r>
        <w:t>The Government will make a $4 million contribution to a medium density social housing project to be constructed in Bendigo. Tenants will be assisted to build their skills to sustain a long</w:t>
      </w:r>
      <w:r w:rsidR="009F0F49">
        <w:noBreakHyphen/>
      </w:r>
      <w:r>
        <w:t>term tenancy independently. This initiative will be undertaken in conjunction with a community housing association.</w:t>
      </w:r>
    </w:p>
    <w:p w:rsidR="00B958B1" w:rsidRDefault="00B958B1" w:rsidP="009F3B54">
      <w:r>
        <w:t>This initiative contributes to the Department of Human Services’ Housing Assistance output.</w:t>
      </w:r>
    </w:p>
    <w:p w:rsidR="00B958B1" w:rsidRDefault="00B958B1" w:rsidP="009F3B54">
      <w:pPr>
        <w:pStyle w:val="Heading5"/>
      </w:pPr>
      <w:r>
        <w:t>Gas heater servicing in public housing properties</w:t>
      </w:r>
    </w:p>
    <w:p w:rsidR="00B958B1" w:rsidRDefault="00B958B1" w:rsidP="009F3B54">
      <w:r w:rsidRPr="0028604A">
        <w:t>This initiative establishes a regular servicing program for gas heaters in public housing. The initiative will reduce risks to public tenants and improve safety in public housing properties.</w:t>
      </w:r>
    </w:p>
    <w:p w:rsidR="00B958B1" w:rsidRPr="00D51BA7" w:rsidRDefault="00B958B1" w:rsidP="009F3B54">
      <w:r>
        <w:t xml:space="preserve">This initiative contributes to the Department of Human Services’ Housing Assistance </w:t>
      </w:r>
      <w:r w:rsidRPr="00D51BA7">
        <w:t>output.</w:t>
      </w:r>
    </w:p>
    <w:p w:rsidR="00B958B1" w:rsidRPr="003A5A02" w:rsidRDefault="00B958B1" w:rsidP="009F3B54">
      <w:pPr>
        <w:pStyle w:val="Heading5"/>
      </w:pPr>
      <w:r w:rsidRPr="003A5A02">
        <w:t>Kids Under Cover</w:t>
      </w:r>
    </w:p>
    <w:p w:rsidR="00B958B1" w:rsidRDefault="00B958B1" w:rsidP="009F3B54">
      <w:r>
        <w:t>Funding will provide 30 single or double bedroom studios on the grounds of family or carers’</w:t>
      </w:r>
      <w:r>
        <w:fldChar w:fldCharType="begin"/>
      </w:r>
      <w:r>
        <w:instrText xml:space="preserve"> XE "C</w:instrText>
      </w:r>
      <w:r w:rsidRPr="009E53A6">
        <w:instrText>arers</w:instrText>
      </w:r>
      <w:r>
        <w:instrText xml:space="preserve">" </w:instrText>
      </w:r>
      <w:r>
        <w:fldChar w:fldCharType="end"/>
      </w:r>
      <w:r>
        <w:t xml:space="preserve"> homes over the next two years. This will enable young people to remain in their community, maintain or resume education</w:t>
      </w:r>
      <w:r>
        <w:fldChar w:fldCharType="begin"/>
      </w:r>
      <w:r>
        <w:instrText xml:space="preserve"> XE "</w:instrText>
      </w:r>
      <w:r w:rsidRPr="009E53A6">
        <w:instrText>Education</w:instrText>
      </w:r>
      <w:r>
        <w:instrText xml:space="preserve">" </w:instrText>
      </w:r>
      <w:r>
        <w:fldChar w:fldCharType="end"/>
      </w:r>
      <w:r>
        <w:t>, and allow families to stay together.</w:t>
      </w:r>
    </w:p>
    <w:p w:rsidR="00B958B1" w:rsidRDefault="00B958B1" w:rsidP="009F3B54">
      <w:r>
        <w:t>This output contributes to the Department of Human Services’ Housing Assistance output.</w:t>
      </w:r>
    </w:p>
    <w:p w:rsidR="00B958B1" w:rsidRDefault="00B958B1" w:rsidP="009F3B54">
      <w:pPr>
        <w:pStyle w:val="Heading5"/>
      </w:pPr>
      <w:r>
        <w:t>Transitional National Partnership Agreement on Homelessness</w:t>
      </w:r>
    </w:p>
    <w:p w:rsidR="00B958B1" w:rsidRDefault="00B958B1" w:rsidP="009F3B54">
      <w:r>
        <w:fldChar w:fldCharType="begin"/>
      </w:r>
      <w:r>
        <w:instrText xml:space="preserve"> XE "</w:instrText>
      </w:r>
      <w:r w:rsidRPr="009E53A6">
        <w:instrText>Homelessness</w:instrText>
      </w:r>
      <w:r>
        <w:instrText xml:space="preserve">" </w:instrText>
      </w:r>
      <w:r>
        <w:fldChar w:fldCharType="end"/>
      </w:r>
      <w:r>
        <w:t>Funding is provided to maintain support services for homeless Victorians as Victoria’s contribution to the Transitional National Partnership Agreement while a longer</w:t>
      </w:r>
      <w:r w:rsidR="009F0F49">
        <w:noBreakHyphen/>
      </w:r>
      <w:r>
        <w:t>term reform plan for homelessness is developed. These services will continue to assist vulnerable Victorians who are homeless or at risk of homelessness, including rough sleepers, people with a mental illness, women with children</w:t>
      </w:r>
      <w:r>
        <w:fldChar w:fldCharType="begin"/>
      </w:r>
      <w:r>
        <w:instrText xml:space="preserve"> XE "</w:instrText>
      </w:r>
      <w:r w:rsidRPr="009E53A6">
        <w:instrText>Children</w:instrText>
      </w:r>
      <w:r>
        <w:instrText xml:space="preserve">" </w:instrText>
      </w:r>
      <w:r>
        <w:fldChar w:fldCharType="end"/>
      </w:r>
      <w:r>
        <w:t xml:space="preserve"> experiencing family violence and young people who have experienced family breakdown. </w:t>
      </w:r>
      <w:r>
        <w:fldChar w:fldCharType="begin"/>
      </w:r>
      <w:r>
        <w:instrText xml:space="preserve"> XE "</w:instrText>
      </w:r>
      <w:r w:rsidRPr="006D0A40">
        <w:instrText xml:space="preserve">Department of Human Services:Housing </w:instrText>
      </w:r>
      <w:r>
        <w:instrText>A</w:instrText>
      </w:r>
      <w:r w:rsidRPr="006D0A40">
        <w:instrText>ssistance</w:instrText>
      </w:r>
      <w:r>
        <w:instrText xml:space="preserve">" </w:instrText>
      </w:r>
      <w:r>
        <w:fldChar w:fldCharType="end"/>
      </w:r>
      <w:r>
        <w:fldChar w:fldCharType="begin"/>
      </w:r>
      <w:r>
        <w:instrText xml:space="preserve"> XE "</w:instrText>
      </w:r>
      <w:r w:rsidRPr="009E53A6">
        <w:instrText xml:space="preserve">Housing </w:instrText>
      </w:r>
      <w:r>
        <w:instrText>A</w:instrText>
      </w:r>
      <w:r w:rsidRPr="009E53A6">
        <w:instrText>ssistance</w:instrText>
      </w:r>
      <w:r>
        <w:instrText xml:space="preserve">" </w:instrText>
      </w:r>
      <w:r>
        <w:fldChar w:fldCharType="end"/>
      </w:r>
    </w:p>
    <w:bookmarkEnd w:id="41"/>
    <w:p w:rsidR="00B958B1" w:rsidRDefault="00B958B1" w:rsidP="009F3B54">
      <w:r>
        <w:t xml:space="preserve">This initiative contributes to the Department of Human Services’ Housing Assistance output. </w:t>
      </w:r>
      <w:r>
        <w:fldChar w:fldCharType="begin"/>
      </w:r>
      <w:r>
        <w:instrText xml:space="preserve"> XE "</w:instrText>
      </w:r>
      <w:r w:rsidRPr="00843D68">
        <w:instrText>Department of Human Services:Output initiatives</w:instrText>
      </w:r>
      <w:r>
        <w:instrText xml:space="preserve">" \r "BP3Ch1DHSOutputInitves" </w:instrText>
      </w:r>
      <w:r>
        <w:fldChar w:fldCharType="end"/>
      </w:r>
      <w:r>
        <w:t xml:space="preserve"> </w:t>
      </w:r>
    </w:p>
    <w:p w:rsidR="00B958B1" w:rsidRDefault="00B958B1" w:rsidP="009F3B54">
      <w:pPr>
        <w:pStyle w:val="Heading3"/>
      </w:pPr>
      <w:bookmarkStart w:id="42" w:name="BP3Ch1DHSAssetInitves"/>
      <w:bookmarkEnd w:id="39"/>
      <w:r>
        <w:t>Asset initiatives</w:t>
      </w:r>
    </w:p>
    <w:p w:rsidR="00B958B1" w:rsidRDefault="00B958B1" w:rsidP="009F3B54">
      <w:pPr>
        <w:pStyle w:val="Tableheading"/>
      </w:pPr>
      <w:r>
        <w:t>Table </w:t>
      </w:r>
      <w:r w:rsidRPr="007E06F5">
        <w:t>1.</w:t>
      </w:r>
      <w:r>
        <w:t>8</w:t>
      </w:r>
      <w:r w:rsidRPr="007E06F5">
        <w:t>:</w:t>
      </w:r>
      <w:r w:rsidRPr="007E06F5">
        <w:tab/>
        <w:t>Asset initiatives – Human Services</w:t>
      </w:r>
    </w:p>
    <w:p w:rsidR="00B958B1" w:rsidRPr="00C90A10" w:rsidRDefault="00B958B1" w:rsidP="009F3B5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164"/>
        <w:gridCol w:w="297"/>
        <w:gridCol w:w="531"/>
        <w:gridCol w:w="819"/>
        <w:gridCol w:w="9"/>
        <w:gridCol w:w="828"/>
        <w:gridCol w:w="9"/>
        <w:gridCol w:w="819"/>
        <w:gridCol w:w="828"/>
        <w:gridCol w:w="472"/>
      </w:tblGrid>
      <w:tr w:rsidR="00B958B1" w:rsidRPr="00C90A10" w:rsidTr="009F3B54">
        <w:tc>
          <w:tcPr>
            <w:tcW w:w="3164" w:type="dxa"/>
            <w:tcBorders>
              <w:top w:val="single" w:sz="6" w:space="0" w:color="auto"/>
              <w:left w:val="single" w:sz="4" w:space="0" w:color="auto"/>
              <w:bottom w:val="single" w:sz="4" w:space="0" w:color="auto"/>
              <w:right w:val="nil"/>
            </w:tcBorders>
            <w:shd w:val="clear" w:color="auto" w:fill="000000"/>
          </w:tcPr>
          <w:p w:rsidR="00B958B1" w:rsidRPr="00C90A10" w:rsidRDefault="00B958B1" w:rsidP="009F3B54">
            <w:pPr>
              <w:pStyle w:val="Tabletext"/>
              <w:rPr>
                <w:lang w:eastAsia="en-AU"/>
              </w:rPr>
            </w:pPr>
          </w:p>
        </w:tc>
        <w:tc>
          <w:tcPr>
            <w:tcW w:w="828" w:type="dxa"/>
            <w:gridSpan w:val="2"/>
            <w:tcBorders>
              <w:top w:val="single" w:sz="6" w:space="0" w:color="auto"/>
              <w:left w:val="nil"/>
              <w:bottom w:val="single" w:sz="4" w:space="0" w:color="auto"/>
              <w:right w:val="nil"/>
            </w:tcBorders>
            <w:shd w:val="clear" w:color="auto" w:fill="000000"/>
          </w:tcPr>
          <w:p w:rsidR="00B958B1" w:rsidRPr="00C90A10" w:rsidRDefault="00B958B1" w:rsidP="009F3B54">
            <w:pPr>
              <w:pStyle w:val="Tabletextheading"/>
              <w:rPr>
                <w:lang w:eastAsia="en-AU"/>
              </w:rPr>
            </w:pPr>
            <w:r w:rsidRPr="00C90A10">
              <w:rPr>
                <w:lang w:eastAsia="en-AU"/>
              </w:rPr>
              <w:t>2012</w:t>
            </w:r>
            <w:r w:rsidR="009F0F49">
              <w:rPr>
                <w:lang w:eastAsia="en-AU"/>
              </w:rPr>
              <w:noBreakHyphen/>
            </w:r>
            <w:r w:rsidRPr="00C90A10">
              <w:rPr>
                <w:lang w:eastAsia="en-AU"/>
              </w:rPr>
              <w:t>13</w:t>
            </w:r>
          </w:p>
        </w:tc>
        <w:tc>
          <w:tcPr>
            <w:tcW w:w="828" w:type="dxa"/>
            <w:gridSpan w:val="2"/>
            <w:tcBorders>
              <w:top w:val="single" w:sz="6" w:space="0" w:color="auto"/>
              <w:left w:val="nil"/>
              <w:bottom w:val="single" w:sz="4" w:space="0" w:color="auto"/>
              <w:right w:val="nil"/>
            </w:tcBorders>
            <w:shd w:val="clear" w:color="auto" w:fill="000000"/>
          </w:tcPr>
          <w:p w:rsidR="00B958B1" w:rsidRPr="00C90A10" w:rsidRDefault="00B958B1" w:rsidP="009F3B54">
            <w:pPr>
              <w:pStyle w:val="Tabletextheading"/>
              <w:rPr>
                <w:lang w:eastAsia="en-AU"/>
              </w:rPr>
            </w:pPr>
            <w:r w:rsidRPr="00C90A10">
              <w:rPr>
                <w:lang w:eastAsia="en-AU"/>
              </w:rPr>
              <w:t>2013</w:t>
            </w:r>
            <w:r w:rsidR="009F0F49">
              <w:rPr>
                <w:lang w:eastAsia="en-AU"/>
              </w:rPr>
              <w:noBreakHyphen/>
            </w:r>
            <w:r w:rsidRPr="00C90A10">
              <w:rPr>
                <w:lang w:eastAsia="en-AU"/>
              </w:rPr>
              <w:t>14</w:t>
            </w:r>
          </w:p>
        </w:tc>
        <w:tc>
          <w:tcPr>
            <w:tcW w:w="828" w:type="dxa"/>
            <w:tcBorders>
              <w:top w:val="single" w:sz="6" w:space="0" w:color="auto"/>
              <w:left w:val="nil"/>
              <w:bottom w:val="single" w:sz="4" w:space="0" w:color="auto"/>
              <w:right w:val="nil"/>
            </w:tcBorders>
            <w:shd w:val="clear" w:color="auto" w:fill="000000"/>
          </w:tcPr>
          <w:p w:rsidR="00B958B1" w:rsidRPr="00C90A10" w:rsidRDefault="00B958B1" w:rsidP="009F3B54">
            <w:pPr>
              <w:pStyle w:val="Tabletextheading"/>
              <w:rPr>
                <w:lang w:eastAsia="en-AU"/>
              </w:rPr>
            </w:pPr>
            <w:r w:rsidRPr="00C90A10">
              <w:rPr>
                <w:lang w:eastAsia="en-AU"/>
              </w:rPr>
              <w:t>2014</w:t>
            </w:r>
            <w:r w:rsidR="009F0F49">
              <w:rPr>
                <w:lang w:eastAsia="en-AU"/>
              </w:rPr>
              <w:noBreakHyphen/>
            </w:r>
            <w:r w:rsidRPr="00C90A10">
              <w:rPr>
                <w:lang w:eastAsia="en-AU"/>
              </w:rPr>
              <w:t>15</w:t>
            </w:r>
          </w:p>
        </w:tc>
        <w:tc>
          <w:tcPr>
            <w:tcW w:w="828" w:type="dxa"/>
            <w:gridSpan w:val="2"/>
            <w:tcBorders>
              <w:top w:val="single" w:sz="6" w:space="0" w:color="auto"/>
              <w:left w:val="nil"/>
              <w:bottom w:val="single" w:sz="4" w:space="0" w:color="auto"/>
              <w:right w:val="nil"/>
            </w:tcBorders>
            <w:shd w:val="clear" w:color="auto" w:fill="000000"/>
          </w:tcPr>
          <w:p w:rsidR="00B958B1" w:rsidRPr="00C90A10" w:rsidRDefault="00B958B1" w:rsidP="009F3B54">
            <w:pPr>
              <w:pStyle w:val="Tabletextheading"/>
              <w:rPr>
                <w:lang w:eastAsia="en-AU"/>
              </w:rPr>
            </w:pPr>
            <w:r w:rsidRPr="00C90A10">
              <w:rPr>
                <w:lang w:eastAsia="en-AU"/>
              </w:rPr>
              <w:t>2015</w:t>
            </w:r>
            <w:r w:rsidR="009F0F49">
              <w:rPr>
                <w:lang w:eastAsia="en-AU"/>
              </w:rPr>
              <w:noBreakHyphen/>
            </w:r>
            <w:r w:rsidRPr="00C90A10">
              <w:rPr>
                <w:lang w:eastAsia="en-AU"/>
              </w:rPr>
              <w:t>16</w:t>
            </w:r>
          </w:p>
        </w:tc>
        <w:tc>
          <w:tcPr>
            <w:tcW w:w="828" w:type="dxa"/>
            <w:tcBorders>
              <w:top w:val="single" w:sz="6" w:space="0" w:color="auto"/>
              <w:left w:val="nil"/>
              <w:bottom w:val="single" w:sz="4" w:space="0" w:color="auto"/>
              <w:right w:val="nil"/>
            </w:tcBorders>
            <w:shd w:val="clear" w:color="auto" w:fill="000000"/>
          </w:tcPr>
          <w:p w:rsidR="00B958B1" w:rsidRPr="00C90A10" w:rsidRDefault="00B958B1" w:rsidP="009F3B54">
            <w:pPr>
              <w:pStyle w:val="Tabletextheading"/>
              <w:rPr>
                <w:lang w:eastAsia="en-AU"/>
              </w:rPr>
            </w:pPr>
            <w:r w:rsidRPr="00C90A10">
              <w:rPr>
                <w:lang w:eastAsia="en-AU"/>
              </w:rPr>
              <w:t>2016</w:t>
            </w:r>
            <w:r w:rsidR="009F0F49">
              <w:rPr>
                <w:lang w:eastAsia="en-AU"/>
              </w:rPr>
              <w:noBreakHyphen/>
            </w:r>
            <w:r w:rsidRPr="00C90A10">
              <w:rPr>
                <w:lang w:eastAsia="en-AU"/>
              </w:rPr>
              <w:t>17</w:t>
            </w:r>
          </w:p>
        </w:tc>
        <w:tc>
          <w:tcPr>
            <w:tcW w:w="472" w:type="dxa"/>
            <w:tcBorders>
              <w:top w:val="single" w:sz="6" w:space="0" w:color="auto"/>
              <w:left w:val="nil"/>
              <w:bottom w:val="single" w:sz="4" w:space="0" w:color="auto"/>
              <w:right w:val="single" w:sz="4" w:space="0" w:color="auto"/>
            </w:tcBorders>
            <w:shd w:val="clear" w:color="auto" w:fill="000000"/>
          </w:tcPr>
          <w:p w:rsidR="00B958B1" w:rsidRPr="00C90A10" w:rsidRDefault="00B958B1" w:rsidP="009F3B54">
            <w:pPr>
              <w:pStyle w:val="Tabletextheading"/>
              <w:rPr>
                <w:lang w:eastAsia="en-AU"/>
              </w:rPr>
            </w:pPr>
            <w:r w:rsidRPr="00C90A10">
              <w:rPr>
                <w:lang w:eastAsia="en-AU"/>
              </w:rPr>
              <w:t>TEI</w:t>
            </w:r>
          </w:p>
        </w:tc>
      </w:tr>
      <w:tr w:rsidR="00B958B1" w:rsidRPr="00C90A10" w:rsidTr="009F3B54">
        <w:tc>
          <w:tcPr>
            <w:tcW w:w="3164" w:type="dxa"/>
            <w:tcBorders>
              <w:top w:val="single" w:sz="4" w:space="0" w:color="auto"/>
              <w:left w:val="nil"/>
              <w:bottom w:val="nil"/>
              <w:right w:val="nil"/>
            </w:tcBorders>
          </w:tcPr>
          <w:p w:rsidR="00B958B1" w:rsidRPr="00C90A10" w:rsidRDefault="00B958B1" w:rsidP="009F3B54">
            <w:pPr>
              <w:pStyle w:val="Tabletext"/>
              <w:rPr>
                <w:b/>
                <w:bCs/>
                <w:lang w:eastAsia="en-AU"/>
              </w:rPr>
            </w:pPr>
            <w:r w:rsidRPr="00C90A10">
              <w:rPr>
                <w:b/>
                <w:bCs/>
                <w:lang w:eastAsia="en-AU"/>
              </w:rPr>
              <w:t>All</w:t>
            </w:r>
          </w:p>
        </w:tc>
        <w:tc>
          <w:tcPr>
            <w:tcW w:w="828" w:type="dxa"/>
            <w:gridSpan w:val="2"/>
            <w:tcBorders>
              <w:top w:val="single" w:sz="4" w:space="0" w:color="auto"/>
              <w:left w:val="nil"/>
              <w:bottom w:val="nil"/>
              <w:right w:val="nil"/>
            </w:tcBorders>
          </w:tcPr>
          <w:p w:rsidR="00B958B1" w:rsidRPr="00C90A10" w:rsidRDefault="00B958B1" w:rsidP="009F3B54">
            <w:pPr>
              <w:pStyle w:val="TableofFigures"/>
              <w:rPr>
                <w:lang w:eastAsia="en-AU"/>
              </w:rPr>
            </w:pPr>
          </w:p>
        </w:tc>
        <w:tc>
          <w:tcPr>
            <w:tcW w:w="828" w:type="dxa"/>
            <w:gridSpan w:val="2"/>
            <w:tcBorders>
              <w:top w:val="single" w:sz="4" w:space="0" w:color="auto"/>
              <w:left w:val="nil"/>
              <w:bottom w:val="nil"/>
              <w:right w:val="nil"/>
            </w:tcBorders>
          </w:tcPr>
          <w:p w:rsidR="00B958B1" w:rsidRPr="00C90A10" w:rsidRDefault="00B958B1" w:rsidP="009F3B54">
            <w:pPr>
              <w:pStyle w:val="TableofFigures"/>
              <w:rPr>
                <w:lang w:eastAsia="en-AU"/>
              </w:rPr>
            </w:pPr>
          </w:p>
        </w:tc>
        <w:tc>
          <w:tcPr>
            <w:tcW w:w="828" w:type="dxa"/>
            <w:tcBorders>
              <w:top w:val="single" w:sz="4" w:space="0" w:color="auto"/>
              <w:left w:val="nil"/>
              <w:bottom w:val="nil"/>
              <w:right w:val="nil"/>
            </w:tcBorders>
            <w:shd w:val="solid" w:color="FFFFFF" w:fill="auto"/>
          </w:tcPr>
          <w:p w:rsidR="00B958B1" w:rsidRPr="00C90A10" w:rsidRDefault="00B958B1" w:rsidP="009F3B54">
            <w:pPr>
              <w:pStyle w:val="TableofFigures"/>
              <w:rPr>
                <w:lang w:eastAsia="en-AU"/>
              </w:rPr>
            </w:pPr>
          </w:p>
        </w:tc>
        <w:tc>
          <w:tcPr>
            <w:tcW w:w="828" w:type="dxa"/>
            <w:gridSpan w:val="2"/>
            <w:tcBorders>
              <w:top w:val="single" w:sz="4" w:space="0" w:color="auto"/>
              <w:left w:val="nil"/>
              <w:bottom w:val="nil"/>
              <w:right w:val="nil"/>
            </w:tcBorders>
            <w:shd w:val="solid" w:color="FFFFFF" w:fill="auto"/>
          </w:tcPr>
          <w:p w:rsidR="00B958B1" w:rsidRPr="00C90A10" w:rsidRDefault="00B958B1" w:rsidP="009F3B54">
            <w:pPr>
              <w:pStyle w:val="TableofFigures"/>
              <w:rPr>
                <w:lang w:eastAsia="en-AU"/>
              </w:rPr>
            </w:pPr>
          </w:p>
        </w:tc>
        <w:tc>
          <w:tcPr>
            <w:tcW w:w="828" w:type="dxa"/>
            <w:tcBorders>
              <w:top w:val="single" w:sz="4" w:space="0" w:color="auto"/>
              <w:left w:val="nil"/>
              <w:bottom w:val="nil"/>
              <w:right w:val="nil"/>
            </w:tcBorders>
          </w:tcPr>
          <w:p w:rsidR="00B958B1" w:rsidRPr="00C90A10" w:rsidRDefault="00B958B1" w:rsidP="009F3B54">
            <w:pPr>
              <w:pStyle w:val="TableofFigures"/>
              <w:rPr>
                <w:lang w:eastAsia="en-AU"/>
              </w:rPr>
            </w:pPr>
          </w:p>
        </w:tc>
        <w:tc>
          <w:tcPr>
            <w:tcW w:w="472" w:type="dxa"/>
            <w:tcBorders>
              <w:top w:val="single" w:sz="4" w:space="0" w:color="auto"/>
              <w:left w:val="nil"/>
              <w:bottom w:val="nil"/>
              <w:right w:val="nil"/>
            </w:tcBorders>
          </w:tcPr>
          <w:p w:rsidR="00B958B1" w:rsidRPr="00C90A10" w:rsidRDefault="00B958B1" w:rsidP="009F3B54">
            <w:pPr>
              <w:pStyle w:val="TableofFigures"/>
              <w:rPr>
                <w:lang w:eastAsia="en-AU"/>
              </w:rPr>
            </w:pPr>
          </w:p>
        </w:tc>
      </w:tr>
      <w:tr w:rsidR="00B958B1" w:rsidRPr="00C90A10" w:rsidTr="009F3B54">
        <w:tc>
          <w:tcPr>
            <w:tcW w:w="3164" w:type="dxa"/>
            <w:tcBorders>
              <w:top w:val="nil"/>
              <w:left w:val="nil"/>
              <w:bottom w:val="nil"/>
              <w:right w:val="nil"/>
            </w:tcBorders>
          </w:tcPr>
          <w:p w:rsidR="00B958B1" w:rsidRPr="00C90A10" w:rsidRDefault="00B958B1" w:rsidP="009F3B54">
            <w:pPr>
              <w:pStyle w:val="Tabletext"/>
              <w:rPr>
                <w:lang w:eastAsia="en-AU"/>
              </w:rPr>
            </w:pPr>
            <w:r w:rsidRPr="00C90A10">
              <w:rPr>
                <w:lang w:eastAsia="en-AU"/>
              </w:rPr>
              <w:t>Services Connect</w:t>
            </w:r>
          </w:p>
        </w:tc>
        <w:tc>
          <w:tcPr>
            <w:tcW w:w="828" w:type="dxa"/>
            <w:gridSpan w:val="2"/>
            <w:tcBorders>
              <w:top w:val="nil"/>
              <w:left w:val="nil"/>
              <w:bottom w:val="nil"/>
              <w:right w:val="nil"/>
            </w:tcBorders>
          </w:tcPr>
          <w:p w:rsidR="00B958B1" w:rsidRPr="00C90A10" w:rsidRDefault="00B958B1" w:rsidP="009F3B54">
            <w:pPr>
              <w:pStyle w:val="TableofFigures"/>
              <w:rPr>
                <w:lang w:eastAsia="en-AU"/>
              </w:rPr>
            </w:pPr>
            <w:r w:rsidRPr="00C90A10">
              <w:rPr>
                <w:lang w:eastAsia="en-AU"/>
              </w:rPr>
              <w:t>..</w:t>
            </w:r>
          </w:p>
        </w:tc>
        <w:tc>
          <w:tcPr>
            <w:tcW w:w="828" w:type="dxa"/>
            <w:gridSpan w:val="2"/>
            <w:tcBorders>
              <w:top w:val="nil"/>
              <w:left w:val="nil"/>
              <w:bottom w:val="nil"/>
              <w:right w:val="nil"/>
            </w:tcBorders>
            <w:shd w:val="solid" w:color="FFFFFF" w:fill="auto"/>
          </w:tcPr>
          <w:p w:rsidR="00B958B1" w:rsidRPr="00C90A10" w:rsidRDefault="00B958B1" w:rsidP="009F3B54">
            <w:pPr>
              <w:pStyle w:val="TableofFigures"/>
              <w:rPr>
                <w:lang w:eastAsia="en-AU"/>
              </w:rPr>
            </w:pPr>
            <w:r w:rsidRPr="00C90A10">
              <w:rPr>
                <w:lang w:eastAsia="en-AU"/>
              </w:rPr>
              <w:t>3.0</w:t>
            </w:r>
          </w:p>
        </w:tc>
        <w:tc>
          <w:tcPr>
            <w:tcW w:w="828" w:type="dxa"/>
            <w:tcBorders>
              <w:top w:val="nil"/>
              <w:left w:val="nil"/>
              <w:bottom w:val="nil"/>
              <w:right w:val="nil"/>
            </w:tcBorders>
          </w:tcPr>
          <w:p w:rsidR="00B958B1" w:rsidRPr="00C90A10" w:rsidRDefault="00B958B1" w:rsidP="009F3B54">
            <w:pPr>
              <w:pStyle w:val="TableofFigures"/>
              <w:rPr>
                <w:lang w:eastAsia="en-AU"/>
              </w:rPr>
            </w:pPr>
            <w:r w:rsidRPr="00C90A10">
              <w:rPr>
                <w:lang w:eastAsia="en-AU"/>
              </w:rPr>
              <w:t>..</w:t>
            </w:r>
          </w:p>
        </w:tc>
        <w:tc>
          <w:tcPr>
            <w:tcW w:w="828" w:type="dxa"/>
            <w:gridSpan w:val="2"/>
            <w:tcBorders>
              <w:top w:val="nil"/>
              <w:left w:val="nil"/>
              <w:bottom w:val="nil"/>
              <w:right w:val="nil"/>
            </w:tcBorders>
          </w:tcPr>
          <w:p w:rsidR="00B958B1" w:rsidRPr="00C90A10" w:rsidRDefault="00B958B1" w:rsidP="009F3B54">
            <w:pPr>
              <w:pStyle w:val="TableofFigures"/>
              <w:rPr>
                <w:lang w:eastAsia="en-AU"/>
              </w:rPr>
            </w:pPr>
            <w:r w:rsidRPr="00C90A10">
              <w:rPr>
                <w:lang w:eastAsia="en-AU"/>
              </w:rPr>
              <w:t>..</w:t>
            </w:r>
          </w:p>
        </w:tc>
        <w:tc>
          <w:tcPr>
            <w:tcW w:w="828" w:type="dxa"/>
            <w:tcBorders>
              <w:top w:val="nil"/>
              <w:left w:val="nil"/>
              <w:bottom w:val="nil"/>
              <w:right w:val="nil"/>
            </w:tcBorders>
          </w:tcPr>
          <w:p w:rsidR="00B958B1" w:rsidRPr="00C90A10" w:rsidRDefault="00B958B1" w:rsidP="009F3B54">
            <w:pPr>
              <w:pStyle w:val="TableofFigures"/>
              <w:rPr>
                <w:lang w:eastAsia="en-AU"/>
              </w:rPr>
            </w:pPr>
            <w:r w:rsidRPr="00C90A10">
              <w:rPr>
                <w:lang w:eastAsia="en-AU"/>
              </w:rPr>
              <w:t>..</w:t>
            </w:r>
          </w:p>
        </w:tc>
        <w:tc>
          <w:tcPr>
            <w:tcW w:w="472" w:type="dxa"/>
            <w:tcBorders>
              <w:top w:val="nil"/>
              <w:left w:val="nil"/>
              <w:bottom w:val="nil"/>
              <w:right w:val="nil"/>
            </w:tcBorders>
          </w:tcPr>
          <w:p w:rsidR="00B958B1" w:rsidRPr="00C90A10" w:rsidRDefault="00B958B1" w:rsidP="009F3B54">
            <w:pPr>
              <w:pStyle w:val="TableofFigures"/>
              <w:rPr>
                <w:lang w:eastAsia="en-AU"/>
              </w:rPr>
            </w:pPr>
            <w:r w:rsidRPr="00C90A10">
              <w:rPr>
                <w:lang w:eastAsia="en-AU"/>
              </w:rPr>
              <w:t>3.0</w:t>
            </w:r>
          </w:p>
        </w:tc>
      </w:tr>
      <w:tr w:rsidR="00B958B1" w:rsidRPr="00C90A10" w:rsidTr="009F3B54">
        <w:tc>
          <w:tcPr>
            <w:tcW w:w="3164" w:type="dxa"/>
            <w:tcBorders>
              <w:top w:val="nil"/>
              <w:left w:val="nil"/>
              <w:bottom w:val="nil"/>
              <w:right w:val="nil"/>
            </w:tcBorders>
          </w:tcPr>
          <w:p w:rsidR="00B958B1" w:rsidRPr="00C90A10" w:rsidRDefault="00B958B1" w:rsidP="009F3B54">
            <w:pPr>
              <w:pStyle w:val="Tabletext"/>
              <w:rPr>
                <w:b/>
                <w:bCs/>
                <w:lang w:eastAsia="en-AU"/>
              </w:rPr>
            </w:pPr>
            <w:r w:rsidRPr="00C90A10">
              <w:rPr>
                <w:b/>
                <w:bCs/>
                <w:lang w:eastAsia="en-AU"/>
              </w:rPr>
              <w:t>Disability Services</w:t>
            </w:r>
          </w:p>
        </w:tc>
        <w:tc>
          <w:tcPr>
            <w:tcW w:w="828" w:type="dxa"/>
            <w:gridSpan w:val="2"/>
            <w:tcBorders>
              <w:top w:val="nil"/>
              <w:left w:val="nil"/>
              <w:bottom w:val="nil"/>
              <w:right w:val="nil"/>
            </w:tcBorders>
          </w:tcPr>
          <w:p w:rsidR="00B958B1" w:rsidRPr="00C90A10" w:rsidRDefault="00B958B1" w:rsidP="009F3B54">
            <w:pPr>
              <w:pStyle w:val="TableofFigures"/>
              <w:rPr>
                <w:lang w:eastAsia="en-AU"/>
              </w:rPr>
            </w:pPr>
          </w:p>
        </w:tc>
        <w:tc>
          <w:tcPr>
            <w:tcW w:w="828" w:type="dxa"/>
            <w:gridSpan w:val="2"/>
            <w:tcBorders>
              <w:top w:val="nil"/>
              <w:left w:val="nil"/>
              <w:bottom w:val="nil"/>
              <w:right w:val="nil"/>
            </w:tcBorders>
            <w:shd w:val="solid" w:color="FFFFFF" w:fill="auto"/>
          </w:tcPr>
          <w:p w:rsidR="00B958B1" w:rsidRPr="00C90A10" w:rsidRDefault="00B958B1" w:rsidP="009F3B54">
            <w:pPr>
              <w:pStyle w:val="TableofFigures"/>
              <w:rPr>
                <w:lang w:eastAsia="en-AU"/>
              </w:rPr>
            </w:pPr>
          </w:p>
        </w:tc>
        <w:tc>
          <w:tcPr>
            <w:tcW w:w="828" w:type="dxa"/>
            <w:tcBorders>
              <w:top w:val="nil"/>
              <w:left w:val="nil"/>
              <w:bottom w:val="nil"/>
              <w:right w:val="nil"/>
            </w:tcBorders>
          </w:tcPr>
          <w:p w:rsidR="00B958B1" w:rsidRPr="00C90A10" w:rsidRDefault="00B958B1" w:rsidP="009F3B54">
            <w:pPr>
              <w:pStyle w:val="TableofFigures"/>
              <w:rPr>
                <w:lang w:eastAsia="en-AU"/>
              </w:rPr>
            </w:pPr>
          </w:p>
        </w:tc>
        <w:tc>
          <w:tcPr>
            <w:tcW w:w="828" w:type="dxa"/>
            <w:gridSpan w:val="2"/>
            <w:tcBorders>
              <w:top w:val="nil"/>
              <w:left w:val="nil"/>
              <w:bottom w:val="nil"/>
              <w:right w:val="nil"/>
            </w:tcBorders>
          </w:tcPr>
          <w:p w:rsidR="00B958B1" w:rsidRPr="00C90A10" w:rsidRDefault="00B958B1" w:rsidP="009F3B54">
            <w:pPr>
              <w:pStyle w:val="TableofFigures"/>
              <w:rPr>
                <w:lang w:eastAsia="en-AU"/>
              </w:rPr>
            </w:pPr>
          </w:p>
        </w:tc>
        <w:tc>
          <w:tcPr>
            <w:tcW w:w="828" w:type="dxa"/>
            <w:tcBorders>
              <w:top w:val="nil"/>
              <w:left w:val="nil"/>
              <w:bottom w:val="nil"/>
              <w:right w:val="nil"/>
            </w:tcBorders>
          </w:tcPr>
          <w:p w:rsidR="00B958B1" w:rsidRPr="00C90A10" w:rsidRDefault="00B958B1" w:rsidP="009F3B54">
            <w:pPr>
              <w:pStyle w:val="TableofFigures"/>
              <w:rPr>
                <w:lang w:eastAsia="en-AU"/>
              </w:rPr>
            </w:pPr>
          </w:p>
        </w:tc>
        <w:tc>
          <w:tcPr>
            <w:tcW w:w="472" w:type="dxa"/>
            <w:tcBorders>
              <w:top w:val="nil"/>
              <w:left w:val="nil"/>
              <w:bottom w:val="nil"/>
              <w:right w:val="nil"/>
            </w:tcBorders>
          </w:tcPr>
          <w:p w:rsidR="00B958B1" w:rsidRPr="00C90A10" w:rsidRDefault="00B958B1" w:rsidP="009F3B54">
            <w:pPr>
              <w:pStyle w:val="TableofFigures"/>
              <w:rPr>
                <w:lang w:eastAsia="en-AU"/>
              </w:rPr>
            </w:pPr>
          </w:p>
        </w:tc>
      </w:tr>
      <w:tr w:rsidR="00B958B1" w:rsidRPr="00C90A10" w:rsidTr="009F3B54">
        <w:tc>
          <w:tcPr>
            <w:tcW w:w="3461" w:type="dxa"/>
            <w:gridSpan w:val="2"/>
            <w:tcBorders>
              <w:top w:val="nil"/>
              <w:left w:val="nil"/>
              <w:bottom w:val="nil"/>
              <w:right w:val="nil"/>
            </w:tcBorders>
          </w:tcPr>
          <w:p w:rsidR="00B958B1" w:rsidRPr="00C90A10" w:rsidRDefault="00B958B1" w:rsidP="009F3B54">
            <w:pPr>
              <w:pStyle w:val="Tabletext"/>
              <w:rPr>
                <w:lang w:eastAsia="en-AU"/>
              </w:rPr>
            </w:pPr>
            <w:r w:rsidRPr="00C90A10">
              <w:rPr>
                <w:lang w:eastAsia="en-AU"/>
              </w:rPr>
              <w:t>Closure of Sandhurst Residential Services</w:t>
            </w:r>
          </w:p>
        </w:tc>
        <w:tc>
          <w:tcPr>
            <w:tcW w:w="531" w:type="dxa"/>
            <w:tcBorders>
              <w:top w:val="nil"/>
              <w:left w:val="nil"/>
              <w:bottom w:val="nil"/>
              <w:right w:val="nil"/>
            </w:tcBorders>
          </w:tcPr>
          <w:p w:rsidR="00B958B1" w:rsidRPr="00C90A10" w:rsidRDefault="00B958B1" w:rsidP="009F3B54">
            <w:pPr>
              <w:pStyle w:val="TableofFigures"/>
              <w:rPr>
                <w:lang w:eastAsia="en-AU"/>
              </w:rPr>
            </w:pPr>
            <w:r w:rsidRPr="00C90A10">
              <w:rPr>
                <w:lang w:eastAsia="en-AU"/>
              </w:rPr>
              <w:t>..</w:t>
            </w:r>
          </w:p>
        </w:tc>
        <w:tc>
          <w:tcPr>
            <w:tcW w:w="828" w:type="dxa"/>
            <w:gridSpan w:val="2"/>
            <w:tcBorders>
              <w:top w:val="nil"/>
              <w:left w:val="nil"/>
              <w:bottom w:val="nil"/>
              <w:right w:val="nil"/>
            </w:tcBorders>
          </w:tcPr>
          <w:p w:rsidR="00B958B1" w:rsidRPr="00C90A10" w:rsidRDefault="00B958B1" w:rsidP="009F3B54">
            <w:pPr>
              <w:pStyle w:val="TableofFigures"/>
              <w:rPr>
                <w:lang w:eastAsia="en-AU"/>
              </w:rPr>
            </w:pPr>
            <w:r w:rsidRPr="00C90A10">
              <w:rPr>
                <w:lang w:eastAsia="en-AU"/>
              </w:rPr>
              <w:t>..</w:t>
            </w:r>
          </w:p>
        </w:tc>
        <w:tc>
          <w:tcPr>
            <w:tcW w:w="828" w:type="dxa"/>
            <w:tcBorders>
              <w:top w:val="nil"/>
              <w:left w:val="nil"/>
              <w:bottom w:val="nil"/>
              <w:right w:val="nil"/>
            </w:tcBorders>
            <w:shd w:val="solid" w:color="FFFFFF" w:fill="auto"/>
          </w:tcPr>
          <w:p w:rsidR="00B958B1" w:rsidRPr="00C90A10" w:rsidRDefault="00B958B1" w:rsidP="009F3B54">
            <w:pPr>
              <w:pStyle w:val="TableofFigures"/>
              <w:rPr>
                <w:lang w:eastAsia="en-AU"/>
              </w:rPr>
            </w:pPr>
            <w:r w:rsidRPr="00C90A10">
              <w:rPr>
                <w:lang w:eastAsia="en-AU"/>
              </w:rPr>
              <w:t>1.3</w:t>
            </w:r>
          </w:p>
        </w:tc>
        <w:tc>
          <w:tcPr>
            <w:tcW w:w="828" w:type="dxa"/>
            <w:gridSpan w:val="2"/>
            <w:tcBorders>
              <w:top w:val="nil"/>
              <w:left w:val="nil"/>
              <w:bottom w:val="nil"/>
              <w:right w:val="nil"/>
            </w:tcBorders>
            <w:shd w:val="solid" w:color="FFFFFF" w:fill="auto"/>
          </w:tcPr>
          <w:p w:rsidR="00B958B1" w:rsidRPr="00C90A10" w:rsidRDefault="00B958B1" w:rsidP="009F3B54">
            <w:pPr>
              <w:pStyle w:val="TableofFigures"/>
              <w:rPr>
                <w:lang w:eastAsia="en-AU"/>
              </w:rPr>
            </w:pPr>
            <w:r w:rsidRPr="00C90A10">
              <w:rPr>
                <w:lang w:eastAsia="en-AU"/>
              </w:rPr>
              <w:t>6.6</w:t>
            </w:r>
          </w:p>
        </w:tc>
        <w:tc>
          <w:tcPr>
            <w:tcW w:w="828" w:type="dxa"/>
            <w:tcBorders>
              <w:top w:val="nil"/>
              <w:left w:val="nil"/>
              <w:bottom w:val="nil"/>
              <w:right w:val="nil"/>
            </w:tcBorders>
          </w:tcPr>
          <w:p w:rsidR="00B958B1" w:rsidRPr="00C90A10" w:rsidRDefault="00B958B1" w:rsidP="009F3B54">
            <w:pPr>
              <w:pStyle w:val="TableofFigures"/>
              <w:rPr>
                <w:lang w:eastAsia="en-AU"/>
              </w:rPr>
            </w:pPr>
            <w:r w:rsidRPr="00C90A10">
              <w:rPr>
                <w:lang w:eastAsia="en-AU"/>
              </w:rPr>
              <w:t>..</w:t>
            </w:r>
          </w:p>
        </w:tc>
        <w:tc>
          <w:tcPr>
            <w:tcW w:w="472" w:type="dxa"/>
            <w:tcBorders>
              <w:top w:val="nil"/>
              <w:left w:val="nil"/>
              <w:bottom w:val="nil"/>
              <w:right w:val="nil"/>
            </w:tcBorders>
          </w:tcPr>
          <w:p w:rsidR="00B958B1" w:rsidRPr="00C90A10" w:rsidRDefault="00B958B1" w:rsidP="009F3B54">
            <w:pPr>
              <w:pStyle w:val="TableofFigures"/>
              <w:rPr>
                <w:lang w:eastAsia="en-AU"/>
              </w:rPr>
            </w:pPr>
            <w:r w:rsidRPr="00C90A10">
              <w:rPr>
                <w:lang w:eastAsia="en-AU"/>
              </w:rPr>
              <w:t>7.9</w:t>
            </w:r>
          </w:p>
        </w:tc>
      </w:tr>
      <w:tr w:rsidR="00B958B1" w:rsidRPr="00C90A10" w:rsidTr="009F3B54">
        <w:tc>
          <w:tcPr>
            <w:tcW w:w="3164" w:type="dxa"/>
            <w:tcBorders>
              <w:top w:val="nil"/>
              <w:left w:val="nil"/>
              <w:bottom w:val="nil"/>
              <w:right w:val="nil"/>
            </w:tcBorders>
          </w:tcPr>
          <w:p w:rsidR="00B958B1" w:rsidRPr="00C90A10" w:rsidRDefault="00B958B1" w:rsidP="009F3B54">
            <w:pPr>
              <w:pStyle w:val="Tabletext"/>
              <w:rPr>
                <w:b/>
                <w:bCs/>
                <w:lang w:eastAsia="en-AU"/>
              </w:rPr>
            </w:pPr>
            <w:r w:rsidRPr="00C90A10">
              <w:rPr>
                <w:b/>
                <w:bCs/>
                <w:lang w:eastAsia="en-AU"/>
              </w:rPr>
              <w:t>Housing Assistance</w:t>
            </w:r>
          </w:p>
        </w:tc>
        <w:tc>
          <w:tcPr>
            <w:tcW w:w="828" w:type="dxa"/>
            <w:gridSpan w:val="2"/>
            <w:tcBorders>
              <w:top w:val="nil"/>
              <w:left w:val="nil"/>
              <w:bottom w:val="nil"/>
              <w:right w:val="nil"/>
            </w:tcBorders>
          </w:tcPr>
          <w:p w:rsidR="00B958B1" w:rsidRPr="00C90A10" w:rsidRDefault="00B958B1" w:rsidP="009F3B54">
            <w:pPr>
              <w:pStyle w:val="TableofFigures"/>
              <w:rPr>
                <w:lang w:eastAsia="en-AU"/>
              </w:rPr>
            </w:pPr>
          </w:p>
        </w:tc>
        <w:tc>
          <w:tcPr>
            <w:tcW w:w="828" w:type="dxa"/>
            <w:gridSpan w:val="2"/>
            <w:tcBorders>
              <w:top w:val="nil"/>
              <w:left w:val="nil"/>
              <w:bottom w:val="nil"/>
              <w:right w:val="nil"/>
            </w:tcBorders>
          </w:tcPr>
          <w:p w:rsidR="00B958B1" w:rsidRPr="00C90A10" w:rsidRDefault="00B958B1" w:rsidP="009F3B54">
            <w:pPr>
              <w:pStyle w:val="TableofFigures"/>
              <w:rPr>
                <w:lang w:eastAsia="en-AU"/>
              </w:rPr>
            </w:pPr>
          </w:p>
        </w:tc>
        <w:tc>
          <w:tcPr>
            <w:tcW w:w="828" w:type="dxa"/>
            <w:tcBorders>
              <w:top w:val="nil"/>
              <w:left w:val="nil"/>
              <w:bottom w:val="nil"/>
              <w:right w:val="nil"/>
            </w:tcBorders>
            <w:shd w:val="solid" w:color="FFFFFF" w:fill="auto"/>
          </w:tcPr>
          <w:p w:rsidR="00B958B1" w:rsidRPr="00C90A10" w:rsidRDefault="00B958B1" w:rsidP="009F3B54">
            <w:pPr>
              <w:pStyle w:val="TableofFigures"/>
              <w:rPr>
                <w:lang w:eastAsia="en-AU"/>
              </w:rPr>
            </w:pPr>
          </w:p>
        </w:tc>
        <w:tc>
          <w:tcPr>
            <w:tcW w:w="828" w:type="dxa"/>
            <w:gridSpan w:val="2"/>
            <w:tcBorders>
              <w:top w:val="nil"/>
              <w:left w:val="nil"/>
              <w:bottom w:val="nil"/>
              <w:right w:val="nil"/>
            </w:tcBorders>
            <w:shd w:val="solid" w:color="FFFFFF" w:fill="auto"/>
          </w:tcPr>
          <w:p w:rsidR="00B958B1" w:rsidRPr="00C90A10" w:rsidRDefault="00B958B1" w:rsidP="009F3B54">
            <w:pPr>
              <w:pStyle w:val="TableofFigures"/>
              <w:rPr>
                <w:lang w:eastAsia="en-AU"/>
              </w:rPr>
            </w:pPr>
          </w:p>
        </w:tc>
        <w:tc>
          <w:tcPr>
            <w:tcW w:w="828" w:type="dxa"/>
            <w:tcBorders>
              <w:top w:val="nil"/>
              <w:left w:val="nil"/>
              <w:bottom w:val="nil"/>
              <w:right w:val="nil"/>
            </w:tcBorders>
          </w:tcPr>
          <w:p w:rsidR="00B958B1" w:rsidRPr="00C90A10" w:rsidRDefault="00B958B1" w:rsidP="009F3B54">
            <w:pPr>
              <w:pStyle w:val="TableofFigures"/>
              <w:rPr>
                <w:lang w:eastAsia="en-AU"/>
              </w:rPr>
            </w:pPr>
          </w:p>
        </w:tc>
        <w:tc>
          <w:tcPr>
            <w:tcW w:w="472" w:type="dxa"/>
            <w:tcBorders>
              <w:top w:val="nil"/>
              <w:left w:val="nil"/>
              <w:bottom w:val="nil"/>
              <w:right w:val="nil"/>
            </w:tcBorders>
          </w:tcPr>
          <w:p w:rsidR="00B958B1" w:rsidRPr="00C90A10" w:rsidRDefault="00B958B1" w:rsidP="009F3B54">
            <w:pPr>
              <w:pStyle w:val="TableofFigures"/>
              <w:rPr>
                <w:lang w:eastAsia="en-AU"/>
              </w:rPr>
            </w:pPr>
          </w:p>
        </w:tc>
      </w:tr>
      <w:tr w:rsidR="00B958B1" w:rsidRPr="00C90A10" w:rsidTr="009F3B54">
        <w:tc>
          <w:tcPr>
            <w:tcW w:w="3164" w:type="dxa"/>
            <w:tcBorders>
              <w:top w:val="nil"/>
              <w:left w:val="nil"/>
              <w:bottom w:val="nil"/>
              <w:right w:val="nil"/>
            </w:tcBorders>
          </w:tcPr>
          <w:p w:rsidR="00B958B1" w:rsidRPr="00C90A10" w:rsidRDefault="00B958B1" w:rsidP="009F3B54">
            <w:pPr>
              <w:pStyle w:val="Tabletext"/>
              <w:rPr>
                <w:lang w:eastAsia="en-AU"/>
              </w:rPr>
            </w:pPr>
            <w:r w:rsidRPr="00C90A10">
              <w:rPr>
                <w:lang w:eastAsia="en-AU"/>
              </w:rPr>
              <w:t>Victorian Youth Foyers</w:t>
            </w:r>
            <w:r>
              <w:rPr>
                <w:lang w:eastAsia="en-AU"/>
              </w:rPr>
              <w:t xml:space="preserve"> – </w:t>
            </w:r>
            <w:r w:rsidRPr="00C90A10">
              <w:rPr>
                <w:lang w:eastAsia="en-AU"/>
              </w:rPr>
              <w:t>third youth foyer</w:t>
            </w:r>
          </w:p>
        </w:tc>
        <w:tc>
          <w:tcPr>
            <w:tcW w:w="828" w:type="dxa"/>
            <w:gridSpan w:val="2"/>
            <w:tcBorders>
              <w:top w:val="nil"/>
              <w:left w:val="nil"/>
              <w:bottom w:val="nil"/>
              <w:right w:val="nil"/>
            </w:tcBorders>
          </w:tcPr>
          <w:p w:rsidR="00B958B1" w:rsidRPr="00C90A10" w:rsidRDefault="00B958B1" w:rsidP="009F3B54">
            <w:pPr>
              <w:pStyle w:val="TableofFigures"/>
              <w:rPr>
                <w:rFonts w:cs="Calibri"/>
                <w:color w:val="000000"/>
                <w:lang w:eastAsia="en-AU"/>
              </w:rPr>
            </w:pPr>
            <w:r w:rsidRPr="00C90A10">
              <w:rPr>
                <w:lang w:eastAsia="en-AU"/>
              </w:rPr>
              <w:t>.</w:t>
            </w:r>
            <w:r w:rsidRPr="00C90A10">
              <w:rPr>
                <w:rFonts w:cs="Calibri"/>
                <w:color w:val="000000"/>
                <w:lang w:eastAsia="en-AU"/>
              </w:rPr>
              <w:t>.</w:t>
            </w:r>
          </w:p>
        </w:tc>
        <w:tc>
          <w:tcPr>
            <w:tcW w:w="828" w:type="dxa"/>
            <w:gridSpan w:val="2"/>
            <w:tcBorders>
              <w:top w:val="nil"/>
              <w:left w:val="nil"/>
              <w:bottom w:val="nil"/>
              <w:right w:val="nil"/>
            </w:tcBorders>
            <w:shd w:val="solid" w:color="FFFFFF" w:fill="auto"/>
          </w:tcPr>
          <w:p w:rsidR="00B958B1" w:rsidRPr="00C90A10" w:rsidRDefault="00B958B1" w:rsidP="009F3B54">
            <w:pPr>
              <w:pStyle w:val="TableofFigures"/>
              <w:rPr>
                <w:lang w:eastAsia="en-AU"/>
              </w:rPr>
            </w:pPr>
            <w:r w:rsidRPr="00C90A10">
              <w:rPr>
                <w:lang w:eastAsia="en-AU"/>
              </w:rPr>
              <w:t>3.1</w:t>
            </w:r>
          </w:p>
        </w:tc>
        <w:tc>
          <w:tcPr>
            <w:tcW w:w="828" w:type="dxa"/>
            <w:tcBorders>
              <w:top w:val="nil"/>
              <w:left w:val="nil"/>
              <w:bottom w:val="nil"/>
              <w:right w:val="nil"/>
            </w:tcBorders>
            <w:shd w:val="solid" w:color="FFFFFF" w:fill="auto"/>
          </w:tcPr>
          <w:p w:rsidR="00B958B1" w:rsidRPr="00C90A10" w:rsidRDefault="00B958B1" w:rsidP="009F3B54">
            <w:pPr>
              <w:pStyle w:val="TableofFigures"/>
              <w:rPr>
                <w:lang w:eastAsia="en-AU"/>
              </w:rPr>
            </w:pPr>
            <w:r w:rsidRPr="00C90A10">
              <w:rPr>
                <w:lang w:eastAsia="en-AU"/>
              </w:rPr>
              <w:t>4.4</w:t>
            </w:r>
          </w:p>
        </w:tc>
        <w:tc>
          <w:tcPr>
            <w:tcW w:w="828" w:type="dxa"/>
            <w:gridSpan w:val="2"/>
            <w:tcBorders>
              <w:top w:val="nil"/>
              <w:left w:val="nil"/>
              <w:bottom w:val="nil"/>
              <w:right w:val="nil"/>
            </w:tcBorders>
          </w:tcPr>
          <w:p w:rsidR="00B958B1" w:rsidRPr="00C90A10" w:rsidRDefault="00B958B1" w:rsidP="009F3B54">
            <w:pPr>
              <w:pStyle w:val="TableofFigures"/>
              <w:rPr>
                <w:lang w:eastAsia="en-AU"/>
              </w:rPr>
            </w:pPr>
            <w:r w:rsidRPr="00C90A10">
              <w:rPr>
                <w:lang w:eastAsia="en-AU"/>
              </w:rPr>
              <w:t>..</w:t>
            </w:r>
          </w:p>
        </w:tc>
        <w:tc>
          <w:tcPr>
            <w:tcW w:w="828" w:type="dxa"/>
            <w:tcBorders>
              <w:top w:val="nil"/>
              <w:left w:val="nil"/>
              <w:bottom w:val="nil"/>
              <w:right w:val="nil"/>
            </w:tcBorders>
          </w:tcPr>
          <w:p w:rsidR="00B958B1" w:rsidRPr="00C90A10" w:rsidRDefault="00B958B1" w:rsidP="009F3B54">
            <w:pPr>
              <w:pStyle w:val="TableofFigures"/>
              <w:rPr>
                <w:lang w:eastAsia="en-AU"/>
              </w:rPr>
            </w:pPr>
            <w:r w:rsidRPr="00C90A10">
              <w:rPr>
                <w:lang w:eastAsia="en-AU"/>
              </w:rPr>
              <w:t>..</w:t>
            </w:r>
          </w:p>
        </w:tc>
        <w:tc>
          <w:tcPr>
            <w:tcW w:w="472" w:type="dxa"/>
            <w:tcBorders>
              <w:top w:val="nil"/>
              <w:left w:val="nil"/>
              <w:bottom w:val="nil"/>
              <w:right w:val="nil"/>
            </w:tcBorders>
          </w:tcPr>
          <w:p w:rsidR="00B958B1" w:rsidRPr="00C90A10" w:rsidRDefault="00B958B1" w:rsidP="009F3B54">
            <w:pPr>
              <w:pStyle w:val="TableofFigures"/>
              <w:rPr>
                <w:lang w:eastAsia="en-AU"/>
              </w:rPr>
            </w:pPr>
            <w:r w:rsidRPr="00C90A10">
              <w:rPr>
                <w:lang w:eastAsia="en-AU"/>
              </w:rPr>
              <w:t>7.5</w:t>
            </w:r>
          </w:p>
        </w:tc>
      </w:tr>
      <w:tr w:rsidR="00B958B1" w:rsidRPr="00C90A10" w:rsidTr="009F3B54">
        <w:tc>
          <w:tcPr>
            <w:tcW w:w="3164" w:type="dxa"/>
            <w:tcBorders>
              <w:top w:val="nil"/>
              <w:left w:val="nil"/>
              <w:bottom w:val="nil"/>
              <w:right w:val="nil"/>
            </w:tcBorders>
          </w:tcPr>
          <w:p w:rsidR="00B958B1" w:rsidRPr="00C90A10" w:rsidRDefault="00B958B1" w:rsidP="009F3B54">
            <w:pPr>
              <w:pStyle w:val="Tabletext"/>
              <w:rPr>
                <w:b/>
                <w:bCs/>
                <w:lang w:eastAsia="en-AU"/>
              </w:rPr>
            </w:pPr>
            <w:r w:rsidRPr="00C90A10">
              <w:rPr>
                <w:b/>
                <w:bCs/>
                <w:lang w:eastAsia="en-AU"/>
              </w:rPr>
              <w:t>Youth Services and Youth Justice</w:t>
            </w:r>
          </w:p>
        </w:tc>
        <w:tc>
          <w:tcPr>
            <w:tcW w:w="828" w:type="dxa"/>
            <w:gridSpan w:val="2"/>
            <w:tcBorders>
              <w:top w:val="nil"/>
              <w:left w:val="nil"/>
              <w:bottom w:val="nil"/>
              <w:right w:val="nil"/>
            </w:tcBorders>
          </w:tcPr>
          <w:p w:rsidR="00B958B1" w:rsidRPr="00C90A10" w:rsidRDefault="00B958B1" w:rsidP="009F3B54">
            <w:pPr>
              <w:pStyle w:val="TableofFigures"/>
              <w:rPr>
                <w:lang w:eastAsia="en-AU"/>
              </w:rPr>
            </w:pPr>
          </w:p>
        </w:tc>
        <w:tc>
          <w:tcPr>
            <w:tcW w:w="828" w:type="dxa"/>
            <w:gridSpan w:val="2"/>
            <w:tcBorders>
              <w:top w:val="nil"/>
              <w:left w:val="nil"/>
              <w:bottom w:val="nil"/>
              <w:right w:val="nil"/>
            </w:tcBorders>
            <w:shd w:val="solid" w:color="FFFFFF" w:fill="auto"/>
          </w:tcPr>
          <w:p w:rsidR="00B958B1" w:rsidRPr="00C90A10" w:rsidRDefault="00B958B1" w:rsidP="009F3B54">
            <w:pPr>
              <w:pStyle w:val="TableofFigures"/>
              <w:rPr>
                <w:lang w:eastAsia="en-AU"/>
              </w:rPr>
            </w:pPr>
          </w:p>
        </w:tc>
        <w:tc>
          <w:tcPr>
            <w:tcW w:w="828" w:type="dxa"/>
            <w:tcBorders>
              <w:top w:val="nil"/>
              <w:left w:val="nil"/>
              <w:bottom w:val="nil"/>
              <w:right w:val="nil"/>
            </w:tcBorders>
            <w:shd w:val="solid" w:color="FFFFFF" w:fill="auto"/>
          </w:tcPr>
          <w:p w:rsidR="00B958B1" w:rsidRPr="00C90A10" w:rsidRDefault="00B958B1" w:rsidP="009F3B54">
            <w:pPr>
              <w:pStyle w:val="TableofFigures"/>
              <w:rPr>
                <w:lang w:eastAsia="en-AU"/>
              </w:rPr>
            </w:pPr>
          </w:p>
        </w:tc>
        <w:tc>
          <w:tcPr>
            <w:tcW w:w="828" w:type="dxa"/>
            <w:gridSpan w:val="2"/>
            <w:tcBorders>
              <w:top w:val="nil"/>
              <w:left w:val="nil"/>
              <w:bottom w:val="nil"/>
              <w:right w:val="nil"/>
            </w:tcBorders>
          </w:tcPr>
          <w:p w:rsidR="00B958B1" w:rsidRPr="00C90A10" w:rsidRDefault="00B958B1" w:rsidP="009F3B54">
            <w:pPr>
              <w:pStyle w:val="TableofFigures"/>
              <w:rPr>
                <w:lang w:eastAsia="en-AU"/>
              </w:rPr>
            </w:pPr>
          </w:p>
        </w:tc>
        <w:tc>
          <w:tcPr>
            <w:tcW w:w="828" w:type="dxa"/>
            <w:tcBorders>
              <w:top w:val="nil"/>
              <w:left w:val="nil"/>
              <w:bottom w:val="nil"/>
              <w:right w:val="nil"/>
            </w:tcBorders>
          </w:tcPr>
          <w:p w:rsidR="00B958B1" w:rsidRPr="00C90A10" w:rsidRDefault="00B958B1" w:rsidP="009F3B54">
            <w:pPr>
              <w:pStyle w:val="TableofFigures"/>
              <w:rPr>
                <w:lang w:eastAsia="en-AU"/>
              </w:rPr>
            </w:pPr>
          </w:p>
        </w:tc>
        <w:tc>
          <w:tcPr>
            <w:tcW w:w="472" w:type="dxa"/>
            <w:tcBorders>
              <w:top w:val="nil"/>
              <w:left w:val="nil"/>
              <w:bottom w:val="nil"/>
              <w:right w:val="nil"/>
            </w:tcBorders>
          </w:tcPr>
          <w:p w:rsidR="00B958B1" w:rsidRPr="00C90A10" w:rsidRDefault="00B958B1" w:rsidP="009F3B54">
            <w:pPr>
              <w:pStyle w:val="TableofFigures"/>
              <w:rPr>
                <w:lang w:eastAsia="en-AU"/>
              </w:rPr>
            </w:pPr>
          </w:p>
        </w:tc>
      </w:tr>
      <w:tr w:rsidR="00B958B1" w:rsidRPr="00C90A10" w:rsidTr="009F3B54">
        <w:tc>
          <w:tcPr>
            <w:tcW w:w="3164" w:type="dxa"/>
            <w:tcBorders>
              <w:top w:val="nil"/>
              <w:left w:val="nil"/>
              <w:bottom w:val="nil"/>
              <w:right w:val="nil"/>
            </w:tcBorders>
          </w:tcPr>
          <w:p w:rsidR="00B958B1" w:rsidRPr="00C90A10" w:rsidRDefault="00B958B1" w:rsidP="009F3B54">
            <w:pPr>
              <w:pStyle w:val="Tabletext"/>
              <w:rPr>
                <w:lang w:eastAsia="en-AU"/>
              </w:rPr>
            </w:pPr>
            <w:r w:rsidRPr="00C90A10">
              <w:rPr>
                <w:lang w:eastAsia="en-AU"/>
              </w:rPr>
              <w:t>Youth Justice Centres fire upgrades</w:t>
            </w:r>
          </w:p>
        </w:tc>
        <w:tc>
          <w:tcPr>
            <w:tcW w:w="828" w:type="dxa"/>
            <w:gridSpan w:val="2"/>
            <w:tcBorders>
              <w:top w:val="nil"/>
              <w:left w:val="nil"/>
              <w:bottom w:val="nil"/>
              <w:right w:val="nil"/>
            </w:tcBorders>
          </w:tcPr>
          <w:p w:rsidR="00B958B1" w:rsidRPr="00C90A10" w:rsidRDefault="00B958B1" w:rsidP="009F3B54">
            <w:pPr>
              <w:pStyle w:val="TableofFigures"/>
              <w:rPr>
                <w:lang w:eastAsia="en-AU"/>
              </w:rPr>
            </w:pPr>
            <w:r w:rsidRPr="00C90A10">
              <w:rPr>
                <w:lang w:eastAsia="en-AU"/>
              </w:rPr>
              <w:t>..</w:t>
            </w:r>
          </w:p>
        </w:tc>
        <w:tc>
          <w:tcPr>
            <w:tcW w:w="819" w:type="dxa"/>
            <w:tcBorders>
              <w:top w:val="nil"/>
              <w:left w:val="nil"/>
              <w:bottom w:val="nil"/>
              <w:right w:val="nil"/>
            </w:tcBorders>
            <w:shd w:val="solid" w:color="FFFFFF" w:fill="auto"/>
          </w:tcPr>
          <w:p w:rsidR="00B958B1" w:rsidRPr="00C90A10" w:rsidRDefault="00B958B1" w:rsidP="009F3B54">
            <w:pPr>
              <w:pStyle w:val="TableofFigures"/>
              <w:rPr>
                <w:lang w:eastAsia="en-AU"/>
              </w:rPr>
            </w:pPr>
            <w:r w:rsidRPr="00C90A10">
              <w:rPr>
                <w:lang w:eastAsia="en-AU"/>
              </w:rPr>
              <w:t>0.6</w:t>
            </w:r>
          </w:p>
        </w:tc>
        <w:tc>
          <w:tcPr>
            <w:tcW w:w="846" w:type="dxa"/>
            <w:gridSpan w:val="3"/>
            <w:tcBorders>
              <w:top w:val="nil"/>
              <w:left w:val="nil"/>
              <w:bottom w:val="nil"/>
              <w:right w:val="nil"/>
            </w:tcBorders>
            <w:shd w:val="solid" w:color="FFFFFF" w:fill="auto"/>
          </w:tcPr>
          <w:p w:rsidR="00B958B1" w:rsidRPr="00C90A10" w:rsidRDefault="00B958B1" w:rsidP="009F3B54">
            <w:pPr>
              <w:pStyle w:val="TableofFigures"/>
              <w:rPr>
                <w:lang w:eastAsia="en-AU"/>
              </w:rPr>
            </w:pPr>
            <w:r w:rsidRPr="00C90A10">
              <w:rPr>
                <w:lang w:eastAsia="en-AU"/>
              </w:rPr>
              <w:t>1.0</w:t>
            </w:r>
          </w:p>
        </w:tc>
        <w:tc>
          <w:tcPr>
            <w:tcW w:w="819" w:type="dxa"/>
            <w:tcBorders>
              <w:top w:val="nil"/>
              <w:left w:val="nil"/>
              <w:bottom w:val="nil"/>
              <w:right w:val="nil"/>
            </w:tcBorders>
          </w:tcPr>
          <w:p w:rsidR="00B958B1" w:rsidRPr="00C90A10" w:rsidRDefault="00B958B1" w:rsidP="009F3B54">
            <w:pPr>
              <w:pStyle w:val="TableofFigures"/>
              <w:rPr>
                <w:lang w:eastAsia="en-AU"/>
              </w:rPr>
            </w:pPr>
            <w:r w:rsidRPr="00C90A10">
              <w:rPr>
                <w:lang w:eastAsia="en-AU"/>
              </w:rPr>
              <w:t>..</w:t>
            </w:r>
          </w:p>
        </w:tc>
        <w:tc>
          <w:tcPr>
            <w:tcW w:w="828" w:type="dxa"/>
            <w:tcBorders>
              <w:top w:val="nil"/>
              <w:left w:val="nil"/>
              <w:bottom w:val="nil"/>
              <w:right w:val="nil"/>
            </w:tcBorders>
          </w:tcPr>
          <w:p w:rsidR="00B958B1" w:rsidRPr="00C90A10" w:rsidRDefault="00B958B1" w:rsidP="009F3B54">
            <w:pPr>
              <w:pStyle w:val="TableofFigures"/>
              <w:rPr>
                <w:lang w:eastAsia="en-AU"/>
              </w:rPr>
            </w:pPr>
            <w:r w:rsidRPr="00C90A10">
              <w:rPr>
                <w:lang w:eastAsia="en-AU"/>
              </w:rPr>
              <w:t>..</w:t>
            </w:r>
          </w:p>
        </w:tc>
        <w:tc>
          <w:tcPr>
            <w:tcW w:w="472" w:type="dxa"/>
            <w:tcBorders>
              <w:top w:val="nil"/>
              <w:left w:val="nil"/>
              <w:bottom w:val="nil"/>
              <w:right w:val="nil"/>
            </w:tcBorders>
          </w:tcPr>
          <w:p w:rsidR="00B958B1" w:rsidRPr="00C90A10" w:rsidRDefault="00B958B1" w:rsidP="009F3B54">
            <w:pPr>
              <w:pStyle w:val="TableofFigures"/>
              <w:rPr>
                <w:lang w:eastAsia="en-AU"/>
              </w:rPr>
            </w:pPr>
            <w:r w:rsidRPr="00C90A10">
              <w:rPr>
                <w:lang w:eastAsia="en-AU"/>
              </w:rPr>
              <w:t>1.6</w:t>
            </w:r>
          </w:p>
        </w:tc>
      </w:tr>
      <w:tr w:rsidR="00B958B1" w:rsidRPr="00C90A10" w:rsidTr="009F3B54">
        <w:tc>
          <w:tcPr>
            <w:tcW w:w="3164" w:type="dxa"/>
            <w:tcBorders>
              <w:top w:val="single" w:sz="6" w:space="0" w:color="auto"/>
              <w:left w:val="nil"/>
              <w:bottom w:val="single" w:sz="12" w:space="0" w:color="auto"/>
              <w:right w:val="nil"/>
            </w:tcBorders>
          </w:tcPr>
          <w:p w:rsidR="00B958B1" w:rsidRPr="00C90A10" w:rsidRDefault="00B958B1" w:rsidP="009F3B54">
            <w:pPr>
              <w:pStyle w:val="Tabletext"/>
              <w:rPr>
                <w:b/>
                <w:bCs/>
                <w:lang w:eastAsia="en-AU"/>
              </w:rPr>
            </w:pPr>
            <w:r w:rsidRPr="00C90A10">
              <w:rPr>
                <w:b/>
                <w:bCs/>
                <w:lang w:eastAsia="en-AU"/>
              </w:rPr>
              <w:t>Total asset initiatives</w:t>
            </w:r>
          </w:p>
        </w:tc>
        <w:tc>
          <w:tcPr>
            <w:tcW w:w="828" w:type="dxa"/>
            <w:gridSpan w:val="2"/>
            <w:tcBorders>
              <w:top w:val="single" w:sz="6" w:space="0" w:color="auto"/>
              <w:left w:val="nil"/>
              <w:bottom w:val="single" w:sz="12" w:space="0" w:color="auto"/>
              <w:right w:val="nil"/>
            </w:tcBorders>
          </w:tcPr>
          <w:p w:rsidR="00B958B1" w:rsidRPr="00C90A10" w:rsidRDefault="00B958B1" w:rsidP="009F3B54">
            <w:pPr>
              <w:pStyle w:val="TableofFigures"/>
              <w:rPr>
                <w:b/>
                <w:bCs/>
                <w:lang w:eastAsia="en-AU"/>
              </w:rPr>
            </w:pPr>
            <w:r w:rsidRPr="00C90A10">
              <w:rPr>
                <w:b/>
                <w:bCs/>
                <w:lang w:eastAsia="en-AU"/>
              </w:rPr>
              <w:t>..</w:t>
            </w:r>
          </w:p>
        </w:tc>
        <w:tc>
          <w:tcPr>
            <w:tcW w:w="828" w:type="dxa"/>
            <w:gridSpan w:val="2"/>
            <w:tcBorders>
              <w:top w:val="single" w:sz="6" w:space="0" w:color="auto"/>
              <w:left w:val="nil"/>
              <w:bottom w:val="single" w:sz="12" w:space="0" w:color="auto"/>
              <w:right w:val="nil"/>
            </w:tcBorders>
          </w:tcPr>
          <w:p w:rsidR="00B958B1" w:rsidRPr="00C90A10" w:rsidRDefault="00B958B1" w:rsidP="009F3B54">
            <w:pPr>
              <w:pStyle w:val="TableofFigures"/>
              <w:rPr>
                <w:b/>
                <w:bCs/>
                <w:lang w:eastAsia="en-AU"/>
              </w:rPr>
            </w:pPr>
            <w:r w:rsidRPr="00C90A10">
              <w:rPr>
                <w:b/>
                <w:bCs/>
                <w:lang w:eastAsia="en-AU"/>
              </w:rPr>
              <w:t>6.7</w:t>
            </w:r>
          </w:p>
        </w:tc>
        <w:tc>
          <w:tcPr>
            <w:tcW w:w="828" w:type="dxa"/>
            <w:tcBorders>
              <w:top w:val="single" w:sz="6" w:space="0" w:color="auto"/>
              <w:left w:val="nil"/>
              <w:bottom w:val="single" w:sz="12" w:space="0" w:color="auto"/>
              <w:right w:val="nil"/>
            </w:tcBorders>
          </w:tcPr>
          <w:p w:rsidR="00B958B1" w:rsidRPr="00C90A10" w:rsidRDefault="00B958B1" w:rsidP="009F3B54">
            <w:pPr>
              <w:pStyle w:val="TableofFigures"/>
              <w:rPr>
                <w:b/>
                <w:bCs/>
                <w:lang w:eastAsia="en-AU"/>
              </w:rPr>
            </w:pPr>
            <w:r w:rsidRPr="00C90A10">
              <w:rPr>
                <w:b/>
                <w:bCs/>
                <w:lang w:eastAsia="en-AU"/>
              </w:rPr>
              <w:t>6.7</w:t>
            </w:r>
          </w:p>
        </w:tc>
        <w:tc>
          <w:tcPr>
            <w:tcW w:w="828" w:type="dxa"/>
            <w:gridSpan w:val="2"/>
            <w:tcBorders>
              <w:top w:val="single" w:sz="6" w:space="0" w:color="auto"/>
              <w:left w:val="nil"/>
              <w:bottom w:val="single" w:sz="12" w:space="0" w:color="auto"/>
              <w:right w:val="nil"/>
            </w:tcBorders>
          </w:tcPr>
          <w:p w:rsidR="00B958B1" w:rsidRPr="00C90A10" w:rsidRDefault="00B958B1" w:rsidP="009F3B54">
            <w:pPr>
              <w:pStyle w:val="TableofFigures"/>
              <w:rPr>
                <w:b/>
                <w:bCs/>
                <w:lang w:eastAsia="en-AU"/>
              </w:rPr>
            </w:pPr>
            <w:r w:rsidRPr="00C90A10">
              <w:rPr>
                <w:b/>
                <w:bCs/>
                <w:lang w:eastAsia="en-AU"/>
              </w:rPr>
              <w:t>6.6</w:t>
            </w:r>
          </w:p>
        </w:tc>
        <w:tc>
          <w:tcPr>
            <w:tcW w:w="828" w:type="dxa"/>
            <w:tcBorders>
              <w:top w:val="single" w:sz="6" w:space="0" w:color="auto"/>
              <w:left w:val="nil"/>
              <w:bottom w:val="single" w:sz="12" w:space="0" w:color="auto"/>
              <w:right w:val="nil"/>
            </w:tcBorders>
          </w:tcPr>
          <w:p w:rsidR="00B958B1" w:rsidRPr="00C90A10" w:rsidRDefault="00B958B1" w:rsidP="009F3B54">
            <w:pPr>
              <w:pStyle w:val="TableofFigures"/>
              <w:rPr>
                <w:b/>
                <w:bCs/>
                <w:lang w:eastAsia="en-AU"/>
              </w:rPr>
            </w:pPr>
            <w:r w:rsidRPr="00C90A10">
              <w:rPr>
                <w:b/>
                <w:bCs/>
                <w:lang w:eastAsia="en-AU"/>
              </w:rPr>
              <w:t>..</w:t>
            </w:r>
          </w:p>
        </w:tc>
        <w:tc>
          <w:tcPr>
            <w:tcW w:w="472" w:type="dxa"/>
            <w:tcBorders>
              <w:top w:val="single" w:sz="6" w:space="0" w:color="auto"/>
              <w:left w:val="nil"/>
              <w:bottom w:val="single" w:sz="12" w:space="0" w:color="auto"/>
              <w:right w:val="nil"/>
            </w:tcBorders>
          </w:tcPr>
          <w:p w:rsidR="00B958B1" w:rsidRPr="00C90A10" w:rsidRDefault="00B958B1" w:rsidP="009F3B54">
            <w:pPr>
              <w:pStyle w:val="TableofFigures"/>
              <w:rPr>
                <w:b/>
                <w:bCs/>
                <w:lang w:eastAsia="en-AU"/>
              </w:rPr>
            </w:pPr>
            <w:r w:rsidRPr="00C90A10">
              <w:rPr>
                <w:b/>
                <w:bCs/>
                <w:lang w:eastAsia="en-AU"/>
              </w:rPr>
              <w:t>20.0</w:t>
            </w:r>
          </w:p>
        </w:tc>
      </w:tr>
    </w:tbl>
    <w:p w:rsidR="00B958B1" w:rsidRDefault="00B958B1" w:rsidP="009F3B54">
      <w:pPr>
        <w:pStyle w:val="Source"/>
      </w:pPr>
      <w:r w:rsidRPr="00A20936">
        <w:t>Source: Department of Treasury and Finance</w:t>
      </w:r>
    </w:p>
    <w:p w:rsidR="00B958B1" w:rsidRPr="007C29DA" w:rsidRDefault="00B958B1" w:rsidP="009F3B54">
      <w:pPr>
        <w:pStyle w:val="Notes"/>
      </w:pPr>
    </w:p>
    <w:p w:rsidR="00B958B1" w:rsidRDefault="00B958B1" w:rsidP="009F3B54">
      <w:pPr>
        <w:pStyle w:val="Heading4"/>
      </w:pPr>
      <w:r>
        <w:t>All</w:t>
      </w:r>
    </w:p>
    <w:p w:rsidR="00B958B1" w:rsidRDefault="00B958B1" w:rsidP="009F3B54">
      <w:pPr>
        <w:pStyle w:val="Heading5"/>
      </w:pPr>
      <w:r>
        <w:t>Services Connect</w:t>
      </w:r>
    </w:p>
    <w:p w:rsidR="00B958B1" w:rsidRDefault="00B958B1" w:rsidP="009F3B54">
      <w:r>
        <w:fldChar w:fldCharType="begin"/>
      </w:r>
      <w:r>
        <w:instrText xml:space="preserve"> XE "</w:instrText>
      </w:r>
      <w:r w:rsidRPr="00451516">
        <w:instrText>Services Connect</w:instrText>
      </w:r>
      <w:r>
        <w:instrText xml:space="preserve">" </w:instrText>
      </w:r>
      <w:r>
        <w:fldChar w:fldCharType="end"/>
      </w:r>
      <w:r>
        <w:t xml:space="preserve">Refer to the output initiative for a description of this initiative. </w:t>
      </w:r>
    </w:p>
    <w:p w:rsidR="00B958B1" w:rsidRDefault="00B958B1" w:rsidP="009F3B54">
      <w:pPr>
        <w:pStyle w:val="Heading4"/>
        <w:rPr>
          <w:lang w:eastAsia="en-AU"/>
        </w:rPr>
      </w:pPr>
      <w:r w:rsidRPr="00636D21">
        <w:rPr>
          <w:lang w:eastAsia="en-AU"/>
        </w:rPr>
        <w:t>Disability Services</w:t>
      </w:r>
    </w:p>
    <w:p w:rsidR="00B958B1" w:rsidRDefault="00B958B1" w:rsidP="009F3B54">
      <w:pPr>
        <w:pStyle w:val="Heading5"/>
      </w:pPr>
      <w:r>
        <w:t>Closure of Sandhurst Residential Services</w:t>
      </w:r>
    </w:p>
    <w:p w:rsidR="00B958B1" w:rsidRDefault="00B958B1" w:rsidP="009F3B54">
      <w:r>
        <w:fldChar w:fldCharType="begin"/>
      </w:r>
      <w:r>
        <w:instrText xml:space="preserve"> XE "Disability:</w:instrText>
      </w:r>
      <w:r w:rsidRPr="001902E6">
        <w:instrText>Disability Services</w:instrText>
      </w:r>
      <w:r>
        <w:instrText xml:space="preserve">" </w:instrText>
      </w:r>
      <w:r>
        <w:fldChar w:fldCharType="end"/>
      </w:r>
      <w:r>
        <w:t>New supported accommodation homes in the Bendigo area will be developed for the current residents of Sandhurst Residential Services. The new accommodation options will aim to create better lives for the residents of Sandhurst Residential Services by providing smaller, more personalised home environments that allow for greater involvement in the local community. Current residents, their families and carers</w:t>
      </w:r>
      <w:r>
        <w:fldChar w:fldCharType="begin"/>
      </w:r>
      <w:r>
        <w:instrText xml:space="preserve"> XE "</w:instrText>
      </w:r>
      <w:r w:rsidRPr="001902E6">
        <w:instrText>Carers</w:instrText>
      </w:r>
      <w:r>
        <w:instrText xml:space="preserve">" </w:instrText>
      </w:r>
      <w:r>
        <w:fldChar w:fldCharType="end"/>
      </w:r>
      <w:r>
        <w:t xml:space="preserve"> will play a key role in the development of the new homes to ensure they meet their support needs and living preferences.</w:t>
      </w:r>
    </w:p>
    <w:p w:rsidR="00B958B1" w:rsidRDefault="00B958B1" w:rsidP="009F3B54">
      <w:r>
        <w:t>This initiative contributes to the Department of Human Services’ Disability Services output.</w:t>
      </w:r>
    </w:p>
    <w:p w:rsidR="00B958B1" w:rsidRDefault="00B958B1" w:rsidP="009F3B54">
      <w:pPr>
        <w:pStyle w:val="Heading4"/>
        <w:rPr>
          <w:lang w:eastAsia="en-AU"/>
        </w:rPr>
      </w:pPr>
      <w:r w:rsidRPr="00636D21">
        <w:rPr>
          <w:lang w:eastAsia="en-AU"/>
        </w:rPr>
        <w:t>Housing Assistance</w:t>
      </w:r>
    </w:p>
    <w:p w:rsidR="00B958B1" w:rsidRDefault="00B958B1" w:rsidP="009F3B54">
      <w:pPr>
        <w:pStyle w:val="Heading5"/>
      </w:pPr>
      <w:r>
        <w:t>Victorian Youth Foyers – third youth foyer</w:t>
      </w:r>
    </w:p>
    <w:p w:rsidR="00B958B1" w:rsidRDefault="00B958B1" w:rsidP="009F3B54">
      <w:r>
        <w:fldChar w:fldCharType="begin"/>
      </w:r>
      <w:r>
        <w:instrText xml:space="preserve"> XE "</w:instrText>
      </w:r>
      <w:r w:rsidRPr="00451516">
        <w:instrText>Polic</w:instrText>
      </w:r>
      <w:r>
        <w:instrText xml:space="preserve">e" </w:instrText>
      </w:r>
      <w:r>
        <w:fldChar w:fldCharType="end"/>
      </w:r>
      <w:r>
        <w:t>The Government will deliver its election commitment to implement a Youth Foyer program and develop a third Youth Foyer to provide medium</w:t>
      </w:r>
      <w:r w:rsidR="009F0F49">
        <w:noBreakHyphen/>
      </w:r>
      <w:r>
        <w:t>term accommodation in a safe and supportive environment for up to two years to young people who are homeless or at risk of homelessness</w:t>
      </w:r>
      <w:r>
        <w:fldChar w:fldCharType="begin"/>
      </w:r>
      <w:r>
        <w:instrText xml:space="preserve"> XE "</w:instrText>
      </w:r>
      <w:r w:rsidRPr="001902E6">
        <w:instrText>Homelessness</w:instrText>
      </w:r>
      <w:r>
        <w:instrText xml:space="preserve">" </w:instrText>
      </w:r>
      <w:r>
        <w:fldChar w:fldCharType="end"/>
      </w:r>
      <w:r>
        <w:t>. Young people residing in the youth foyer will be provided with both onsite and community support to participate in education</w:t>
      </w:r>
      <w:r>
        <w:fldChar w:fldCharType="begin"/>
      </w:r>
      <w:r>
        <w:instrText xml:space="preserve"> XE "</w:instrText>
      </w:r>
      <w:r w:rsidRPr="001902E6">
        <w:instrText>Education</w:instrText>
      </w:r>
      <w:r>
        <w:instrText xml:space="preserve">" </w:instrText>
      </w:r>
      <w:r>
        <w:fldChar w:fldCharType="end"/>
      </w:r>
      <w:r>
        <w:t>, employment</w:t>
      </w:r>
      <w:r>
        <w:fldChar w:fldCharType="begin"/>
      </w:r>
      <w:r>
        <w:instrText xml:space="preserve"> XE "</w:instrText>
      </w:r>
      <w:r w:rsidRPr="001902E6">
        <w:instrText>Employment</w:instrText>
      </w:r>
      <w:r>
        <w:instrText xml:space="preserve">" </w:instrText>
      </w:r>
      <w:r>
        <w:fldChar w:fldCharType="end"/>
      </w:r>
      <w:r>
        <w:t xml:space="preserve"> and training.</w:t>
      </w:r>
    </w:p>
    <w:p w:rsidR="00B958B1" w:rsidRDefault="00B958B1" w:rsidP="009F3B54">
      <w:r>
        <w:t>This initiative contributes to the Department of Human Services’ Housing Assistance</w:t>
      </w:r>
      <w:r>
        <w:fldChar w:fldCharType="begin"/>
      </w:r>
      <w:r>
        <w:instrText xml:space="preserve"> XE "</w:instrText>
      </w:r>
      <w:r w:rsidRPr="001902E6">
        <w:instrText>Housing Assistance</w:instrText>
      </w:r>
      <w:r>
        <w:instrText xml:space="preserve">" </w:instrText>
      </w:r>
      <w:r>
        <w:fldChar w:fldCharType="end"/>
      </w:r>
      <w:r>
        <w:t xml:space="preserve"> output.</w:t>
      </w:r>
    </w:p>
    <w:p w:rsidR="00B958B1" w:rsidRDefault="00B958B1" w:rsidP="009F3B54">
      <w:pPr>
        <w:pStyle w:val="Heading4"/>
        <w:rPr>
          <w:lang w:eastAsia="en-AU"/>
        </w:rPr>
      </w:pPr>
      <w:r w:rsidRPr="00636D21">
        <w:rPr>
          <w:lang w:eastAsia="en-AU"/>
        </w:rPr>
        <w:t>Youth Services and Youth Justice</w:t>
      </w:r>
    </w:p>
    <w:p w:rsidR="00B958B1" w:rsidRDefault="00B958B1" w:rsidP="009F3B54">
      <w:pPr>
        <w:pStyle w:val="Heading5"/>
      </w:pPr>
      <w:r>
        <w:t>Youth Justice Centre</w:t>
      </w:r>
      <w:r w:rsidR="00AE07D0">
        <w:t>s</w:t>
      </w:r>
      <w:r>
        <w:t xml:space="preserve"> fire upgrades</w:t>
      </w:r>
    </w:p>
    <w:p w:rsidR="00B958B1" w:rsidRDefault="00B958B1" w:rsidP="009F3B54">
      <w:r>
        <w:fldChar w:fldCharType="begin"/>
      </w:r>
      <w:r>
        <w:instrText xml:space="preserve"> XE "</w:instrText>
      </w:r>
      <w:r w:rsidRPr="001902E6">
        <w:instrText>Youth Services</w:instrText>
      </w:r>
      <w:r>
        <w:instrText xml:space="preserve">" </w:instrText>
      </w:r>
      <w:r>
        <w:fldChar w:fldCharType="end"/>
      </w:r>
      <w:r>
        <w:fldChar w:fldCharType="begin"/>
      </w:r>
      <w:r>
        <w:instrText xml:space="preserve"> XE "</w:instrText>
      </w:r>
      <w:r w:rsidRPr="001902E6">
        <w:instrText>Youth Justice</w:instrText>
      </w:r>
      <w:r>
        <w:instrText xml:space="preserve">" </w:instrText>
      </w:r>
      <w:r>
        <w:fldChar w:fldCharType="end"/>
      </w:r>
      <w:r>
        <w:t>Fire ring mains at both the Parkville Youth Justice Precinct and the Malmsbury Precinct will be upgraded to maintain the safety of young people in custody.</w:t>
      </w:r>
    </w:p>
    <w:p w:rsidR="00B958B1" w:rsidRPr="00BF25C3" w:rsidRDefault="00B958B1" w:rsidP="009F3B54">
      <w:r>
        <w:t xml:space="preserve">This initiative contributes to the Department of Human Services’ Youth Justice Custodial Services output. </w:t>
      </w:r>
      <w:r>
        <w:fldChar w:fldCharType="begin"/>
      </w:r>
      <w:r>
        <w:instrText xml:space="preserve"> XE "</w:instrText>
      </w:r>
      <w:r w:rsidRPr="00665A78">
        <w:instrText>Department of Human Services:Asset initiatives</w:instrText>
      </w:r>
      <w:r>
        <w:instrText xml:space="preserve">" \r "BP3Ch1DHSAssetInitves" </w:instrText>
      </w:r>
      <w:r>
        <w:fldChar w:fldCharType="end"/>
      </w:r>
    </w:p>
    <w:bookmarkEnd w:id="42"/>
    <w:p w:rsidR="00B958B1" w:rsidRDefault="00B958B1" w:rsidP="009F3B54">
      <w:pPr>
        <w:pStyle w:val="Heading1"/>
      </w:pPr>
      <w:r>
        <w:br w:type="page"/>
      </w:r>
      <w:bookmarkStart w:id="43" w:name="_Toc355248218"/>
      <w:bookmarkStart w:id="44" w:name="_Toc355362270"/>
      <w:r>
        <w:t>Department of Justice</w:t>
      </w:r>
      <w:bookmarkEnd w:id="43"/>
      <w:bookmarkEnd w:id="44"/>
    </w:p>
    <w:p w:rsidR="00B958B1" w:rsidRDefault="00B958B1" w:rsidP="009F3B54">
      <w:pPr>
        <w:pStyle w:val="Heading3"/>
      </w:pPr>
      <w:bookmarkStart w:id="45" w:name="BP3Ch1DOJOutputInitves"/>
      <w:r>
        <w:t>Output initiatives</w:t>
      </w:r>
    </w:p>
    <w:p w:rsidR="00B958B1" w:rsidRDefault="00B958B1" w:rsidP="009F3B54">
      <w:pPr>
        <w:pStyle w:val="Tableheading"/>
        <w:tabs>
          <w:tab w:val="left" w:pos="720"/>
          <w:tab w:val="left" w:pos="1440"/>
          <w:tab w:val="left" w:pos="2160"/>
          <w:tab w:val="left" w:pos="2880"/>
          <w:tab w:val="left" w:pos="3600"/>
          <w:tab w:val="left" w:pos="4104"/>
        </w:tabs>
      </w:pPr>
      <w:r w:rsidRPr="006C13A1">
        <w:t>Table 1.</w:t>
      </w:r>
      <w:r>
        <w:t>9</w:t>
      </w:r>
      <w:r w:rsidRPr="006C13A1">
        <w:t>:</w:t>
      </w:r>
      <w:r w:rsidRPr="006C13A1">
        <w:tab/>
        <w:t>Output initiatives – Justice</w:t>
      </w:r>
      <w:r>
        <w:tab/>
      </w:r>
      <w:r>
        <w:tab/>
      </w:r>
    </w:p>
    <w:p w:rsidR="00B958B1" w:rsidRDefault="00B958B1" w:rsidP="009F3B54">
      <w:pPr>
        <w:pStyle w:val="million"/>
        <w:rPr>
          <w:rFonts w:ascii="Times New Roman" w:hAnsi="Times New Roman"/>
          <w:sz w:val="20"/>
          <w:lang w:eastAsia="en-AU"/>
        </w:rPr>
      </w:pPr>
      <w:r>
        <w:fldChar w:fldCharType="begin"/>
      </w:r>
      <w:r>
        <w:instrText xml:space="preserve"> XE "</w:instrText>
      </w:r>
      <w:r w:rsidRPr="00163B88">
        <w:instrText>Department of Justice:Justice</w:instrText>
      </w:r>
      <w:r>
        <w:instrText xml:space="preserve">" </w:instrText>
      </w:r>
      <w:r>
        <w:fldChar w:fldCharType="end"/>
      </w:r>
      <w:r>
        <w:fldChar w:fldCharType="begin"/>
      </w:r>
      <w:r>
        <w:instrText xml:space="preserve"> XE "</w:instrText>
      </w:r>
      <w:r w:rsidRPr="00EC417B">
        <w:instrText>Department of Justice:Law and order</w:instrText>
      </w:r>
      <w:r>
        <w:instrText xml:space="preserve">" </w:instrText>
      </w:r>
      <w:r>
        <w:fldChar w:fldCharType="end"/>
      </w:r>
      <w:r>
        <w:fldChar w:fldCharType="begin"/>
      </w:r>
      <w:r>
        <w:instrText xml:space="preserve"> XE "</w:instrText>
      </w:r>
      <w:r w:rsidRPr="00322309">
        <w:instrText>Department of Justice:Police</w:instrText>
      </w:r>
      <w:r>
        <w:instrText xml:space="preserve">" </w:instrText>
      </w:r>
      <w:r>
        <w:fldChar w:fldCharType="end"/>
      </w:r>
      <w:r>
        <w:fldChar w:fldCharType="begin"/>
      </w:r>
      <w:r>
        <w:instrText xml:space="preserve"> XE "</w:instrText>
      </w:r>
      <w:r w:rsidRPr="00C65259">
        <w:instrText>Department of Justice:Security</w:instrText>
      </w:r>
      <w:r>
        <w:instrText xml:space="preserve">" </w:instrText>
      </w:r>
      <w:r>
        <w:fldChar w:fldCharType="end"/>
      </w:r>
      <w:r>
        <w:fldChar w:fldCharType="begin"/>
      </w:r>
      <w:r>
        <w:instrText xml:space="preserve"> XE "</w:instrText>
      </w:r>
      <w:r w:rsidRPr="009E53A6">
        <w:instrText>Justice</w:instrText>
      </w:r>
      <w:r>
        <w:instrText xml:space="preserve">" </w:instrText>
      </w:r>
      <w:r>
        <w:fldChar w:fldCharType="end"/>
      </w:r>
      <w:r>
        <w:fldChar w:fldCharType="begin"/>
      </w:r>
      <w:r>
        <w:instrText xml:space="preserve"> XE "</w:instrText>
      </w:r>
      <w:r w:rsidRPr="009E53A6">
        <w:instrText xml:space="preserve">Law and </w:instrText>
      </w:r>
      <w:r>
        <w:instrText>O</w:instrText>
      </w:r>
      <w:r w:rsidRPr="009E53A6">
        <w:instrText>rder</w:instrText>
      </w:r>
      <w:r>
        <w:instrText xml:space="preserve">" </w:instrText>
      </w:r>
      <w:r>
        <w:fldChar w:fldCharType="end"/>
      </w:r>
      <w:r>
        <w:fldChar w:fldCharType="begin"/>
      </w:r>
      <w:r>
        <w:instrText xml:space="preserve"> XE "</w:instrText>
      </w:r>
      <w:r w:rsidRPr="009E53A6">
        <w:instrText>Police</w:instrText>
      </w:r>
      <w:r>
        <w:instrText xml:space="preserve">" </w:instrText>
      </w:r>
      <w:r>
        <w:fldChar w:fldCharType="end"/>
      </w:r>
      <w:r>
        <w:fldChar w:fldCharType="begin"/>
      </w:r>
      <w:r>
        <w:instrText xml:space="preserve"> XE "</w:instrText>
      </w:r>
      <w:r w:rsidRPr="009E53A6">
        <w:instrText>Security</w:instrText>
      </w:r>
      <w:r>
        <w:instrText xml:space="preserve">" </w:instrText>
      </w:r>
      <w:r>
        <w:fldChar w:fldCharType="end"/>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434"/>
        <w:gridCol w:w="198"/>
        <w:gridCol w:w="432"/>
        <w:gridCol w:w="238"/>
        <w:gridCol w:w="392"/>
        <w:gridCol w:w="240"/>
        <w:gridCol w:w="236"/>
        <w:gridCol w:w="869"/>
        <w:gridCol w:w="868"/>
        <w:gridCol w:w="869"/>
      </w:tblGrid>
      <w:tr w:rsidR="00B958B1" w:rsidRPr="007660C2" w:rsidTr="009F3B54">
        <w:trPr>
          <w:cantSplit/>
        </w:trPr>
        <w:tc>
          <w:tcPr>
            <w:tcW w:w="3434" w:type="dxa"/>
            <w:tcBorders>
              <w:top w:val="single" w:sz="6" w:space="0" w:color="auto"/>
              <w:left w:val="single" w:sz="4" w:space="0" w:color="auto"/>
              <w:bottom w:val="single" w:sz="4" w:space="0" w:color="auto"/>
              <w:right w:val="nil"/>
            </w:tcBorders>
            <w:shd w:val="clear" w:color="auto" w:fill="000000"/>
          </w:tcPr>
          <w:p w:rsidR="00B958B1" w:rsidRPr="007660C2" w:rsidRDefault="00B958B1" w:rsidP="009F3B54">
            <w:pPr>
              <w:pStyle w:val="Tabletext"/>
              <w:rPr>
                <w:lang w:eastAsia="en-AU"/>
              </w:rPr>
            </w:pPr>
          </w:p>
        </w:tc>
        <w:tc>
          <w:tcPr>
            <w:tcW w:w="868" w:type="dxa"/>
            <w:gridSpan w:val="3"/>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2012</w:t>
            </w:r>
            <w:r w:rsidR="009F0F49">
              <w:rPr>
                <w:lang w:eastAsia="en-AU"/>
              </w:rPr>
              <w:noBreakHyphen/>
            </w:r>
            <w:r w:rsidRPr="007660C2">
              <w:rPr>
                <w:lang w:eastAsia="en-AU"/>
              </w:rPr>
              <w:t>13</w:t>
            </w:r>
          </w:p>
        </w:tc>
        <w:tc>
          <w:tcPr>
            <w:tcW w:w="868" w:type="dxa"/>
            <w:gridSpan w:val="3"/>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2013</w:t>
            </w:r>
            <w:r w:rsidR="009F0F49">
              <w:rPr>
                <w:lang w:eastAsia="en-AU"/>
              </w:rPr>
              <w:noBreakHyphen/>
            </w:r>
            <w:r w:rsidRPr="007660C2">
              <w:rPr>
                <w:lang w:eastAsia="en-AU"/>
              </w:rPr>
              <w:t>14</w:t>
            </w:r>
          </w:p>
        </w:tc>
        <w:tc>
          <w:tcPr>
            <w:tcW w:w="869" w:type="dxa"/>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2014</w:t>
            </w:r>
            <w:r w:rsidR="009F0F49">
              <w:rPr>
                <w:lang w:eastAsia="en-AU"/>
              </w:rPr>
              <w:noBreakHyphen/>
            </w:r>
            <w:r w:rsidRPr="007660C2">
              <w:rPr>
                <w:lang w:eastAsia="en-AU"/>
              </w:rPr>
              <w:t>15</w:t>
            </w:r>
          </w:p>
        </w:tc>
        <w:tc>
          <w:tcPr>
            <w:tcW w:w="868" w:type="dxa"/>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2015</w:t>
            </w:r>
            <w:r w:rsidR="009F0F49">
              <w:rPr>
                <w:lang w:eastAsia="en-AU"/>
              </w:rPr>
              <w:noBreakHyphen/>
            </w:r>
            <w:r w:rsidRPr="007660C2">
              <w:rPr>
                <w:lang w:eastAsia="en-AU"/>
              </w:rPr>
              <w:t>16</w:t>
            </w:r>
          </w:p>
        </w:tc>
        <w:tc>
          <w:tcPr>
            <w:tcW w:w="869" w:type="dxa"/>
            <w:tcBorders>
              <w:top w:val="single" w:sz="6" w:space="0" w:color="auto"/>
              <w:left w:val="nil"/>
              <w:bottom w:val="single" w:sz="4" w:space="0" w:color="auto"/>
              <w:right w:val="single" w:sz="4" w:space="0" w:color="auto"/>
            </w:tcBorders>
            <w:shd w:val="clear" w:color="auto" w:fill="000000"/>
          </w:tcPr>
          <w:p w:rsidR="00B958B1" w:rsidRPr="007660C2" w:rsidRDefault="00B958B1" w:rsidP="009F3B54">
            <w:pPr>
              <w:pStyle w:val="Tabletextheading"/>
              <w:rPr>
                <w:lang w:eastAsia="en-AU"/>
              </w:rPr>
            </w:pPr>
            <w:r w:rsidRPr="007660C2">
              <w:rPr>
                <w:lang w:eastAsia="en-AU"/>
              </w:rPr>
              <w:t>2016</w:t>
            </w:r>
            <w:r w:rsidR="009F0F49">
              <w:rPr>
                <w:lang w:eastAsia="en-AU"/>
              </w:rPr>
              <w:noBreakHyphen/>
            </w:r>
            <w:r w:rsidRPr="007660C2">
              <w:rPr>
                <w:lang w:eastAsia="en-AU"/>
              </w:rPr>
              <w:t>17</w:t>
            </w:r>
          </w:p>
        </w:tc>
      </w:tr>
      <w:tr w:rsidR="00B958B1" w:rsidRPr="007660C2" w:rsidTr="009F3B54">
        <w:trPr>
          <w:cantSplit/>
        </w:trPr>
        <w:tc>
          <w:tcPr>
            <w:tcW w:w="3434" w:type="dxa"/>
            <w:tcBorders>
              <w:top w:val="single" w:sz="4" w:space="0" w:color="auto"/>
              <w:left w:val="nil"/>
              <w:bottom w:val="nil"/>
              <w:right w:val="nil"/>
            </w:tcBorders>
          </w:tcPr>
          <w:p w:rsidR="00B958B1" w:rsidRPr="007660C2" w:rsidRDefault="00B958B1" w:rsidP="009F3B54">
            <w:pPr>
              <w:pStyle w:val="Tabletext"/>
              <w:rPr>
                <w:b/>
                <w:bCs/>
                <w:lang w:eastAsia="en-AU"/>
              </w:rPr>
            </w:pPr>
            <w:r w:rsidRPr="007660C2">
              <w:rPr>
                <w:b/>
                <w:bCs/>
                <w:lang w:eastAsia="en-AU"/>
              </w:rPr>
              <w:t>Court Services</w:t>
            </w:r>
          </w:p>
        </w:tc>
        <w:tc>
          <w:tcPr>
            <w:tcW w:w="868" w:type="dxa"/>
            <w:gridSpan w:val="3"/>
            <w:tcBorders>
              <w:top w:val="single" w:sz="4" w:space="0" w:color="auto"/>
              <w:left w:val="nil"/>
              <w:bottom w:val="nil"/>
              <w:right w:val="nil"/>
            </w:tcBorders>
          </w:tcPr>
          <w:p w:rsidR="00B958B1" w:rsidRPr="007660C2" w:rsidRDefault="00B958B1" w:rsidP="009F3B54">
            <w:pPr>
              <w:pStyle w:val="TableofFigures"/>
              <w:rPr>
                <w:lang w:eastAsia="en-AU"/>
              </w:rPr>
            </w:pPr>
          </w:p>
        </w:tc>
        <w:tc>
          <w:tcPr>
            <w:tcW w:w="868" w:type="dxa"/>
            <w:gridSpan w:val="3"/>
            <w:tcBorders>
              <w:top w:val="single" w:sz="4" w:space="0" w:color="auto"/>
              <w:left w:val="nil"/>
              <w:bottom w:val="nil"/>
              <w:right w:val="nil"/>
            </w:tcBorders>
          </w:tcPr>
          <w:p w:rsidR="00B958B1" w:rsidRPr="007660C2" w:rsidRDefault="00B958B1" w:rsidP="009F3B54">
            <w:pPr>
              <w:pStyle w:val="TableofFigures"/>
              <w:rPr>
                <w:lang w:eastAsia="en-AU"/>
              </w:rPr>
            </w:pPr>
          </w:p>
        </w:tc>
        <w:tc>
          <w:tcPr>
            <w:tcW w:w="869" w:type="dxa"/>
            <w:tcBorders>
              <w:top w:val="single" w:sz="4" w:space="0" w:color="auto"/>
              <w:left w:val="nil"/>
              <w:bottom w:val="nil"/>
              <w:right w:val="nil"/>
            </w:tcBorders>
          </w:tcPr>
          <w:p w:rsidR="00B958B1" w:rsidRPr="007660C2" w:rsidRDefault="00B958B1" w:rsidP="009F3B54">
            <w:pPr>
              <w:pStyle w:val="TableofFigures"/>
              <w:rPr>
                <w:lang w:eastAsia="en-AU"/>
              </w:rPr>
            </w:pPr>
          </w:p>
        </w:tc>
        <w:tc>
          <w:tcPr>
            <w:tcW w:w="868" w:type="dxa"/>
            <w:tcBorders>
              <w:top w:val="single" w:sz="4" w:space="0" w:color="auto"/>
              <w:left w:val="nil"/>
              <w:bottom w:val="nil"/>
              <w:right w:val="nil"/>
            </w:tcBorders>
          </w:tcPr>
          <w:p w:rsidR="00B958B1" w:rsidRPr="007660C2" w:rsidRDefault="00B958B1" w:rsidP="009F3B54">
            <w:pPr>
              <w:pStyle w:val="TableofFigures"/>
              <w:rPr>
                <w:lang w:eastAsia="en-AU"/>
              </w:rPr>
            </w:pPr>
          </w:p>
        </w:tc>
        <w:tc>
          <w:tcPr>
            <w:tcW w:w="869" w:type="dxa"/>
            <w:tcBorders>
              <w:top w:val="single" w:sz="4" w:space="0" w:color="auto"/>
              <w:left w:val="nil"/>
              <w:bottom w:val="nil"/>
              <w:right w:val="nil"/>
            </w:tcBorders>
          </w:tcPr>
          <w:p w:rsidR="00B958B1" w:rsidRPr="007660C2" w:rsidRDefault="00B958B1" w:rsidP="009F3B54">
            <w:pPr>
              <w:pStyle w:val="TableofFigures"/>
              <w:rPr>
                <w:lang w:eastAsia="en-AU"/>
              </w:rPr>
            </w:pPr>
          </w:p>
        </w:tc>
      </w:tr>
      <w:tr w:rsidR="00B958B1" w:rsidRPr="007660C2" w:rsidTr="009F3B54">
        <w:trPr>
          <w:cantSplit/>
        </w:trPr>
        <w:tc>
          <w:tcPr>
            <w:tcW w:w="343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 xml:space="preserve">Enhancing court IT and facilities </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1.5</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0.7</w:t>
            </w:r>
          </w:p>
        </w:tc>
        <w:tc>
          <w:tcPr>
            <w:tcW w:w="868"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0.8</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r>
      <w:tr w:rsidR="00B958B1" w:rsidRPr="007660C2" w:rsidTr="009F3B54">
        <w:trPr>
          <w:cantSplit/>
        </w:trPr>
        <w:tc>
          <w:tcPr>
            <w:tcW w:w="343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Supporting courts</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11.8</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14.1</w:t>
            </w:r>
          </w:p>
        </w:tc>
        <w:tc>
          <w:tcPr>
            <w:tcW w:w="868"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10.9</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10.9</w:t>
            </w:r>
          </w:p>
        </w:tc>
      </w:tr>
      <w:tr w:rsidR="00B958B1" w:rsidRPr="007660C2" w:rsidTr="009F3B54">
        <w:trPr>
          <w:cantSplit/>
        </w:trPr>
        <w:tc>
          <w:tcPr>
            <w:tcW w:w="4064" w:type="dxa"/>
            <w:gridSpan w:val="3"/>
            <w:tcBorders>
              <w:top w:val="nil"/>
              <w:left w:val="nil"/>
              <w:bottom w:val="nil"/>
              <w:right w:val="nil"/>
            </w:tcBorders>
          </w:tcPr>
          <w:p w:rsidR="00B958B1" w:rsidRPr="007660C2" w:rsidRDefault="00B958B1" w:rsidP="009F3B54">
            <w:pPr>
              <w:pStyle w:val="Tabletext"/>
              <w:rPr>
                <w:b/>
                <w:bCs/>
                <w:lang w:eastAsia="en-AU"/>
              </w:rPr>
            </w:pPr>
            <w:r w:rsidRPr="007660C2">
              <w:rPr>
                <w:b/>
                <w:bCs/>
                <w:lang w:eastAsia="en-AU"/>
              </w:rPr>
              <w:t>Enforcing and Managing Correctional Orders</w:t>
            </w:r>
          </w:p>
        </w:tc>
        <w:tc>
          <w:tcPr>
            <w:tcW w:w="238"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 xml:space="preserve"> </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p>
        </w:tc>
        <w:tc>
          <w:tcPr>
            <w:tcW w:w="869" w:type="dxa"/>
            <w:tcBorders>
              <w:top w:val="nil"/>
              <w:left w:val="nil"/>
              <w:bottom w:val="nil"/>
              <w:right w:val="nil"/>
            </w:tcBorders>
          </w:tcPr>
          <w:p w:rsidR="00B958B1" w:rsidRPr="007660C2" w:rsidRDefault="00B958B1" w:rsidP="009F3B54">
            <w:pPr>
              <w:pStyle w:val="TableofFigures"/>
              <w:rPr>
                <w:lang w:eastAsia="en-AU"/>
              </w:rPr>
            </w:pPr>
          </w:p>
        </w:tc>
        <w:tc>
          <w:tcPr>
            <w:tcW w:w="868" w:type="dxa"/>
            <w:tcBorders>
              <w:top w:val="nil"/>
              <w:left w:val="nil"/>
              <w:bottom w:val="nil"/>
              <w:right w:val="nil"/>
            </w:tcBorders>
          </w:tcPr>
          <w:p w:rsidR="00B958B1" w:rsidRPr="007660C2" w:rsidRDefault="00B958B1" w:rsidP="009F3B54">
            <w:pPr>
              <w:pStyle w:val="TableofFigures"/>
              <w:rPr>
                <w:lang w:eastAsia="en-AU"/>
              </w:rPr>
            </w:pPr>
          </w:p>
        </w:tc>
        <w:tc>
          <w:tcPr>
            <w:tcW w:w="869" w:type="dxa"/>
            <w:tcBorders>
              <w:top w:val="nil"/>
              <w:left w:val="nil"/>
              <w:bottom w:val="nil"/>
              <w:right w:val="nil"/>
            </w:tcBorders>
          </w:tcPr>
          <w:p w:rsidR="00B958B1" w:rsidRPr="007660C2" w:rsidRDefault="00B958B1" w:rsidP="009F3B54">
            <w:pPr>
              <w:pStyle w:val="TableofFigures"/>
              <w:rPr>
                <w:lang w:eastAsia="en-AU"/>
              </w:rPr>
            </w:pPr>
          </w:p>
        </w:tc>
      </w:tr>
      <w:tr w:rsidR="00B958B1" w:rsidRPr="007660C2" w:rsidTr="009F3B54">
        <w:trPr>
          <w:cantSplit/>
        </w:trPr>
        <w:tc>
          <w:tcPr>
            <w:tcW w:w="343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 xml:space="preserve">High security and management prisoners </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0.4</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1.5</w:t>
            </w:r>
          </w:p>
        </w:tc>
        <w:tc>
          <w:tcPr>
            <w:tcW w:w="868"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5.9</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10.1</w:t>
            </w:r>
          </w:p>
        </w:tc>
      </w:tr>
      <w:tr w:rsidR="00B958B1" w:rsidRPr="007660C2" w:rsidTr="009F3B54">
        <w:trPr>
          <w:cantSplit/>
        </w:trPr>
        <w:tc>
          <w:tcPr>
            <w:tcW w:w="343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Increased prison capacity</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24.5</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43.9</w:t>
            </w:r>
          </w:p>
        </w:tc>
        <w:tc>
          <w:tcPr>
            <w:tcW w:w="868"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r>
      <w:tr w:rsidR="00B958B1" w:rsidRPr="007660C2" w:rsidTr="009F3B54">
        <w:trPr>
          <w:cantSplit/>
        </w:trPr>
        <w:tc>
          <w:tcPr>
            <w:tcW w:w="4694" w:type="dxa"/>
            <w:gridSpan w:val="5"/>
            <w:tcBorders>
              <w:top w:val="nil"/>
              <w:left w:val="nil"/>
              <w:bottom w:val="nil"/>
              <w:right w:val="nil"/>
            </w:tcBorders>
          </w:tcPr>
          <w:p w:rsidR="00B958B1" w:rsidRPr="007660C2" w:rsidRDefault="00B958B1" w:rsidP="009F3B54">
            <w:pPr>
              <w:pStyle w:val="Tabletext"/>
              <w:rPr>
                <w:b/>
                <w:bCs/>
                <w:lang w:eastAsia="en-AU"/>
              </w:rPr>
            </w:pPr>
            <w:r w:rsidRPr="007660C2">
              <w:rPr>
                <w:b/>
                <w:bCs/>
                <w:lang w:eastAsia="en-AU"/>
              </w:rPr>
              <w:t>Infringements and Enhancing Community Safety</w:t>
            </w:r>
          </w:p>
        </w:tc>
        <w:tc>
          <w:tcPr>
            <w:tcW w:w="24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 xml:space="preserve"> </w:t>
            </w:r>
          </w:p>
        </w:tc>
        <w:tc>
          <w:tcPr>
            <w:tcW w:w="236" w:type="dxa"/>
            <w:tcBorders>
              <w:top w:val="nil"/>
              <w:left w:val="nil"/>
              <w:bottom w:val="nil"/>
              <w:right w:val="nil"/>
            </w:tcBorders>
          </w:tcPr>
          <w:p w:rsidR="00B958B1" w:rsidRPr="007660C2" w:rsidRDefault="00B958B1" w:rsidP="009F3B54">
            <w:pPr>
              <w:pStyle w:val="TableofFigures"/>
              <w:rPr>
                <w:lang w:eastAsia="en-AU"/>
              </w:rPr>
            </w:pPr>
          </w:p>
        </w:tc>
        <w:tc>
          <w:tcPr>
            <w:tcW w:w="869" w:type="dxa"/>
            <w:tcBorders>
              <w:top w:val="nil"/>
              <w:left w:val="nil"/>
              <w:bottom w:val="nil"/>
              <w:right w:val="nil"/>
            </w:tcBorders>
          </w:tcPr>
          <w:p w:rsidR="00B958B1" w:rsidRPr="007660C2" w:rsidRDefault="00B958B1" w:rsidP="009F3B54">
            <w:pPr>
              <w:pStyle w:val="TableofFigures"/>
              <w:rPr>
                <w:lang w:eastAsia="en-AU"/>
              </w:rPr>
            </w:pPr>
          </w:p>
        </w:tc>
        <w:tc>
          <w:tcPr>
            <w:tcW w:w="868" w:type="dxa"/>
            <w:tcBorders>
              <w:top w:val="nil"/>
              <w:left w:val="nil"/>
              <w:bottom w:val="nil"/>
              <w:right w:val="nil"/>
            </w:tcBorders>
          </w:tcPr>
          <w:p w:rsidR="00B958B1" w:rsidRPr="007660C2" w:rsidRDefault="00B958B1" w:rsidP="009F3B54">
            <w:pPr>
              <w:pStyle w:val="TableofFigures"/>
              <w:rPr>
                <w:lang w:eastAsia="en-AU"/>
              </w:rPr>
            </w:pPr>
          </w:p>
        </w:tc>
        <w:tc>
          <w:tcPr>
            <w:tcW w:w="869" w:type="dxa"/>
            <w:tcBorders>
              <w:top w:val="nil"/>
              <w:left w:val="nil"/>
              <w:bottom w:val="nil"/>
              <w:right w:val="nil"/>
            </w:tcBorders>
          </w:tcPr>
          <w:p w:rsidR="00B958B1" w:rsidRPr="007660C2" w:rsidRDefault="00B958B1" w:rsidP="009F3B54">
            <w:pPr>
              <w:pStyle w:val="TableofFigures"/>
              <w:rPr>
                <w:lang w:eastAsia="en-AU"/>
              </w:rPr>
            </w:pPr>
          </w:p>
        </w:tc>
      </w:tr>
      <w:tr w:rsidR="00B958B1" w:rsidRPr="007660C2" w:rsidTr="009F3B54">
        <w:trPr>
          <w:cantSplit/>
        </w:trPr>
        <w:tc>
          <w:tcPr>
            <w:tcW w:w="343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Asset Confiscation Scheme</w:t>
            </w:r>
          </w:p>
        </w:tc>
        <w:tc>
          <w:tcPr>
            <w:tcW w:w="868"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68"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7.0</w:t>
            </w:r>
          </w:p>
        </w:tc>
        <w:tc>
          <w:tcPr>
            <w:tcW w:w="869"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6.9</w:t>
            </w:r>
          </w:p>
        </w:tc>
        <w:tc>
          <w:tcPr>
            <w:tcW w:w="868"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6.9</w:t>
            </w:r>
          </w:p>
        </w:tc>
        <w:tc>
          <w:tcPr>
            <w:tcW w:w="869"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6.9</w:t>
            </w:r>
          </w:p>
        </w:tc>
      </w:tr>
      <w:tr w:rsidR="00B958B1" w:rsidRPr="007660C2" w:rsidTr="009F3B54">
        <w:trPr>
          <w:cantSplit/>
        </w:trPr>
        <w:tc>
          <w:tcPr>
            <w:tcW w:w="343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 xml:space="preserve">Mobile camera replacement program </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2.8</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3.3</w:t>
            </w:r>
          </w:p>
        </w:tc>
        <w:tc>
          <w:tcPr>
            <w:tcW w:w="868"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1.9</w:t>
            </w:r>
          </w:p>
        </w:tc>
        <w:tc>
          <w:tcPr>
            <w:tcW w:w="869"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2.7</w:t>
            </w:r>
          </w:p>
        </w:tc>
      </w:tr>
      <w:tr w:rsidR="00B958B1" w:rsidRPr="007660C2" w:rsidTr="009F3B54">
        <w:trPr>
          <w:cantSplit/>
        </w:trPr>
        <w:tc>
          <w:tcPr>
            <w:tcW w:w="3632" w:type="dxa"/>
            <w:gridSpan w:val="2"/>
            <w:tcBorders>
              <w:top w:val="nil"/>
              <w:left w:val="nil"/>
              <w:bottom w:val="nil"/>
              <w:right w:val="nil"/>
            </w:tcBorders>
          </w:tcPr>
          <w:p w:rsidR="00B958B1" w:rsidRPr="007660C2" w:rsidRDefault="00B958B1" w:rsidP="009F3B54">
            <w:pPr>
              <w:pStyle w:val="Tabletext"/>
              <w:rPr>
                <w:lang w:eastAsia="en-AU"/>
              </w:rPr>
            </w:pPr>
            <w:r w:rsidRPr="007660C2">
              <w:rPr>
                <w:lang w:eastAsia="en-AU"/>
              </w:rPr>
              <w:t xml:space="preserve">Reforming the collection and enforcement of legal debt in Victoria </w:t>
            </w:r>
          </w:p>
        </w:tc>
        <w:tc>
          <w:tcPr>
            <w:tcW w:w="670"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1.4</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3.3</w:t>
            </w:r>
          </w:p>
        </w:tc>
        <w:tc>
          <w:tcPr>
            <w:tcW w:w="868"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5.6</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9.3</w:t>
            </w:r>
          </w:p>
        </w:tc>
      </w:tr>
      <w:tr w:rsidR="00B958B1" w:rsidRPr="007660C2" w:rsidTr="009F3B54">
        <w:trPr>
          <w:cantSplit/>
        </w:trPr>
        <w:tc>
          <w:tcPr>
            <w:tcW w:w="3434" w:type="dxa"/>
            <w:tcBorders>
              <w:top w:val="nil"/>
              <w:left w:val="nil"/>
              <w:bottom w:val="nil"/>
              <w:right w:val="nil"/>
            </w:tcBorders>
          </w:tcPr>
          <w:p w:rsidR="00B958B1" w:rsidRPr="007660C2" w:rsidRDefault="00B958B1" w:rsidP="009F3B54">
            <w:pPr>
              <w:pStyle w:val="Tabletext"/>
              <w:rPr>
                <w:b/>
                <w:bCs/>
                <w:lang w:eastAsia="en-AU"/>
              </w:rPr>
            </w:pPr>
            <w:r w:rsidRPr="007660C2">
              <w:rPr>
                <w:b/>
                <w:bCs/>
                <w:lang w:eastAsia="en-AU"/>
              </w:rPr>
              <w:t>Policing</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p>
        </w:tc>
        <w:tc>
          <w:tcPr>
            <w:tcW w:w="869" w:type="dxa"/>
            <w:tcBorders>
              <w:top w:val="nil"/>
              <w:left w:val="nil"/>
              <w:bottom w:val="nil"/>
              <w:right w:val="nil"/>
            </w:tcBorders>
          </w:tcPr>
          <w:p w:rsidR="00B958B1" w:rsidRPr="007660C2" w:rsidRDefault="00B958B1" w:rsidP="009F3B54">
            <w:pPr>
              <w:pStyle w:val="TableofFigures"/>
              <w:rPr>
                <w:lang w:eastAsia="en-AU"/>
              </w:rPr>
            </w:pPr>
          </w:p>
        </w:tc>
        <w:tc>
          <w:tcPr>
            <w:tcW w:w="868" w:type="dxa"/>
            <w:tcBorders>
              <w:top w:val="nil"/>
              <w:left w:val="nil"/>
              <w:bottom w:val="nil"/>
              <w:right w:val="nil"/>
            </w:tcBorders>
          </w:tcPr>
          <w:p w:rsidR="00B958B1" w:rsidRPr="007660C2" w:rsidRDefault="00B958B1" w:rsidP="009F3B54">
            <w:pPr>
              <w:pStyle w:val="TableofFigures"/>
              <w:rPr>
                <w:lang w:eastAsia="en-AU"/>
              </w:rPr>
            </w:pPr>
          </w:p>
        </w:tc>
        <w:tc>
          <w:tcPr>
            <w:tcW w:w="869" w:type="dxa"/>
            <w:tcBorders>
              <w:top w:val="nil"/>
              <w:left w:val="nil"/>
              <w:bottom w:val="nil"/>
              <w:right w:val="nil"/>
            </w:tcBorders>
          </w:tcPr>
          <w:p w:rsidR="00B958B1" w:rsidRPr="007660C2" w:rsidRDefault="00B958B1" w:rsidP="009F3B54">
            <w:pPr>
              <w:pStyle w:val="TableofFigures"/>
              <w:rPr>
                <w:lang w:eastAsia="en-AU"/>
              </w:rPr>
            </w:pPr>
          </w:p>
        </w:tc>
      </w:tr>
      <w:tr w:rsidR="00B958B1" w:rsidRPr="007660C2" w:rsidTr="009F3B54">
        <w:trPr>
          <w:cantSplit/>
        </w:trPr>
        <w:tc>
          <w:tcPr>
            <w:tcW w:w="343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Establishment of a crime statistics agency</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3.6</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1.5</w:t>
            </w:r>
          </w:p>
        </w:tc>
        <w:tc>
          <w:tcPr>
            <w:tcW w:w="868"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1.6</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1.7</w:t>
            </w:r>
          </w:p>
        </w:tc>
      </w:tr>
      <w:tr w:rsidR="00B958B1" w:rsidRPr="007660C2" w:rsidTr="009F3B54">
        <w:trPr>
          <w:cantSplit/>
        </w:trPr>
        <w:tc>
          <w:tcPr>
            <w:tcW w:w="343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 xml:space="preserve">New and upgraded police stations </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0.6</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0.9</w:t>
            </w:r>
          </w:p>
        </w:tc>
        <w:tc>
          <w:tcPr>
            <w:tcW w:w="868"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1.8</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1.8</w:t>
            </w:r>
          </w:p>
        </w:tc>
      </w:tr>
      <w:tr w:rsidR="00B958B1" w:rsidRPr="007660C2" w:rsidTr="009F3B54">
        <w:trPr>
          <w:cantSplit/>
        </w:trPr>
        <w:tc>
          <w:tcPr>
            <w:tcW w:w="343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 xml:space="preserve">Police Information Process and Practice reform program </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5.2</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4.8</w:t>
            </w:r>
          </w:p>
        </w:tc>
        <w:tc>
          <w:tcPr>
            <w:tcW w:w="868"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1.9</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1.0</w:t>
            </w:r>
          </w:p>
        </w:tc>
      </w:tr>
      <w:tr w:rsidR="00B958B1" w:rsidRPr="007660C2" w:rsidTr="009F3B54">
        <w:trPr>
          <w:cantSplit/>
        </w:trPr>
        <w:tc>
          <w:tcPr>
            <w:tcW w:w="4064" w:type="dxa"/>
            <w:gridSpan w:val="3"/>
            <w:tcBorders>
              <w:top w:val="nil"/>
              <w:left w:val="nil"/>
              <w:bottom w:val="nil"/>
              <w:right w:val="nil"/>
            </w:tcBorders>
          </w:tcPr>
          <w:p w:rsidR="00B958B1" w:rsidRPr="007660C2" w:rsidRDefault="00B958B1" w:rsidP="009F3B54">
            <w:pPr>
              <w:pStyle w:val="Tabletext"/>
              <w:rPr>
                <w:b/>
                <w:bCs/>
                <w:lang w:eastAsia="en-AU"/>
              </w:rPr>
            </w:pPr>
            <w:r w:rsidRPr="007660C2">
              <w:rPr>
                <w:b/>
                <w:bCs/>
                <w:lang w:eastAsia="en-AU"/>
              </w:rPr>
              <w:t>Supporting Legal Processes and Law Reform</w:t>
            </w:r>
          </w:p>
        </w:tc>
        <w:tc>
          <w:tcPr>
            <w:tcW w:w="238"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 xml:space="preserve"> </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p>
        </w:tc>
        <w:tc>
          <w:tcPr>
            <w:tcW w:w="869" w:type="dxa"/>
            <w:tcBorders>
              <w:top w:val="nil"/>
              <w:left w:val="nil"/>
              <w:bottom w:val="nil"/>
              <w:right w:val="nil"/>
            </w:tcBorders>
          </w:tcPr>
          <w:p w:rsidR="00B958B1" w:rsidRPr="007660C2" w:rsidRDefault="00B958B1" w:rsidP="009F3B54">
            <w:pPr>
              <w:pStyle w:val="TableofFigures"/>
              <w:rPr>
                <w:lang w:eastAsia="en-AU"/>
              </w:rPr>
            </w:pPr>
          </w:p>
        </w:tc>
        <w:tc>
          <w:tcPr>
            <w:tcW w:w="868" w:type="dxa"/>
            <w:tcBorders>
              <w:top w:val="nil"/>
              <w:left w:val="nil"/>
              <w:bottom w:val="nil"/>
              <w:right w:val="nil"/>
            </w:tcBorders>
          </w:tcPr>
          <w:p w:rsidR="00B958B1" w:rsidRPr="007660C2" w:rsidRDefault="00B958B1" w:rsidP="009F3B54">
            <w:pPr>
              <w:pStyle w:val="TableofFigures"/>
              <w:rPr>
                <w:lang w:eastAsia="en-AU"/>
              </w:rPr>
            </w:pPr>
          </w:p>
        </w:tc>
        <w:tc>
          <w:tcPr>
            <w:tcW w:w="869" w:type="dxa"/>
            <w:tcBorders>
              <w:top w:val="nil"/>
              <w:left w:val="nil"/>
              <w:bottom w:val="nil"/>
              <w:right w:val="nil"/>
            </w:tcBorders>
          </w:tcPr>
          <w:p w:rsidR="00B958B1" w:rsidRPr="007660C2" w:rsidRDefault="00B958B1" w:rsidP="009F3B54">
            <w:pPr>
              <w:pStyle w:val="TableofFigures"/>
              <w:rPr>
                <w:lang w:eastAsia="en-AU"/>
              </w:rPr>
            </w:pPr>
          </w:p>
        </w:tc>
      </w:tr>
      <w:tr w:rsidR="00B958B1" w:rsidRPr="007660C2" w:rsidTr="009F3B54">
        <w:trPr>
          <w:cantSplit/>
        </w:trPr>
        <w:tc>
          <w:tcPr>
            <w:tcW w:w="343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Improving victims support services</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3.1</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3.8</w:t>
            </w:r>
          </w:p>
        </w:tc>
        <w:tc>
          <w:tcPr>
            <w:tcW w:w="868"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4.4</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5.2</w:t>
            </w:r>
          </w:p>
        </w:tc>
      </w:tr>
      <w:tr w:rsidR="00B958B1" w:rsidRPr="007660C2" w:rsidTr="009F3B54">
        <w:trPr>
          <w:cantSplit/>
        </w:trPr>
        <w:tc>
          <w:tcPr>
            <w:tcW w:w="343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Supporting Victoria Legal Aid</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3.4</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3.4</w:t>
            </w:r>
          </w:p>
        </w:tc>
        <w:tc>
          <w:tcPr>
            <w:tcW w:w="868"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3.4</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3.5</w:t>
            </w:r>
          </w:p>
        </w:tc>
      </w:tr>
      <w:tr w:rsidR="00B958B1" w:rsidRPr="007660C2" w:rsidTr="009F3B54">
        <w:trPr>
          <w:cantSplit/>
        </w:trPr>
        <w:tc>
          <w:tcPr>
            <w:tcW w:w="4694" w:type="dxa"/>
            <w:gridSpan w:val="5"/>
            <w:tcBorders>
              <w:top w:val="nil"/>
              <w:left w:val="nil"/>
              <w:bottom w:val="nil"/>
              <w:right w:val="nil"/>
            </w:tcBorders>
          </w:tcPr>
          <w:p w:rsidR="00B958B1" w:rsidRPr="007660C2" w:rsidRDefault="00B958B1" w:rsidP="009F3B54">
            <w:pPr>
              <w:pStyle w:val="Tabletext"/>
              <w:rPr>
                <w:b/>
                <w:bCs/>
                <w:lang w:eastAsia="en-AU"/>
              </w:rPr>
            </w:pPr>
            <w:r w:rsidRPr="007660C2">
              <w:rPr>
                <w:b/>
                <w:bCs/>
                <w:lang w:eastAsia="en-AU"/>
              </w:rPr>
              <w:t>Supporting the State's Fire and Emergency Services</w:t>
            </w:r>
          </w:p>
        </w:tc>
        <w:tc>
          <w:tcPr>
            <w:tcW w:w="24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 xml:space="preserve"> </w:t>
            </w:r>
          </w:p>
        </w:tc>
        <w:tc>
          <w:tcPr>
            <w:tcW w:w="236" w:type="dxa"/>
            <w:tcBorders>
              <w:top w:val="nil"/>
              <w:left w:val="nil"/>
              <w:bottom w:val="nil"/>
              <w:right w:val="nil"/>
            </w:tcBorders>
          </w:tcPr>
          <w:p w:rsidR="00B958B1" w:rsidRPr="007660C2" w:rsidRDefault="00B958B1" w:rsidP="009F3B54">
            <w:pPr>
              <w:pStyle w:val="TableofFigures"/>
              <w:rPr>
                <w:lang w:eastAsia="en-AU"/>
              </w:rPr>
            </w:pPr>
          </w:p>
        </w:tc>
        <w:tc>
          <w:tcPr>
            <w:tcW w:w="869" w:type="dxa"/>
            <w:tcBorders>
              <w:top w:val="nil"/>
              <w:left w:val="nil"/>
              <w:bottom w:val="nil"/>
              <w:right w:val="nil"/>
            </w:tcBorders>
          </w:tcPr>
          <w:p w:rsidR="00B958B1" w:rsidRPr="007660C2" w:rsidRDefault="00B958B1" w:rsidP="009F3B54">
            <w:pPr>
              <w:pStyle w:val="TableofFigures"/>
              <w:rPr>
                <w:lang w:eastAsia="en-AU"/>
              </w:rPr>
            </w:pPr>
          </w:p>
        </w:tc>
        <w:tc>
          <w:tcPr>
            <w:tcW w:w="868" w:type="dxa"/>
            <w:tcBorders>
              <w:top w:val="nil"/>
              <w:left w:val="nil"/>
              <w:bottom w:val="nil"/>
              <w:right w:val="nil"/>
            </w:tcBorders>
          </w:tcPr>
          <w:p w:rsidR="00B958B1" w:rsidRPr="007660C2" w:rsidRDefault="00B958B1" w:rsidP="009F3B54">
            <w:pPr>
              <w:pStyle w:val="TableofFigures"/>
              <w:rPr>
                <w:lang w:eastAsia="en-AU"/>
              </w:rPr>
            </w:pPr>
          </w:p>
        </w:tc>
        <w:tc>
          <w:tcPr>
            <w:tcW w:w="869" w:type="dxa"/>
            <w:tcBorders>
              <w:top w:val="nil"/>
              <w:left w:val="nil"/>
              <w:bottom w:val="nil"/>
              <w:right w:val="nil"/>
            </w:tcBorders>
          </w:tcPr>
          <w:p w:rsidR="00B958B1" w:rsidRPr="007660C2" w:rsidRDefault="00B958B1" w:rsidP="009F3B54">
            <w:pPr>
              <w:pStyle w:val="TableofFigures"/>
              <w:rPr>
                <w:lang w:eastAsia="en-AU"/>
              </w:rPr>
            </w:pPr>
          </w:p>
        </w:tc>
      </w:tr>
      <w:tr w:rsidR="00B958B1" w:rsidRPr="007660C2" w:rsidTr="009F3B54">
        <w:trPr>
          <w:cantSplit/>
        </w:trPr>
        <w:tc>
          <w:tcPr>
            <w:tcW w:w="343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 xml:space="preserve">Australian Communications and Media Authority compliance </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2.0</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6.8</w:t>
            </w:r>
          </w:p>
        </w:tc>
        <w:tc>
          <w:tcPr>
            <w:tcW w:w="868"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6.4</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6.2</w:t>
            </w:r>
          </w:p>
        </w:tc>
      </w:tr>
      <w:tr w:rsidR="00B958B1" w:rsidRPr="007660C2" w:rsidTr="009F3B54">
        <w:trPr>
          <w:cantSplit/>
        </w:trPr>
        <w:tc>
          <w:tcPr>
            <w:tcW w:w="343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Bushfire response – emergency services</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1.0</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1.2</w:t>
            </w:r>
          </w:p>
        </w:tc>
        <w:tc>
          <w:tcPr>
            <w:tcW w:w="868"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1.3</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1.3</w:t>
            </w:r>
          </w:p>
        </w:tc>
      </w:tr>
      <w:tr w:rsidR="00B958B1" w:rsidRPr="007660C2" w:rsidTr="009F3B54">
        <w:trPr>
          <w:cantSplit/>
        </w:trPr>
        <w:tc>
          <w:tcPr>
            <w:tcW w:w="343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Extension of the Summer Fire Campaign</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1.0</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68"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r>
      <w:tr w:rsidR="00B958B1" w:rsidRPr="007660C2" w:rsidTr="009F3B54">
        <w:trPr>
          <w:cantSplit/>
        </w:trPr>
        <w:tc>
          <w:tcPr>
            <w:tcW w:w="343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 xml:space="preserve">Remediation of Fiskville and regional training colleges </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68"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6.5</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2.9</w:t>
            </w:r>
          </w:p>
        </w:tc>
        <w:tc>
          <w:tcPr>
            <w:tcW w:w="868"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1.4</w:t>
            </w:r>
          </w:p>
        </w:tc>
        <w:tc>
          <w:tcPr>
            <w:tcW w:w="86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1.0</w:t>
            </w:r>
          </w:p>
        </w:tc>
      </w:tr>
      <w:tr w:rsidR="00B958B1" w:rsidRPr="007660C2" w:rsidTr="009F3B54">
        <w:trPr>
          <w:cantSplit/>
        </w:trPr>
        <w:tc>
          <w:tcPr>
            <w:tcW w:w="3434" w:type="dxa"/>
            <w:tcBorders>
              <w:top w:val="single" w:sz="6" w:space="0" w:color="auto"/>
              <w:left w:val="nil"/>
              <w:bottom w:val="single" w:sz="6" w:space="0" w:color="auto"/>
              <w:right w:val="nil"/>
            </w:tcBorders>
          </w:tcPr>
          <w:p w:rsidR="00B958B1" w:rsidRPr="007660C2" w:rsidRDefault="00B958B1" w:rsidP="009F3B54">
            <w:pPr>
              <w:pStyle w:val="Tabletext"/>
              <w:rPr>
                <w:b/>
                <w:bCs/>
                <w:lang w:eastAsia="en-AU"/>
              </w:rPr>
            </w:pPr>
            <w:r>
              <w:rPr>
                <w:b/>
                <w:bCs/>
                <w:lang w:eastAsia="en-AU"/>
              </w:rPr>
              <w:t>Sub total</w:t>
            </w:r>
            <w:r w:rsidRPr="007660C2">
              <w:rPr>
                <w:b/>
                <w:bCs/>
                <w:lang w:eastAsia="en-AU"/>
              </w:rPr>
              <w:t xml:space="preserve"> output initiatives</w:t>
            </w:r>
          </w:p>
        </w:tc>
        <w:tc>
          <w:tcPr>
            <w:tcW w:w="868" w:type="dxa"/>
            <w:gridSpan w:val="3"/>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1.0</w:t>
            </w:r>
          </w:p>
        </w:tc>
        <w:tc>
          <w:tcPr>
            <w:tcW w:w="868" w:type="dxa"/>
            <w:gridSpan w:val="3"/>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74.7</w:t>
            </w:r>
          </w:p>
        </w:tc>
        <w:tc>
          <w:tcPr>
            <w:tcW w:w="869" w:type="dxa"/>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99.0</w:t>
            </w:r>
          </w:p>
        </w:tc>
        <w:tc>
          <w:tcPr>
            <w:tcW w:w="868" w:type="dxa"/>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54.3</w:t>
            </w:r>
          </w:p>
        </w:tc>
        <w:tc>
          <w:tcPr>
            <w:tcW w:w="869" w:type="dxa"/>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61.7</w:t>
            </w:r>
          </w:p>
        </w:tc>
      </w:tr>
      <w:tr w:rsidR="00B958B1" w:rsidRPr="007660C2" w:rsidTr="009F3B54">
        <w:trPr>
          <w:cantSplit/>
        </w:trPr>
        <w:tc>
          <w:tcPr>
            <w:tcW w:w="3434" w:type="dxa"/>
            <w:tcBorders>
              <w:top w:val="single" w:sz="6" w:space="0" w:color="auto"/>
              <w:left w:val="nil"/>
              <w:bottom w:val="nil"/>
              <w:right w:val="nil"/>
            </w:tcBorders>
          </w:tcPr>
          <w:p w:rsidR="00B958B1" w:rsidRPr="007660C2" w:rsidRDefault="00B958B1" w:rsidP="009F3B54">
            <w:pPr>
              <w:pStyle w:val="Tabletext"/>
              <w:rPr>
                <w:lang w:eastAsia="en-AU"/>
              </w:rPr>
            </w:pPr>
            <w:r w:rsidRPr="007660C2">
              <w:rPr>
                <w:lang w:eastAsia="en-AU"/>
              </w:rPr>
              <w:t>Existing resources</w:t>
            </w:r>
          </w:p>
        </w:tc>
        <w:tc>
          <w:tcPr>
            <w:tcW w:w="868" w:type="dxa"/>
            <w:gridSpan w:val="3"/>
            <w:tcBorders>
              <w:top w:val="nil"/>
              <w:left w:val="nil"/>
              <w:bottom w:val="single" w:sz="6" w:space="0" w:color="auto"/>
              <w:right w:val="nil"/>
            </w:tcBorders>
          </w:tcPr>
          <w:p w:rsidR="00B958B1" w:rsidRPr="007660C2" w:rsidRDefault="00B958B1" w:rsidP="009F3B54">
            <w:pPr>
              <w:pStyle w:val="TableofFigures"/>
              <w:rPr>
                <w:lang w:eastAsia="en-AU"/>
              </w:rPr>
            </w:pPr>
            <w:r w:rsidRPr="007660C2">
              <w:rPr>
                <w:lang w:eastAsia="en-AU"/>
              </w:rPr>
              <w:t>..</w:t>
            </w:r>
          </w:p>
        </w:tc>
        <w:tc>
          <w:tcPr>
            <w:tcW w:w="868" w:type="dxa"/>
            <w:gridSpan w:val="3"/>
            <w:tcBorders>
              <w:top w:val="nil"/>
              <w:left w:val="nil"/>
              <w:bottom w:val="nil"/>
              <w:right w:val="nil"/>
            </w:tcBorders>
          </w:tcPr>
          <w:p w:rsidR="00B958B1" w:rsidRPr="007660C2" w:rsidRDefault="009F0F49" w:rsidP="009F3B54">
            <w:pPr>
              <w:pStyle w:val="TableofFigures"/>
              <w:rPr>
                <w:lang w:eastAsia="en-AU"/>
              </w:rPr>
            </w:pPr>
            <w:r>
              <w:rPr>
                <w:lang w:eastAsia="en-AU"/>
              </w:rPr>
              <w:noBreakHyphen/>
            </w:r>
            <w:r w:rsidR="00B958B1" w:rsidRPr="007660C2">
              <w:rPr>
                <w:lang w:eastAsia="en-AU"/>
              </w:rPr>
              <w:t>31.0</w:t>
            </w:r>
          </w:p>
        </w:tc>
        <w:tc>
          <w:tcPr>
            <w:tcW w:w="869" w:type="dxa"/>
            <w:tcBorders>
              <w:top w:val="nil"/>
              <w:left w:val="nil"/>
              <w:bottom w:val="nil"/>
              <w:right w:val="nil"/>
            </w:tcBorders>
          </w:tcPr>
          <w:p w:rsidR="00B958B1" w:rsidRPr="007660C2" w:rsidRDefault="009F0F49" w:rsidP="009F3B54">
            <w:pPr>
              <w:pStyle w:val="TableofFigures"/>
              <w:rPr>
                <w:lang w:eastAsia="en-AU"/>
              </w:rPr>
            </w:pPr>
            <w:r>
              <w:rPr>
                <w:lang w:eastAsia="en-AU"/>
              </w:rPr>
              <w:noBreakHyphen/>
            </w:r>
            <w:r w:rsidR="00B958B1" w:rsidRPr="007660C2">
              <w:rPr>
                <w:lang w:eastAsia="en-AU"/>
              </w:rPr>
              <w:t>15.2</w:t>
            </w:r>
          </w:p>
        </w:tc>
        <w:tc>
          <w:tcPr>
            <w:tcW w:w="868" w:type="dxa"/>
            <w:tcBorders>
              <w:top w:val="nil"/>
              <w:left w:val="nil"/>
              <w:bottom w:val="nil"/>
              <w:right w:val="nil"/>
            </w:tcBorders>
          </w:tcPr>
          <w:p w:rsidR="00B958B1" w:rsidRPr="007660C2" w:rsidRDefault="009F0F49" w:rsidP="009F3B54">
            <w:pPr>
              <w:pStyle w:val="TableofFigures"/>
              <w:rPr>
                <w:lang w:eastAsia="en-AU"/>
              </w:rPr>
            </w:pPr>
            <w:r>
              <w:rPr>
                <w:lang w:eastAsia="en-AU"/>
              </w:rPr>
              <w:noBreakHyphen/>
            </w:r>
            <w:r w:rsidR="00B958B1" w:rsidRPr="007660C2">
              <w:rPr>
                <w:lang w:eastAsia="en-AU"/>
              </w:rPr>
              <w:t>1.4</w:t>
            </w:r>
          </w:p>
        </w:tc>
        <w:tc>
          <w:tcPr>
            <w:tcW w:w="869" w:type="dxa"/>
            <w:tcBorders>
              <w:top w:val="nil"/>
              <w:left w:val="nil"/>
              <w:bottom w:val="nil"/>
              <w:right w:val="nil"/>
            </w:tcBorders>
          </w:tcPr>
          <w:p w:rsidR="00B958B1" w:rsidRPr="007660C2" w:rsidRDefault="009F0F49" w:rsidP="009F3B54">
            <w:pPr>
              <w:pStyle w:val="TableofFigures"/>
              <w:rPr>
                <w:lang w:eastAsia="en-AU"/>
              </w:rPr>
            </w:pPr>
            <w:r>
              <w:rPr>
                <w:lang w:eastAsia="en-AU"/>
              </w:rPr>
              <w:noBreakHyphen/>
            </w:r>
            <w:r w:rsidR="00B958B1" w:rsidRPr="007660C2">
              <w:rPr>
                <w:lang w:eastAsia="en-AU"/>
              </w:rPr>
              <w:t>1.0</w:t>
            </w:r>
          </w:p>
        </w:tc>
      </w:tr>
      <w:tr w:rsidR="00B958B1" w:rsidRPr="007660C2" w:rsidTr="009F3B54">
        <w:trPr>
          <w:cantSplit/>
        </w:trPr>
        <w:tc>
          <w:tcPr>
            <w:tcW w:w="3434" w:type="dxa"/>
            <w:tcBorders>
              <w:top w:val="single" w:sz="6" w:space="0" w:color="auto"/>
              <w:left w:val="nil"/>
              <w:bottom w:val="single" w:sz="12" w:space="0" w:color="auto"/>
              <w:right w:val="nil"/>
            </w:tcBorders>
          </w:tcPr>
          <w:p w:rsidR="00B958B1" w:rsidRPr="007660C2" w:rsidRDefault="00B958B1" w:rsidP="009F3B54">
            <w:pPr>
              <w:pStyle w:val="Tabletext"/>
              <w:rPr>
                <w:b/>
                <w:bCs/>
                <w:lang w:eastAsia="en-AU"/>
              </w:rPr>
            </w:pPr>
            <w:r w:rsidRPr="007660C2">
              <w:rPr>
                <w:b/>
                <w:bCs/>
                <w:lang w:eastAsia="en-AU"/>
              </w:rPr>
              <w:t>Total output initiatives</w:t>
            </w:r>
          </w:p>
        </w:tc>
        <w:tc>
          <w:tcPr>
            <w:tcW w:w="868" w:type="dxa"/>
            <w:gridSpan w:val="3"/>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1.0</w:t>
            </w:r>
          </w:p>
        </w:tc>
        <w:tc>
          <w:tcPr>
            <w:tcW w:w="868" w:type="dxa"/>
            <w:gridSpan w:val="3"/>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43.7</w:t>
            </w:r>
          </w:p>
        </w:tc>
        <w:tc>
          <w:tcPr>
            <w:tcW w:w="869"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83.8</w:t>
            </w:r>
          </w:p>
        </w:tc>
        <w:tc>
          <w:tcPr>
            <w:tcW w:w="868"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52.8</w:t>
            </w:r>
          </w:p>
        </w:tc>
        <w:tc>
          <w:tcPr>
            <w:tcW w:w="869"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60.7</w:t>
            </w:r>
          </w:p>
        </w:tc>
      </w:tr>
    </w:tbl>
    <w:p w:rsidR="00B958B1" w:rsidRDefault="00B958B1" w:rsidP="009F3B54">
      <w:pPr>
        <w:pStyle w:val="Source"/>
      </w:pPr>
      <w:r w:rsidRPr="00A20936">
        <w:t>Source: Department of Treasury and Finance</w:t>
      </w:r>
    </w:p>
    <w:p w:rsidR="00B958B1" w:rsidRDefault="00B958B1" w:rsidP="009F3B54">
      <w:pPr>
        <w:pStyle w:val="Heading4"/>
      </w:pPr>
      <w:r>
        <w:br w:type="page"/>
      </w:r>
      <w:bookmarkStart w:id="46" w:name="BP3Ch1DOJCourtSvces"/>
      <w:r w:rsidRPr="007C5F86">
        <w:t>Court</w:t>
      </w:r>
      <w:r w:rsidRPr="00982061">
        <w:rPr>
          <w:lang w:eastAsia="en-AU"/>
        </w:rPr>
        <w:t xml:space="preserve"> Services </w:t>
      </w:r>
    </w:p>
    <w:p w:rsidR="00B958B1" w:rsidRDefault="00B958B1" w:rsidP="009F3B54">
      <w:pPr>
        <w:pStyle w:val="Heading5"/>
      </w:pPr>
      <w:r>
        <w:t>Enhancing court IT and facilities</w:t>
      </w:r>
    </w:p>
    <w:p w:rsidR="00B958B1" w:rsidRDefault="00B958B1" w:rsidP="009F3B54">
      <w:r w:rsidRPr="00E66A07">
        <w:t xml:space="preserve">Court IT infrastructure </w:t>
      </w:r>
      <w:r>
        <w:t>will be upgraded to improve</w:t>
      </w:r>
      <w:r w:rsidRPr="00E66A07">
        <w:t xml:space="preserve"> performance and reliability</w:t>
      </w:r>
      <w:r>
        <w:t xml:space="preserve">, </w:t>
      </w:r>
      <w:r w:rsidRPr="00E66A07">
        <w:t xml:space="preserve">and </w:t>
      </w:r>
      <w:r>
        <w:t xml:space="preserve">court facilities </w:t>
      </w:r>
      <w:r w:rsidRPr="00E66A07">
        <w:t xml:space="preserve">improvement works </w:t>
      </w:r>
      <w:r>
        <w:t>will be undertaken</w:t>
      </w:r>
      <w:r w:rsidRPr="00E66A07">
        <w:t>. These investments will improve the courts</w:t>
      </w:r>
      <w:r>
        <w:t>’</w:t>
      </w:r>
      <w:r w:rsidRPr="00E66A07">
        <w:t xml:space="preserve"> ability to manage demand and will support the provision of efficient court services to the community.</w:t>
      </w:r>
    </w:p>
    <w:p w:rsidR="00B958B1" w:rsidRDefault="00B958B1" w:rsidP="009F3B54">
      <w:r>
        <w:t>This initiative contributes to the Department of Justice’s Court Services output.</w:t>
      </w:r>
    </w:p>
    <w:p w:rsidR="00B958B1" w:rsidRPr="009C3F1E" w:rsidRDefault="00B958B1" w:rsidP="009F3B54">
      <w:pPr>
        <w:pStyle w:val="Heading5"/>
      </w:pPr>
      <w:r w:rsidRPr="009C3F1E">
        <w:t xml:space="preserve">Supporting courts </w:t>
      </w:r>
    </w:p>
    <w:p w:rsidR="00B958B1" w:rsidRPr="009C3F1E" w:rsidRDefault="00B958B1" w:rsidP="009F3B54">
      <w:r>
        <w:fldChar w:fldCharType="begin"/>
      </w:r>
      <w:r>
        <w:instrText xml:space="preserve"> XE "Courts:</w:instrText>
      </w:r>
      <w:r w:rsidRPr="009E53A6">
        <w:instrText>Supporting courts</w:instrText>
      </w:r>
      <w:r>
        <w:instrText xml:space="preserve">" </w:instrText>
      </w:r>
      <w:r>
        <w:fldChar w:fldCharType="end"/>
      </w:r>
      <w:r w:rsidRPr="009C3F1E">
        <w:t xml:space="preserve">Additional support to courts will address growing demand, improve the efficiency and effectiveness of court responses and better meet the needs of court users and the community. </w:t>
      </w:r>
    </w:p>
    <w:p w:rsidR="00B958B1" w:rsidRDefault="00B958B1" w:rsidP="009F3B54">
      <w:r w:rsidRPr="009C3F1E">
        <w:t>This initiative contributes to the Department of Justice’s Court Services outputs.</w:t>
      </w:r>
    </w:p>
    <w:p w:rsidR="00B958B1" w:rsidRPr="00A438F7" w:rsidRDefault="00B958B1" w:rsidP="009F3B54">
      <w:pPr>
        <w:pStyle w:val="Heading4"/>
        <w:rPr>
          <w:lang w:eastAsia="en-AU"/>
        </w:rPr>
      </w:pPr>
      <w:r w:rsidRPr="00A438F7">
        <w:rPr>
          <w:lang w:eastAsia="en-AU"/>
        </w:rPr>
        <w:t>Enforcing and Managing Correctional Orders</w:t>
      </w:r>
    </w:p>
    <w:p w:rsidR="00B958B1" w:rsidRDefault="00B958B1" w:rsidP="009F3B54">
      <w:pPr>
        <w:pStyle w:val="Heading5"/>
      </w:pPr>
      <w:r>
        <w:t>High security and management prisoners</w:t>
      </w:r>
    </w:p>
    <w:p w:rsidR="00B958B1" w:rsidRDefault="00B958B1" w:rsidP="009F3B54">
      <w:r>
        <w:fldChar w:fldCharType="begin"/>
      </w:r>
      <w:r>
        <w:instrText xml:space="preserve"> XE "</w:instrText>
      </w:r>
      <w:r w:rsidRPr="001902E6">
        <w:instrText>Justice</w:instrText>
      </w:r>
      <w:r>
        <w:instrText xml:space="preserve">" </w:instrText>
      </w:r>
      <w:r>
        <w:fldChar w:fldCharType="end"/>
      </w:r>
      <w:r>
        <w:fldChar w:fldCharType="begin"/>
      </w:r>
      <w:r>
        <w:instrText xml:space="preserve"> XE "</w:instrText>
      </w:r>
      <w:r w:rsidRPr="0067073E">
        <w:instrText>Department of Justice:Enforcing and Managing Correctional Orders</w:instrText>
      </w:r>
      <w:r>
        <w:instrText xml:space="preserve">" </w:instrText>
      </w:r>
      <w:r>
        <w:fldChar w:fldCharType="end"/>
      </w:r>
      <w:r>
        <w:fldChar w:fldCharType="begin"/>
      </w:r>
      <w:r>
        <w:instrText xml:space="preserve"> XE "</w:instrText>
      </w:r>
      <w:r w:rsidRPr="009E53A6">
        <w:instrText>Enforcing and Managing Correctional Orders</w:instrText>
      </w:r>
      <w:r>
        <w:instrText xml:space="preserve">" </w:instrText>
      </w:r>
      <w:r>
        <w:fldChar w:fldCharType="end"/>
      </w:r>
      <w:r>
        <w:t xml:space="preserve">Infrastructure upgrades and a new 40 bed unit at Barwon Prison will increase capacity to manage high security and management prisoners. </w:t>
      </w:r>
    </w:p>
    <w:p w:rsidR="00B958B1" w:rsidRDefault="00B958B1" w:rsidP="009F3B54">
      <w:r>
        <w:t>This initiative contributes to the Department of Justice’s Prisoner Supervision and Support output.</w:t>
      </w:r>
    </w:p>
    <w:p w:rsidR="00B958B1" w:rsidRDefault="00B958B1" w:rsidP="009F3B54">
      <w:pPr>
        <w:pStyle w:val="Heading5"/>
      </w:pPr>
      <w:r>
        <w:t>Increased prison capacity</w:t>
      </w:r>
    </w:p>
    <w:p w:rsidR="00B958B1" w:rsidRDefault="00B958B1" w:rsidP="009F3B54">
      <w:r>
        <w:t xml:space="preserve">An additional 357 prison beds across the male prison system will be delivered to accommodate demand pressures. </w:t>
      </w:r>
    </w:p>
    <w:p w:rsidR="00B958B1" w:rsidRDefault="00B958B1" w:rsidP="009F3B54">
      <w:r>
        <w:t>This initiative contributes to the Department of Justice’s Prisoner Supervision and Support output.</w:t>
      </w:r>
    </w:p>
    <w:p w:rsidR="00B958B1" w:rsidRPr="00F72B7D" w:rsidRDefault="00B958B1" w:rsidP="009F3B54">
      <w:pPr>
        <w:pStyle w:val="Heading4"/>
        <w:rPr>
          <w:lang w:eastAsia="en-AU"/>
        </w:rPr>
      </w:pPr>
      <w:r w:rsidRPr="00F72B7D">
        <w:rPr>
          <w:lang w:eastAsia="en-AU"/>
        </w:rPr>
        <w:t>Infringements and Enhancing Community Safety</w:t>
      </w:r>
    </w:p>
    <w:p w:rsidR="00B958B1" w:rsidRDefault="00B958B1" w:rsidP="009F3B54">
      <w:pPr>
        <w:pStyle w:val="Heading5"/>
      </w:pPr>
      <w:r>
        <w:t>Asset Confiscation Scheme</w:t>
      </w:r>
    </w:p>
    <w:p w:rsidR="00B958B1" w:rsidRDefault="00B958B1" w:rsidP="009F3B54">
      <w:r>
        <w:fldChar w:fldCharType="begin"/>
      </w:r>
      <w:r>
        <w:instrText xml:space="preserve"> XE "</w:instrText>
      </w:r>
      <w:r w:rsidRPr="007B38EE">
        <w:instrText>Department of Justice:Infringements and Enhancing Community Safety</w:instrText>
      </w:r>
      <w:r>
        <w:instrText xml:space="preserve">" </w:instrText>
      </w:r>
      <w:r>
        <w:fldChar w:fldCharType="end"/>
      </w:r>
      <w:r>
        <w:fldChar w:fldCharType="begin"/>
      </w:r>
      <w:r>
        <w:instrText xml:space="preserve"> XE "</w:instrText>
      </w:r>
      <w:r w:rsidRPr="009E53A6">
        <w:instrText>Infringements and Enhancing Community Safety</w:instrText>
      </w:r>
      <w:r>
        <w:instrText xml:space="preserve">" </w:instrText>
      </w:r>
      <w:r>
        <w:fldChar w:fldCharType="end"/>
      </w:r>
      <w:r>
        <w:fldChar w:fldCharType="begin"/>
      </w:r>
      <w:r>
        <w:instrText xml:space="preserve"> XE "</w:instrText>
      </w:r>
      <w:r w:rsidRPr="001902E6">
        <w:instrText>Community Safety</w:instrText>
      </w:r>
      <w:r>
        <w:instrText xml:space="preserve">" </w:instrText>
      </w:r>
      <w:r>
        <w:fldChar w:fldCharType="end"/>
      </w:r>
      <w:r>
        <w:t>The Asset Confiscation Scheme will be enhanced to increase the identification and confiscation of the proceeds of crime to disrupt financially motivated, organised and serious crime.</w:t>
      </w:r>
    </w:p>
    <w:p w:rsidR="00B958B1" w:rsidRPr="007C29DA" w:rsidRDefault="00B958B1" w:rsidP="009F3B54">
      <w:r>
        <w:t>This initiative contributes to the Department of Justice’s Infringement and Orders Management output.</w:t>
      </w:r>
    </w:p>
    <w:p w:rsidR="00B958B1" w:rsidRDefault="00B958B1" w:rsidP="009F3B54">
      <w:pPr>
        <w:pStyle w:val="Heading5"/>
      </w:pPr>
      <w:r>
        <w:t>Mobile camera replacement program</w:t>
      </w:r>
    </w:p>
    <w:p w:rsidR="00B958B1" w:rsidRDefault="00B958B1" w:rsidP="009F3B54">
      <w:r>
        <w:t>Existing mobile road safety cameras will be replaced with new technology over four years to support implementation of Victoria’s Road Safety Strategy 2013</w:t>
      </w:r>
      <w:r w:rsidR="009F0F49">
        <w:noBreakHyphen/>
      </w:r>
      <w:r>
        <w:t>2022 by improving detection of non</w:t>
      </w:r>
      <w:r w:rsidR="009F0F49">
        <w:noBreakHyphen/>
      </w:r>
      <w:r>
        <w:t>compliant drivers and continuing to improve road user behaviour and driver safety.</w:t>
      </w:r>
    </w:p>
    <w:p w:rsidR="00B958B1" w:rsidRDefault="00B958B1" w:rsidP="009F3B54">
      <w:r>
        <w:t>This initiative contributes to the Department of Justice’s Infringement and Orders Management output.</w:t>
      </w:r>
    </w:p>
    <w:p w:rsidR="00B958B1" w:rsidRDefault="00B958B1" w:rsidP="009F3B54">
      <w:pPr>
        <w:pStyle w:val="Heading5"/>
      </w:pPr>
      <w:r>
        <w:t>Reforming the collection and enforcement of legal debt in Victoria</w:t>
      </w:r>
    </w:p>
    <w:p w:rsidR="00B958B1" w:rsidRDefault="00B958B1" w:rsidP="009F3B54">
      <w:r>
        <w:t xml:space="preserve">A new model for the collection of fines and legal debt will be implemented to improve collection rates across a number of types of debt, increase enforcement capacity and sanctions and introduce more payment options. Funding for ICT improvements is also provided subject to proving the scope and deliverability of the work. </w:t>
      </w:r>
    </w:p>
    <w:p w:rsidR="00B958B1" w:rsidRDefault="00B958B1" w:rsidP="009F3B54">
      <w:r>
        <w:t>This initiative contributes to the Department of Justice’s Infringement and Orders Management output.</w:t>
      </w:r>
      <w:r>
        <w:fldChar w:fldCharType="begin"/>
      </w:r>
      <w:r>
        <w:instrText xml:space="preserve"> XE "</w:instrText>
      </w:r>
      <w:r w:rsidRPr="0052432C">
        <w:instrText>Department of Justice:Court Services</w:instrText>
      </w:r>
      <w:r>
        <w:instrText xml:space="preserve">" \r "BP3Ch1DOJCourtSvces" </w:instrText>
      </w:r>
      <w:r>
        <w:fldChar w:fldCharType="end"/>
      </w:r>
      <w:r>
        <w:fldChar w:fldCharType="begin"/>
      </w:r>
      <w:r>
        <w:instrText xml:space="preserve"> XE "Courts:</w:instrText>
      </w:r>
      <w:r w:rsidRPr="0052432C">
        <w:instrText>Court Services</w:instrText>
      </w:r>
      <w:r>
        <w:instrText xml:space="preserve">" \r "BP3Ch1DOJCourtSvces" </w:instrText>
      </w:r>
      <w:r>
        <w:fldChar w:fldCharType="end"/>
      </w:r>
    </w:p>
    <w:p w:rsidR="00B958B1" w:rsidRDefault="00B958B1" w:rsidP="009F3B54">
      <w:pPr>
        <w:pStyle w:val="Heading4"/>
        <w:rPr>
          <w:lang w:eastAsia="en-AU"/>
        </w:rPr>
      </w:pPr>
      <w:bookmarkStart w:id="47" w:name="BP3Ch1DOJPolicing"/>
      <w:bookmarkEnd w:id="46"/>
      <w:r>
        <w:rPr>
          <w:lang w:eastAsia="en-AU"/>
        </w:rPr>
        <w:t>Policing</w:t>
      </w:r>
    </w:p>
    <w:p w:rsidR="00B958B1" w:rsidRDefault="00B958B1" w:rsidP="009F3B54">
      <w:pPr>
        <w:pStyle w:val="Heading5"/>
      </w:pPr>
      <w:r>
        <w:t>Establishment of a crime statistics agency</w:t>
      </w:r>
    </w:p>
    <w:p w:rsidR="00B958B1" w:rsidRDefault="00B958B1" w:rsidP="009F3B54">
      <w:r>
        <w:t>An agency will be established to receive crime data from Victoria Police</w:t>
      </w:r>
      <w:r>
        <w:fldChar w:fldCharType="begin"/>
      </w:r>
      <w:r>
        <w:instrText xml:space="preserve"> XE "</w:instrText>
      </w:r>
      <w:r w:rsidRPr="009E53A6">
        <w:instrText>Victoria Police</w:instrText>
      </w:r>
      <w:r>
        <w:instrText xml:space="preserve">" </w:instrText>
      </w:r>
      <w:r>
        <w:fldChar w:fldCharType="end"/>
      </w:r>
      <w:r>
        <w:t xml:space="preserve"> and independently publish crime statistics to assist law enforcement policy and improve public access to this data.</w:t>
      </w:r>
    </w:p>
    <w:p w:rsidR="00B958B1" w:rsidRDefault="00B958B1" w:rsidP="009F3B54">
      <w:r>
        <w:t>This initiative contributes to the Department of Justice’s Policing Services output.</w:t>
      </w:r>
    </w:p>
    <w:p w:rsidR="00B958B1" w:rsidRDefault="00B958B1" w:rsidP="009F3B54">
      <w:pPr>
        <w:pStyle w:val="Heading5"/>
      </w:pPr>
      <w:r>
        <w:t>New and upgraded police stations</w:t>
      </w:r>
    </w:p>
    <w:p w:rsidR="00B958B1" w:rsidRDefault="00B958B1" w:rsidP="009F3B54">
      <w:r>
        <w:t>The next stage of the Government’s election commitment to deliver new and upgraded police stations will deliver new police stations in Sale and Somerville, and extend the operations of the police stations in Mount Waverley and Carrum Downs from 16 to 24 hours. Additional operating hours at Carrum Downs police station will increase policing services to Langwarrin.</w:t>
      </w:r>
    </w:p>
    <w:p w:rsidR="00B958B1" w:rsidRDefault="00B958B1" w:rsidP="009F3B54">
      <w:r>
        <w:t>This initiative contributes to the Department of Justice’s Policing Services output.</w:t>
      </w:r>
    </w:p>
    <w:p w:rsidR="00B958B1" w:rsidRDefault="00B958B1" w:rsidP="009F3B54">
      <w:pPr>
        <w:pStyle w:val="Heading5"/>
      </w:pPr>
      <w:r>
        <w:t>Police Information Process and Practice reform program</w:t>
      </w:r>
    </w:p>
    <w:p w:rsidR="00B958B1" w:rsidRDefault="00B958B1" w:rsidP="009F3B54">
      <w:r>
        <w:t>The Police Information Process and Practice reform program will address immediate issues to maintain the performance of core Victoria Police information systems and commence planning for longer</w:t>
      </w:r>
      <w:r w:rsidR="009F0F49">
        <w:noBreakHyphen/>
      </w:r>
      <w:r>
        <w:t>term reforms to ICT systems and processes.</w:t>
      </w:r>
      <w:r>
        <w:fldChar w:fldCharType="begin"/>
      </w:r>
      <w:r>
        <w:instrText xml:space="preserve"> XE "</w:instrText>
      </w:r>
      <w:r w:rsidRPr="00757CC3">
        <w:instrText>Department of Justice:Policing</w:instrText>
      </w:r>
      <w:r>
        <w:instrText xml:space="preserve">" \r "BP3Ch1DOJPolicing" </w:instrText>
      </w:r>
      <w:r>
        <w:fldChar w:fldCharType="end"/>
      </w:r>
      <w:r>
        <w:t xml:space="preserve"> </w:t>
      </w:r>
      <w:r>
        <w:fldChar w:fldCharType="begin"/>
      </w:r>
      <w:r>
        <w:instrText xml:space="preserve"> XE "</w:instrText>
      </w:r>
      <w:r w:rsidRPr="009E53A6">
        <w:instrText>Policing</w:instrText>
      </w:r>
      <w:r>
        <w:instrText xml:space="preserve">" \r "BP3Ch1DOJPolicing" </w:instrText>
      </w:r>
      <w:r>
        <w:fldChar w:fldCharType="end"/>
      </w:r>
      <w:r>
        <w:fldChar w:fldCharType="begin"/>
      </w:r>
      <w:r>
        <w:instrText xml:space="preserve"> XE "Justice:</w:instrText>
      </w:r>
      <w:r w:rsidRPr="009E53A6">
        <w:instrText>Policing</w:instrText>
      </w:r>
      <w:r>
        <w:instrText xml:space="preserve">" \r "BP3Ch1DOJPolicing" </w:instrText>
      </w:r>
      <w:r>
        <w:fldChar w:fldCharType="end"/>
      </w:r>
    </w:p>
    <w:bookmarkEnd w:id="47"/>
    <w:p w:rsidR="00B958B1" w:rsidRDefault="00B958B1" w:rsidP="009F3B54">
      <w:r>
        <w:t>This initiative contributes to the Department of Justice’s Policing Services output.</w:t>
      </w:r>
    </w:p>
    <w:p w:rsidR="00B958B1" w:rsidRPr="00727B53" w:rsidRDefault="00B958B1" w:rsidP="009F3B54">
      <w:pPr>
        <w:pStyle w:val="Heading4"/>
        <w:rPr>
          <w:lang w:eastAsia="en-AU"/>
        </w:rPr>
      </w:pPr>
      <w:bookmarkStart w:id="48" w:name="BP3Ch1DOJLegalAid"/>
      <w:r w:rsidRPr="00727B53">
        <w:rPr>
          <w:lang w:eastAsia="en-AU"/>
        </w:rPr>
        <w:t>Supporting Legal Processes and Law Reform</w:t>
      </w:r>
    </w:p>
    <w:p w:rsidR="00B958B1" w:rsidRDefault="00B958B1" w:rsidP="009F3B54">
      <w:pPr>
        <w:pStyle w:val="Heading5"/>
      </w:pPr>
      <w:r>
        <w:t>Improving victims support services</w:t>
      </w:r>
    </w:p>
    <w:p w:rsidR="00B958B1" w:rsidRDefault="00B958B1" w:rsidP="009F3B54">
      <w:r>
        <w:t xml:space="preserve">Additional support will be provided for victims of crime by extending the operating hours of the Victims’ Helpline to include weekends, and providing additional case managers to the Victims Assistance and Counselling Program. </w:t>
      </w:r>
    </w:p>
    <w:p w:rsidR="00B958B1" w:rsidRDefault="00B958B1" w:rsidP="009F3B54">
      <w:r>
        <w:t>This initiative contributes to the Department of Justice’s Access to Justice and Support Services output.</w:t>
      </w:r>
    </w:p>
    <w:p w:rsidR="00B958B1" w:rsidRPr="009C3F1E" w:rsidRDefault="00B958B1" w:rsidP="009F3B54">
      <w:pPr>
        <w:pStyle w:val="Heading5"/>
      </w:pPr>
      <w:r>
        <w:t xml:space="preserve">Supporting </w:t>
      </w:r>
      <w:r w:rsidRPr="009C3F1E">
        <w:t>Victoria Legal Aid</w:t>
      </w:r>
    </w:p>
    <w:p w:rsidR="00B958B1" w:rsidRPr="009C3F1E" w:rsidRDefault="00B958B1" w:rsidP="009F3B54">
      <w:r w:rsidRPr="009C3F1E">
        <w:t>Victoria Legal Aid</w:t>
      </w:r>
      <w:r>
        <w:fldChar w:fldCharType="begin"/>
      </w:r>
      <w:r>
        <w:instrText xml:space="preserve"> XE "Victoria </w:instrText>
      </w:r>
      <w:r w:rsidRPr="009E53A6">
        <w:instrText>Legal Aid</w:instrText>
      </w:r>
      <w:r>
        <w:instrText xml:space="preserve">" </w:instrText>
      </w:r>
      <w:r>
        <w:fldChar w:fldCharType="end"/>
      </w:r>
      <w:r w:rsidRPr="009C3F1E">
        <w:t xml:space="preserve"> will receive ongoing funding to provide additional case work and duty lawyer services to deliver accessible legal advice to the community. </w:t>
      </w:r>
    </w:p>
    <w:p w:rsidR="00B958B1" w:rsidRPr="009C3F1E" w:rsidRDefault="00B958B1" w:rsidP="009F3B54">
      <w:r w:rsidRPr="009C3F1E">
        <w:t>This initiative contributes to the Department of Justice’s Access to Justice and Support Services output.</w:t>
      </w:r>
      <w:r>
        <w:fldChar w:fldCharType="begin"/>
      </w:r>
      <w:r>
        <w:instrText xml:space="preserve"> XE "</w:instrText>
      </w:r>
      <w:r w:rsidRPr="00B424CC">
        <w:instrText xml:space="preserve">Department of Justice:Supporting </w:instrText>
      </w:r>
      <w:r>
        <w:instrText>L</w:instrText>
      </w:r>
      <w:r w:rsidRPr="00B424CC">
        <w:instrText xml:space="preserve">egal </w:instrText>
      </w:r>
      <w:r>
        <w:instrText>P</w:instrText>
      </w:r>
      <w:r w:rsidRPr="00B424CC">
        <w:instrText xml:space="preserve">rocesses and </w:instrText>
      </w:r>
      <w:r>
        <w:instrText>L</w:instrText>
      </w:r>
      <w:r w:rsidRPr="00B424CC">
        <w:instrText xml:space="preserve">aw </w:instrText>
      </w:r>
      <w:r>
        <w:instrText>R</w:instrText>
      </w:r>
      <w:r w:rsidRPr="00B424CC">
        <w:instrText>eform</w:instrText>
      </w:r>
      <w:r>
        <w:instrText xml:space="preserve">" \r "BP3Ch1DOJLegalAid" </w:instrText>
      </w:r>
      <w:r>
        <w:fldChar w:fldCharType="end"/>
      </w:r>
      <w:r>
        <w:fldChar w:fldCharType="begin"/>
      </w:r>
      <w:r>
        <w:instrText xml:space="preserve"> XE "</w:instrText>
      </w:r>
      <w:r w:rsidRPr="009E53A6">
        <w:instrText xml:space="preserve">Supporting </w:instrText>
      </w:r>
      <w:r>
        <w:instrText>L</w:instrText>
      </w:r>
      <w:r w:rsidRPr="009E53A6">
        <w:instrText xml:space="preserve">egal </w:instrText>
      </w:r>
      <w:r>
        <w:instrText>P</w:instrText>
      </w:r>
      <w:r w:rsidRPr="009E53A6">
        <w:instrText xml:space="preserve">rocesses and </w:instrText>
      </w:r>
      <w:r>
        <w:instrText>L</w:instrText>
      </w:r>
      <w:r w:rsidRPr="009E53A6">
        <w:instrText xml:space="preserve">aw </w:instrText>
      </w:r>
      <w:r>
        <w:instrText>R</w:instrText>
      </w:r>
      <w:r w:rsidRPr="009E53A6">
        <w:instrText>eform</w:instrText>
      </w:r>
      <w:r>
        <w:instrText xml:space="preserve">" \r "BP3Ch1DOJLegalAid" </w:instrText>
      </w:r>
      <w:r>
        <w:fldChar w:fldCharType="end"/>
      </w:r>
      <w:r>
        <w:fldChar w:fldCharType="begin"/>
      </w:r>
      <w:r>
        <w:instrText xml:space="preserve"> XE "</w:instrText>
      </w:r>
      <w:r w:rsidRPr="00B424CC">
        <w:instrText xml:space="preserve">Justice:Supporting </w:instrText>
      </w:r>
      <w:r>
        <w:instrText>L</w:instrText>
      </w:r>
      <w:r w:rsidRPr="00B424CC">
        <w:instrText xml:space="preserve">egal </w:instrText>
      </w:r>
      <w:r>
        <w:instrText>P</w:instrText>
      </w:r>
      <w:r w:rsidRPr="00B424CC">
        <w:instrText xml:space="preserve">rocesses and </w:instrText>
      </w:r>
      <w:r>
        <w:instrText>L</w:instrText>
      </w:r>
      <w:r w:rsidRPr="00B424CC">
        <w:instrText xml:space="preserve">aw </w:instrText>
      </w:r>
      <w:r>
        <w:instrText>R</w:instrText>
      </w:r>
      <w:r w:rsidRPr="00B424CC">
        <w:instrText>eform</w:instrText>
      </w:r>
      <w:r>
        <w:instrText xml:space="preserve">" \r "BP3Ch1DOJLegalAid" </w:instrText>
      </w:r>
      <w:r>
        <w:fldChar w:fldCharType="end"/>
      </w:r>
    </w:p>
    <w:p w:rsidR="00B958B1" w:rsidRPr="00A820FE" w:rsidRDefault="00B958B1" w:rsidP="009F3B54">
      <w:pPr>
        <w:pStyle w:val="Heading4"/>
        <w:rPr>
          <w:lang w:eastAsia="en-AU"/>
        </w:rPr>
      </w:pPr>
      <w:bookmarkStart w:id="49" w:name="BP3Ch1DOJSuppFireandEmergency"/>
      <w:bookmarkEnd w:id="48"/>
      <w:r w:rsidRPr="009C3F1E">
        <w:rPr>
          <w:lang w:eastAsia="en-AU"/>
        </w:rPr>
        <w:t>Supporting the State’s Fire and Emergency</w:t>
      </w:r>
      <w:r w:rsidRPr="00A820FE">
        <w:rPr>
          <w:lang w:eastAsia="en-AU"/>
        </w:rPr>
        <w:t xml:space="preserve"> Services</w:t>
      </w:r>
    </w:p>
    <w:p w:rsidR="00B958B1" w:rsidRDefault="00B958B1" w:rsidP="009F3B54">
      <w:pPr>
        <w:pStyle w:val="Heading5"/>
      </w:pPr>
      <w:r>
        <w:t>Australian Communications and Media Authority compliance</w:t>
      </w:r>
    </w:p>
    <w:p w:rsidR="00B958B1" w:rsidRDefault="00B958B1" w:rsidP="009F3B54">
      <w:r>
        <w:t>System upgrades will take place for Victoria State Emergency Service, Corrections</w:t>
      </w:r>
      <w:r>
        <w:fldChar w:fldCharType="begin"/>
      </w:r>
      <w:r>
        <w:instrText xml:space="preserve"> XE "Justice:</w:instrText>
      </w:r>
      <w:r w:rsidRPr="009E53A6">
        <w:instrText>Corrections</w:instrText>
      </w:r>
      <w:r>
        <w:instrText xml:space="preserve">" </w:instrText>
      </w:r>
      <w:r>
        <w:fldChar w:fldCharType="end"/>
      </w:r>
      <w:r>
        <w:t xml:space="preserve"> Victoria, the Sheriff’s Office and Life Saving Victoria to ensure continued access to high frequency radio channels critical to support emergency service delivery.</w:t>
      </w:r>
    </w:p>
    <w:p w:rsidR="00B958B1" w:rsidRDefault="00B958B1" w:rsidP="009F3B54">
      <w:r>
        <w:t>This initiative contributes to the Department of Justice’s:</w:t>
      </w:r>
    </w:p>
    <w:p w:rsidR="00B958B1" w:rsidRDefault="00B958B1" w:rsidP="009F3B54">
      <w:pPr>
        <w:pStyle w:val="BulletText"/>
      </w:pPr>
      <w:r>
        <w:t>Emergency Management Capability output;</w:t>
      </w:r>
    </w:p>
    <w:p w:rsidR="00B958B1" w:rsidRDefault="00B958B1" w:rsidP="009F3B54">
      <w:pPr>
        <w:pStyle w:val="BulletText"/>
      </w:pPr>
      <w:r>
        <w:t>Prisoner Supervision and Support output; and</w:t>
      </w:r>
    </w:p>
    <w:p w:rsidR="00B958B1" w:rsidRDefault="00B958B1" w:rsidP="009F3B54">
      <w:pPr>
        <w:pStyle w:val="BulletText"/>
      </w:pPr>
      <w:r>
        <w:t xml:space="preserve">Infringement and Orders Management output. </w:t>
      </w:r>
    </w:p>
    <w:p w:rsidR="00B958B1" w:rsidRDefault="00B958B1" w:rsidP="009F3B54">
      <w:pPr>
        <w:pStyle w:val="Heading5"/>
      </w:pPr>
      <w:r>
        <w:t>Bushfire response – emergency services</w:t>
      </w:r>
    </w:p>
    <w:p w:rsidR="00B958B1" w:rsidRDefault="00B958B1" w:rsidP="009F3B54">
      <w:r>
        <w:fldChar w:fldCharType="begin"/>
      </w:r>
      <w:r>
        <w:instrText xml:space="preserve"> XE "</w:instrText>
      </w:r>
      <w:r w:rsidRPr="009E53A6">
        <w:instrText>Bushfire</w:instrText>
      </w:r>
      <w:r>
        <w:instrText xml:space="preserve">" </w:instrText>
      </w:r>
      <w:r>
        <w:fldChar w:fldCharType="end"/>
      </w:r>
      <w:r>
        <w:t>This fully implements the Government’s election commitment to deliver 250 Country Fire Authority</w:t>
      </w:r>
      <w:r>
        <w:fldChar w:fldCharType="begin"/>
      </w:r>
      <w:r>
        <w:instrText xml:space="preserve"> XE "</w:instrText>
      </w:r>
      <w:r w:rsidRPr="009E53A6">
        <w:instrText>Country Fire Authority</w:instrText>
      </w:r>
      <w:r>
        <w:instrText xml:space="preserve">" </w:instrText>
      </w:r>
      <w:r>
        <w:fldChar w:fldCharType="end"/>
      </w:r>
      <w:r>
        <w:t xml:space="preserve"> rural fire stations by delivering the remaining 142 fire station replacements and upgrades over the next two years. This will enhance the capacity of emergency services infrastructure and assist the Country Fire Authority to respond to emergency events.</w:t>
      </w:r>
    </w:p>
    <w:p w:rsidR="00B958B1" w:rsidRDefault="00B958B1" w:rsidP="009F3B54">
      <w:r>
        <w:t>This initiative contributes to the Department of Justice’s Emergency Management Capability output.</w:t>
      </w:r>
    </w:p>
    <w:p w:rsidR="00B958B1" w:rsidRDefault="00B958B1" w:rsidP="009F3B54">
      <w:pPr>
        <w:pStyle w:val="Heading5"/>
      </w:pPr>
      <w:r>
        <w:t>Extension of the Summer Fire Campaign</w:t>
      </w:r>
    </w:p>
    <w:p w:rsidR="00B958B1" w:rsidRDefault="00B958B1" w:rsidP="009F3B54">
      <w:r>
        <w:t>Due to the higher than anticipated level of fire activity, the Summer Fire Campaign advertising strategy was extended to assist Victorians in deciding when to leave early in the event of a fire by increasing knowledge of local risk, fire danger ratings and other warnings.</w:t>
      </w:r>
    </w:p>
    <w:p w:rsidR="00B958B1" w:rsidRDefault="00B958B1" w:rsidP="009F3B54">
      <w:r>
        <w:t>This initiative contributes to the Department of Justice’s Emergency Management Capability output.</w:t>
      </w:r>
    </w:p>
    <w:p w:rsidR="00B958B1" w:rsidRDefault="00B958B1" w:rsidP="009F3B54">
      <w:pPr>
        <w:pStyle w:val="Heading5"/>
      </w:pPr>
      <w:r>
        <w:t>Remediation of Fiskville and regional training colleges</w:t>
      </w:r>
    </w:p>
    <w:p w:rsidR="00B958B1" w:rsidRDefault="00B958B1" w:rsidP="009F3B54">
      <w:r>
        <w:fldChar w:fldCharType="begin"/>
      </w:r>
      <w:r>
        <w:instrText xml:space="preserve"> XE "</w:instrText>
      </w:r>
      <w:r w:rsidRPr="009E53A6">
        <w:instrText>Training</w:instrText>
      </w:r>
      <w:r>
        <w:instrText xml:space="preserve">" </w:instrText>
      </w:r>
      <w:r>
        <w:fldChar w:fldCharType="end"/>
      </w:r>
      <w:r>
        <w:t>Further remediation work will be undertaken at the Country Fire Authority’s Fiskville State Training Centre to address occupational health and safety concerns, and undertake environmental</w:t>
      </w:r>
      <w:r>
        <w:fldChar w:fldCharType="begin"/>
      </w:r>
      <w:r>
        <w:instrText xml:space="preserve"> XE "</w:instrText>
      </w:r>
      <w:r w:rsidRPr="009E53A6">
        <w:instrText>Environment</w:instrText>
      </w:r>
      <w:r>
        <w:instrText xml:space="preserve">" </w:instrText>
      </w:r>
      <w:r>
        <w:fldChar w:fldCharType="end"/>
      </w:r>
      <w:r>
        <w:t xml:space="preserve"> investigations. This work is consistent with recommendations outlined in the Professor Joy report into Country Fire Authority practices between 1971 and 1999.</w:t>
      </w:r>
      <w:r>
        <w:fldChar w:fldCharType="begin"/>
      </w:r>
      <w:r>
        <w:instrText xml:space="preserve"> XE "</w:instrText>
      </w:r>
      <w:r w:rsidRPr="003249A3">
        <w:instrText>Department of Justice:Supporting the State’s Fire and Emergency Services</w:instrText>
      </w:r>
      <w:r>
        <w:instrText xml:space="preserve">" \r "BP3Ch1DOJSuppFireandEmergency" </w:instrText>
      </w:r>
      <w:r>
        <w:fldChar w:fldCharType="end"/>
      </w:r>
      <w:r>
        <w:fldChar w:fldCharType="begin"/>
      </w:r>
      <w:r>
        <w:instrText xml:space="preserve"> XE "</w:instrText>
      </w:r>
      <w:r w:rsidRPr="009E53A6">
        <w:instrText>Supporting the State’s Fire and Emergency Services</w:instrText>
      </w:r>
      <w:r>
        <w:instrText xml:space="preserve">" \r "BP3Ch1DOJSuppFireandEmergency" </w:instrText>
      </w:r>
      <w:r>
        <w:fldChar w:fldCharType="end"/>
      </w:r>
    </w:p>
    <w:bookmarkEnd w:id="49"/>
    <w:p w:rsidR="00B958B1" w:rsidRDefault="00B958B1" w:rsidP="009F3B54">
      <w:r>
        <w:t xml:space="preserve">This initiative contributes to the Department of Justice’s Emergency Management Capability output. </w:t>
      </w:r>
      <w:r>
        <w:fldChar w:fldCharType="begin"/>
      </w:r>
      <w:r>
        <w:instrText xml:space="preserve"> XE "</w:instrText>
      </w:r>
      <w:r w:rsidRPr="003826CC">
        <w:instrText>Department of Justice:Output initiatives</w:instrText>
      </w:r>
      <w:r>
        <w:instrText xml:space="preserve">" \r "BP3Ch1DOJOutputInitves" </w:instrText>
      </w:r>
      <w:r>
        <w:fldChar w:fldCharType="end"/>
      </w:r>
    </w:p>
    <w:bookmarkEnd w:id="45"/>
    <w:p w:rsidR="00B958B1" w:rsidRDefault="00B958B1" w:rsidP="009F3B54">
      <w:pPr>
        <w:pStyle w:val="Heading3"/>
      </w:pPr>
      <w:r>
        <w:br w:type="page"/>
      </w:r>
      <w:bookmarkStart w:id="50" w:name="BP3Ch1DOJAssetInitves"/>
      <w:r>
        <w:t>Asset initiatives</w:t>
      </w:r>
    </w:p>
    <w:p w:rsidR="00B958B1" w:rsidRDefault="00B958B1" w:rsidP="009F3B54">
      <w:pPr>
        <w:pStyle w:val="Tableheading"/>
      </w:pPr>
      <w:r>
        <w:t>Table 1.10</w:t>
      </w:r>
      <w:r w:rsidRPr="008149FC">
        <w:t>:</w:t>
      </w:r>
      <w:r w:rsidRPr="008149FC">
        <w:tab/>
        <w:t>Asset initiatives – Justice</w:t>
      </w:r>
    </w:p>
    <w:p w:rsidR="00B958B1" w:rsidRDefault="00B958B1" w:rsidP="009F3B54">
      <w:pPr>
        <w:pStyle w:val="million"/>
        <w:rPr>
          <w:rFonts w:ascii="Times New Roman" w:hAnsi="Times New Roman"/>
          <w:sz w:val="20"/>
          <w:lang w:eastAsia="en-AU"/>
        </w:rPr>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074"/>
        <w:gridCol w:w="198"/>
        <w:gridCol w:w="9"/>
        <w:gridCol w:w="36"/>
        <w:gridCol w:w="579"/>
        <w:gridCol w:w="348"/>
        <w:gridCol w:w="239"/>
        <w:gridCol w:w="236"/>
        <w:gridCol w:w="65"/>
        <w:gridCol w:w="270"/>
        <w:gridCol w:w="251"/>
        <w:gridCol w:w="236"/>
        <w:gridCol w:w="823"/>
        <w:gridCol w:w="823"/>
        <w:gridCol w:w="589"/>
      </w:tblGrid>
      <w:tr w:rsidR="00B958B1" w:rsidRPr="007660C2" w:rsidTr="009F3B54">
        <w:trPr>
          <w:cantSplit/>
        </w:trPr>
        <w:tc>
          <w:tcPr>
            <w:tcW w:w="3074" w:type="dxa"/>
            <w:tcBorders>
              <w:top w:val="single" w:sz="6" w:space="0" w:color="auto"/>
              <w:left w:val="single" w:sz="4" w:space="0" w:color="auto"/>
              <w:bottom w:val="single" w:sz="4" w:space="0" w:color="auto"/>
              <w:right w:val="nil"/>
            </w:tcBorders>
            <w:shd w:val="clear" w:color="auto" w:fill="000000"/>
          </w:tcPr>
          <w:p w:rsidR="00B958B1" w:rsidRPr="007660C2" w:rsidRDefault="00B958B1" w:rsidP="009F3B54">
            <w:pPr>
              <w:pStyle w:val="Tabletext"/>
              <w:rPr>
                <w:lang w:eastAsia="en-AU"/>
              </w:rPr>
            </w:pPr>
          </w:p>
        </w:tc>
        <w:tc>
          <w:tcPr>
            <w:tcW w:w="822" w:type="dxa"/>
            <w:gridSpan w:val="4"/>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2012</w:t>
            </w:r>
            <w:r w:rsidR="009F0F49">
              <w:rPr>
                <w:lang w:eastAsia="en-AU"/>
              </w:rPr>
              <w:noBreakHyphen/>
            </w:r>
            <w:r w:rsidRPr="007660C2">
              <w:rPr>
                <w:lang w:eastAsia="en-AU"/>
              </w:rPr>
              <w:t>13</w:t>
            </w:r>
          </w:p>
        </w:tc>
        <w:tc>
          <w:tcPr>
            <w:tcW w:w="823" w:type="dxa"/>
            <w:gridSpan w:val="3"/>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2013</w:t>
            </w:r>
            <w:r w:rsidR="009F0F49">
              <w:rPr>
                <w:lang w:eastAsia="en-AU"/>
              </w:rPr>
              <w:noBreakHyphen/>
            </w:r>
            <w:r w:rsidRPr="007660C2">
              <w:rPr>
                <w:lang w:eastAsia="en-AU"/>
              </w:rPr>
              <w:t>14</w:t>
            </w:r>
          </w:p>
        </w:tc>
        <w:tc>
          <w:tcPr>
            <w:tcW w:w="822" w:type="dxa"/>
            <w:gridSpan w:val="4"/>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2014</w:t>
            </w:r>
            <w:r w:rsidR="009F0F49">
              <w:rPr>
                <w:lang w:eastAsia="en-AU"/>
              </w:rPr>
              <w:noBreakHyphen/>
            </w:r>
            <w:r w:rsidRPr="007660C2">
              <w:rPr>
                <w:lang w:eastAsia="en-AU"/>
              </w:rPr>
              <w:t>15</w:t>
            </w:r>
          </w:p>
        </w:tc>
        <w:tc>
          <w:tcPr>
            <w:tcW w:w="823" w:type="dxa"/>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2015</w:t>
            </w:r>
            <w:r w:rsidR="009F0F49">
              <w:rPr>
                <w:lang w:eastAsia="en-AU"/>
              </w:rPr>
              <w:noBreakHyphen/>
            </w:r>
            <w:r w:rsidRPr="007660C2">
              <w:rPr>
                <w:lang w:eastAsia="en-AU"/>
              </w:rPr>
              <w:t>16</w:t>
            </w:r>
          </w:p>
        </w:tc>
        <w:tc>
          <w:tcPr>
            <w:tcW w:w="823" w:type="dxa"/>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2016</w:t>
            </w:r>
            <w:r w:rsidR="009F0F49">
              <w:rPr>
                <w:lang w:eastAsia="en-AU"/>
              </w:rPr>
              <w:noBreakHyphen/>
            </w:r>
            <w:r w:rsidRPr="007660C2">
              <w:rPr>
                <w:lang w:eastAsia="en-AU"/>
              </w:rPr>
              <w:t>17</w:t>
            </w:r>
          </w:p>
        </w:tc>
        <w:tc>
          <w:tcPr>
            <w:tcW w:w="589" w:type="dxa"/>
            <w:tcBorders>
              <w:top w:val="single" w:sz="6" w:space="0" w:color="auto"/>
              <w:left w:val="nil"/>
              <w:bottom w:val="single" w:sz="4" w:space="0" w:color="auto"/>
              <w:right w:val="single" w:sz="4" w:space="0" w:color="auto"/>
            </w:tcBorders>
            <w:shd w:val="clear" w:color="auto" w:fill="000000"/>
          </w:tcPr>
          <w:p w:rsidR="00B958B1" w:rsidRPr="007660C2" w:rsidRDefault="00B958B1" w:rsidP="009F3B54">
            <w:pPr>
              <w:pStyle w:val="Tabletextheading"/>
              <w:rPr>
                <w:lang w:eastAsia="en-AU"/>
              </w:rPr>
            </w:pPr>
            <w:r w:rsidRPr="007660C2">
              <w:rPr>
                <w:lang w:eastAsia="en-AU"/>
              </w:rPr>
              <w:t>TEI</w:t>
            </w:r>
          </w:p>
        </w:tc>
      </w:tr>
      <w:tr w:rsidR="00B958B1" w:rsidRPr="007660C2" w:rsidTr="009F3B54">
        <w:trPr>
          <w:cantSplit/>
        </w:trPr>
        <w:tc>
          <w:tcPr>
            <w:tcW w:w="3074" w:type="dxa"/>
            <w:tcBorders>
              <w:top w:val="single" w:sz="4" w:space="0" w:color="auto"/>
              <w:left w:val="nil"/>
              <w:bottom w:val="nil"/>
              <w:right w:val="nil"/>
            </w:tcBorders>
          </w:tcPr>
          <w:p w:rsidR="00B958B1" w:rsidRPr="007660C2" w:rsidRDefault="00B958B1" w:rsidP="009F3B54">
            <w:pPr>
              <w:pStyle w:val="Tabletext"/>
              <w:rPr>
                <w:b/>
                <w:bCs/>
                <w:lang w:eastAsia="en-AU"/>
              </w:rPr>
            </w:pPr>
            <w:r w:rsidRPr="007660C2">
              <w:rPr>
                <w:b/>
                <w:bCs/>
                <w:lang w:eastAsia="en-AU"/>
              </w:rPr>
              <w:t>Court Services</w:t>
            </w:r>
          </w:p>
        </w:tc>
        <w:tc>
          <w:tcPr>
            <w:tcW w:w="822" w:type="dxa"/>
            <w:gridSpan w:val="4"/>
            <w:tcBorders>
              <w:top w:val="single" w:sz="4" w:space="0" w:color="auto"/>
              <w:left w:val="nil"/>
              <w:bottom w:val="nil"/>
              <w:right w:val="nil"/>
            </w:tcBorders>
          </w:tcPr>
          <w:p w:rsidR="00B958B1" w:rsidRPr="007660C2" w:rsidRDefault="00B958B1" w:rsidP="009F3B54">
            <w:pPr>
              <w:pStyle w:val="TableofFigures"/>
              <w:rPr>
                <w:lang w:eastAsia="en-AU"/>
              </w:rPr>
            </w:pPr>
          </w:p>
        </w:tc>
        <w:tc>
          <w:tcPr>
            <w:tcW w:w="823" w:type="dxa"/>
            <w:gridSpan w:val="3"/>
            <w:tcBorders>
              <w:top w:val="single" w:sz="4" w:space="0" w:color="auto"/>
              <w:left w:val="nil"/>
              <w:bottom w:val="nil"/>
              <w:right w:val="nil"/>
            </w:tcBorders>
          </w:tcPr>
          <w:p w:rsidR="00B958B1" w:rsidRPr="007660C2" w:rsidRDefault="00B958B1" w:rsidP="009F3B54">
            <w:pPr>
              <w:pStyle w:val="TableofFigures"/>
              <w:rPr>
                <w:lang w:eastAsia="en-AU"/>
              </w:rPr>
            </w:pPr>
          </w:p>
        </w:tc>
        <w:tc>
          <w:tcPr>
            <w:tcW w:w="822" w:type="dxa"/>
            <w:gridSpan w:val="4"/>
            <w:tcBorders>
              <w:top w:val="single" w:sz="4" w:space="0" w:color="auto"/>
              <w:left w:val="nil"/>
              <w:bottom w:val="nil"/>
              <w:right w:val="nil"/>
            </w:tcBorders>
          </w:tcPr>
          <w:p w:rsidR="00B958B1" w:rsidRPr="007660C2" w:rsidRDefault="00B958B1" w:rsidP="009F3B54">
            <w:pPr>
              <w:pStyle w:val="TableofFigures"/>
              <w:rPr>
                <w:lang w:eastAsia="en-AU"/>
              </w:rPr>
            </w:pPr>
          </w:p>
        </w:tc>
        <w:tc>
          <w:tcPr>
            <w:tcW w:w="823" w:type="dxa"/>
            <w:tcBorders>
              <w:top w:val="single" w:sz="4" w:space="0" w:color="auto"/>
              <w:left w:val="nil"/>
              <w:bottom w:val="nil"/>
              <w:right w:val="nil"/>
            </w:tcBorders>
          </w:tcPr>
          <w:p w:rsidR="00B958B1" w:rsidRPr="007660C2" w:rsidRDefault="00B958B1" w:rsidP="009F3B54">
            <w:pPr>
              <w:pStyle w:val="TableofFigures"/>
              <w:rPr>
                <w:lang w:eastAsia="en-AU"/>
              </w:rPr>
            </w:pPr>
          </w:p>
        </w:tc>
        <w:tc>
          <w:tcPr>
            <w:tcW w:w="823" w:type="dxa"/>
            <w:tcBorders>
              <w:top w:val="single" w:sz="4" w:space="0" w:color="auto"/>
              <w:left w:val="nil"/>
              <w:bottom w:val="nil"/>
              <w:right w:val="nil"/>
            </w:tcBorders>
          </w:tcPr>
          <w:p w:rsidR="00B958B1" w:rsidRPr="007660C2" w:rsidRDefault="00B958B1" w:rsidP="009F3B54">
            <w:pPr>
              <w:pStyle w:val="TableofFigures"/>
              <w:rPr>
                <w:lang w:eastAsia="en-AU"/>
              </w:rPr>
            </w:pPr>
          </w:p>
        </w:tc>
        <w:tc>
          <w:tcPr>
            <w:tcW w:w="589" w:type="dxa"/>
            <w:tcBorders>
              <w:top w:val="single" w:sz="4" w:space="0" w:color="auto"/>
              <w:left w:val="nil"/>
              <w:bottom w:val="nil"/>
              <w:right w:val="nil"/>
            </w:tcBorders>
          </w:tcPr>
          <w:p w:rsidR="00B958B1" w:rsidRPr="007660C2" w:rsidRDefault="00B958B1" w:rsidP="009F3B54">
            <w:pPr>
              <w:pStyle w:val="TableofFigures"/>
              <w:rPr>
                <w:lang w:eastAsia="en-AU"/>
              </w:rPr>
            </w:pPr>
          </w:p>
        </w:tc>
      </w:tr>
      <w:tr w:rsidR="00B958B1" w:rsidRPr="007660C2" w:rsidTr="009F3B54">
        <w:trPr>
          <w:cantSplit/>
        </w:trPr>
        <w:tc>
          <w:tcPr>
            <w:tcW w:w="307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 xml:space="preserve">Enhancing court IT and facilities </w:t>
            </w:r>
          </w:p>
        </w:tc>
        <w:tc>
          <w:tcPr>
            <w:tcW w:w="822"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23"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3.8</w:t>
            </w:r>
          </w:p>
        </w:tc>
        <w:tc>
          <w:tcPr>
            <w:tcW w:w="822"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2.7</w:t>
            </w:r>
          </w:p>
        </w:tc>
        <w:tc>
          <w:tcPr>
            <w:tcW w:w="823"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23"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58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6.5</w:t>
            </w:r>
          </w:p>
        </w:tc>
      </w:tr>
      <w:tr w:rsidR="00B958B1" w:rsidRPr="007660C2" w:rsidTr="009F3B54">
        <w:trPr>
          <w:cantSplit/>
        </w:trPr>
        <w:tc>
          <w:tcPr>
            <w:tcW w:w="4244" w:type="dxa"/>
            <w:gridSpan w:val="6"/>
            <w:tcBorders>
              <w:top w:val="nil"/>
              <w:left w:val="nil"/>
              <w:bottom w:val="nil"/>
              <w:right w:val="nil"/>
            </w:tcBorders>
          </w:tcPr>
          <w:p w:rsidR="00B958B1" w:rsidRPr="007660C2" w:rsidRDefault="00B958B1" w:rsidP="009F3B54">
            <w:pPr>
              <w:pStyle w:val="Tabletext"/>
              <w:rPr>
                <w:b/>
                <w:bCs/>
                <w:lang w:eastAsia="en-AU"/>
              </w:rPr>
            </w:pPr>
            <w:r w:rsidRPr="007660C2">
              <w:rPr>
                <w:b/>
                <w:bCs/>
                <w:lang w:eastAsia="en-AU"/>
              </w:rPr>
              <w:t>Enforcing and Managing Correctional Orders</w:t>
            </w:r>
          </w:p>
        </w:tc>
        <w:tc>
          <w:tcPr>
            <w:tcW w:w="23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 xml:space="preserve"> </w:t>
            </w:r>
          </w:p>
        </w:tc>
        <w:tc>
          <w:tcPr>
            <w:tcW w:w="236" w:type="dxa"/>
            <w:tcBorders>
              <w:top w:val="nil"/>
              <w:left w:val="nil"/>
              <w:bottom w:val="nil"/>
              <w:right w:val="nil"/>
            </w:tcBorders>
          </w:tcPr>
          <w:p w:rsidR="00B958B1" w:rsidRPr="007660C2" w:rsidRDefault="00B958B1" w:rsidP="009F3B54">
            <w:pPr>
              <w:pStyle w:val="TableofFigures"/>
              <w:rPr>
                <w:lang w:eastAsia="en-AU"/>
              </w:rPr>
            </w:pPr>
          </w:p>
        </w:tc>
        <w:tc>
          <w:tcPr>
            <w:tcW w:w="822" w:type="dxa"/>
            <w:gridSpan w:val="4"/>
            <w:tcBorders>
              <w:top w:val="nil"/>
              <w:left w:val="nil"/>
              <w:bottom w:val="nil"/>
              <w:right w:val="nil"/>
            </w:tcBorders>
          </w:tcPr>
          <w:p w:rsidR="00B958B1" w:rsidRPr="007660C2" w:rsidRDefault="00B958B1" w:rsidP="009F3B54">
            <w:pPr>
              <w:pStyle w:val="TableofFigures"/>
              <w:rPr>
                <w:lang w:eastAsia="en-AU"/>
              </w:rPr>
            </w:pPr>
          </w:p>
        </w:tc>
        <w:tc>
          <w:tcPr>
            <w:tcW w:w="823" w:type="dxa"/>
            <w:tcBorders>
              <w:top w:val="nil"/>
              <w:left w:val="nil"/>
              <w:bottom w:val="nil"/>
              <w:right w:val="nil"/>
            </w:tcBorders>
          </w:tcPr>
          <w:p w:rsidR="00B958B1" w:rsidRPr="007660C2" w:rsidRDefault="00B958B1" w:rsidP="009F3B54">
            <w:pPr>
              <w:pStyle w:val="TableofFigures"/>
              <w:rPr>
                <w:lang w:eastAsia="en-AU"/>
              </w:rPr>
            </w:pPr>
          </w:p>
        </w:tc>
        <w:tc>
          <w:tcPr>
            <w:tcW w:w="823" w:type="dxa"/>
            <w:tcBorders>
              <w:top w:val="nil"/>
              <w:left w:val="nil"/>
              <w:bottom w:val="nil"/>
              <w:right w:val="nil"/>
            </w:tcBorders>
          </w:tcPr>
          <w:p w:rsidR="00B958B1" w:rsidRPr="007660C2" w:rsidRDefault="00B958B1" w:rsidP="009F3B54">
            <w:pPr>
              <w:pStyle w:val="TableofFigures"/>
              <w:rPr>
                <w:lang w:eastAsia="en-AU"/>
              </w:rPr>
            </w:pPr>
          </w:p>
        </w:tc>
        <w:tc>
          <w:tcPr>
            <w:tcW w:w="589" w:type="dxa"/>
            <w:tcBorders>
              <w:top w:val="nil"/>
              <w:left w:val="nil"/>
              <w:bottom w:val="nil"/>
              <w:right w:val="nil"/>
            </w:tcBorders>
          </w:tcPr>
          <w:p w:rsidR="00B958B1" w:rsidRPr="007660C2" w:rsidRDefault="00B958B1" w:rsidP="009F3B54">
            <w:pPr>
              <w:pStyle w:val="TableofFigures"/>
              <w:rPr>
                <w:lang w:eastAsia="en-AU"/>
              </w:rPr>
            </w:pPr>
          </w:p>
        </w:tc>
      </w:tr>
      <w:tr w:rsidR="00B958B1" w:rsidRPr="007660C2" w:rsidTr="009F3B54">
        <w:trPr>
          <w:cantSplit/>
        </w:trPr>
        <w:tc>
          <w:tcPr>
            <w:tcW w:w="307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 xml:space="preserve">High security and management prisoners </w:t>
            </w:r>
          </w:p>
        </w:tc>
        <w:tc>
          <w:tcPr>
            <w:tcW w:w="822"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23"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8.7</w:t>
            </w:r>
          </w:p>
        </w:tc>
        <w:tc>
          <w:tcPr>
            <w:tcW w:w="822"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20.7</w:t>
            </w:r>
          </w:p>
        </w:tc>
        <w:tc>
          <w:tcPr>
            <w:tcW w:w="823"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5.6</w:t>
            </w:r>
          </w:p>
        </w:tc>
        <w:tc>
          <w:tcPr>
            <w:tcW w:w="823"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58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35.0</w:t>
            </w:r>
          </w:p>
        </w:tc>
      </w:tr>
      <w:tr w:rsidR="00B958B1" w:rsidRPr="007660C2" w:rsidTr="009F3B54">
        <w:trPr>
          <w:cantSplit/>
        </w:trPr>
        <w:tc>
          <w:tcPr>
            <w:tcW w:w="307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Increased prison capacity</w:t>
            </w:r>
          </w:p>
        </w:tc>
        <w:tc>
          <w:tcPr>
            <w:tcW w:w="822"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4.7</w:t>
            </w:r>
          </w:p>
        </w:tc>
        <w:tc>
          <w:tcPr>
            <w:tcW w:w="823"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5.5</w:t>
            </w:r>
          </w:p>
        </w:tc>
        <w:tc>
          <w:tcPr>
            <w:tcW w:w="822"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23"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23"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58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10.2</w:t>
            </w:r>
          </w:p>
        </w:tc>
      </w:tr>
      <w:tr w:rsidR="00B958B1" w:rsidRPr="007660C2" w:rsidTr="009F3B54">
        <w:trPr>
          <w:cantSplit/>
        </w:trPr>
        <w:tc>
          <w:tcPr>
            <w:tcW w:w="4244" w:type="dxa"/>
            <w:gridSpan w:val="6"/>
            <w:tcBorders>
              <w:top w:val="nil"/>
              <w:left w:val="nil"/>
              <w:bottom w:val="nil"/>
              <w:right w:val="nil"/>
            </w:tcBorders>
          </w:tcPr>
          <w:p w:rsidR="00B958B1" w:rsidRPr="007660C2" w:rsidRDefault="00B958B1" w:rsidP="009F3B54">
            <w:pPr>
              <w:pStyle w:val="Tabletext"/>
              <w:rPr>
                <w:b/>
                <w:bCs/>
                <w:lang w:eastAsia="en-AU"/>
              </w:rPr>
            </w:pPr>
            <w:r w:rsidRPr="007660C2">
              <w:rPr>
                <w:b/>
                <w:bCs/>
                <w:lang w:eastAsia="en-AU"/>
              </w:rPr>
              <w:t>Infringements and Enhancing Community Safety</w:t>
            </w:r>
          </w:p>
        </w:tc>
        <w:tc>
          <w:tcPr>
            <w:tcW w:w="23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 xml:space="preserve"> </w:t>
            </w:r>
          </w:p>
        </w:tc>
        <w:tc>
          <w:tcPr>
            <w:tcW w:w="236" w:type="dxa"/>
            <w:tcBorders>
              <w:top w:val="nil"/>
              <w:left w:val="nil"/>
              <w:bottom w:val="nil"/>
              <w:right w:val="nil"/>
            </w:tcBorders>
          </w:tcPr>
          <w:p w:rsidR="00B958B1" w:rsidRPr="007660C2" w:rsidRDefault="00B958B1" w:rsidP="009F3B54">
            <w:pPr>
              <w:pStyle w:val="TableofFigures"/>
              <w:rPr>
                <w:lang w:eastAsia="en-AU"/>
              </w:rPr>
            </w:pPr>
          </w:p>
        </w:tc>
        <w:tc>
          <w:tcPr>
            <w:tcW w:w="822" w:type="dxa"/>
            <w:gridSpan w:val="4"/>
            <w:tcBorders>
              <w:top w:val="nil"/>
              <w:left w:val="nil"/>
              <w:bottom w:val="nil"/>
              <w:right w:val="nil"/>
            </w:tcBorders>
          </w:tcPr>
          <w:p w:rsidR="00B958B1" w:rsidRPr="007660C2" w:rsidRDefault="00B958B1" w:rsidP="009F3B54">
            <w:pPr>
              <w:pStyle w:val="TableofFigures"/>
              <w:rPr>
                <w:lang w:eastAsia="en-AU"/>
              </w:rPr>
            </w:pPr>
          </w:p>
        </w:tc>
        <w:tc>
          <w:tcPr>
            <w:tcW w:w="823" w:type="dxa"/>
            <w:tcBorders>
              <w:top w:val="nil"/>
              <w:left w:val="nil"/>
              <w:bottom w:val="nil"/>
              <w:right w:val="nil"/>
            </w:tcBorders>
          </w:tcPr>
          <w:p w:rsidR="00B958B1" w:rsidRPr="007660C2" w:rsidRDefault="00B958B1" w:rsidP="009F3B54">
            <w:pPr>
              <w:pStyle w:val="TableofFigures"/>
              <w:rPr>
                <w:lang w:eastAsia="en-AU"/>
              </w:rPr>
            </w:pPr>
          </w:p>
        </w:tc>
        <w:tc>
          <w:tcPr>
            <w:tcW w:w="823" w:type="dxa"/>
            <w:tcBorders>
              <w:top w:val="nil"/>
              <w:left w:val="nil"/>
              <w:bottom w:val="nil"/>
              <w:right w:val="nil"/>
            </w:tcBorders>
          </w:tcPr>
          <w:p w:rsidR="00B958B1" w:rsidRPr="007660C2" w:rsidRDefault="00B958B1" w:rsidP="009F3B54">
            <w:pPr>
              <w:pStyle w:val="TableofFigures"/>
              <w:rPr>
                <w:lang w:eastAsia="en-AU"/>
              </w:rPr>
            </w:pPr>
          </w:p>
        </w:tc>
        <w:tc>
          <w:tcPr>
            <w:tcW w:w="589" w:type="dxa"/>
            <w:tcBorders>
              <w:top w:val="nil"/>
              <w:left w:val="nil"/>
              <w:bottom w:val="nil"/>
              <w:right w:val="nil"/>
            </w:tcBorders>
          </w:tcPr>
          <w:p w:rsidR="00B958B1" w:rsidRPr="007660C2" w:rsidRDefault="00B958B1" w:rsidP="009F3B54">
            <w:pPr>
              <w:pStyle w:val="TableofFigures"/>
              <w:rPr>
                <w:lang w:eastAsia="en-AU"/>
              </w:rPr>
            </w:pPr>
          </w:p>
        </w:tc>
      </w:tr>
      <w:tr w:rsidR="00B958B1" w:rsidRPr="007660C2" w:rsidTr="009F3B54">
        <w:trPr>
          <w:cantSplit/>
        </w:trPr>
        <w:tc>
          <w:tcPr>
            <w:tcW w:w="3281" w:type="dxa"/>
            <w:gridSpan w:val="3"/>
            <w:tcBorders>
              <w:top w:val="nil"/>
              <w:left w:val="nil"/>
              <w:bottom w:val="nil"/>
              <w:right w:val="nil"/>
            </w:tcBorders>
          </w:tcPr>
          <w:p w:rsidR="00B958B1" w:rsidRPr="007660C2" w:rsidRDefault="00B958B1" w:rsidP="009F3B54">
            <w:pPr>
              <w:pStyle w:val="Tabletext"/>
              <w:rPr>
                <w:lang w:eastAsia="en-AU"/>
              </w:rPr>
            </w:pPr>
            <w:r w:rsidRPr="007660C2">
              <w:rPr>
                <w:lang w:eastAsia="en-AU"/>
              </w:rPr>
              <w:t xml:space="preserve">Mobile camera replacement program </w:t>
            </w:r>
          </w:p>
        </w:tc>
        <w:tc>
          <w:tcPr>
            <w:tcW w:w="615"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23"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5.1</w:t>
            </w:r>
          </w:p>
        </w:tc>
        <w:tc>
          <w:tcPr>
            <w:tcW w:w="822"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5.1</w:t>
            </w:r>
          </w:p>
        </w:tc>
        <w:tc>
          <w:tcPr>
            <w:tcW w:w="823"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4.8</w:t>
            </w:r>
          </w:p>
        </w:tc>
        <w:tc>
          <w:tcPr>
            <w:tcW w:w="823"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2.1</w:t>
            </w:r>
          </w:p>
        </w:tc>
        <w:tc>
          <w:tcPr>
            <w:tcW w:w="58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17.1</w:t>
            </w:r>
          </w:p>
        </w:tc>
      </w:tr>
      <w:tr w:rsidR="00B958B1" w:rsidRPr="007660C2" w:rsidTr="009F3B54">
        <w:trPr>
          <w:cantSplit/>
        </w:trPr>
        <w:tc>
          <w:tcPr>
            <w:tcW w:w="3317" w:type="dxa"/>
            <w:gridSpan w:val="4"/>
            <w:tcBorders>
              <w:top w:val="nil"/>
              <w:left w:val="nil"/>
              <w:bottom w:val="nil"/>
              <w:right w:val="nil"/>
            </w:tcBorders>
          </w:tcPr>
          <w:p w:rsidR="00B958B1" w:rsidRPr="007660C2" w:rsidRDefault="00B958B1" w:rsidP="009F3B54">
            <w:pPr>
              <w:pStyle w:val="Tabletext"/>
              <w:rPr>
                <w:lang w:eastAsia="en-AU"/>
              </w:rPr>
            </w:pPr>
            <w:r w:rsidRPr="007660C2">
              <w:rPr>
                <w:lang w:eastAsia="en-AU"/>
              </w:rPr>
              <w:t xml:space="preserve">Reforming the collection and enforcement of legal debt in Victoria </w:t>
            </w:r>
          </w:p>
        </w:tc>
        <w:tc>
          <w:tcPr>
            <w:tcW w:w="57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23"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5.0</w:t>
            </w:r>
          </w:p>
        </w:tc>
        <w:tc>
          <w:tcPr>
            <w:tcW w:w="822"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5.0</w:t>
            </w:r>
          </w:p>
        </w:tc>
        <w:tc>
          <w:tcPr>
            <w:tcW w:w="823"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3.0</w:t>
            </w:r>
          </w:p>
        </w:tc>
        <w:tc>
          <w:tcPr>
            <w:tcW w:w="823"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2.0</w:t>
            </w:r>
          </w:p>
        </w:tc>
        <w:tc>
          <w:tcPr>
            <w:tcW w:w="58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15.0</w:t>
            </w:r>
          </w:p>
        </w:tc>
      </w:tr>
      <w:tr w:rsidR="00B958B1" w:rsidRPr="007660C2" w:rsidTr="009F3B54">
        <w:trPr>
          <w:cantSplit/>
        </w:trPr>
        <w:tc>
          <w:tcPr>
            <w:tcW w:w="3074" w:type="dxa"/>
            <w:tcBorders>
              <w:top w:val="nil"/>
              <w:left w:val="nil"/>
              <w:bottom w:val="nil"/>
              <w:right w:val="nil"/>
            </w:tcBorders>
          </w:tcPr>
          <w:p w:rsidR="00B958B1" w:rsidRPr="007660C2" w:rsidRDefault="00B958B1" w:rsidP="009F3B54">
            <w:pPr>
              <w:pStyle w:val="Tabletext"/>
              <w:rPr>
                <w:b/>
                <w:bCs/>
                <w:lang w:eastAsia="en-AU"/>
              </w:rPr>
            </w:pPr>
            <w:r w:rsidRPr="007660C2">
              <w:rPr>
                <w:b/>
                <w:bCs/>
                <w:lang w:eastAsia="en-AU"/>
              </w:rPr>
              <w:t>Policing</w:t>
            </w:r>
          </w:p>
        </w:tc>
        <w:tc>
          <w:tcPr>
            <w:tcW w:w="822"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 xml:space="preserve"> </w:t>
            </w:r>
          </w:p>
        </w:tc>
        <w:tc>
          <w:tcPr>
            <w:tcW w:w="823" w:type="dxa"/>
            <w:gridSpan w:val="3"/>
            <w:tcBorders>
              <w:top w:val="nil"/>
              <w:left w:val="nil"/>
              <w:bottom w:val="nil"/>
              <w:right w:val="nil"/>
            </w:tcBorders>
          </w:tcPr>
          <w:p w:rsidR="00B958B1" w:rsidRPr="007660C2" w:rsidRDefault="00B958B1" w:rsidP="009F3B54">
            <w:pPr>
              <w:pStyle w:val="TableofFigures"/>
              <w:rPr>
                <w:lang w:eastAsia="en-AU"/>
              </w:rPr>
            </w:pPr>
          </w:p>
        </w:tc>
        <w:tc>
          <w:tcPr>
            <w:tcW w:w="822" w:type="dxa"/>
            <w:gridSpan w:val="4"/>
            <w:tcBorders>
              <w:top w:val="nil"/>
              <w:left w:val="nil"/>
              <w:bottom w:val="nil"/>
              <w:right w:val="nil"/>
            </w:tcBorders>
          </w:tcPr>
          <w:p w:rsidR="00B958B1" w:rsidRPr="007660C2" w:rsidRDefault="00B958B1" w:rsidP="009F3B54">
            <w:pPr>
              <w:pStyle w:val="TableofFigures"/>
              <w:rPr>
                <w:lang w:eastAsia="en-AU"/>
              </w:rPr>
            </w:pPr>
          </w:p>
        </w:tc>
        <w:tc>
          <w:tcPr>
            <w:tcW w:w="823" w:type="dxa"/>
            <w:tcBorders>
              <w:top w:val="nil"/>
              <w:left w:val="nil"/>
              <w:bottom w:val="nil"/>
              <w:right w:val="nil"/>
            </w:tcBorders>
          </w:tcPr>
          <w:p w:rsidR="00B958B1" w:rsidRPr="007660C2" w:rsidRDefault="00B958B1" w:rsidP="009F3B54">
            <w:pPr>
              <w:pStyle w:val="TableofFigures"/>
              <w:rPr>
                <w:lang w:eastAsia="en-AU"/>
              </w:rPr>
            </w:pPr>
          </w:p>
        </w:tc>
        <w:tc>
          <w:tcPr>
            <w:tcW w:w="823" w:type="dxa"/>
            <w:tcBorders>
              <w:top w:val="nil"/>
              <w:left w:val="nil"/>
              <w:bottom w:val="nil"/>
              <w:right w:val="nil"/>
            </w:tcBorders>
          </w:tcPr>
          <w:p w:rsidR="00B958B1" w:rsidRPr="007660C2" w:rsidRDefault="00B958B1" w:rsidP="009F3B54">
            <w:pPr>
              <w:pStyle w:val="TableofFigures"/>
              <w:rPr>
                <w:lang w:eastAsia="en-AU"/>
              </w:rPr>
            </w:pPr>
          </w:p>
        </w:tc>
        <w:tc>
          <w:tcPr>
            <w:tcW w:w="589" w:type="dxa"/>
            <w:tcBorders>
              <w:top w:val="nil"/>
              <w:left w:val="nil"/>
              <w:bottom w:val="nil"/>
              <w:right w:val="nil"/>
            </w:tcBorders>
          </w:tcPr>
          <w:p w:rsidR="00B958B1" w:rsidRPr="007660C2" w:rsidRDefault="00B958B1" w:rsidP="009F3B54">
            <w:pPr>
              <w:pStyle w:val="TableofFigures"/>
              <w:rPr>
                <w:lang w:eastAsia="en-AU"/>
              </w:rPr>
            </w:pPr>
          </w:p>
        </w:tc>
      </w:tr>
      <w:tr w:rsidR="00B958B1" w:rsidRPr="007660C2" w:rsidTr="009F3B54">
        <w:trPr>
          <w:cantSplit/>
        </w:trPr>
        <w:tc>
          <w:tcPr>
            <w:tcW w:w="307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 xml:space="preserve">New and upgraded police stations </w:t>
            </w:r>
          </w:p>
        </w:tc>
        <w:tc>
          <w:tcPr>
            <w:tcW w:w="822"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23"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11.1</w:t>
            </w:r>
          </w:p>
        </w:tc>
        <w:tc>
          <w:tcPr>
            <w:tcW w:w="822"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13.5</w:t>
            </w:r>
          </w:p>
        </w:tc>
        <w:tc>
          <w:tcPr>
            <w:tcW w:w="823"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2.1</w:t>
            </w:r>
          </w:p>
        </w:tc>
        <w:tc>
          <w:tcPr>
            <w:tcW w:w="823"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58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26.6</w:t>
            </w:r>
          </w:p>
        </w:tc>
      </w:tr>
      <w:tr w:rsidR="00B958B1" w:rsidRPr="007660C2" w:rsidTr="009F3B54">
        <w:trPr>
          <w:cantSplit/>
        </w:trPr>
        <w:tc>
          <w:tcPr>
            <w:tcW w:w="307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 xml:space="preserve">Police Information Process and Practice reform program </w:t>
            </w:r>
          </w:p>
        </w:tc>
        <w:tc>
          <w:tcPr>
            <w:tcW w:w="822"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23"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5.5</w:t>
            </w:r>
          </w:p>
        </w:tc>
        <w:tc>
          <w:tcPr>
            <w:tcW w:w="822"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4.9</w:t>
            </w:r>
          </w:p>
        </w:tc>
        <w:tc>
          <w:tcPr>
            <w:tcW w:w="823"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23"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58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10.4</w:t>
            </w:r>
          </w:p>
        </w:tc>
      </w:tr>
      <w:tr w:rsidR="00B958B1" w:rsidRPr="007660C2" w:rsidTr="009F3B54">
        <w:trPr>
          <w:cantSplit/>
        </w:trPr>
        <w:tc>
          <w:tcPr>
            <w:tcW w:w="4784" w:type="dxa"/>
            <w:gridSpan w:val="9"/>
            <w:tcBorders>
              <w:top w:val="nil"/>
              <w:left w:val="nil"/>
              <w:bottom w:val="nil"/>
              <w:right w:val="nil"/>
            </w:tcBorders>
          </w:tcPr>
          <w:p w:rsidR="00B958B1" w:rsidRPr="007660C2" w:rsidRDefault="00B958B1" w:rsidP="009F3B54">
            <w:pPr>
              <w:pStyle w:val="Tabletext"/>
              <w:rPr>
                <w:b/>
                <w:bCs/>
                <w:lang w:eastAsia="en-AU"/>
              </w:rPr>
            </w:pPr>
            <w:r w:rsidRPr="007660C2">
              <w:rPr>
                <w:b/>
                <w:bCs/>
                <w:lang w:eastAsia="en-AU"/>
              </w:rPr>
              <w:t>Supporting the State's Fire and Emergency Services</w:t>
            </w:r>
          </w:p>
        </w:tc>
        <w:tc>
          <w:tcPr>
            <w:tcW w:w="27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 xml:space="preserve"> </w:t>
            </w:r>
          </w:p>
        </w:tc>
        <w:tc>
          <w:tcPr>
            <w:tcW w:w="251" w:type="dxa"/>
            <w:tcBorders>
              <w:top w:val="nil"/>
              <w:left w:val="nil"/>
              <w:bottom w:val="nil"/>
              <w:right w:val="nil"/>
            </w:tcBorders>
          </w:tcPr>
          <w:p w:rsidR="00B958B1" w:rsidRPr="007660C2" w:rsidRDefault="00B958B1" w:rsidP="009F3B54">
            <w:pPr>
              <w:pStyle w:val="TableofFigures"/>
              <w:rPr>
                <w:lang w:eastAsia="en-AU"/>
              </w:rPr>
            </w:pPr>
          </w:p>
        </w:tc>
        <w:tc>
          <w:tcPr>
            <w:tcW w:w="236" w:type="dxa"/>
            <w:tcBorders>
              <w:top w:val="nil"/>
              <w:left w:val="nil"/>
              <w:bottom w:val="nil"/>
              <w:right w:val="nil"/>
            </w:tcBorders>
          </w:tcPr>
          <w:p w:rsidR="00B958B1" w:rsidRPr="007660C2" w:rsidRDefault="00B958B1" w:rsidP="009F3B54">
            <w:pPr>
              <w:pStyle w:val="TableofFigures"/>
              <w:rPr>
                <w:lang w:eastAsia="en-AU"/>
              </w:rPr>
            </w:pPr>
          </w:p>
        </w:tc>
        <w:tc>
          <w:tcPr>
            <w:tcW w:w="823" w:type="dxa"/>
            <w:tcBorders>
              <w:top w:val="nil"/>
              <w:left w:val="nil"/>
              <w:bottom w:val="nil"/>
              <w:right w:val="nil"/>
            </w:tcBorders>
          </w:tcPr>
          <w:p w:rsidR="00B958B1" w:rsidRPr="007660C2" w:rsidRDefault="00B958B1" w:rsidP="009F3B54">
            <w:pPr>
              <w:pStyle w:val="TableofFigures"/>
              <w:rPr>
                <w:lang w:eastAsia="en-AU"/>
              </w:rPr>
            </w:pPr>
          </w:p>
        </w:tc>
        <w:tc>
          <w:tcPr>
            <w:tcW w:w="823" w:type="dxa"/>
            <w:tcBorders>
              <w:top w:val="nil"/>
              <w:left w:val="nil"/>
              <w:bottom w:val="nil"/>
              <w:right w:val="nil"/>
            </w:tcBorders>
          </w:tcPr>
          <w:p w:rsidR="00B958B1" w:rsidRPr="007660C2" w:rsidRDefault="00B958B1" w:rsidP="009F3B54">
            <w:pPr>
              <w:pStyle w:val="TableofFigures"/>
              <w:rPr>
                <w:lang w:eastAsia="en-AU"/>
              </w:rPr>
            </w:pPr>
          </w:p>
        </w:tc>
        <w:tc>
          <w:tcPr>
            <w:tcW w:w="589" w:type="dxa"/>
            <w:tcBorders>
              <w:top w:val="nil"/>
              <w:left w:val="nil"/>
              <w:bottom w:val="nil"/>
              <w:right w:val="nil"/>
            </w:tcBorders>
          </w:tcPr>
          <w:p w:rsidR="00B958B1" w:rsidRPr="007660C2" w:rsidRDefault="00B958B1" w:rsidP="009F3B54">
            <w:pPr>
              <w:pStyle w:val="TableofFigures"/>
              <w:rPr>
                <w:lang w:eastAsia="en-AU"/>
              </w:rPr>
            </w:pPr>
          </w:p>
        </w:tc>
      </w:tr>
      <w:tr w:rsidR="00B958B1" w:rsidRPr="007660C2" w:rsidTr="009F3B54">
        <w:trPr>
          <w:cantSplit/>
        </w:trPr>
        <w:tc>
          <w:tcPr>
            <w:tcW w:w="3272" w:type="dxa"/>
            <w:gridSpan w:val="2"/>
            <w:tcBorders>
              <w:top w:val="nil"/>
              <w:left w:val="nil"/>
              <w:bottom w:val="nil"/>
              <w:right w:val="nil"/>
            </w:tcBorders>
          </w:tcPr>
          <w:p w:rsidR="00B958B1" w:rsidRPr="007660C2" w:rsidRDefault="00B958B1" w:rsidP="009F3B54">
            <w:pPr>
              <w:pStyle w:val="Tabletext"/>
              <w:rPr>
                <w:lang w:eastAsia="en-AU"/>
              </w:rPr>
            </w:pPr>
            <w:r w:rsidRPr="007660C2">
              <w:rPr>
                <w:lang w:eastAsia="en-AU"/>
              </w:rPr>
              <w:t xml:space="preserve">Australian Communications and Media Authority compliance </w:t>
            </w:r>
          </w:p>
        </w:tc>
        <w:tc>
          <w:tcPr>
            <w:tcW w:w="624"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23"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2.4</w:t>
            </w:r>
          </w:p>
        </w:tc>
        <w:tc>
          <w:tcPr>
            <w:tcW w:w="822"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0.9</w:t>
            </w:r>
          </w:p>
        </w:tc>
        <w:tc>
          <w:tcPr>
            <w:tcW w:w="823"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 xml:space="preserve"> 0.0</w:t>
            </w:r>
          </w:p>
        </w:tc>
        <w:tc>
          <w:tcPr>
            <w:tcW w:w="823"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58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3.3</w:t>
            </w:r>
          </w:p>
        </w:tc>
      </w:tr>
      <w:tr w:rsidR="00B958B1" w:rsidRPr="007660C2" w:rsidTr="009F3B54">
        <w:trPr>
          <w:cantSplit/>
        </w:trPr>
        <w:tc>
          <w:tcPr>
            <w:tcW w:w="307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Bushfire response – emergency services</w:t>
            </w:r>
          </w:p>
        </w:tc>
        <w:tc>
          <w:tcPr>
            <w:tcW w:w="822"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23"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31.6</w:t>
            </w:r>
          </w:p>
        </w:tc>
        <w:tc>
          <w:tcPr>
            <w:tcW w:w="822"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24.4</w:t>
            </w:r>
          </w:p>
        </w:tc>
        <w:tc>
          <w:tcPr>
            <w:tcW w:w="823"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23"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58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56.0</w:t>
            </w:r>
          </w:p>
        </w:tc>
      </w:tr>
      <w:tr w:rsidR="00B958B1" w:rsidRPr="007660C2" w:rsidTr="009F3B54">
        <w:trPr>
          <w:cantSplit/>
        </w:trPr>
        <w:tc>
          <w:tcPr>
            <w:tcW w:w="307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 xml:space="preserve">Remediation of Fiskville and regional training colleges </w:t>
            </w:r>
          </w:p>
        </w:tc>
        <w:tc>
          <w:tcPr>
            <w:tcW w:w="822"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23"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4.5</w:t>
            </w:r>
          </w:p>
        </w:tc>
        <w:tc>
          <w:tcPr>
            <w:tcW w:w="822"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0.5</w:t>
            </w:r>
          </w:p>
        </w:tc>
        <w:tc>
          <w:tcPr>
            <w:tcW w:w="823"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23"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589"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5.0</w:t>
            </w:r>
          </w:p>
        </w:tc>
      </w:tr>
      <w:tr w:rsidR="00B958B1" w:rsidRPr="007660C2" w:rsidTr="009F3B54">
        <w:trPr>
          <w:cantSplit/>
        </w:trPr>
        <w:tc>
          <w:tcPr>
            <w:tcW w:w="3074" w:type="dxa"/>
            <w:tcBorders>
              <w:top w:val="single" w:sz="6" w:space="0" w:color="auto"/>
              <w:left w:val="nil"/>
              <w:bottom w:val="single" w:sz="12" w:space="0" w:color="auto"/>
              <w:right w:val="nil"/>
            </w:tcBorders>
          </w:tcPr>
          <w:p w:rsidR="00B958B1" w:rsidRPr="007660C2" w:rsidRDefault="00B958B1" w:rsidP="009F3B54">
            <w:pPr>
              <w:pStyle w:val="Tabletext"/>
              <w:rPr>
                <w:b/>
                <w:bCs/>
                <w:lang w:eastAsia="en-AU"/>
              </w:rPr>
            </w:pPr>
            <w:r w:rsidRPr="007660C2">
              <w:rPr>
                <w:b/>
                <w:bCs/>
                <w:lang w:eastAsia="en-AU"/>
              </w:rPr>
              <w:t>Total asset initiatives</w:t>
            </w:r>
          </w:p>
        </w:tc>
        <w:tc>
          <w:tcPr>
            <w:tcW w:w="822" w:type="dxa"/>
            <w:gridSpan w:val="4"/>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4.7</w:t>
            </w:r>
          </w:p>
        </w:tc>
        <w:tc>
          <w:tcPr>
            <w:tcW w:w="823" w:type="dxa"/>
            <w:gridSpan w:val="3"/>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83.1</w:t>
            </w:r>
          </w:p>
        </w:tc>
        <w:tc>
          <w:tcPr>
            <w:tcW w:w="822" w:type="dxa"/>
            <w:gridSpan w:val="4"/>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77.6</w:t>
            </w:r>
          </w:p>
        </w:tc>
        <w:tc>
          <w:tcPr>
            <w:tcW w:w="823"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15.6</w:t>
            </w:r>
          </w:p>
        </w:tc>
        <w:tc>
          <w:tcPr>
            <w:tcW w:w="823"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4.1</w:t>
            </w:r>
          </w:p>
        </w:tc>
        <w:tc>
          <w:tcPr>
            <w:tcW w:w="589"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185.0</w:t>
            </w:r>
          </w:p>
        </w:tc>
      </w:tr>
    </w:tbl>
    <w:p w:rsidR="00B958B1" w:rsidRDefault="00B958B1" w:rsidP="009F3B54">
      <w:pPr>
        <w:pStyle w:val="Source"/>
      </w:pPr>
      <w:r w:rsidRPr="00A20936">
        <w:t>Source: Department of Treasury and Finance</w:t>
      </w:r>
      <w:r>
        <w:t xml:space="preserve"> </w:t>
      </w:r>
      <w:r>
        <w:fldChar w:fldCharType="begin"/>
      </w:r>
      <w:r>
        <w:instrText xml:space="preserve"> XE "</w:instrText>
      </w:r>
      <w:r w:rsidRPr="001902E6">
        <w:instrText>Security</w:instrText>
      </w:r>
      <w:r>
        <w:instrText xml:space="preserve">" </w:instrText>
      </w:r>
      <w:r>
        <w:fldChar w:fldCharType="end"/>
      </w:r>
      <w:r>
        <w:fldChar w:fldCharType="begin"/>
      </w:r>
      <w:r>
        <w:instrText xml:space="preserve"> XE "</w:instrText>
      </w:r>
      <w:r w:rsidRPr="001902E6">
        <w:instrText>Police</w:instrText>
      </w:r>
      <w:r>
        <w:instrText xml:space="preserve">" </w:instrText>
      </w:r>
      <w:r>
        <w:fldChar w:fldCharType="end"/>
      </w:r>
      <w:r>
        <w:fldChar w:fldCharType="begin"/>
      </w:r>
      <w:r>
        <w:instrText xml:space="preserve"> XE "</w:instrText>
      </w:r>
      <w:r w:rsidRPr="001902E6">
        <w:instrText>Emergency Services</w:instrText>
      </w:r>
      <w:r>
        <w:instrText xml:space="preserve">" </w:instrText>
      </w:r>
      <w:r>
        <w:fldChar w:fldCharType="end"/>
      </w:r>
      <w:r>
        <w:fldChar w:fldCharType="begin"/>
      </w:r>
      <w:r>
        <w:instrText xml:space="preserve"> XE "</w:instrText>
      </w:r>
      <w:r w:rsidRPr="001902E6">
        <w:instrText>Bushfire</w:instrText>
      </w:r>
      <w:r>
        <w:instrText xml:space="preserve">" </w:instrText>
      </w:r>
      <w:r>
        <w:fldChar w:fldCharType="end"/>
      </w:r>
      <w:r>
        <w:fldChar w:fldCharType="begin"/>
      </w:r>
      <w:r>
        <w:instrText xml:space="preserve"> XE "</w:instrText>
      </w:r>
      <w:r w:rsidRPr="001902E6">
        <w:instrText>Training</w:instrText>
      </w:r>
      <w:r>
        <w:instrText xml:space="preserve">" </w:instrText>
      </w:r>
      <w:r>
        <w:fldChar w:fldCharType="end"/>
      </w:r>
    </w:p>
    <w:p w:rsidR="00B958B1" w:rsidRPr="004544B5" w:rsidRDefault="00B958B1" w:rsidP="009F3B54"/>
    <w:p w:rsidR="00B958B1" w:rsidRPr="005F71AF" w:rsidRDefault="00B958B1" w:rsidP="009F3B54">
      <w:pPr>
        <w:pStyle w:val="Heading4"/>
        <w:rPr>
          <w:lang w:eastAsia="en-AU"/>
        </w:rPr>
      </w:pPr>
      <w:r w:rsidRPr="005F71AF">
        <w:rPr>
          <w:lang w:eastAsia="en-AU"/>
        </w:rPr>
        <w:t xml:space="preserve">Court Services </w:t>
      </w:r>
    </w:p>
    <w:p w:rsidR="00B958B1" w:rsidRDefault="00B958B1" w:rsidP="009F3B54">
      <w:pPr>
        <w:pStyle w:val="Heading5"/>
      </w:pPr>
      <w:r>
        <w:t>Enhancing court IT and facilities</w:t>
      </w:r>
    </w:p>
    <w:p w:rsidR="00B958B1" w:rsidRDefault="00B958B1" w:rsidP="009F3B54">
      <w:r>
        <w:fldChar w:fldCharType="begin"/>
      </w:r>
      <w:r>
        <w:instrText xml:space="preserve"> XE "Courts:</w:instrText>
      </w:r>
      <w:r w:rsidRPr="001902E6">
        <w:instrText>Court Services</w:instrText>
      </w:r>
      <w:r>
        <w:instrText xml:space="preserve">" </w:instrText>
      </w:r>
      <w:r>
        <w:fldChar w:fldCharType="end"/>
      </w:r>
      <w:r>
        <w:t>Refer to the output initiative for a description of this initiative.</w:t>
      </w:r>
    </w:p>
    <w:p w:rsidR="00B958B1" w:rsidRPr="005F71AF" w:rsidRDefault="00B958B1" w:rsidP="009F3B54">
      <w:pPr>
        <w:pStyle w:val="Heading4"/>
        <w:rPr>
          <w:lang w:eastAsia="en-AU"/>
        </w:rPr>
      </w:pPr>
      <w:r w:rsidRPr="005F71AF">
        <w:rPr>
          <w:lang w:eastAsia="en-AU"/>
        </w:rPr>
        <w:t>Enforcing and Managing Correctional Orders</w:t>
      </w:r>
    </w:p>
    <w:p w:rsidR="00B958B1" w:rsidRDefault="00B958B1" w:rsidP="009F3B54">
      <w:pPr>
        <w:pStyle w:val="Heading5"/>
      </w:pPr>
      <w:r>
        <w:t>High security and management prisoners</w:t>
      </w:r>
    </w:p>
    <w:p w:rsidR="00B958B1" w:rsidRDefault="00B958B1" w:rsidP="009F3B54">
      <w:r>
        <w:t>Refer to the output initiative for a description of this initiative.</w:t>
      </w:r>
    </w:p>
    <w:p w:rsidR="00B958B1" w:rsidRDefault="00B958B1" w:rsidP="009F3B54">
      <w:pPr>
        <w:pStyle w:val="Heading5"/>
      </w:pPr>
      <w:r>
        <w:t>Increased prison capacity</w:t>
      </w:r>
    </w:p>
    <w:p w:rsidR="00B958B1" w:rsidRPr="00AB121E" w:rsidRDefault="00B958B1" w:rsidP="009F3B54">
      <w:r>
        <w:t>Refer to the output initiative for a description of this initiative.</w:t>
      </w:r>
    </w:p>
    <w:p w:rsidR="00B958B1" w:rsidRPr="005F71AF" w:rsidRDefault="00B958B1" w:rsidP="009F3B54">
      <w:pPr>
        <w:pStyle w:val="Heading4"/>
        <w:rPr>
          <w:lang w:eastAsia="en-AU"/>
        </w:rPr>
      </w:pPr>
      <w:r>
        <w:rPr>
          <w:lang w:eastAsia="en-AU"/>
        </w:rPr>
        <w:br w:type="page"/>
      </w:r>
      <w:r w:rsidRPr="005F71AF">
        <w:rPr>
          <w:lang w:eastAsia="en-AU"/>
        </w:rPr>
        <w:t>Infringements and Enhancing Community Safety</w:t>
      </w:r>
    </w:p>
    <w:p w:rsidR="00B958B1" w:rsidRDefault="00B958B1" w:rsidP="009F3B54">
      <w:pPr>
        <w:pStyle w:val="Heading5"/>
      </w:pPr>
      <w:r>
        <w:t>Mobile camera replacement program</w:t>
      </w:r>
    </w:p>
    <w:p w:rsidR="00B958B1" w:rsidRDefault="00B958B1" w:rsidP="009F3B54">
      <w:r>
        <w:t>Refer to the output initiative for a description of this initiative.</w:t>
      </w:r>
    </w:p>
    <w:p w:rsidR="00B958B1" w:rsidRDefault="00B958B1" w:rsidP="009F3B54">
      <w:pPr>
        <w:pStyle w:val="Heading5"/>
      </w:pPr>
      <w:r>
        <w:t>Reforming the collection and enforcement of legal debt in Victoria</w:t>
      </w:r>
    </w:p>
    <w:p w:rsidR="00B958B1" w:rsidRDefault="00B958B1" w:rsidP="009F3B54">
      <w:r>
        <w:t>Refer to the output initiative for a description of this initiative.</w:t>
      </w:r>
    </w:p>
    <w:p w:rsidR="00B958B1" w:rsidRDefault="00B958B1" w:rsidP="009F3B54">
      <w:pPr>
        <w:pStyle w:val="Heading4"/>
      </w:pPr>
      <w:r>
        <w:t>Policing</w:t>
      </w:r>
    </w:p>
    <w:p w:rsidR="00B958B1" w:rsidRDefault="00B958B1" w:rsidP="009F3B54">
      <w:pPr>
        <w:pStyle w:val="Heading5"/>
      </w:pPr>
      <w:r>
        <w:t>New and upgraded police stations</w:t>
      </w:r>
    </w:p>
    <w:p w:rsidR="00B958B1" w:rsidRDefault="00B958B1" w:rsidP="009F3B54">
      <w:r>
        <w:t xml:space="preserve">Refer to the output initiative for a description of this initiative. </w:t>
      </w:r>
    </w:p>
    <w:p w:rsidR="00B958B1" w:rsidRDefault="00B958B1" w:rsidP="009F3B54">
      <w:pPr>
        <w:pStyle w:val="Heading5"/>
      </w:pPr>
      <w:r>
        <w:t xml:space="preserve">Police Information Process and Practice reform program </w:t>
      </w:r>
    </w:p>
    <w:p w:rsidR="00B958B1" w:rsidRDefault="00B958B1" w:rsidP="009F3B54">
      <w:r>
        <w:fldChar w:fldCharType="begin"/>
      </w:r>
      <w:r>
        <w:instrText xml:space="preserve"> XE "</w:instrText>
      </w:r>
      <w:r w:rsidRPr="009E53A6">
        <w:instrText>Police</w:instrText>
      </w:r>
      <w:r>
        <w:instrText xml:space="preserve">" </w:instrText>
      </w:r>
      <w:r>
        <w:fldChar w:fldCharType="end"/>
      </w:r>
      <w:r>
        <w:t>Refer to the output initiative for a description of this initiative.</w:t>
      </w:r>
    </w:p>
    <w:p w:rsidR="00B958B1" w:rsidRDefault="00B958B1" w:rsidP="009F3B54">
      <w:pPr>
        <w:pStyle w:val="Heading4"/>
        <w:rPr>
          <w:lang w:eastAsia="en-AU"/>
        </w:rPr>
      </w:pPr>
      <w:r w:rsidRPr="005F71AF">
        <w:rPr>
          <w:lang w:eastAsia="en-AU"/>
        </w:rPr>
        <w:t>Supporting the State</w:t>
      </w:r>
      <w:r>
        <w:rPr>
          <w:lang w:eastAsia="en-AU"/>
        </w:rPr>
        <w:t>’</w:t>
      </w:r>
      <w:r w:rsidRPr="005F71AF">
        <w:rPr>
          <w:lang w:eastAsia="en-AU"/>
        </w:rPr>
        <w:t>s Fire and Emergency Services</w:t>
      </w:r>
    </w:p>
    <w:p w:rsidR="00B958B1" w:rsidRDefault="00B958B1" w:rsidP="009F3B54">
      <w:pPr>
        <w:pStyle w:val="Heading5"/>
      </w:pPr>
      <w:r>
        <w:t>Australian Communications and Media Authority compliance</w:t>
      </w:r>
    </w:p>
    <w:p w:rsidR="00B958B1" w:rsidRDefault="00B958B1" w:rsidP="009F3B54">
      <w:r>
        <w:t>Refer to the output initiative for a description of this initiative.</w:t>
      </w:r>
      <w:r>
        <w:fldChar w:fldCharType="begin"/>
      </w:r>
      <w:r>
        <w:instrText xml:space="preserve"> XE "</w:instrText>
      </w:r>
      <w:r w:rsidRPr="009E53A6">
        <w:instrText xml:space="preserve">Emergency </w:instrText>
      </w:r>
      <w:r>
        <w:instrText>S</w:instrText>
      </w:r>
      <w:r w:rsidRPr="009E53A6">
        <w:instrText>ervices</w:instrText>
      </w:r>
      <w:r>
        <w:instrText xml:space="preserve">" </w:instrText>
      </w:r>
      <w:r>
        <w:fldChar w:fldCharType="end"/>
      </w:r>
    </w:p>
    <w:p w:rsidR="00B958B1" w:rsidRDefault="00B958B1" w:rsidP="009F3B54">
      <w:pPr>
        <w:pStyle w:val="Heading5"/>
      </w:pPr>
      <w:r>
        <w:t>Bushfire response – emergency services</w:t>
      </w:r>
    </w:p>
    <w:p w:rsidR="00B958B1" w:rsidRDefault="00B958B1" w:rsidP="009F3B54">
      <w:r>
        <w:t>Refer to the output initiative for a description of this initiative.</w:t>
      </w:r>
    </w:p>
    <w:p w:rsidR="00B958B1" w:rsidRDefault="00B958B1" w:rsidP="009F3B54">
      <w:pPr>
        <w:pStyle w:val="Heading5"/>
      </w:pPr>
      <w:r>
        <w:t>Remediation of Fiskville and regional training colleges</w:t>
      </w:r>
    </w:p>
    <w:p w:rsidR="00B958B1" w:rsidRDefault="00B958B1" w:rsidP="009F3B54">
      <w:r>
        <w:fldChar w:fldCharType="begin"/>
      </w:r>
      <w:r>
        <w:instrText xml:space="preserve"> XE "</w:instrText>
      </w:r>
      <w:r w:rsidRPr="001902E6">
        <w:instrText>Training</w:instrText>
      </w:r>
      <w:r>
        <w:instrText xml:space="preserve">" </w:instrText>
      </w:r>
      <w:r>
        <w:fldChar w:fldCharType="end"/>
      </w:r>
      <w:r>
        <w:t xml:space="preserve">Refer to the output initiative for a description of this initiative. </w:t>
      </w:r>
      <w:r>
        <w:fldChar w:fldCharType="begin"/>
      </w:r>
      <w:r>
        <w:instrText xml:space="preserve"> XE "</w:instrText>
      </w:r>
      <w:r w:rsidRPr="00EB57F2">
        <w:instrText>Department of Justice:Asset initiatives</w:instrText>
      </w:r>
      <w:r>
        <w:instrText xml:space="preserve">" \r "BP3Ch1DOJAssetInitves" </w:instrText>
      </w:r>
      <w:r>
        <w:fldChar w:fldCharType="end"/>
      </w:r>
    </w:p>
    <w:bookmarkEnd w:id="50"/>
    <w:p w:rsidR="00B958B1" w:rsidRDefault="00B958B1" w:rsidP="009F3B54">
      <w:pPr>
        <w:pStyle w:val="Heading1"/>
      </w:pPr>
      <w:r>
        <w:br w:type="page"/>
      </w:r>
      <w:bookmarkStart w:id="51" w:name="_Toc355248219"/>
      <w:bookmarkStart w:id="52" w:name="_Toc355362271"/>
      <w:r>
        <w:t>Department of Premier and Cabinet</w:t>
      </w:r>
      <w:bookmarkEnd w:id="51"/>
      <w:bookmarkEnd w:id="52"/>
    </w:p>
    <w:p w:rsidR="00B958B1" w:rsidRDefault="00B958B1" w:rsidP="009F3B54">
      <w:pPr>
        <w:pStyle w:val="Heading3"/>
      </w:pPr>
      <w:bookmarkStart w:id="53" w:name="BP3Ch1DPCOutputInitves"/>
      <w:r>
        <w:t>Output initiatives</w:t>
      </w:r>
    </w:p>
    <w:p w:rsidR="00B958B1" w:rsidRDefault="00B958B1" w:rsidP="009F3B54">
      <w:pPr>
        <w:pStyle w:val="Tableheading"/>
      </w:pPr>
      <w:r w:rsidRPr="006C13A1">
        <w:t>Table 1.</w:t>
      </w:r>
      <w:r>
        <w:t>11</w:t>
      </w:r>
      <w:r w:rsidRPr="006C13A1">
        <w:t>:</w:t>
      </w:r>
      <w:r w:rsidRPr="006C13A1">
        <w:tab/>
        <w:t>Output initiatives – Premier and Cabinet</w:t>
      </w:r>
    </w:p>
    <w:p w:rsidR="00B958B1" w:rsidRPr="0062781D" w:rsidRDefault="00B958B1" w:rsidP="009F3B5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614"/>
        <w:gridCol w:w="198"/>
        <w:gridCol w:w="45"/>
        <w:gridCol w:w="162"/>
        <w:gridCol w:w="198"/>
        <w:gridCol w:w="229"/>
        <w:gridCol w:w="832"/>
        <w:gridCol w:w="833"/>
        <w:gridCol w:w="832"/>
        <w:gridCol w:w="833"/>
      </w:tblGrid>
      <w:tr w:rsidR="00B958B1" w:rsidRPr="0062781D" w:rsidTr="009F3B54">
        <w:tc>
          <w:tcPr>
            <w:tcW w:w="3614" w:type="dxa"/>
            <w:tcBorders>
              <w:top w:val="single" w:sz="6" w:space="0" w:color="auto"/>
              <w:left w:val="single" w:sz="4" w:space="0" w:color="auto"/>
              <w:bottom w:val="single" w:sz="4" w:space="0" w:color="auto"/>
              <w:right w:val="nil"/>
            </w:tcBorders>
            <w:shd w:val="clear" w:color="auto" w:fill="000000"/>
          </w:tcPr>
          <w:p w:rsidR="00B958B1" w:rsidRPr="0062781D" w:rsidRDefault="00B958B1" w:rsidP="009F3B54">
            <w:pPr>
              <w:pStyle w:val="Tabletext"/>
              <w:rPr>
                <w:lang w:eastAsia="en-AU"/>
              </w:rPr>
            </w:pPr>
          </w:p>
        </w:tc>
        <w:tc>
          <w:tcPr>
            <w:tcW w:w="832" w:type="dxa"/>
            <w:gridSpan w:val="5"/>
            <w:tcBorders>
              <w:top w:val="single" w:sz="6" w:space="0" w:color="auto"/>
              <w:left w:val="nil"/>
              <w:bottom w:val="single" w:sz="4" w:space="0" w:color="auto"/>
              <w:right w:val="nil"/>
            </w:tcBorders>
            <w:shd w:val="clear" w:color="auto" w:fill="000000"/>
          </w:tcPr>
          <w:p w:rsidR="00B958B1" w:rsidRPr="0062781D" w:rsidRDefault="00B958B1" w:rsidP="009F3B54">
            <w:pPr>
              <w:pStyle w:val="Tabletextheading"/>
              <w:rPr>
                <w:lang w:eastAsia="en-AU"/>
              </w:rPr>
            </w:pPr>
            <w:r w:rsidRPr="0062781D">
              <w:rPr>
                <w:lang w:eastAsia="en-AU"/>
              </w:rPr>
              <w:t>2012</w:t>
            </w:r>
            <w:r w:rsidR="009F0F49">
              <w:rPr>
                <w:lang w:eastAsia="en-AU"/>
              </w:rPr>
              <w:noBreakHyphen/>
            </w:r>
            <w:r w:rsidRPr="0062781D">
              <w:rPr>
                <w:lang w:eastAsia="en-AU"/>
              </w:rPr>
              <w:t>13</w:t>
            </w:r>
          </w:p>
        </w:tc>
        <w:tc>
          <w:tcPr>
            <w:tcW w:w="832" w:type="dxa"/>
            <w:tcBorders>
              <w:top w:val="single" w:sz="6" w:space="0" w:color="auto"/>
              <w:left w:val="nil"/>
              <w:bottom w:val="single" w:sz="4" w:space="0" w:color="auto"/>
              <w:right w:val="nil"/>
            </w:tcBorders>
            <w:shd w:val="clear" w:color="auto" w:fill="000000"/>
          </w:tcPr>
          <w:p w:rsidR="00B958B1" w:rsidRPr="0062781D" w:rsidRDefault="00B958B1" w:rsidP="009F3B54">
            <w:pPr>
              <w:pStyle w:val="Tabletextheading"/>
              <w:rPr>
                <w:lang w:eastAsia="en-AU"/>
              </w:rPr>
            </w:pPr>
            <w:r w:rsidRPr="0062781D">
              <w:rPr>
                <w:lang w:eastAsia="en-AU"/>
              </w:rPr>
              <w:t>2013</w:t>
            </w:r>
            <w:r w:rsidR="009F0F49">
              <w:rPr>
                <w:lang w:eastAsia="en-AU"/>
              </w:rPr>
              <w:noBreakHyphen/>
            </w:r>
            <w:r w:rsidRPr="0062781D">
              <w:rPr>
                <w:lang w:eastAsia="en-AU"/>
              </w:rPr>
              <w:t>14</w:t>
            </w:r>
          </w:p>
        </w:tc>
        <w:tc>
          <w:tcPr>
            <w:tcW w:w="833" w:type="dxa"/>
            <w:tcBorders>
              <w:top w:val="single" w:sz="6" w:space="0" w:color="auto"/>
              <w:left w:val="nil"/>
              <w:bottom w:val="single" w:sz="4" w:space="0" w:color="auto"/>
              <w:right w:val="nil"/>
            </w:tcBorders>
            <w:shd w:val="clear" w:color="auto" w:fill="000000"/>
          </w:tcPr>
          <w:p w:rsidR="00B958B1" w:rsidRPr="0062781D" w:rsidRDefault="00B958B1" w:rsidP="009F3B54">
            <w:pPr>
              <w:pStyle w:val="Tabletextheading"/>
              <w:rPr>
                <w:lang w:eastAsia="en-AU"/>
              </w:rPr>
            </w:pPr>
            <w:r w:rsidRPr="0062781D">
              <w:rPr>
                <w:lang w:eastAsia="en-AU"/>
              </w:rPr>
              <w:t>2014</w:t>
            </w:r>
            <w:r w:rsidR="009F0F49">
              <w:rPr>
                <w:lang w:eastAsia="en-AU"/>
              </w:rPr>
              <w:noBreakHyphen/>
            </w:r>
            <w:r w:rsidRPr="0062781D">
              <w:rPr>
                <w:lang w:eastAsia="en-AU"/>
              </w:rPr>
              <w:t>15</w:t>
            </w:r>
          </w:p>
        </w:tc>
        <w:tc>
          <w:tcPr>
            <w:tcW w:w="832" w:type="dxa"/>
            <w:tcBorders>
              <w:top w:val="single" w:sz="6" w:space="0" w:color="auto"/>
              <w:left w:val="nil"/>
              <w:bottom w:val="single" w:sz="4" w:space="0" w:color="auto"/>
              <w:right w:val="nil"/>
            </w:tcBorders>
            <w:shd w:val="clear" w:color="auto" w:fill="000000"/>
          </w:tcPr>
          <w:p w:rsidR="00B958B1" w:rsidRPr="0062781D" w:rsidRDefault="00B958B1" w:rsidP="009F3B54">
            <w:pPr>
              <w:pStyle w:val="Tabletextheading"/>
              <w:rPr>
                <w:lang w:eastAsia="en-AU"/>
              </w:rPr>
            </w:pPr>
            <w:r w:rsidRPr="0062781D">
              <w:rPr>
                <w:lang w:eastAsia="en-AU"/>
              </w:rPr>
              <w:t>2015</w:t>
            </w:r>
            <w:r w:rsidR="009F0F49">
              <w:rPr>
                <w:lang w:eastAsia="en-AU"/>
              </w:rPr>
              <w:noBreakHyphen/>
            </w:r>
            <w:r w:rsidRPr="0062781D">
              <w:rPr>
                <w:lang w:eastAsia="en-AU"/>
              </w:rPr>
              <w:t>16</w:t>
            </w:r>
          </w:p>
        </w:tc>
        <w:tc>
          <w:tcPr>
            <w:tcW w:w="833" w:type="dxa"/>
            <w:tcBorders>
              <w:top w:val="single" w:sz="6" w:space="0" w:color="auto"/>
              <w:left w:val="nil"/>
              <w:bottom w:val="single" w:sz="4" w:space="0" w:color="auto"/>
              <w:right w:val="single" w:sz="4" w:space="0" w:color="auto"/>
            </w:tcBorders>
            <w:shd w:val="clear" w:color="auto" w:fill="000000"/>
          </w:tcPr>
          <w:p w:rsidR="00B958B1" w:rsidRPr="0062781D" w:rsidRDefault="00B958B1" w:rsidP="009F3B54">
            <w:pPr>
              <w:pStyle w:val="Tabletextheading"/>
              <w:rPr>
                <w:lang w:eastAsia="en-AU"/>
              </w:rPr>
            </w:pPr>
            <w:r w:rsidRPr="0062781D">
              <w:rPr>
                <w:lang w:eastAsia="en-AU"/>
              </w:rPr>
              <w:t>2016</w:t>
            </w:r>
            <w:r w:rsidR="009F0F49">
              <w:rPr>
                <w:lang w:eastAsia="en-AU"/>
              </w:rPr>
              <w:noBreakHyphen/>
            </w:r>
            <w:r w:rsidRPr="0062781D">
              <w:rPr>
                <w:lang w:eastAsia="en-AU"/>
              </w:rPr>
              <w:t>17</w:t>
            </w:r>
          </w:p>
        </w:tc>
      </w:tr>
      <w:tr w:rsidR="00B958B1" w:rsidRPr="0062781D" w:rsidTr="009F3B54">
        <w:tc>
          <w:tcPr>
            <w:tcW w:w="3614" w:type="dxa"/>
            <w:tcBorders>
              <w:top w:val="single" w:sz="4" w:space="0" w:color="auto"/>
              <w:left w:val="nil"/>
              <w:bottom w:val="nil"/>
              <w:right w:val="nil"/>
            </w:tcBorders>
          </w:tcPr>
          <w:p w:rsidR="00B958B1" w:rsidRPr="0062781D" w:rsidRDefault="00B958B1" w:rsidP="009F3B54">
            <w:pPr>
              <w:pStyle w:val="Tabletext"/>
              <w:rPr>
                <w:b/>
                <w:bCs/>
                <w:lang w:eastAsia="en-AU"/>
              </w:rPr>
            </w:pPr>
            <w:r w:rsidRPr="0062781D">
              <w:rPr>
                <w:b/>
                <w:bCs/>
                <w:lang w:eastAsia="en-AU"/>
              </w:rPr>
              <w:t>Arts and Cultural Development</w:t>
            </w:r>
          </w:p>
        </w:tc>
        <w:tc>
          <w:tcPr>
            <w:tcW w:w="832" w:type="dxa"/>
            <w:gridSpan w:val="5"/>
            <w:tcBorders>
              <w:top w:val="single" w:sz="4" w:space="0" w:color="auto"/>
              <w:left w:val="nil"/>
              <w:bottom w:val="nil"/>
              <w:right w:val="nil"/>
            </w:tcBorders>
            <w:shd w:val="solid" w:color="FFFFFF" w:fill="auto"/>
          </w:tcPr>
          <w:p w:rsidR="00B958B1" w:rsidRPr="0062781D" w:rsidRDefault="00B958B1" w:rsidP="009F3B54">
            <w:pPr>
              <w:pStyle w:val="TableofFigures"/>
              <w:rPr>
                <w:lang w:eastAsia="en-AU"/>
              </w:rPr>
            </w:pPr>
          </w:p>
        </w:tc>
        <w:tc>
          <w:tcPr>
            <w:tcW w:w="832" w:type="dxa"/>
            <w:tcBorders>
              <w:top w:val="single" w:sz="4" w:space="0" w:color="auto"/>
              <w:left w:val="nil"/>
              <w:bottom w:val="nil"/>
              <w:right w:val="nil"/>
            </w:tcBorders>
          </w:tcPr>
          <w:p w:rsidR="00B958B1" w:rsidRPr="0062781D" w:rsidRDefault="00B958B1" w:rsidP="009F3B54">
            <w:pPr>
              <w:pStyle w:val="TableofFigures"/>
              <w:rPr>
                <w:lang w:eastAsia="en-AU"/>
              </w:rPr>
            </w:pPr>
          </w:p>
        </w:tc>
        <w:tc>
          <w:tcPr>
            <w:tcW w:w="833" w:type="dxa"/>
            <w:tcBorders>
              <w:top w:val="single" w:sz="4" w:space="0" w:color="auto"/>
              <w:left w:val="nil"/>
              <w:bottom w:val="nil"/>
              <w:right w:val="nil"/>
            </w:tcBorders>
          </w:tcPr>
          <w:p w:rsidR="00B958B1" w:rsidRPr="0062781D" w:rsidRDefault="00B958B1" w:rsidP="009F3B54">
            <w:pPr>
              <w:pStyle w:val="TableofFigures"/>
              <w:rPr>
                <w:lang w:eastAsia="en-AU"/>
              </w:rPr>
            </w:pPr>
          </w:p>
        </w:tc>
        <w:tc>
          <w:tcPr>
            <w:tcW w:w="832" w:type="dxa"/>
            <w:tcBorders>
              <w:top w:val="single" w:sz="4" w:space="0" w:color="auto"/>
              <w:left w:val="nil"/>
              <w:bottom w:val="nil"/>
              <w:right w:val="nil"/>
            </w:tcBorders>
            <w:shd w:val="solid" w:color="FFFFFF" w:fill="auto"/>
          </w:tcPr>
          <w:p w:rsidR="00B958B1" w:rsidRPr="0062781D" w:rsidRDefault="00B958B1" w:rsidP="009F3B54">
            <w:pPr>
              <w:pStyle w:val="TableofFigures"/>
              <w:rPr>
                <w:lang w:eastAsia="en-AU"/>
              </w:rPr>
            </w:pPr>
          </w:p>
        </w:tc>
        <w:tc>
          <w:tcPr>
            <w:tcW w:w="833" w:type="dxa"/>
            <w:tcBorders>
              <w:top w:val="single" w:sz="4" w:space="0" w:color="auto"/>
              <w:left w:val="nil"/>
              <w:bottom w:val="nil"/>
              <w:right w:val="nil"/>
            </w:tcBorders>
            <w:shd w:val="solid" w:color="FFFFFF" w:fill="auto"/>
          </w:tcPr>
          <w:p w:rsidR="00B958B1" w:rsidRPr="0062781D" w:rsidRDefault="00B958B1" w:rsidP="009F3B54">
            <w:pPr>
              <w:pStyle w:val="TableofFigures"/>
              <w:rPr>
                <w:lang w:eastAsia="en-AU"/>
              </w:rPr>
            </w:pPr>
          </w:p>
        </w:tc>
      </w:tr>
      <w:tr w:rsidR="00B958B1" w:rsidRPr="0062781D" w:rsidTr="009F3B54">
        <w:tc>
          <w:tcPr>
            <w:tcW w:w="3614" w:type="dxa"/>
            <w:tcBorders>
              <w:top w:val="nil"/>
              <w:left w:val="nil"/>
              <w:bottom w:val="nil"/>
              <w:right w:val="nil"/>
            </w:tcBorders>
          </w:tcPr>
          <w:p w:rsidR="00B958B1" w:rsidRPr="0062781D" w:rsidRDefault="00B958B1" w:rsidP="009F3B54">
            <w:pPr>
              <w:pStyle w:val="Tabletext"/>
              <w:rPr>
                <w:lang w:eastAsia="en-AU"/>
              </w:rPr>
            </w:pPr>
            <w:r w:rsidRPr="0062781D">
              <w:rPr>
                <w:lang w:eastAsia="en-AU"/>
              </w:rPr>
              <w:t>Arts Centre Melbourne programming</w:t>
            </w:r>
          </w:p>
        </w:tc>
        <w:tc>
          <w:tcPr>
            <w:tcW w:w="832" w:type="dxa"/>
            <w:gridSpan w:val="5"/>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c>
          <w:tcPr>
            <w:tcW w:w="832" w:type="dxa"/>
            <w:tcBorders>
              <w:top w:val="nil"/>
              <w:left w:val="nil"/>
              <w:bottom w:val="nil"/>
              <w:right w:val="nil"/>
            </w:tcBorders>
          </w:tcPr>
          <w:p w:rsidR="00B958B1" w:rsidRPr="0062781D" w:rsidRDefault="00B958B1" w:rsidP="009F3B54">
            <w:pPr>
              <w:pStyle w:val="TableofFigures"/>
              <w:rPr>
                <w:lang w:eastAsia="en-AU"/>
              </w:rPr>
            </w:pPr>
            <w:r w:rsidRPr="0062781D">
              <w:rPr>
                <w:lang w:eastAsia="en-AU"/>
              </w:rPr>
              <w:t>2.0</w:t>
            </w:r>
          </w:p>
        </w:tc>
        <w:tc>
          <w:tcPr>
            <w:tcW w:w="833" w:type="dxa"/>
            <w:tcBorders>
              <w:top w:val="nil"/>
              <w:left w:val="nil"/>
              <w:bottom w:val="nil"/>
              <w:right w:val="nil"/>
            </w:tcBorders>
          </w:tcPr>
          <w:p w:rsidR="00B958B1" w:rsidRPr="0062781D" w:rsidRDefault="00B958B1" w:rsidP="009F3B54">
            <w:pPr>
              <w:pStyle w:val="TableofFigures"/>
              <w:rPr>
                <w:lang w:eastAsia="en-AU"/>
              </w:rPr>
            </w:pPr>
            <w:r w:rsidRPr="0062781D">
              <w:rPr>
                <w:lang w:eastAsia="en-AU"/>
              </w:rPr>
              <w:t>2.0</w:t>
            </w:r>
          </w:p>
        </w:tc>
        <w:tc>
          <w:tcPr>
            <w:tcW w:w="832"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c>
          <w:tcPr>
            <w:tcW w:w="833"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r>
      <w:tr w:rsidR="00B958B1" w:rsidRPr="0062781D" w:rsidTr="009F3B54">
        <w:tc>
          <w:tcPr>
            <w:tcW w:w="3614" w:type="dxa"/>
            <w:tcBorders>
              <w:top w:val="nil"/>
              <w:left w:val="nil"/>
              <w:bottom w:val="nil"/>
              <w:right w:val="nil"/>
            </w:tcBorders>
          </w:tcPr>
          <w:p w:rsidR="00B958B1" w:rsidRPr="0062781D" w:rsidRDefault="00B958B1" w:rsidP="009F3B54">
            <w:pPr>
              <w:pStyle w:val="Tabletext"/>
              <w:rPr>
                <w:lang w:eastAsia="en-AU"/>
              </w:rPr>
            </w:pPr>
            <w:r w:rsidRPr="0062781D">
              <w:rPr>
                <w:lang w:eastAsia="en-AU"/>
              </w:rPr>
              <w:t>Enhancing capacity of the State Library of Victoria</w:t>
            </w:r>
          </w:p>
        </w:tc>
        <w:tc>
          <w:tcPr>
            <w:tcW w:w="832" w:type="dxa"/>
            <w:gridSpan w:val="5"/>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c>
          <w:tcPr>
            <w:tcW w:w="832" w:type="dxa"/>
            <w:tcBorders>
              <w:top w:val="nil"/>
              <w:left w:val="nil"/>
              <w:bottom w:val="nil"/>
              <w:right w:val="nil"/>
            </w:tcBorders>
          </w:tcPr>
          <w:p w:rsidR="00B958B1" w:rsidRPr="0062781D" w:rsidRDefault="00B958B1" w:rsidP="009F3B54">
            <w:pPr>
              <w:pStyle w:val="TableofFigures"/>
              <w:rPr>
                <w:lang w:eastAsia="en-AU"/>
              </w:rPr>
            </w:pPr>
            <w:r w:rsidRPr="0062781D">
              <w:rPr>
                <w:lang w:eastAsia="en-AU"/>
              </w:rPr>
              <w:t>1.5</w:t>
            </w:r>
          </w:p>
        </w:tc>
        <w:tc>
          <w:tcPr>
            <w:tcW w:w="833" w:type="dxa"/>
            <w:tcBorders>
              <w:top w:val="nil"/>
              <w:left w:val="nil"/>
              <w:bottom w:val="nil"/>
              <w:right w:val="nil"/>
            </w:tcBorders>
          </w:tcPr>
          <w:p w:rsidR="00B958B1" w:rsidRPr="0062781D" w:rsidRDefault="00B958B1" w:rsidP="009F3B54">
            <w:pPr>
              <w:pStyle w:val="TableofFigures"/>
              <w:rPr>
                <w:lang w:eastAsia="en-AU"/>
              </w:rPr>
            </w:pPr>
            <w:r w:rsidRPr="0062781D">
              <w:rPr>
                <w:lang w:eastAsia="en-AU"/>
              </w:rPr>
              <w:t>1.5</w:t>
            </w:r>
          </w:p>
        </w:tc>
        <w:tc>
          <w:tcPr>
            <w:tcW w:w="832"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c>
          <w:tcPr>
            <w:tcW w:w="833"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r>
      <w:tr w:rsidR="00B958B1" w:rsidRPr="0062781D" w:rsidTr="009F3B54">
        <w:tc>
          <w:tcPr>
            <w:tcW w:w="3614" w:type="dxa"/>
            <w:tcBorders>
              <w:top w:val="nil"/>
              <w:left w:val="nil"/>
              <w:bottom w:val="nil"/>
              <w:right w:val="nil"/>
            </w:tcBorders>
          </w:tcPr>
          <w:p w:rsidR="00B958B1" w:rsidRPr="0062781D" w:rsidRDefault="00B958B1" w:rsidP="009F3B54">
            <w:pPr>
              <w:pStyle w:val="Tabletext"/>
              <w:rPr>
                <w:lang w:eastAsia="en-AU"/>
              </w:rPr>
            </w:pPr>
            <w:r w:rsidRPr="0062781D">
              <w:rPr>
                <w:lang w:eastAsia="en-AU"/>
              </w:rPr>
              <w:t>Melbourne Symphony Orchestra</w:t>
            </w:r>
          </w:p>
        </w:tc>
        <w:tc>
          <w:tcPr>
            <w:tcW w:w="832" w:type="dxa"/>
            <w:gridSpan w:val="5"/>
            <w:tcBorders>
              <w:top w:val="nil"/>
              <w:left w:val="nil"/>
              <w:bottom w:val="nil"/>
              <w:right w:val="nil"/>
            </w:tcBorders>
          </w:tcPr>
          <w:p w:rsidR="00B958B1" w:rsidRPr="0062781D" w:rsidRDefault="00B958B1" w:rsidP="009F3B54">
            <w:pPr>
              <w:pStyle w:val="TableofFigures"/>
              <w:rPr>
                <w:lang w:eastAsia="en-AU"/>
              </w:rPr>
            </w:pPr>
            <w:r w:rsidRPr="0062781D">
              <w:rPr>
                <w:lang w:eastAsia="en-AU"/>
              </w:rPr>
              <w:t>1.6</w:t>
            </w:r>
          </w:p>
        </w:tc>
        <w:tc>
          <w:tcPr>
            <w:tcW w:w="832" w:type="dxa"/>
            <w:tcBorders>
              <w:top w:val="nil"/>
              <w:left w:val="nil"/>
              <w:bottom w:val="nil"/>
              <w:right w:val="nil"/>
            </w:tcBorders>
          </w:tcPr>
          <w:p w:rsidR="00B958B1" w:rsidRPr="0062781D" w:rsidRDefault="00B958B1" w:rsidP="009F3B54">
            <w:pPr>
              <w:pStyle w:val="TableofFigures"/>
              <w:rPr>
                <w:lang w:eastAsia="en-AU"/>
              </w:rPr>
            </w:pPr>
            <w:r w:rsidRPr="0062781D">
              <w:rPr>
                <w:lang w:eastAsia="en-AU"/>
              </w:rPr>
              <w:t>..</w:t>
            </w:r>
          </w:p>
        </w:tc>
        <w:tc>
          <w:tcPr>
            <w:tcW w:w="833" w:type="dxa"/>
            <w:tcBorders>
              <w:top w:val="nil"/>
              <w:left w:val="nil"/>
              <w:bottom w:val="nil"/>
              <w:right w:val="nil"/>
            </w:tcBorders>
          </w:tcPr>
          <w:p w:rsidR="00B958B1" w:rsidRPr="0062781D" w:rsidRDefault="00B958B1" w:rsidP="009F3B54">
            <w:pPr>
              <w:pStyle w:val="TableofFigures"/>
              <w:rPr>
                <w:lang w:eastAsia="en-AU"/>
              </w:rPr>
            </w:pPr>
            <w:r w:rsidRPr="0062781D">
              <w:rPr>
                <w:lang w:eastAsia="en-AU"/>
              </w:rPr>
              <w:t>..</w:t>
            </w:r>
          </w:p>
        </w:tc>
        <w:tc>
          <w:tcPr>
            <w:tcW w:w="832" w:type="dxa"/>
            <w:tcBorders>
              <w:top w:val="nil"/>
              <w:left w:val="nil"/>
              <w:bottom w:val="nil"/>
              <w:right w:val="nil"/>
            </w:tcBorders>
          </w:tcPr>
          <w:p w:rsidR="00B958B1" w:rsidRPr="0062781D" w:rsidRDefault="00B958B1" w:rsidP="009F3B54">
            <w:pPr>
              <w:pStyle w:val="TableofFigures"/>
              <w:rPr>
                <w:lang w:eastAsia="en-AU"/>
              </w:rPr>
            </w:pPr>
            <w:r w:rsidRPr="0062781D">
              <w:rPr>
                <w:lang w:eastAsia="en-AU"/>
              </w:rPr>
              <w:t>..</w:t>
            </w:r>
          </w:p>
        </w:tc>
        <w:tc>
          <w:tcPr>
            <w:tcW w:w="833" w:type="dxa"/>
            <w:tcBorders>
              <w:top w:val="nil"/>
              <w:left w:val="nil"/>
              <w:bottom w:val="nil"/>
              <w:right w:val="nil"/>
            </w:tcBorders>
          </w:tcPr>
          <w:p w:rsidR="00B958B1" w:rsidRPr="0062781D" w:rsidRDefault="00B958B1" w:rsidP="009F3B54">
            <w:pPr>
              <w:pStyle w:val="TableofFigures"/>
              <w:rPr>
                <w:lang w:eastAsia="en-AU"/>
              </w:rPr>
            </w:pPr>
            <w:r w:rsidRPr="0062781D">
              <w:rPr>
                <w:lang w:eastAsia="en-AU"/>
              </w:rPr>
              <w:t>..</w:t>
            </w:r>
          </w:p>
        </w:tc>
      </w:tr>
      <w:tr w:rsidR="00B958B1" w:rsidRPr="0062781D" w:rsidTr="009F3B54">
        <w:tc>
          <w:tcPr>
            <w:tcW w:w="3614" w:type="dxa"/>
            <w:tcBorders>
              <w:top w:val="nil"/>
              <w:left w:val="nil"/>
              <w:bottom w:val="nil"/>
              <w:right w:val="nil"/>
            </w:tcBorders>
          </w:tcPr>
          <w:p w:rsidR="00B958B1" w:rsidRPr="0062781D" w:rsidRDefault="00B958B1" w:rsidP="009F3B54">
            <w:pPr>
              <w:pStyle w:val="Tabletext"/>
              <w:rPr>
                <w:lang w:eastAsia="en-AU"/>
              </w:rPr>
            </w:pPr>
            <w:r w:rsidRPr="0062781D">
              <w:rPr>
                <w:lang w:eastAsia="en-AU"/>
              </w:rPr>
              <w:t xml:space="preserve">Music Victoria </w:t>
            </w:r>
          </w:p>
        </w:tc>
        <w:tc>
          <w:tcPr>
            <w:tcW w:w="832" w:type="dxa"/>
            <w:gridSpan w:val="5"/>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c>
          <w:tcPr>
            <w:tcW w:w="832" w:type="dxa"/>
            <w:tcBorders>
              <w:top w:val="nil"/>
              <w:left w:val="nil"/>
              <w:bottom w:val="nil"/>
              <w:right w:val="nil"/>
            </w:tcBorders>
          </w:tcPr>
          <w:p w:rsidR="00B958B1" w:rsidRPr="0062781D" w:rsidRDefault="00B958B1" w:rsidP="009F3B54">
            <w:pPr>
              <w:pStyle w:val="TableofFigures"/>
              <w:rPr>
                <w:lang w:eastAsia="en-AU"/>
              </w:rPr>
            </w:pPr>
            <w:r w:rsidRPr="0062781D">
              <w:rPr>
                <w:lang w:eastAsia="en-AU"/>
              </w:rPr>
              <w:t>0.2</w:t>
            </w:r>
          </w:p>
        </w:tc>
        <w:tc>
          <w:tcPr>
            <w:tcW w:w="833"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 xml:space="preserve"> 0.1</w:t>
            </w:r>
          </w:p>
        </w:tc>
        <w:tc>
          <w:tcPr>
            <w:tcW w:w="832"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c>
          <w:tcPr>
            <w:tcW w:w="833"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r>
      <w:tr w:rsidR="00B958B1" w:rsidRPr="0062781D" w:rsidTr="009F3B54">
        <w:tc>
          <w:tcPr>
            <w:tcW w:w="3857" w:type="dxa"/>
            <w:gridSpan w:val="3"/>
            <w:tcBorders>
              <w:top w:val="nil"/>
              <w:left w:val="nil"/>
              <w:bottom w:val="nil"/>
              <w:right w:val="nil"/>
            </w:tcBorders>
          </w:tcPr>
          <w:p w:rsidR="00B958B1" w:rsidRPr="0062781D" w:rsidRDefault="00B958B1" w:rsidP="009F3B54">
            <w:pPr>
              <w:pStyle w:val="Tabletext"/>
              <w:rPr>
                <w:lang w:eastAsia="en-AU"/>
              </w:rPr>
            </w:pPr>
            <w:r w:rsidRPr="0062781D">
              <w:rPr>
                <w:lang w:eastAsia="en-AU"/>
              </w:rPr>
              <w:t>National Gallery of Victoria Summer program</w:t>
            </w:r>
          </w:p>
        </w:tc>
        <w:tc>
          <w:tcPr>
            <w:tcW w:w="589" w:type="dxa"/>
            <w:gridSpan w:val="3"/>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c>
          <w:tcPr>
            <w:tcW w:w="832" w:type="dxa"/>
            <w:tcBorders>
              <w:top w:val="nil"/>
              <w:left w:val="nil"/>
              <w:bottom w:val="nil"/>
              <w:right w:val="nil"/>
            </w:tcBorders>
          </w:tcPr>
          <w:p w:rsidR="00B958B1" w:rsidRPr="0062781D" w:rsidRDefault="00B958B1" w:rsidP="009F3B54">
            <w:pPr>
              <w:pStyle w:val="TableofFigures"/>
              <w:rPr>
                <w:lang w:eastAsia="en-AU"/>
              </w:rPr>
            </w:pPr>
            <w:r w:rsidRPr="0062781D">
              <w:rPr>
                <w:lang w:eastAsia="en-AU"/>
              </w:rPr>
              <w:t>2.5</w:t>
            </w:r>
          </w:p>
        </w:tc>
        <w:tc>
          <w:tcPr>
            <w:tcW w:w="833"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 xml:space="preserve"> 2.0</w:t>
            </w:r>
          </w:p>
        </w:tc>
        <w:tc>
          <w:tcPr>
            <w:tcW w:w="832"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c>
          <w:tcPr>
            <w:tcW w:w="833"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r>
      <w:tr w:rsidR="00B958B1" w:rsidRPr="0062781D" w:rsidTr="009F3B54">
        <w:tc>
          <w:tcPr>
            <w:tcW w:w="3614" w:type="dxa"/>
            <w:tcBorders>
              <w:top w:val="nil"/>
              <w:left w:val="nil"/>
              <w:bottom w:val="nil"/>
              <w:right w:val="nil"/>
            </w:tcBorders>
          </w:tcPr>
          <w:p w:rsidR="00B958B1" w:rsidRPr="0062781D" w:rsidRDefault="00B958B1" w:rsidP="009F3B54">
            <w:pPr>
              <w:pStyle w:val="Tabletext"/>
              <w:rPr>
                <w:lang w:eastAsia="en-AU"/>
              </w:rPr>
            </w:pPr>
            <w:r w:rsidRPr="0062781D">
              <w:rPr>
                <w:lang w:eastAsia="en-AU"/>
              </w:rPr>
              <w:t>Public Record Office Victoria asset plan renewal</w:t>
            </w:r>
          </w:p>
        </w:tc>
        <w:tc>
          <w:tcPr>
            <w:tcW w:w="832" w:type="dxa"/>
            <w:gridSpan w:val="5"/>
            <w:tcBorders>
              <w:top w:val="nil"/>
              <w:left w:val="nil"/>
              <w:bottom w:val="nil"/>
              <w:right w:val="nil"/>
            </w:tcBorders>
          </w:tcPr>
          <w:p w:rsidR="00B958B1" w:rsidRPr="0062781D" w:rsidRDefault="00B958B1" w:rsidP="009F3B54">
            <w:pPr>
              <w:pStyle w:val="TableofFigures"/>
              <w:rPr>
                <w:lang w:eastAsia="en-AU"/>
              </w:rPr>
            </w:pPr>
            <w:r w:rsidRPr="0062781D">
              <w:rPr>
                <w:lang w:eastAsia="en-AU"/>
              </w:rPr>
              <w:t>..</w:t>
            </w:r>
          </w:p>
        </w:tc>
        <w:tc>
          <w:tcPr>
            <w:tcW w:w="832" w:type="dxa"/>
            <w:tcBorders>
              <w:top w:val="nil"/>
              <w:left w:val="nil"/>
              <w:bottom w:val="nil"/>
              <w:right w:val="nil"/>
            </w:tcBorders>
          </w:tcPr>
          <w:p w:rsidR="00B958B1" w:rsidRPr="0062781D" w:rsidRDefault="00B958B1" w:rsidP="009F3B54">
            <w:pPr>
              <w:pStyle w:val="TableofFigures"/>
              <w:rPr>
                <w:lang w:eastAsia="en-AU"/>
              </w:rPr>
            </w:pPr>
            <w:r w:rsidRPr="0062781D">
              <w:rPr>
                <w:lang w:eastAsia="en-AU"/>
              </w:rPr>
              <w:t>1.2</w:t>
            </w:r>
          </w:p>
        </w:tc>
        <w:tc>
          <w:tcPr>
            <w:tcW w:w="833" w:type="dxa"/>
            <w:tcBorders>
              <w:top w:val="nil"/>
              <w:left w:val="nil"/>
              <w:bottom w:val="nil"/>
              <w:right w:val="nil"/>
            </w:tcBorders>
          </w:tcPr>
          <w:p w:rsidR="00B958B1" w:rsidRPr="0062781D" w:rsidRDefault="00B958B1" w:rsidP="009F3B54">
            <w:pPr>
              <w:pStyle w:val="TableofFigures"/>
              <w:rPr>
                <w:lang w:eastAsia="en-AU"/>
              </w:rPr>
            </w:pPr>
            <w:r w:rsidRPr="0062781D">
              <w:rPr>
                <w:lang w:eastAsia="en-AU"/>
              </w:rPr>
              <w:t>..</w:t>
            </w:r>
          </w:p>
        </w:tc>
        <w:tc>
          <w:tcPr>
            <w:tcW w:w="832" w:type="dxa"/>
            <w:tcBorders>
              <w:top w:val="nil"/>
              <w:left w:val="nil"/>
              <w:bottom w:val="nil"/>
              <w:right w:val="nil"/>
            </w:tcBorders>
          </w:tcPr>
          <w:p w:rsidR="00B958B1" w:rsidRPr="0062781D" w:rsidRDefault="00B958B1" w:rsidP="009F3B54">
            <w:pPr>
              <w:pStyle w:val="TableofFigures"/>
              <w:rPr>
                <w:lang w:eastAsia="en-AU"/>
              </w:rPr>
            </w:pPr>
            <w:r w:rsidRPr="0062781D">
              <w:rPr>
                <w:lang w:eastAsia="en-AU"/>
              </w:rPr>
              <w:t>..</w:t>
            </w:r>
          </w:p>
        </w:tc>
        <w:tc>
          <w:tcPr>
            <w:tcW w:w="833" w:type="dxa"/>
            <w:tcBorders>
              <w:top w:val="nil"/>
              <w:left w:val="nil"/>
              <w:bottom w:val="nil"/>
              <w:right w:val="nil"/>
            </w:tcBorders>
          </w:tcPr>
          <w:p w:rsidR="00B958B1" w:rsidRPr="0062781D" w:rsidRDefault="00B958B1" w:rsidP="009F3B54">
            <w:pPr>
              <w:pStyle w:val="TableofFigures"/>
              <w:rPr>
                <w:lang w:eastAsia="en-AU"/>
              </w:rPr>
            </w:pPr>
            <w:r w:rsidRPr="0062781D">
              <w:rPr>
                <w:lang w:eastAsia="en-AU"/>
              </w:rPr>
              <w:t>..</w:t>
            </w:r>
          </w:p>
        </w:tc>
      </w:tr>
      <w:tr w:rsidR="00B958B1" w:rsidRPr="0062781D" w:rsidTr="009F3B54">
        <w:tc>
          <w:tcPr>
            <w:tcW w:w="3614" w:type="dxa"/>
            <w:tcBorders>
              <w:top w:val="nil"/>
              <w:left w:val="nil"/>
              <w:bottom w:val="nil"/>
              <w:right w:val="nil"/>
            </w:tcBorders>
            <w:shd w:val="solid" w:color="FFFFFF" w:fill="auto"/>
          </w:tcPr>
          <w:p w:rsidR="00B958B1" w:rsidRPr="0062781D" w:rsidRDefault="00B958B1" w:rsidP="009F3B54">
            <w:pPr>
              <w:pStyle w:val="Tabletext"/>
              <w:rPr>
                <w:lang w:eastAsia="en-AU"/>
              </w:rPr>
            </w:pPr>
            <w:r w:rsidRPr="0062781D">
              <w:rPr>
                <w:lang w:eastAsia="en-AU"/>
              </w:rPr>
              <w:t>Strengthening the independent arts sector</w:t>
            </w:r>
          </w:p>
        </w:tc>
        <w:tc>
          <w:tcPr>
            <w:tcW w:w="832" w:type="dxa"/>
            <w:gridSpan w:val="5"/>
            <w:tcBorders>
              <w:top w:val="nil"/>
              <w:left w:val="nil"/>
              <w:bottom w:val="nil"/>
              <w:right w:val="nil"/>
            </w:tcBorders>
            <w:shd w:val="solid" w:color="FFFFFF" w:fill="auto"/>
          </w:tcPr>
          <w:p w:rsidR="00B958B1" w:rsidRPr="0062781D" w:rsidRDefault="00AE07D0" w:rsidP="009F3B54">
            <w:pPr>
              <w:pStyle w:val="TableofFigures"/>
              <w:rPr>
                <w:lang w:eastAsia="en-AU"/>
              </w:rPr>
            </w:pPr>
            <w:r>
              <w:rPr>
                <w:lang w:eastAsia="en-AU"/>
              </w:rPr>
              <w:t>..</w:t>
            </w:r>
          </w:p>
        </w:tc>
        <w:tc>
          <w:tcPr>
            <w:tcW w:w="832"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2.4</w:t>
            </w:r>
          </w:p>
        </w:tc>
        <w:tc>
          <w:tcPr>
            <w:tcW w:w="833"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2.9</w:t>
            </w:r>
          </w:p>
        </w:tc>
        <w:tc>
          <w:tcPr>
            <w:tcW w:w="832"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c>
          <w:tcPr>
            <w:tcW w:w="833"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r>
      <w:tr w:rsidR="00B958B1" w:rsidRPr="0062781D" w:rsidTr="009F3B54">
        <w:tc>
          <w:tcPr>
            <w:tcW w:w="3614" w:type="dxa"/>
            <w:tcBorders>
              <w:top w:val="nil"/>
              <w:left w:val="nil"/>
              <w:bottom w:val="nil"/>
              <w:right w:val="nil"/>
            </w:tcBorders>
          </w:tcPr>
          <w:p w:rsidR="00B958B1" w:rsidRPr="0062781D" w:rsidRDefault="00B958B1" w:rsidP="009F3B54">
            <w:pPr>
              <w:pStyle w:val="Tabletext"/>
              <w:rPr>
                <w:b/>
                <w:bCs/>
                <w:lang w:eastAsia="en-AU"/>
              </w:rPr>
            </w:pPr>
            <w:r w:rsidRPr="0062781D">
              <w:rPr>
                <w:b/>
                <w:bCs/>
                <w:lang w:eastAsia="en-AU"/>
              </w:rPr>
              <w:t>Multicultural Affairs and Citizenship</w:t>
            </w:r>
          </w:p>
        </w:tc>
        <w:tc>
          <w:tcPr>
            <w:tcW w:w="832" w:type="dxa"/>
            <w:gridSpan w:val="5"/>
            <w:tcBorders>
              <w:top w:val="nil"/>
              <w:left w:val="nil"/>
              <w:bottom w:val="nil"/>
              <w:right w:val="nil"/>
            </w:tcBorders>
            <w:shd w:val="solid" w:color="FFFFFF" w:fill="auto"/>
          </w:tcPr>
          <w:p w:rsidR="00B958B1" w:rsidRPr="0062781D" w:rsidRDefault="00B958B1" w:rsidP="009F3B54">
            <w:pPr>
              <w:pStyle w:val="TableofFigures"/>
              <w:rPr>
                <w:lang w:eastAsia="en-AU"/>
              </w:rPr>
            </w:pPr>
          </w:p>
        </w:tc>
        <w:tc>
          <w:tcPr>
            <w:tcW w:w="832" w:type="dxa"/>
            <w:tcBorders>
              <w:top w:val="nil"/>
              <w:left w:val="nil"/>
              <w:bottom w:val="nil"/>
              <w:right w:val="nil"/>
            </w:tcBorders>
          </w:tcPr>
          <w:p w:rsidR="00B958B1" w:rsidRPr="0062781D" w:rsidRDefault="00B958B1" w:rsidP="009F3B54">
            <w:pPr>
              <w:pStyle w:val="TableofFigures"/>
              <w:rPr>
                <w:lang w:eastAsia="en-AU"/>
              </w:rPr>
            </w:pPr>
          </w:p>
        </w:tc>
        <w:tc>
          <w:tcPr>
            <w:tcW w:w="833" w:type="dxa"/>
            <w:tcBorders>
              <w:top w:val="nil"/>
              <w:left w:val="nil"/>
              <w:bottom w:val="nil"/>
              <w:right w:val="nil"/>
            </w:tcBorders>
            <w:shd w:val="solid" w:color="FFFFFF" w:fill="auto"/>
          </w:tcPr>
          <w:p w:rsidR="00B958B1" w:rsidRPr="0062781D" w:rsidRDefault="00B958B1" w:rsidP="009F3B54">
            <w:pPr>
              <w:pStyle w:val="TableofFigures"/>
              <w:rPr>
                <w:lang w:eastAsia="en-AU"/>
              </w:rPr>
            </w:pPr>
          </w:p>
        </w:tc>
        <w:tc>
          <w:tcPr>
            <w:tcW w:w="832" w:type="dxa"/>
            <w:tcBorders>
              <w:top w:val="nil"/>
              <w:left w:val="nil"/>
              <w:bottom w:val="nil"/>
              <w:right w:val="nil"/>
            </w:tcBorders>
            <w:shd w:val="solid" w:color="FFFFFF" w:fill="auto"/>
          </w:tcPr>
          <w:p w:rsidR="00B958B1" w:rsidRPr="0062781D" w:rsidRDefault="00B958B1" w:rsidP="009F3B54">
            <w:pPr>
              <w:pStyle w:val="TableofFigures"/>
              <w:rPr>
                <w:lang w:eastAsia="en-AU"/>
              </w:rPr>
            </w:pPr>
          </w:p>
        </w:tc>
        <w:tc>
          <w:tcPr>
            <w:tcW w:w="833" w:type="dxa"/>
            <w:tcBorders>
              <w:top w:val="nil"/>
              <w:left w:val="nil"/>
              <w:bottom w:val="nil"/>
              <w:right w:val="nil"/>
            </w:tcBorders>
            <w:shd w:val="solid" w:color="FFFFFF" w:fill="auto"/>
          </w:tcPr>
          <w:p w:rsidR="00B958B1" w:rsidRPr="0062781D" w:rsidRDefault="00B958B1" w:rsidP="009F3B54">
            <w:pPr>
              <w:pStyle w:val="TableofFigures"/>
              <w:rPr>
                <w:lang w:eastAsia="en-AU"/>
              </w:rPr>
            </w:pPr>
          </w:p>
        </w:tc>
      </w:tr>
      <w:tr w:rsidR="00B958B1" w:rsidRPr="0062781D" w:rsidTr="009F3B54">
        <w:tc>
          <w:tcPr>
            <w:tcW w:w="3812" w:type="dxa"/>
            <w:gridSpan w:val="2"/>
            <w:tcBorders>
              <w:top w:val="nil"/>
              <w:left w:val="nil"/>
              <w:bottom w:val="nil"/>
              <w:right w:val="nil"/>
            </w:tcBorders>
          </w:tcPr>
          <w:p w:rsidR="00B958B1" w:rsidRPr="0062781D" w:rsidRDefault="00B958B1" w:rsidP="009F3B54">
            <w:pPr>
              <w:pStyle w:val="Tabletext"/>
              <w:rPr>
                <w:lang w:eastAsia="en-AU"/>
              </w:rPr>
            </w:pPr>
            <w:r w:rsidRPr="0062781D">
              <w:rPr>
                <w:lang w:eastAsia="en-AU"/>
              </w:rPr>
              <w:t>Peak multicultural organisations support fund</w:t>
            </w:r>
          </w:p>
        </w:tc>
        <w:tc>
          <w:tcPr>
            <w:tcW w:w="634" w:type="dxa"/>
            <w:gridSpan w:val="4"/>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c>
          <w:tcPr>
            <w:tcW w:w="832" w:type="dxa"/>
            <w:tcBorders>
              <w:top w:val="nil"/>
              <w:left w:val="nil"/>
              <w:bottom w:val="nil"/>
              <w:right w:val="nil"/>
            </w:tcBorders>
          </w:tcPr>
          <w:p w:rsidR="00B958B1" w:rsidRPr="0062781D" w:rsidRDefault="00B958B1" w:rsidP="009F3B54">
            <w:pPr>
              <w:pStyle w:val="TableofFigures"/>
              <w:rPr>
                <w:lang w:eastAsia="en-AU"/>
              </w:rPr>
            </w:pPr>
            <w:r w:rsidRPr="0062781D">
              <w:rPr>
                <w:lang w:eastAsia="en-AU"/>
              </w:rPr>
              <w:t>0.8</w:t>
            </w:r>
          </w:p>
        </w:tc>
        <w:tc>
          <w:tcPr>
            <w:tcW w:w="833"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 xml:space="preserve"> 0.8</w:t>
            </w:r>
          </w:p>
        </w:tc>
        <w:tc>
          <w:tcPr>
            <w:tcW w:w="832"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c>
          <w:tcPr>
            <w:tcW w:w="833"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r>
      <w:tr w:rsidR="00B958B1" w:rsidRPr="0062781D" w:rsidTr="009F3B54">
        <w:tc>
          <w:tcPr>
            <w:tcW w:w="3614" w:type="dxa"/>
            <w:tcBorders>
              <w:top w:val="nil"/>
              <w:left w:val="nil"/>
              <w:bottom w:val="nil"/>
              <w:right w:val="nil"/>
            </w:tcBorders>
          </w:tcPr>
          <w:p w:rsidR="00B958B1" w:rsidRPr="0062781D" w:rsidRDefault="00B958B1" w:rsidP="009F3B54">
            <w:pPr>
              <w:pStyle w:val="Tabletext"/>
              <w:rPr>
                <w:lang w:eastAsia="en-AU"/>
              </w:rPr>
            </w:pPr>
            <w:r w:rsidRPr="0062781D">
              <w:rPr>
                <w:lang w:eastAsia="en-AU"/>
              </w:rPr>
              <w:t>Victorian Multicultural Commission</w:t>
            </w:r>
          </w:p>
        </w:tc>
        <w:tc>
          <w:tcPr>
            <w:tcW w:w="832" w:type="dxa"/>
            <w:gridSpan w:val="5"/>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c>
          <w:tcPr>
            <w:tcW w:w="832" w:type="dxa"/>
            <w:tcBorders>
              <w:top w:val="nil"/>
              <w:left w:val="nil"/>
              <w:bottom w:val="nil"/>
              <w:right w:val="nil"/>
            </w:tcBorders>
          </w:tcPr>
          <w:p w:rsidR="00B958B1" w:rsidRPr="0062781D" w:rsidRDefault="00B958B1" w:rsidP="009F3B54">
            <w:pPr>
              <w:pStyle w:val="TableofFigures"/>
              <w:rPr>
                <w:lang w:eastAsia="en-AU"/>
              </w:rPr>
            </w:pPr>
            <w:r w:rsidRPr="0062781D">
              <w:rPr>
                <w:lang w:eastAsia="en-AU"/>
              </w:rPr>
              <w:t>0.2</w:t>
            </w:r>
          </w:p>
        </w:tc>
        <w:tc>
          <w:tcPr>
            <w:tcW w:w="833"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 xml:space="preserve"> 0.2</w:t>
            </w:r>
          </w:p>
        </w:tc>
        <w:tc>
          <w:tcPr>
            <w:tcW w:w="832"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c>
          <w:tcPr>
            <w:tcW w:w="833"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r>
      <w:tr w:rsidR="00B958B1" w:rsidRPr="0062781D" w:rsidTr="009F3B54">
        <w:tc>
          <w:tcPr>
            <w:tcW w:w="4217" w:type="dxa"/>
            <w:gridSpan w:val="5"/>
            <w:tcBorders>
              <w:top w:val="nil"/>
              <w:left w:val="nil"/>
              <w:bottom w:val="nil"/>
              <w:right w:val="nil"/>
            </w:tcBorders>
          </w:tcPr>
          <w:p w:rsidR="00B958B1" w:rsidRPr="0062781D" w:rsidRDefault="00B958B1" w:rsidP="009F3B54">
            <w:pPr>
              <w:pStyle w:val="Tabletext"/>
              <w:rPr>
                <w:b/>
                <w:bCs/>
                <w:lang w:eastAsia="en-AU"/>
              </w:rPr>
            </w:pPr>
            <w:r w:rsidRPr="0062781D">
              <w:rPr>
                <w:b/>
                <w:bCs/>
                <w:lang w:eastAsia="en-AU"/>
              </w:rPr>
              <w:t>Supporting and Strengthening Communities</w:t>
            </w:r>
          </w:p>
        </w:tc>
        <w:tc>
          <w:tcPr>
            <w:tcW w:w="229" w:type="dxa"/>
            <w:tcBorders>
              <w:top w:val="nil"/>
              <w:left w:val="nil"/>
              <w:bottom w:val="nil"/>
              <w:right w:val="nil"/>
            </w:tcBorders>
            <w:shd w:val="solid" w:color="FFFFFF" w:fill="auto"/>
          </w:tcPr>
          <w:p w:rsidR="00B958B1" w:rsidRPr="0062781D" w:rsidRDefault="00B958B1" w:rsidP="009F3B54">
            <w:pPr>
              <w:pStyle w:val="TableofFigures"/>
              <w:rPr>
                <w:lang w:eastAsia="en-AU"/>
              </w:rPr>
            </w:pPr>
          </w:p>
        </w:tc>
        <w:tc>
          <w:tcPr>
            <w:tcW w:w="832" w:type="dxa"/>
            <w:tcBorders>
              <w:top w:val="nil"/>
              <w:left w:val="nil"/>
              <w:bottom w:val="nil"/>
              <w:right w:val="nil"/>
            </w:tcBorders>
          </w:tcPr>
          <w:p w:rsidR="00B958B1" w:rsidRPr="0062781D" w:rsidRDefault="00B958B1" w:rsidP="009F3B54">
            <w:pPr>
              <w:pStyle w:val="TableofFigures"/>
              <w:rPr>
                <w:lang w:eastAsia="en-AU"/>
              </w:rPr>
            </w:pPr>
          </w:p>
        </w:tc>
        <w:tc>
          <w:tcPr>
            <w:tcW w:w="833" w:type="dxa"/>
            <w:tcBorders>
              <w:top w:val="nil"/>
              <w:left w:val="nil"/>
              <w:bottom w:val="nil"/>
              <w:right w:val="nil"/>
            </w:tcBorders>
          </w:tcPr>
          <w:p w:rsidR="00B958B1" w:rsidRPr="0062781D" w:rsidRDefault="00B958B1" w:rsidP="009F3B54">
            <w:pPr>
              <w:pStyle w:val="TableofFigures"/>
              <w:rPr>
                <w:lang w:eastAsia="en-AU"/>
              </w:rPr>
            </w:pPr>
          </w:p>
        </w:tc>
        <w:tc>
          <w:tcPr>
            <w:tcW w:w="832" w:type="dxa"/>
            <w:tcBorders>
              <w:top w:val="nil"/>
              <w:left w:val="nil"/>
              <w:bottom w:val="nil"/>
              <w:right w:val="nil"/>
            </w:tcBorders>
            <w:shd w:val="solid" w:color="FFFFFF" w:fill="auto"/>
          </w:tcPr>
          <w:p w:rsidR="00B958B1" w:rsidRPr="0062781D" w:rsidRDefault="00B958B1" w:rsidP="009F3B54">
            <w:pPr>
              <w:pStyle w:val="TableofFigures"/>
              <w:rPr>
                <w:lang w:eastAsia="en-AU"/>
              </w:rPr>
            </w:pPr>
          </w:p>
        </w:tc>
        <w:tc>
          <w:tcPr>
            <w:tcW w:w="833" w:type="dxa"/>
            <w:tcBorders>
              <w:top w:val="nil"/>
              <w:left w:val="nil"/>
              <w:bottom w:val="nil"/>
              <w:right w:val="nil"/>
            </w:tcBorders>
            <w:shd w:val="solid" w:color="FFFFFF" w:fill="auto"/>
          </w:tcPr>
          <w:p w:rsidR="00B958B1" w:rsidRPr="0062781D" w:rsidRDefault="00B958B1" w:rsidP="009F3B54">
            <w:pPr>
              <w:pStyle w:val="TableofFigures"/>
              <w:rPr>
                <w:lang w:eastAsia="en-AU"/>
              </w:rPr>
            </w:pPr>
          </w:p>
        </w:tc>
      </w:tr>
      <w:tr w:rsidR="00B958B1" w:rsidRPr="0062781D" w:rsidTr="009F3B54">
        <w:tc>
          <w:tcPr>
            <w:tcW w:w="4019" w:type="dxa"/>
            <w:gridSpan w:val="4"/>
            <w:tcBorders>
              <w:top w:val="nil"/>
              <w:left w:val="nil"/>
              <w:bottom w:val="nil"/>
              <w:right w:val="nil"/>
            </w:tcBorders>
            <w:shd w:val="solid" w:color="FFFFFF" w:fill="auto"/>
          </w:tcPr>
          <w:p w:rsidR="00B958B1" w:rsidRPr="0062781D" w:rsidRDefault="00B958B1" w:rsidP="009F3B54">
            <w:pPr>
              <w:pStyle w:val="Tabletext"/>
              <w:rPr>
                <w:lang w:eastAsia="en-AU"/>
              </w:rPr>
            </w:pPr>
            <w:r w:rsidRPr="0062781D">
              <w:rPr>
                <w:lang w:eastAsia="en-AU"/>
              </w:rPr>
              <w:t>Building effective Registered Aboriginal Parties</w:t>
            </w:r>
          </w:p>
        </w:tc>
        <w:tc>
          <w:tcPr>
            <w:tcW w:w="427" w:type="dxa"/>
            <w:gridSpan w:val="2"/>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c>
          <w:tcPr>
            <w:tcW w:w="832"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1.5</w:t>
            </w:r>
          </w:p>
        </w:tc>
        <w:tc>
          <w:tcPr>
            <w:tcW w:w="833"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c>
          <w:tcPr>
            <w:tcW w:w="832"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c>
          <w:tcPr>
            <w:tcW w:w="833"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r>
      <w:tr w:rsidR="00B958B1" w:rsidRPr="0062781D" w:rsidTr="009F3B54">
        <w:tc>
          <w:tcPr>
            <w:tcW w:w="3614" w:type="dxa"/>
            <w:tcBorders>
              <w:top w:val="nil"/>
              <w:left w:val="nil"/>
              <w:bottom w:val="nil"/>
              <w:right w:val="nil"/>
            </w:tcBorders>
            <w:shd w:val="solid" w:color="FFFFFF" w:fill="auto"/>
          </w:tcPr>
          <w:p w:rsidR="00B958B1" w:rsidRPr="0062781D" w:rsidRDefault="00B958B1" w:rsidP="009F3B54">
            <w:pPr>
              <w:pStyle w:val="Tabletext"/>
              <w:rPr>
                <w:lang w:eastAsia="en-AU"/>
              </w:rPr>
            </w:pPr>
            <w:r w:rsidRPr="0062781D">
              <w:rPr>
                <w:lang w:eastAsia="en-AU"/>
              </w:rPr>
              <w:t>Healing the stolen generations</w:t>
            </w:r>
          </w:p>
        </w:tc>
        <w:tc>
          <w:tcPr>
            <w:tcW w:w="832" w:type="dxa"/>
            <w:gridSpan w:val="5"/>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w:t>
            </w:r>
          </w:p>
        </w:tc>
        <w:tc>
          <w:tcPr>
            <w:tcW w:w="832"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1.3</w:t>
            </w:r>
          </w:p>
        </w:tc>
        <w:tc>
          <w:tcPr>
            <w:tcW w:w="833"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1.3</w:t>
            </w:r>
          </w:p>
        </w:tc>
        <w:tc>
          <w:tcPr>
            <w:tcW w:w="832"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1.3</w:t>
            </w:r>
          </w:p>
        </w:tc>
        <w:tc>
          <w:tcPr>
            <w:tcW w:w="833" w:type="dxa"/>
            <w:tcBorders>
              <w:top w:val="nil"/>
              <w:left w:val="nil"/>
              <w:bottom w:val="nil"/>
              <w:right w:val="nil"/>
            </w:tcBorders>
            <w:shd w:val="solid" w:color="FFFFFF" w:fill="auto"/>
          </w:tcPr>
          <w:p w:rsidR="00B958B1" w:rsidRPr="0062781D" w:rsidRDefault="00B958B1" w:rsidP="009F3B54">
            <w:pPr>
              <w:pStyle w:val="TableofFigures"/>
              <w:rPr>
                <w:lang w:eastAsia="en-AU"/>
              </w:rPr>
            </w:pPr>
            <w:r w:rsidRPr="0062781D">
              <w:rPr>
                <w:lang w:eastAsia="en-AU"/>
              </w:rPr>
              <w:t>1.3</w:t>
            </w:r>
          </w:p>
        </w:tc>
      </w:tr>
      <w:tr w:rsidR="00B958B1" w:rsidRPr="0062781D" w:rsidTr="009F3B54">
        <w:tc>
          <w:tcPr>
            <w:tcW w:w="3614" w:type="dxa"/>
            <w:tcBorders>
              <w:top w:val="single" w:sz="6" w:space="0" w:color="auto"/>
              <w:left w:val="nil"/>
              <w:bottom w:val="single" w:sz="6" w:space="0" w:color="auto"/>
              <w:right w:val="nil"/>
            </w:tcBorders>
          </w:tcPr>
          <w:p w:rsidR="00B958B1" w:rsidRPr="0062781D" w:rsidRDefault="00B958B1" w:rsidP="009F3B54">
            <w:pPr>
              <w:pStyle w:val="Tabletext"/>
              <w:rPr>
                <w:b/>
                <w:bCs/>
                <w:lang w:eastAsia="en-AU"/>
              </w:rPr>
            </w:pPr>
            <w:r>
              <w:rPr>
                <w:b/>
                <w:bCs/>
                <w:lang w:eastAsia="en-AU"/>
              </w:rPr>
              <w:t>Sub total</w:t>
            </w:r>
            <w:r w:rsidRPr="0062781D">
              <w:rPr>
                <w:b/>
                <w:bCs/>
                <w:lang w:eastAsia="en-AU"/>
              </w:rPr>
              <w:t xml:space="preserve"> output initiatives</w:t>
            </w:r>
          </w:p>
        </w:tc>
        <w:tc>
          <w:tcPr>
            <w:tcW w:w="832" w:type="dxa"/>
            <w:gridSpan w:val="5"/>
            <w:tcBorders>
              <w:top w:val="single" w:sz="6" w:space="0" w:color="auto"/>
              <w:left w:val="nil"/>
              <w:bottom w:val="single" w:sz="6" w:space="0" w:color="auto"/>
              <w:right w:val="nil"/>
            </w:tcBorders>
          </w:tcPr>
          <w:p w:rsidR="00B958B1" w:rsidRPr="0062781D" w:rsidRDefault="00B958B1" w:rsidP="009F3B54">
            <w:pPr>
              <w:pStyle w:val="TableofFigures"/>
              <w:rPr>
                <w:b/>
                <w:bCs/>
                <w:lang w:eastAsia="en-AU"/>
              </w:rPr>
            </w:pPr>
            <w:r w:rsidRPr="0062781D">
              <w:rPr>
                <w:b/>
                <w:bCs/>
                <w:lang w:eastAsia="en-AU"/>
              </w:rPr>
              <w:t>1.6</w:t>
            </w:r>
          </w:p>
        </w:tc>
        <w:tc>
          <w:tcPr>
            <w:tcW w:w="832" w:type="dxa"/>
            <w:tcBorders>
              <w:top w:val="single" w:sz="6" w:space="0" w:color="auto"/>
              <w:left w:val="nil"/>
              <w:bottom w:val="single" w:sz="6" w:space="0" w:color="auto"/>
              <w:right w:val="nil"/>
            </w:tcBorders>
          </w:tcPr>
          <w:p w:rsidR="00B958B1" w:rsidRPr="0062781D" w:rsidRDefault="00B958B1" w:rsidP="009F3B54">
            <w:pPr>
              <w:pStyle w:val="TableofFigures"/>
              <w:rPr>
                <w:b/>
                <w:bCs/>
                <w:lang w:eastAsia="en-AU"/>
              </w:rPr>
            </w:pPr>
            <w:r w:rsidRPr="0062781D">
              <w:rPr>
                <w:b/>
                <w:bCs/>
                <w:lang w:eastAsia="en-AU"/>
              </w:rPr>
              <w:t>13.4</w:t>
            </w:r>
          </w:p>
        </w:tc>
        <w:tc>
          <w:tcPr>
            <w:tcW w:w="833" w:type="dxa"/>
            <w:tcBorders>
              <w:top w:val="single" w:sz="6" w:space="0" w:color="auto"/>
              <w:left w:val="nil"/>
              <w:bottom w:val="single" w:sz="6" w:space="0" w:color="auto"/>
              <w:right w:val="nil"/>
            </w:tcBorders>
          </w:tcPr>
          <w:p w:rsidR="00B958B1" w:rsidRPr="0062781D" w:rsidRDefault="00B958B1" w:rsidP="009F3B54">
            <w:pPr>
              <w:pStyle w:val="TableofFigures"/>
              <w:rPr>
                <w:b/>
                <w:bCs/>
                <w:lang w:eastAsia="en-AU"/>
              </w:rPr>
            </w:pPr>
            <w:r w:rsidRPr="0062781D">
              <w:rPr>
                <w:b/>
                <w:bCs/>
                <w:lang w:eastAsia="en-AU"/>
              </w:rPr>
              <w:t>10.7</w:t>
            </w:r>
          </w:p>
        </w:tc>
        <w:tc>
          <w:tcPr>
            <w:tcW w:w="832" w:type="dxa"/>
            <w:tcBorders>
              <w:top w:val="single" w:sz="6" w:space="0" w:color="auto"/>
              <w:left w:val="nil"/>
              <w:bottom w:val="single" w:sz="6" w:space="0" w:color="auto"/>
              <w:right w:val="nil"/>
            </w:tcBorders>
          </w:tcPr>
          <w:p w:rsidR="00B958B1" w:rsidRPr="0062781D" w:rsidRDefault="00B958B1" w:rsidP="009F3B54">
            <w:pPr>
              <w:pStyle w:val="TableofFigures"/>
              <w:rPr>
                <w:b/>
                <w:bCs/>
                <w:lang w:eastAsia="en-AU"/>
              </w:rPr>
            </w:pPr>
            <w:r w:rsidRPr="0062781D">
              <w:rPr>
                <w:b/>
                <w:bCs/>
                <w:lang w:eastAsia="en-AU"/>
              </w:rPr>
              <w:t>1.3</w:t>
            </w:r>
          </w:p>
        </w:tc>
        <w:tc>
          <w:tcPr>
            <w:tcW w:w="833" w:type="dxa"/>
            <w:tcBorders>
              <w:top w:val="single" w:sz="6" w:space="0" w:color="auto"/>
              <w:left w:val="nil"/>
              <w:bottom w:val="single" w:sz="6" w:space="0" w:color="auto"/>
              <w:right w:val="nil"/>
            </w:tcBorders>
          </w:tcPr>
          <w:p w:rsidR="00B958B1" w:rsidRPr="0062781D" w:rsidRDefault="00B958B1" w:rsidP="009F3B54">
            <w:pPr>
              <w:pStyle w:val="TableofFigures"/>
              <w:rPr>
                <w:b/>
                <w:bCs/>
                <w:lang w:eastAsia="en-AU"/>
              </w:rPr>
            </w:pPr>
            <w:r w:rsidRPr="0062781D">
              <w:rPr>
                <w:b/>
                <w:bCs/>
                <w:lang w:eastAsia="en-AU"/>
              </w:rPr>
              <w:t>1.3</w:t>
            </w:r>
          </w:p>
        </w:tc>
      </w:tr>
      <w:tr w:rsidR="00B958B1" w:rsidRPr="0062781D" w:rsidTr="009F3B54">
        <w:tc>
          <w:tcPr>
            <w:tcW w:w="3614" w:type="dxa"/>
            <w:tcBorders>
              <w:top w:val="single" w:sz="6" w:space="0" w:color="auto"/>
              <w:left w:val="nil"/>
              <w:bottom w:val="nil"/>
              <w:right w:val="nil"/>
            </w:tcBorders>
          </w:tcPr>
          <w:p w:rsidR="00B958B1" w:rsidRPr="0062781D" w:rsidRDefault="00B958B1" w:rsidP="009F3B54">
            <w:pPr>
              <w:pStyle w:val="Tabletext"/>
              <w:rPr>
                <w:lang w:eastAsia="en-AU"/>
              </w:rPr>
            </w:pPr>
            <w:r w:rsidRPr="0062781D">
              <w:rPr>
                <w:lang w:eastAsia="en-AU"/>
              </w:rPr>
              <w:t>Existing resources</w:t>
            </w:r>
          </w:p>
        </w:tc>
        <w:tc>
          <w:tcPr>
            <w:tcW w:w="832" w:type="dxa"/>
            <w:gridSpan w:val="5"/>
            <w:tcBorders>
              <w:top w:val="nil"/>
              <w:left w:val="nil"/>
              <w:bottom w:val="single" w:sz="6" w:space="0" w:color="auto"/>
              <w:right w:val="nil"/>
            </w:tcBorders>
          </w:tcPr>
          <w:p w:rsidR="00B958B1" w:rsidRPr="0062781D" w:rsidRDefault="00B958B1" w:rsidP="009F3B54">
            <w:pPr>
              <w:pStyle w:val="TableofFigures"/>
              <w:rPr>
                <w:lang w:eastAsia="en-AU"/>
              </w:rPr>
            </w:pPr>
            <w:r w:rsidRPr="0062781D">
              <w:rPr>
                <w:lang w:eastAsia="en-AU"/>
              </w:rPr>
              <w:t>..</w:t>
            </w:r>
          </w:p>
        </w:tc>
        <w:tc>
          <w:tcPr>
            <w:tcW w:w="832" w:type="dxa"/>
            <w:tcBorders>
              <w:top w:val="nil"/>
              <w:left w:val="nil"/>
              <w:bottom w:val="single" w:sz="6" w:space="0" w:color="auto"/>
              <w:right w:val="nil"/>
            </w:tcBorders>
          </w:tcPr>
          <w:p w:rsidR="00B958B1" w:rsidRPr="0062781D" w:rsidRDefault="009F0F49" w:rsidP="009F3B54">
            <w:pPr>
              <w:pStyle w:val="TableofFigures"/>
              <w:rPr>
                <w:lang w:eastAsia="en-AU"/>
              </w:rPr>
            </w:pPr>
            <w:r>
              <w:rPr>
                <w:lang w:eastAsia="en-AU"/>
              </w:rPr>
              <w:noBreakHyphen/>
            </w:r>
            <w:r w:rsidR="00B958B1" w:rsidRPr="0062781D">
              <w:rPr>
                <w:lang w:eastAsia="en-AU"/>
              </w:rPr>
              <w:t>6.5</w:t>
            </w:r>
          </w:p>
        </w:tc>
        <w:tc>
          <w:tcPr>
            <w:tcW w:w="833" w:type="dxa"/>
            <w:tcBorders>
              <w:top w:val="nil"/>
              <w:left w:val="nil"/>
              <w:bottom w:val="single" w:sz="6" w:space="0" w:color="auto"/>
              <w:right w:val="nil"/>
            </w:tcBorders>
          </w:tcPr>
          <w:p w:rsidR="00B958B1" w:rsidRPr="0062781D" w:rsidRDefault="009F0F49" w:rsidP="009F3B54">
            <w:pPr>
              <w:pStyle w:val="TableofFigures"/>
              <w:rPr>
                <w:lang w:eastAsia="en-AU"/>
              </w:rPr>
            </w:pPr>
            <w:r>
              <w:rPr>
                <w:lang w:eastAsia="en-AU"/>
              </w:rPr>
              <w:noBreakHyphen/>
            </w:r>
            <w:r w:rsidR="00B958B1" w:rsidRPr="0062781D">
              <w:rPr>
                <w:lang w:eastAsia="en-AU"/>
              </w:rPr>
              <w:t>5.0</w:t>
            </w:r>
          </w:p>
        </w:tc>
        <w:tc>
          <w:tcPr>
            <w:tcW w:w="832" w:type="dxa"/>
            <w:tcBorders>
              <w:top w:val="nil"/>
              <w:left w:val="nil"/>
              <w:bottom w:val="single" w:sz="6" w:space="0" w:color="auto"/>
              <w:right w:val="nil"/>
            </w:tcBorders>
          </w:tcPr>
          <w:p w:rsidR="00B958B1" w:rsidRPr="0062781D" w:rsidRDefault="009F0F49" w:rsidP="009F3B54">
            <w:pPr>
              <w:pStyle w:val="TableofFigures"/>
              <w:rPr>
                <w:lang w:eastAsia="en-AU"/>
              </w:rPr>
            </w:pPr>
            <w:r>
              <w:rPr>
                <w:lang w:eastAsia="en-AU"/>
              </w:rPr>
              <w:noBreakHyphen/>
            </w:r>
            <w:r w:rsidR="00B958B1" w:rsidRPr="0062781D">
              <w:rPr>
                <w:lang w:eastAsia="en-AU"/>
              </w:rPr>
              <w:t>1.3</w:t>
            </w:r>
          </w:p>
        </w:tc>
        <w:tc>
          <w:tcPr>
            <w:tcW w:w="833" w:type="dxa"/>
            <w:tcBorders>
              <w:top w:val="nil"/>
              <w:left w:val="nil"/>
              <w:bottom w:val="single" w:sz="6" w:space="0" w:color="auto"/>
              <w:right w:val="nil"/>
            </w:tcBorders>
          </w:tcPr>
          <w:p w:rsidR="00B958B1" w:rsidRPr="0062781D" w:rsidRDefault="00B958B1" w:rsidP="009F3B54">
            <w:pPr>
              <w:pStyle w:val="TableofFigures"/>
              <w:rPr>
                <w:lang w:eastAsia="en-AU"/>
              </w:rPr>
            </w:pPr>
            <w:r w:rsidRPr="0062781D">
              <w:rPr>
                <w:lang w:eastAsia="en-AU"/>
              </w:rPr>
              <w:t>..</w:t>
            </w:r>
          </w:p>
        </w:tc>
      </w:tr>
      <w:tr w:rsidR="00B958B1" w:rsidRPr="0062781D" w:rsidTr="009F3B54">
        <w:tc>
          <w:tcPr>
            <w:tcW w:w="3614" w:type="dxa"/>
            <w:tcBorders>
              <w:top w:val="single" w:sz="6" w:space="0" w:color="auto"/>
              <w:left w:val="nil"/>
              <w:bottom w:val="single" w:sz="12" w:space="0" w:color="auto"/>
              <w:right w:val="nil"/>
            </w:tcBorders>
          </w:tcPr>
          <w:p w:rsidR="00B958B1" w:rsidRPr="0062781D" w:rsidRDefault="00B958B1" w:rsidP="009F3B54">
            <w:pPr>
              <w:pStyle w:val="Tabletext"/>
              <w:rPr>
                <w:b/>
                <w:bCs/>
                <w:lang w:eastAsia="en-AU"/>
              </w:rPr>
            </w:pPr>
            <w:r w:rsidRPr="0062781D">
              <w:rPr>
                <w:b/>
                <w:bCs/>
                <w:lang w:eastAsia="en-AU"/>
              </w:rPr>
              <w:t>Total output initiatives</w:t>
            </w:r>
          </w:p>
        </w:tc>
        <w:tc>
          <w:tcPr>
            <w:tcW w:w="832" w:type="dxa"/>
            <w:gridSpan w:val="5"/>
            <w:tcBorders>
              <w:top w:val="single" w:sz="6" w:space="0" w:color="auto"/>
              <w:left w:val="nil"/>
              <w:bottom w:val="single" w:sz="12" w:space="0" w:color="auto"/>
              <w:right w:val="nil"/>
            </w:tcBorders>
          </w:tcPr>
          <w:p w:rsidR="00B958B1" w:rsidRPr="0062781D" w:rsidRDefault="00B958B1" w:rsidP="009F3B54">
            <w:pPr>
              <w:pStyle w:val="TableofFigures"/>
              <w:rPr>
                <w:b/>
                <w:bCs/>
                <w:lang w:eastAsia="en-AU"/>
              </w:rPr>
            </w:pPr>
            <w:r w:rsidRPr="0062781D">
              <w:rPr>
                <w:b/>
                <w:bCs/>
                <w:lang w:eastAsia="en-AU"/>
              </w:rPr>
              <w:t>1.6</w:t>
            </w:r>
          </w:p>
        </w:tc>
        <w:tc>
          <w:tcPr>
            <w:tcW w:w="832" w:type="dxa"/>
            <w:tcBorders>
              <w:top w:val="single" w:sz="6" w:space="0" w:color="auto"/>
              <w:left w:val="nil"/>
              <w:bottom w:val="single" w:sz="12" w:space="0" w:color="auto"/>
              <w:right w:val="nil"/>
            </w:tcBorders>
          </w:tcPr>
          <w:p w:rsidR="00B958B1" w:rsidRPr="0062781D" w:rsidRDefault="00B958B1" w:rsidP="009F3B54">
            <w:pPr>
              <w:pStyle w:val="TableofFigures"/>
              <w:rPr>
                <w:b/>
                <w:bCs/>
                <w:lang w:eastAsia="en-AU"/>
              </w:rPr>
            </w:pPr>
            <w:r w:rsidRPr="0062781D">
              <w:rPr>
                <w:b/>
                <w:bCs/>
                <w:lang w:eastAsia="en-AU"/>
              </w:rPr>
              <w:t>6.9</w:t>
            </w:r>
          </w:p>
        </w:tc>
        <w:tc>
          <w:tcPr>
            <w:tcW w:w="833" w:type="dxa"/>
            <w:tcBorders>
              <w:top w:val="single" w:sz="6" w:space="0" w:color="auto"/>
              <w:left w:val="nil"/>
              <w:bottom w:val="single" w:sz="12" w:space="0" w:color="auto"/>
              <w:right w:val="nil"/>
            </w:tcBorders>
          </w:tcPr>
          <w:p w:rsidR="00B958B1" w:rsidRPr="0062781D" w:rsidRDefault="00B958B1" w:rsidP="009F3B54">
            <w:pPr>
              <w:pStyle w:val="TableofFigures"/>
              <w:rPr>
                <w:b/>
                <w:bCs/>
                <w:lang w:eastAsia="en-AU"/>
              </w:rPr>
            </w:pPr>
            <w:r w:rsidRPr="0062781D">
              <w:rPr>
                <w:b/>
                <w:bCs/>
                <w:lang w:eastAsia="en-AU"/>
              </w:rPr>
              <w:t>5.7</w:t>
            </w:r>
          </w:p>
        </w:tc>
        <w:tc>
          <w:tcPr>
            <w:tcW w:w="832" w:type="dxa"/>
            <w:tcBorders>
              <w:top w:val="single" w:sz="6" w:space="0" w:color="auto"/>
              <w:left w:val="nil"/>
              <w:bottom w:val="single" w:sz="12" w:space="0" w:color="auto"/>
              <w:right w:val="nil"/>
            </w:tcBorders>
            <w:shd w:val="solid" w:color="FFFFFF" w:fill="auto"/>
          </w:tcPr>
          <w:p w:rsidR="00B958B1" w:rsidRPr="0062781D" w:rsidRDefault="00B958B1" w:rsidP="009F3B54">
            <w:pPr>
              <w:pStyle w:val="TableofFigures"/>
              <w:rPr>
                <w:b/>
                <w:bCs/>
                <w:lang w:eastAsia="en-AU"/>
              </w:rPr>
            </w:pPr>
            <w:r w:rsidRPr="0062781D">
              <w:rPr>
                <w:b/>
                <w:bCs/>
                <w:lang w:eastAsia="en-AU"/>
              </w:rPr>
              <w:t>..</w:t>
            </w:r>
          </w:p>
        </w:tc>
        <w:tc>
          <w:tcPr>
            <w:tcW w:w="833" w:type="dxa"/>
            <w:tcBorders>
              <w:top w:val="single" w:sz="6" w:space="0" w:color="auto"/>
              <w:left w:val="nil"/>
              <w:bottom w:val="single" w:sz="12" w:space="0" w:color="auto"/>
              <w:right w:val="nil"/>
            </w:tcBorders>
          </w:tcPr>
          <w:p w:rsidR="00B958B1" w:rsidRPr="0062781D" w:rsidRDefault="00B958B1" w:rsidP="009F3B54">
            <w:pPr>
              <w:pStyle w:val="TableofFigures"/>
              <w:rPr>
                <w:b/>
                <w:bCs/>
                <w:lang w:eastAsia="en-AU"/>
              </w:rPr>
            </w:pPr>
            <w:r w:rsidRPr="0062781D">
              <w:rPr>
                <w:b/>
                <w:bCs/>
                <w:lang w:eastAsia="en-AU"/>
              </w:rPr>
              <w:t>1.3</w:t>
            </w:r>
          </w:p>
        </w:tc>
      </w:tr>
    </w:tbl>
    <w:p w:rsidR="00B958B1" w:rsidRDefault="00B958B1" w:rsidP="009F3B54">
      <w:pPr>
        <w:pStyle w:val="Source"/>
      </w:pPr>
      <w:r w:rsidRPr="00A20936">
        <w:t>Source: Department of Treasury and Finance</w:t>
      </w:r>
      <w:r>
        <w:t xml:space="preserve"> </w:t>
      </w:r>
      <w:r>
        <w:fldChar w:fldCharType="begin"/>
      </w:r>
      <w:r>
        <w:instrText xml:space="preserve"> XE "</w:instrText>
      </w:r>
      <w:r w:rsidRPr="001902E6">
        <w:instrText>Aboriginal</w:instrText>
      </w:r>
      <w:r>
        <w:instrText xml:space="preserve">" </w:instrText>
      </w:r>
      <w:r>
        <w:fldChar w:fldCharType="end"/>
      </w:r>
    </w:p>
    <w:p w:rsidR="00B958B1" w:rsidRPr="00EA330A" w:rsidRDefault="00B958B1" w:rsidP="009F3B54">
      <w:pPr>
        <w:pStyle w:val="Notes"/>
      </w:pPr>
    </w:p>
    <w:p w:rsidR="00B958B1" w:rsidRPr="000A6EFF" w:rsidRDefault="00B958B1" w:rsidP="009F3B54">
      <w:pPr>
        <w:pStyle w:val="Heading4"/>
        <w:rPr>
          <w:lang w:eastAsia="en-AU"/>
        </w:rPr>
      </w:pPr>
      <w:bookmarkStart w:id="54" w:name="BP3Ch1DPCArtsnCulturDvp"/>
      <w:r>
        <w:rPr>
          <w:lang w:eastAsia="en-AU"/>
        </w:rPr>
        <w:t>Arts and Cultural Development</w:t>
      </w:r>
    </w:p>
    <w:p w:rsidR="00B958B1" w:rsidRDefault="00B958B1" w:rsidP="009F3B54">
      <w:pPr>
        <w:pStyle w:val="Heading5"/>
      </w:pPr>
      <w:r>
        <w:t xml:space="preserve">Arts Centre Melbourne programming </w:t>
      </w:r>
    </w:p>
    <w:p w:rsidR="00B958B1" w:rsidRDefault="00B958B1" w:rsidP="009F3B54">
      <w:r>
        <w:t>Extended support for Arts Centre Melbourne programming to facilitate delivery of high</w:t>
      </w:r>
      <w:r w:rsidR="009F0F49">
        <w:noBreakHyphen/>
      </w:r>
      <w:r>
        <w:t xml:space="preserve">quality artistic and cultural attractions. </w:t>
      </w:r>
      <w:r>
        <w:fldChar w:fldCharType="begin"/>
      </w:r>
      <w:r>
        <w:instrText xml:space="preserve"> XE "</w:instrText>
      </w:r>
      <w:r w:rsidRPr="009E53A6">
        <w:instrText>Arts</w:instrText>
      </w:r>
      <w:r>
        <w:instrText xml:space="preserve">" </w:instrText>
      </w:r>
      <w:r>
        <w:fldChar w:fldCharType="end"/>
      </w:r>
    </w:p>
    <w:p w:rsidR="00B958B1" w:rsidRDefault="00B958B1" w:rsidP="009F3B54">
      <w:r>
        <w:t xml:space="preserve">This initiative contributes to the Department of Premier and Cabinet’s Arts Portfolio Agencies output. </w:t>
      </w:r>
    </w:p>
    <w:p w:rsidR="00B958B1" w:rsidRDefault="00B958B1" w:rsidP="009F3B54">
      <w:pPr>
        <w:pStyle w:val="Heading5"/>
      </w:pPr>
      <w:r>
        <w:t>Enhancing capacity of the State Library of Victoria</w:t>
      </w:r>
    </w:p>
    <w:p w:rsidR="00B958B1" w:rsidRDefault="00B958B1" w:rsidP="009F3B54">
      <w:r>
        <w:t>The State Library of Victoria will be supported to drive a long</w:t>
      </w:r>
      <w:r w:rsidR="009F0F49">
        <w:noBreakHyphen/>
      </w:r>
      <w:r>
        <w:t xml:space="preserve">term vision and strategy through the development of more flexible and diversified services, including online resources and cultural activities to meet changing expectations of library users. </w:t>
      </w:r>
    </w:p>
    <w:p w:rsidR="00B958B1" w:rsidRDefault="00B958B1" w:rsidP="009F3B54">
      <w:r>
        <w:t>This initiative contributes to the Department of Premier and Cabinet’s Arts Portfolio Agencies output.</w:t>
      </w:r>
    </w:p>
    <w:p w:rsidR="00B958B1" w:rsidRPr="0068445D" w:rsidRDefault="00B958B1" w:rsidP="009F3B54">
      <w:pPr>
        <w:pStyle w:val="Heading5"/>
      </w:pPr>
      <w:r>
        <w:br w:type="page"/>
      </w:r>
      <w:r w:rsidRPr="0068445D">
        <w:t xml:space="preserve">Melbourne Symphony Orchestra </w:t>
      </w:r>
    </w:p>
    <w:p w:rsidR="00B958B1" w:rsidRPr="0068445D" w:rsidRDefault="00B958B1" w:rsidP="009F3B54">
      <w:pPr>
        <w:rPr>
          <w:lang w:eastAsia="en-AU"/>
        </w:rPr>
      </w:pPr>
      <w:r w:rsidRPr="0068445D">
        <w:rPr>
          <w:lang w:eastAsia="en-AU"/>
        </w:rPr>
        <w:t xml:space="preserve">Additional support for the Melbourne Symphony Orchestra </w:t>
      </w:r>
      <w:r>
        <w:rPr>
          <w:lang w:eastAsia="en-AU"/>
        </w:rPr>
        <w:t>for business disruption costs and revenue impacts resulting from</w:t>
      </w:r>
      <w:r w:rsidRPr="0068445D">
        <w:rPr>
          <w:lang w:eastAsia="en-AU"/>
        </w:rPr>
        <w:t xml:space="preserve"> the redevelopment of Hamer Hall. </w:t>
      </w:r>
    </w:p>
    <w:p w:rsidR="00B958B1" w:rsidRPr="007B016F" w:rsidRDefault="00B958B1" w:rsidP="009F3B54">
      <w:r w:rsidRPr="0068445D">
        <w:rPr>
          <w:lang w:eastAsia="en-AU"/>
        </w:rPr>
        <w:t>This initiative contributes to the Department of Premier and Cabinet’s Access, Industry Development and Innovation output.</w:t>
      </w:r>
    </w:p>
    <w:p w:rsidR="00B958B1" w:rsidRDefault="00B958B1" w:rsidP="009F3B54">
      <w:pPr>
        <w:pStyle w:val="Heading5"/>
      </w:pPr>
      <w:r>
        <w:t xml:space="preserve">Music Victoria </w:t>
      </w:r>
    </w:p>
    <w:p w:rsidR="00B958B1" w:rsidRDefault="00B958B1" w:rsidP="009F3B54">
      <w:r>
        <w:t xml:space="preserve">Music Victoria will be supported to deliver professional development programs to musicians and promote Victorian music locally and internationally. </w:t>
      </w:r>
    </w:p>
    <w:p w:rsidR="00B958B1" w:rsidRDefault="00B958B1" w:rsidP="009F3B54">
      <w:r>
        <w:t>This initiative contributes to the Department of Premier and Cabinet’s Arts Portfolio Agencies output.</w:t>
      </w:r>
    </w:p>
    <w:p w:rsidR="00B958B1" w:rsidRDefault="00B958B1" w:rsidP="009F3B54">
      <w:pPr>
        <w:pStyle w:val="Heading5"/>
      </w:pPr>
      <w:r>
        <w:t>National Gallery of Victoria Summer program</w:t>
      </w:r>
    </w:p>
    <w:p w:rsidR="00B958B1" w:rsidRPr="009C3F1E" w:rsidRDefault="00B958B1" w:rsidP="009F3B54">
      <w:r>
        <w:t>The National Gallery of Victoria will deliver a new statewide Summer program with an enhanced focus on contemporary artists and children</w:t>
      </w:r>
      <w:r>
        <w:fldChar w:fldCharType="begin"/>
      </w:r>
      <w:r>
        <w:instrText xml:space="preserve"> XE "</w:instrText>
      </w:r>
      <w:r w:rsidRPr="009E53A6">
        <w:instrText>Children</w:instrText>
      </w:r>
      <w:r>
        <w:instrText xml:space="preserve">" </w:instrText>
      </w:r>
      <w:r>
        <w:fldChar w:fldCharType="end"/>
      </w:r>
      <w:r>
        <w:t xml:space="preserve">, including blockbuster exhibitions, diverse online activities and the inaugural ‘Melbourne Now’ exhibition to showcase local </w:t>
      </w:r>
      <w:r w:rsidRPr="009C3F1E">
        <w:t xml:space="preserve">artists. </w:t>
      </w:r>
    </w:p>
    <w:p w:rsidR="00B958B1" w:rsidRPr="009C3F1E" w:rsidRDefault="00B958B1" w:rsidP="009F3B54">
      <w:r w:rsidRPr="009C3F1E">
        <w:t xml:space="preserve">This initiative contributes to the Department of Premier and Cabinet’s Arts Portfolio Agencies output. </w:t>
      </w:r>
    </w:p>
    <w:p w:rsidR="00B958B1" w:rsidRPr="009C3F1E" w:rsidRDefault="00B958B1" w:rsidP="009F3B54">
      <w:pPr>
        <w:pStyle w:val="Heading5"/>
      </w:pPr>
      <w:r w:rsidRPr="009C3F1E">
        <w:t>Public Record Office Victoria asset plan renewal</w:t>
      </w:r>
    </w:p>
    <w:p w:rsidR="00B958B1" w:rsidRPr="009C3F1E" w:rsidRDefault="00B958B1" w:rsidP="009F3B54">
      <w:r w:rsidRPr="009C3F1E">
        <w:t>Plant and collection management systems will be upgraded to ensure the conservation of heritage records and cultural collections of the Public Record Office Victoria.</w:t>
      </w:r>
    </w:p>
    <w:p w:rsidR="00B958B1" w:rsidRPr="009C3F1E" w:rsidRDefault="00B958B1" w:rsidP="009F3B54">
      <w:r w:rsidRPr="009C3F1E">
        <w:t xml:space="preserve">This initiative contributes to the Department of Premier and Cabinet’s Arts Portfolio Agencies output. </w:t>
      </w:r>
    </w:p>
    <w:p w:rsidR="00B958B1" w:rsidRDefault="00B958B1" w:rsidP="009F3B54">
      <w:pPr>
        <w:pStyle w:val="Heading5"/>
      </w:pPr>
      <w:r w:rsidRPr="009C3F1E">
        <w:t>Strengthening the independent arts sector</w:t>
      </w:r>
    </w:p>
    <w:p w:rsidR="00B958B1" w:rsidRDefault="00B958B1" w:rsidP="009F3B54">
      <w:r>
        <w:fldChar w:fldCharType="begin"/>
      </w:r>
      <w:r>
        <w:instrText xml:space="preserve"> XE "</w:instrText>
      </w:r>
      <w:r w:rsidRPr="001902E6">
        <w:instrText>Arts</w:instrText>
      </w:r>
      <w:r>
        <w:instrText xml:space="preserve">" </w:instrText>
      </w:r>
      <w:r>
        <w:fldChar w:fldCharType="end"/>
      </w:r>
      <w:r>
        <w:t xml:space="preserve">This package includes additional funding through the new Organisations Investment Program and other strategic initiatives. It will support the independent arts sector to deliver programs and events, drive artistic innovation and engage audiences across Victoria, including regional Victoria. </w:t>
      </w:r>
      <w:r>
        <w:fldChar w:fldCharType="begin"/>
      </w:r>
      <w:r>
        <w:instrText xml:space="preserve"> XE "</w:instrText>
      </w:r>
      <w:r w:rsidRPr="009A586F">
        <w:instrText>Department of Premier and Cabinet:Arts and Cultural Development</w:instrText>
      </w:r>
      <w:r>
        <w:instrText xml:space="preserve">" \r "BP3Ch1DPCArtsnCulturDvp" </w:instrText>
      </w:r>
      <w:r>
        <w:fldChar w:fldCharType="end"/>
      </w:r>
      <w:r>
        <w:fldChar w:fldCharType="begin"/>
      </w:r>
      <w:r>
        <w:instrText xml:space="preserve"> XE "</w:instrText>
      </w:r>
      <w:r w:rsidRPr="009E53A6">
        <w:instrText>Arts and Cultural Development</w:instrText>
      </w:r>
      <w:r>
        <w:instrText xml:space="preserve">" \r "BP3Ch1DPCArtsnCulturDvp" </w:instrText>
      </w:r>
      <w:r>
        <w:fldChar w:fldCharType="end"/>
      </w:r>
    </w:p>
    <w:p w:rsidR="00B958B1" w:rsidRDefault="00B958B1" w:rsidP="009F3B54">
      <w:r>
        <w:t>This initiative contributes to the Department of Premier and Cabinet’s Arts Development and Access output.</w:t>
      </w:r>
    </w:p>
    <w:p w:rsidR="00B958B1" w:rsidRPr="004B7E16" w:rsidRDefault="00B958B1" w:rsidP="009F3B54">
      <w:pPr>
        <w:pStyle w:val="Heading4"/>
        <w:rPr>
          <w:lang w:eastAsia="en-AU"/>
        </w:rPr>
      </w:pPr>
      <w:bookmarkStart w:id="55" w:name="BP3Ch1DPCMultiCult"/>
      <w:bookmarkEnd w:id="54"/>
      <w:r>
        <w:rPr>
          <w:lang w:eastAsia="en-AU"/>
        </w:rPr>
        <w:t>Multicultural Affairs</w:t>
      </w:r>
      <w:r w:rsidRPr="004B7E16">
        <w:rPr>
          <w:lang w:eastAsia="en-AU"/>
        </w:rPr>
        <w:t xml:space="preserve"> and Citizenship</w:t>
      </w:r>
    </w:p>
    <w:p w:rsidR="00B958B1" w:rsidRDefault="00B958B1" w:rsidP="009F3B54">
      <w:pPr>
        <w:pStyle w:val="Heading5"/>
      </w:pPr>
      <w:r>
        <w:t>Peak multicultural organisations support fund</w:t>
      </w:r>
    </w:p>
    <w:p w:rsidR="00B958B1" w:rsidRDefault="00B958B1" w:rsidP="009F3B54">
      <w:r>
        <w:t>Grants funding for peak multicultural organisations across Victoria will be increased to improve services for culturally and linguistically diverse Victorians, with a particular focus on rural ethnic/multicultural communities’</w:t>
      </w:r>
      <w:r>
        <w:fldChar w:fldCharType="begin"/>
      </w:r>
      <w:r>
        <w:instrText xml:space="preserve"> XE "</w:instrText>
      </w:r>
      <w:r w:rsidRPr="009E53A6">
        <w:instrText>Communities</w:instrText>
      </w:r>
      <w:r>
        <w:instrText xml:space="preserve">" </w:instrText>
      </w:r>
      <w:r>
        <w:fldChar w:fldCharType="end"/>
      </w:r>
      <w:r>
        <w:t xml:space="preserve"> councils.</w:t>
      </w:r>
    </w:p>
    <w:p w:rsidR="00B958B1" w:rsidRDefault="00B958B1" w:rsidP="009F3B54">
      <w:r>
        <w:t xml:space="preserve">This initiative contributes to the Department of Premier and Cabinet’s Multicultural Affairs and Citizenship output. </w:t>
      </w:r>
    </w:p>
    <w:p w:rsidR="00B958B1" w:rsidRDefault="00B958B1" w:rsidP="009F3B54">
      <w:pPr>
        <w:pStyle w:val="Heading5"/>
      </w:pPr>
      <w:r>
        <w:t>Victorian Multicultural Commission</w:t>
      </w:r>
    </w:p>
    <w:p w:rsidR="00B958B1" w:rsidRDefault="00B958B1" w:rsidP="009F3B54">
      <w:r>
        <w:t>Additional support for the Victorian Multicultural Commission to provide increased assistance for community strengthening initiatives that build the capacity of multicultural communities</w:t>
      </w:r>
      <w:r>
        <w:fldChar w:fldCharType="begin"/>
      </w:r>
      <w:r>
        <w:instrText xml:space="preserve"> XE "</w:instrText>
      </w:r>
      <w:r w:rsidRPr="009E53A6">
        <w:instrText>Communities</w:instrText>
      </w:r>
      <w:r>
        <w:instrText xml:space="preserve">" </w:instrText>
      </w:r>
      <w:r>
        <w:fldChar w:fldCharType="end"/>
      </w:r>
      <w:r>
        <w:t xml:space="preserve">, with a particular focus on culturally and linguistically diverse organisations in rural and regional areas. </w:t>
      </w:r>
    </w:p>
    <w:p w:rsidR="00B958B1" w:rsidRDefault="00B958B1" w:rsidP="009F3B54">
      <w:r>
        <w:t xml:space="preserve">This initiative contributes to the Department of Premier and Cabinet’s Multicultural Affairs and Citizenship output. </w:t>
      </w:r>
      <w:r>
        <w:fldChar w:fldCharType="begin"/>
      </w:r>
      <w:r>
        <w:instrText xml:space="preserve"> XE "</w:instrText>
      </w:r>
      <w:r w:rsidRPr="00427562">
        <w:instrText>Department of Premier and Cabinet:Multicultural Affairs and Citizenship</w:instrText>
      </w:r>
      <w:r>
        <w:instrText xml:space="preserve">" \r "BP3Ch1DPCMultiCult" </w:instrText>
      </w:r>
      <w:r>
        <w:fldChar w:fldCharType="end"/>
      </w:r>
      <w:r>
        <w:t xml:space="preserve"> </w:t>
      </w:r>
      <w:r>
        <w:fldChar w:fldCharType="begin"/>
      </w:r>
      <w:r>
        <w:instrText xml:space="preserve"> XE "</w:instrText>
      </w:r>
      <w:r w:rsidRPr="009E53A6">
        <w:instrText>Multicultural Affairs and Citizenship</w:instrText>
      </w:r>
      <w:r>
        <w:instrText xml:space="preserve">" \r "BP3Ch1DPCMultiCult" </w:instrText>
      </w:r>
      <w:r>
        <w:fldChar w:fldCharType="end"/>
      </w:r>
    </w:p>
    <w:p w:rsidR="00B958B1" w:rsidRPr="001E4752" w:rsidRDefault="00B958B1" w:rsidP="009F3B54">
      <w:pPr>
        <w:pStyle w:val="Heading4"/>
        <w:rPr>
          <w:lang w:eastAsia="en-AU"/>
        </w:rPr>
      </w:pPr>
      <w:bookmarkStart w:id="56" w:name="BP3Ch1DPCSuppCommun"/>
      <w:bookmarkEnd w:id="55"/>
      <w:r>
        <w:rPr>
          <w:lang w:eastAsia="en-AU"/>
        </w:rPr>
        <w:t>Supporting and Strengthening Communities</w:t>
      </w:r>
    </w:p>
    <w:p w:rsidR="00B958B1" w:rsidRDefault="00B958B1" w:rsidP="009F3B54">
      <w:pPr>
        <w:pStyle w:val="Heading5"/>
      </w:pPr>
      <w:r>
        <w:t>Building effective Registered Aboriginal Parties</w:t>
      </w:r>
    </w:p>
    <w:p w:rsidR="00B958B1" w:rsidRDefault="00B958B1" w:rsidP="009F3B54">
      <w:r>
        <w:t>Registered Aboriginal</w:t>
      </w:r>
      <w:r>
        <w:fldChar w:fldCharType="begin"/>
      </w:r>
      <w:r>
        <w:instrText xml:space="preserve"> XE "</w:instrText>
      </w:r>
      <w:r w:rsidRPr="009E53A6">
        <w:instrText>Aboriginal</w:instrText>
      </w:r>
      <w:r>
        <w:instrText xml:space="preserve">" </w:instrText>
      </w:r>
      <w:r>
        <w:fldChar w:fldCharType="end"/>
      </w:r>
      <w:r>
        <w:t xml:space="preserve"> Parties (RAPs) and the Right People for Country project will receive continued support while a long</w:t>
      </w:r>
      <w:r w:rsidR="009F0F49">
        <w:noBreakHyphen/>
      </w:r>
      <w:r>
        <w:t xml:space="preserve">term framework is developed to enable RAPs to operate sustainably as part of the Government’s response to the Parliamentary Inquiry into the establishment and effectiveness of RAPs. RAPs play a critical role in managing Aboriginal cultural heritage on behalf of all Victorians, and where appointed, RAPs provide clarity to Government and landholders, thereby facilitating the development approvals process. </w:t>
      </w:r>
      <w:r>
        <w:fldChar w:fldCharType="begin"/>
      </w:r>
      <w:r>
        <w:instrText xml:space="preserve"> XE "</w:instrText>
      </w:r>
      <w:r w:rsidRPr="009E53A6">
        <w:instrText>Supporting and Strengthening Communities</w:instrText>
      </w:r>
      <w:r>
        <w:instrText xml:space="preserve">" \r "BP3Ch1DPCSuppCommun" </w:instrText>
      </w:r>
      <w:r>
        <w:fldChar w:fldCharType="end"/>
      </w:r>
      <w:r>
        <w:fldChar w:fldCharType="begin"/>
      </w:r>
      <w:r>
        <w:instrText xml:space="preserve"> XE "</w:instrText>
      </w:r>
      <w:r w:rsidRPr="00845460">
        <w:instrText>Department of Premier and Cabinet:Supporting and Strengthening Communities</w:instrText>
      </w:r>
      <w:r>
        <w:instrText xml:space="preserve">" \r "BP3Ch1DPCSuppCommun" </w:instrText>
      </w:r>
      <w:r>
        <w:fldChar w:fldCharType="end"/>
      </w:r>
    </w:p>
    <w:p w:rsidR="00B958B1" w:rsidRDefault="00B958B1" w:rsidP="009F3B54">
      <w:r>
        <w:t xml:space="preserve">This initiative </w:t>
      </w:r>
      <w:r w:rsidRPr="00916E8C">
        <w:t>contributes to the Department of Premier and Cabinet’s Aboriginal</w:t>
      </w:r>
      <w:r>
        <w:fldChar w:fldCharType="begin"/>
      </w:r>
      <w:r>
        <w:instrText xml:space="preserve"> XE "</w:instrText>
      </w:r>
      <w:r w:rsidRPr="009E53A6">
        <w:instrText>Aboriginal</w:instrText>
      </w:r>
      <w:r>
        <w:instrText xml:space="preserve">" </w:instrText>
      </w:r>
      <w:r>
        <w:fldChar w:fldCharType="end"/>
      </w:r>
      <w:r w:rsidRPr="00916E8C">
        <w:t xml:space="preserve"> </w:t>
      </w:r>
      <w:r>
        <w:t>Affairs</w:t>
      </w:r>
      <w:r w:rsidRPr="00916E8C">
        <w:t xml:space="preserve"> output.</w:t>
      </w:r>
    </w:p>
    <w:p w:rsidR="00B958B1" w:rsidRDefault="00B958B1" w:rsidP="009F3B54">
      <w:pPr>
        <w:pStyle w:val="Heading5"/>
      </w:pPr>
      <w:r>
        <w:t>Healing the stolen generations</w:t>
      </w:r>
    </w:p>
    <w:p w:rsidR="00B958B1" w:rsidRDefault="00B958B1" w:rsidP="009F3B54">
      <w:r>
        <w:t>Ongoing support will be provided to first and second generation members of the stolen generations, as well as their families and community in identifying their heritage and addressing the ongoing effects of past policies.</w:t>
      </w:r>
      <w:bookmarkEnd w:id="56"/>
    </w:p>
    <w:p w:rsidR="00B958B1" w:rsidRDefault="00B958B1" w:rsidP="009F3B54">
      <w:r>
        <w:t xml:space="preserve">This initiative contributes to </w:t>
      </w:r>
      <w:r w:rsidRPr="00E57151">
        <w:t xml:space="preserve">the Department of Premier and Cabinet’s </w:t>
      </w:r>
      <w:r w:rsidRPr="00916E8C">
        <w:t xml:space="preserve">Aboriginal </w:t>
      </w:r>
      <w:r>
        <w:t>Affairs</w:t>
      </w:r>
      <w:r w:rsidRPr="00916E8C">
        <w:t xml:space="preserve"> output</w:t>
      </w:r>
      <w:r>
        <w:t xml:space="preserve">. </w:t>
      </w:r>
      <w:r>
        <w:fldChar w:fldCharType="begin"/>
      </w:r>
      <w:r>
        <w:instrText xml:space="preserve"> XE "</w:instrText>
      </w:r>
      <w:r w:rsidRPr="00B86B51">
        <w:instrText>Department of Premier and Cabinet:Output initiatives</w:instrText>
      </w:r>
      <w:r>
        <w:instrText xml:space="preserve">" \r "BP3Ch1DPCOutputInitves" </w:instrText>
      </w:r>
      <w:r>
        <w:fldChar w:fldCharType="end"/>
      </w:r>
      <w:bookmarkEnd w:id="53"/>
    </w:p>
    <w:p w:rsidR="00B958B1" w:rsidRDefault="00B958B1" w:rsidP="009F3B54">
      <w:pPr>
        <w:pStyle w:val="Heading3"/>
      </w:pPr>
      <w:bookmarkStart w:id="57" w:name="BP3Ch1DPCAssetInitves"/>
      <w:r>
        <w:t>Asset initiatives</w:t>
      </w:r>
    </w:p>
    <w:p w:rsidR="00B958B1" w:rsidRDefault="00B958B1" w:rsidP="009F3B54">
      <w:pPr>
        <w:pStyle w:val="Tableheading"/>
      </w:pPr>
      <w:r w:rsidRPr="006C13A1">
        <w:t>Table 1.</w:t>
      </w:r>
      <w:r>
        <w:t>12</w:t>
      </w:r>
      <w:r w:rsidRPr="006C13A1">
        <w:t>:</w:t>
      </w:r>
      <w:r w:rsidRPr="006C13A1">
        <w:tab/>
        <w:t>Asset initiatives – Premier and Cabinet</w:t>
      </w:r>
    </w:p>
    <w:p w:rsidR="00B958B1" w:rsidRPr="00CF25F3" w:rsidRDefault="00B958B1" w:rsidP="009F3B5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894"/>
        <w:gridCol w:w="207"/>
        <w:gridCol w:w="675"/>
        <w:gridCol w:w="882"/>
        <w:gridCol w:w="882"/>
        <w:gridCol w:w="882"/>
        <w:gridCol w:w="882"/>
        <w:gridCol w:w="472"/>
      </w:tblGrid>
      <w:tr w:rsidR="00B958B1" w:rsidRPr="00CF25F3" w:rsidTr="009F3B54">
        <w:tc>
          <w:tcPr>
            <w:tcW w:w="2894" w:type="dxa"/>
            <w:tcBorders>
              <w:top w:val="single" w:sz="4" w:space="0" w:color="auto"/>
              <w:left w:val="single" w:sz="6" w:space="0" w:color="auto"/>
              <w:bottom w:val="single" w:sz="6" w:space="0" w:color="auto"/>
              <w:right w:val="nil"/>
            </w:tcBorders>
            <w:shd w:val="solid" w:color="000000" w:fill="auto"/>
          </w:tcPr>
          <w:p w:rsidR="00B958B1" w:rsidRPr="00CF25F3" w:rsidRDefault="00B958B1" w:rsidP="009F3B54">
            <w:pPr>
              <w:pStyle w:val="Tabletextheading"/>
              <w:rPr>
                <w:lang w:eastAsia="en-AU"/>
              </w:rPr>
            </w:pPr>
          </w:p>
        </w:tc>
        <w:tc>
          <w:tcPr>
            <w:tcW w:w="882" w:type="dxa"/>
            <w:gridSpan w:val="2"/>
            <w:tcBorders>
              <w:top w:val="single" w:sz="4" w:space="0" w:color="auto"/>
              <w:left w:val="nil"/>
              <w:bottom w:val="single" w:sz="6" w:space="0" w:color="auto"/>
              <w:right w:val="nil"/>
            </w:tcBorders>
            <w:shd w:val="solid" w:color="000000" w:fill="auto"/>
          </w:tcPr>
          <w:p w:rsidR="00B958B1" w:rsidRPr="00CF25F3" w:rsidRDefault="00B958B1" w:rsidP="009F3B54">
            <w:pPr>
              <w:pStyle w:val="Tabletextheading"/>
              <w:rPr>
                <w:lang w:eastAsia="en-AU"/>
              </w:rPr>
            </w:pPr>
            <w:r w:rsidRPr="00CF25F3">
              <w:rPr>
                <w:lang w:eastAsia="en-AU"/>
              </w:rPr>
              <w:t>2012</w:t>
            </w:r>
            <w:r w:rsidR="009F0F49">
              <w:rPr>
                <w:lang w:eastAsia="en-AU"/>
              </w:rPr>
              <w:noBreakHyphen/>
            </w:r>
            <w:r w:rsidRPr="00CF25F3">
              <w:rPr>
                <w:lang w:eastAsia="en-AU"/>
              </w:rPr>
              <w:t>13</w:t>
            </w:r>
          </w:p>
        </w:tc>
        <w:tc>
          <w:tcPr>
            <w:tcW w:w="882" w:type="dxa"/>
            <w:tcBorders>
              <w:top w:val="single" w:sz="4" w:space="0" w:color="auto"/>
              <w:left w:val="nil"/>
              <w:bottom w:val="single" w:sz="6" w:space="0" w:color="auto"/>
              <w:right w:val="nil"/>
            </w:tcBorders>
            <w:shd w:val="solid" w:color="000000" w:fill="auto"/>
          </w:tcPr>
          <w:p w:rsidR="00B958B1" w:rsidRPr="00CF25F3" w:rsidRDefault="00B958B1" w:rsidP="009F3B54">
            <w:pPr>
              <w:pStyle w:val="Tabletextheading"/>
              <w:rPr>
                <w:lang w:eastAsia="en-AU"/>
              </w:rPr>
            </w:pPr>
            <w:r w:rsidRPr="00CF25F3">
              <w:rPr>
                <w:lang w:eastAsia="en-AU"/>
              </w:rPr>
              <w:t>2013</w:t>
            </w:r>
            <w:r w:rsidR="009F0F49">
              <w:rPr>
                <w:lang w:eastAsia="en-AU"/>
              </w:rPr>
              <w:noBreakHyphen/>
            </w:r>
            <w:r w:rsidRPr="00CF25F3">
              <w:rPr>
                <w:lang w:eastAsia="en-AU"/>
              </w:rPr>
              <w:t>14</w:t>
            </w:r>
          </w:p>
        </w:tc>
        <w:tc>
          <w:tcPr>
            <w:tcW w:w="882" w:type="dxa"/>
            <w:tcBorders>
              <w:top w:val="single" w:sz="4" w:space="0" w:color="auto"/>
              <w:left w:val="nil"/>
              <w:bottom w:val="single" w:sz="6" w:space="0" w:color="auto"/>
              <w:right w:val="nil"/>
            </w:tcBorders>
            <w:shd w:val="solid" w:color="000000" w:fill="auto"/>
          </w:tcPr>
          <w:p w:rsidR="00B958B1" w:rsidRPr="00CF25F3" w:rsidRDefault="00B958B1" w:rsidP="009F3B54">
            <w:pPr>
              <w:pStyle w:val="Tabletextheading"/>
              <w:rPr>
                <w:lang w:eastAsia="en-AU"/>
              </w:rPr>
            </w:pPr>
            <w:r w:rsidRPr="00CF25F3">
              <w:rPr>
                <w:lang w:eastAsia="en-AU"/>
              </w:rPr>
              <w:t>2014</w:t>
            </w:r>
            <w:r w:rsidR="009F0F49">
              <w:rPr>
                <w:lang w:eastAsia="en-AU"/>
              </w:rPr>
              <w:noBreakHyphen/>
            </w:r>
            <w:r w:rsidRPr="00CF25F3">
              <w:rPr>
                <w:lang w:eastAsia="en-AU"/>
              </w:rPr>
              <w:t>15</w:t>
            </w:r>
          </w:p>
        </w:tc>
        <w:tc>
          <w:tcPr>
            <w:tcW w:w="882" w:type="dxa"/>
            <w:tcBorders>
              <w:top w:val="single" w:sz="4" w:space="0" w:color="auto"/>
              <w:left w:val="nil"/>
              <w:bottom w:val="single" w:sz="6" w:space="0" w:color="auto"/>
              <w:right w:val="nil"/>
            </w:tcBorders>
            <w:shd w:val="solid" w:color="000000" w:fill="auto"/>
          </w:tcPr>
          <w:p w:rsidR="00B958B1" w:rsidRPr="00CF25F3" w:rsidRDefault="00B958B1" w:rsidP="009F3B54">
            <w:pPr>
              <w:pStyle w:val="Tabletextheading"/>
              <w:rPr>
                <w:lang w:eastAsia="en-AU"/>
              </w:rPr>
            </w:pPr>
            <w:r w:rsidRPr="00CF25F3">
              <w:rPr>
                <w:lang w:eastAsia="en-AU"/>
              </w:rPr>
              <w:t>2015</w:t>
            </w:r>
            <w:r w:rsidR="009F0F49">
              <w:rPr>
                <w:lang w:eastAsia="en-AU"/>
              </w:rPr>
              <w:noBreakHyphen/>
            </w:r>
            <w:r w:rsidRPr="00CF25F3">
              <w:rPr>
                <w:lang w:eastAsia="en-AU"/>
              </w:rPr>
              <w:t>16</w:t>
            </w:r>
          </w:p>
        </w:tc>
        <w:tc>
          <w:tcPr>
            <w:tcW w:w="882" w:type="dxa"/>
            <w:tcBorders>
              <w:top w:val="single" w:sz="4" w:space="0" w:color="auto"/>
              <w:left w:val="nil"/>
              <w:bottom w:val="single" w:sz="6" w:space="0" w:color="auto"/>
              <w:right w:val="nil"/>
            </w:tcBorders>
            <w:shd w:val="solid" w:color="000000" w:fill="auto"/>
          </w:tcPr>
          <w:p w:rsidR="00B958B1" w:rsidRPr="00CF25F3" w:rsidRDefault="00B958B1" w:rsidP="009F3B54">
            <w:pPr>
              <w:pStyle w:val="Tabletextheading"/>
              <w:rPr>
                <w:lang w:eastAsia="en-AU"/>
              </w:rPr>
            </w:pPr>
            <w:r w:rsidRPr="00CF25F3">
              <w:rPr>
                <w:lang w:eastAsia="en-AU"/>
              </w:rPr>
              <w:t>2016</w:t>
            </w:r>
            <w:r w:rsidR="009F0F49">
              <w:rPr>
                <w:lang w:eastAsia="en-AU"/>
              </w:rPr>
              <w:noBreakHyphen/>
            </w:r>
            <w:r w:rsidRPr="00CF25F3">
              <w:rPr>
                <w:lang w:eastAsia="en-AU"/>
              </w:rPr>
              <w:t>17</w:t>
            </w:r>
          </w:p>
        </w:tc>
        <w:tc>
          <w:tcPr>
            <w:tcW w:w="472" w:type="dxa"/>
            <w:tcBorders>
              <w:top w:val="single" w:sz="4" w:space="0" w:color="auto"/>
              <w:left w:val="nil"/>
              <w:bottom w:val="single" w:sz="6" w:space="0" w:color="auto"/>
              <w:right w:val="nil"/>
            </w:tcBorders>
            <w:shd w:val="solid" w:color="000000" w:fill="auto"/>
          </w:tcPr>
          <w:p w:rsidR="00B958B1" w:rsidRPr="00CF25F3" w:rsidRDefault="00B958B1" w:rsidP="009F3B54">
            <w:pPr>
              <w:pStyle w:val="Tabletextheading"/>
              <w:rPr>
                <w:rFonts w:cs="Calibri"/>
                <w:iCs/>
                <w:lang w:eastAsia="en-AU"/>
              </w:rPr>
            </w:pPr>
            <w:r w:rsidRPr="00CF25F3">
              <w:rPr>
                <w:rFonts w:cs="Calibri"/>
                <w:iCs/>
                <w:lang w:eastAsia="en-AU"/>
              </w:rPr>
              <w:t>TEI</w:t>
            </w:r>
          </w:p>
        </w:tc>
      </w:tr>
      <w:tr w:rsidR="00B958B1" w:rsidRPr="00CF25F3" w:rsidTr="009F3B54">
        <w:tc>
          <w:tcPr>
            <w:tcW w:w="2894" w:type="dxa"/>
            <w:tcBorders>
              <w:top w:val="nil"/>
              <w:left w:val="nil"/>
              <w:bottom w:val="nil"/>
              <w:right w:val="nil"/>
            </w:tcBorders>
          </w:tcPr>
          <w:p w:rsidR="00B958B1" w:rsidRPr="00CF25F3" w:rsidRDefault="00B958B1" w:rsidP="009F3B54">
            <w:pPr>
              <w:pStyle w:val="Tabletext"/>
              <w:rPr>
                <w:b/>
                <w:bCs/>
                <w:lang w:eastAsia="en-AU"/>
              </w:rPr>
            </w:pPr>
            <w:r w:rsidRPr="00CF25F3">
              <w:rPr>
                <w:b/>
                <w:bCs/>
                <w:lang w:eastAsia="en-AU"/>
              </w:rPr>
              <w:t>Arts and Cultural Development</w:t>
            </w:r>
          </w:p>
        </w:tc>
        <w:tc>
          <w:tcPr>
            <w:tcW w:w="882" w:type="dxa"/>
            <w:gridSpan w:val="2"/>
            <w:tcBorders>
              <w:top w:val="nil"/>
              <w:left w:val="nil"/>
              <w:bottom w:val="nil"/>
              <w:right w:val="nil"/>
            </w:tcBorders>
            <w:shd w:val="solid" w:color="FFFFFF" w:fill="auto"/>
          </w:tcPr>
          <w:p w:rsidR="00B958B1" w:rsidRPr="00CF25F3" w:rsidRDefault="00B958B1" w:rsidP="009F3B54">
            <w:pPr>
              <w:pStyle w:val="TableofFigures"/>
              <w:rPr>
                <w:lang w:eastAsia="en-AU"/>
              </w:rPr>
            </w:pPr>
          </w:p>
        </w:tc>
        <w:tc>
          <w:tcPr>
            <w:tcW w:w="882" w:type="dxa"/>
            <w:tcBorders>
              <w:top w:val="nil"/>
              <w:left w:val="nil"/>
              <w:bottom w:val="nil"/>
              <w:right w:val="nil"/>
            </w:tcBorders>
            <w:shd w:val="solid" w:color="FFFFFF" w:fill="auto"/>
          </w:tcPr>
          <w:p w:rsidR="00B958B1" w:rsidRPr="00CF25F3" w:rsidRDefault="00B958B1" w:rsidP="009F3B54">
            <w:pPr>
              <w:pStyle w:val="TableofFigures"/>
              <w:rPr>
                <w:lang w:eastAsia="en-AU"/>
              </w:rPr>
            </w:pPr>
          </w:p>
        </w:tc>
        <w:tc>
          <w:tcPr>
            <w:tcW w:w="882" w:type="dxa"/>
            <w:tcBorders>
              <w:top w:val="nil"/>
              <w:left w:val="nil"/>
              <w:bottom w:val="nil"/>
              <w:right w:val="nil"/>
            </w:tcBorders>
            <w:shd w:val="solid" w:color="FFFFFF" w:fill="auto"/>
          </w:tcPr>
          <w:p w:rsidR="00B958B1" w:rsidRPr="00CF25F3" w:rsidRDefault="00B958B1" w:rsidP="009F3B54">
            <w:pPr>
              <w:pStyle w:val="TableofFigures"/>
              <w:rPr>
                <w:lang w:eastAsia="en-AU"/>
              </w:rPr>
            </w:pPr>
          </w:p>
        </w:tc>
        <w:tc>
          <w:tcPr>
            <w:tcW w:w="882" w:type="dxa"/>
            <w:tcBorders>
              <w:top w:val="nil"/>
              <w:left w:val="nil"/>
              <w:bottom w:val="nil"/>
              <w:right w:val="nil"/>
            </w:tcBorders>
            <w:shd w:val="solid" w:color="FFFFFF" w:fill="auto"/>
          </w:tcPr>
          <w:p w:rsidR="00B958B1" w:rsidRPr="00CF25F3" w:rsidRDefault="00B958B1" w:rsidP="009F3B54">
            <w:pPr>
              <w:pStyle w:val="TableofFigures"/>
              <w:rPr>
                <w:lang w:eastAsia="en-AU"/>
              </w:rPr>
            </w:pPr>
          </w:p>
        </w:tc>
        <w:tc>
          <w:tcPr>
            <w:tcW w:w="882" w:type="dxa"/>
            <w:tcBorders>
              <w:top w:val="nil"/>
              <w:left w:val="nil"/>
              <w:bottom w:val="nil"/>
              <w:right w:val="nil"/>
            </w:tcBorders>
            <w:shd w:val="solid" w:color="FFFFFF" w:fill="auto"/>
          </w:tcPr>
          <w:p w:rsidR="00B958B1" w:rsidRPr="00CF25F3" w:rsidRDefault="00B958B1" w:rsidP="009F3B54">
            <w:pPr>
              <w:pStyle w:val="TableofFigures"/>
              <w:rPr>
                <w:lang w:eastAsia="en-AU"/>
              </w:rPr>
            </w:pPr>
          </w:p>
        </w:tc>
        <w:tc>
          <w:tcPr>
            <w:tcW w:w="472" w:type="dxa"/>
            <w:tcBorders>
              <w:top w:val="nil"/>
              <w:left w:val="nil"/>
              <w:bottom w:val="nil"/>
              <w:right w:val="nil"/>
            </w:tcBorders>
          </w:tcPr>
          <w:p w:rsidR="00B958B1" w:rsidRPr="00CF25F3" w:rsidRDefault="00B958B1" w:rsidP="009F3B54">
            <w:pPr>
              <w:autoSpaceDE w:val="0"/>
              <w:autoSpaceDN w:val="0"/>
              <w:adjustRightInd w:val="0"/>
              <w:spacing w:after="0"/>
              <w:jc w:val="right"/>
              <w:rPr>
                <w:rFonts w:ascii="Calibri" w:hAnsi="Calibri" w:cs="Calibri"/>
                <w:color w:val="000000"/>
                <w:sz w:val="20"/>
                <w:lang w:eastAsia="en-AU"/>
              </w:rPr>
            </w:pPr>
          </w:p>
        </w:tc>
      </w:tr>
      <w:tr w:rsidR="00B958B1" w:rsidRPr="00CF25F3" w:rsidTr="009F3B54">
        <w:tc>
          <w:tcPr>
            <w:tcW w:w="2894" w:type="dxa"/>
            <w:tcBorders>
              <w:top w:val="nil"/>
              <w:left w:val="nil"/>
              <w:bottom w:val="nil"/>
              <w:right w:val="nil"/>
            </w:tcBorders>
          </w:tcPr>
          <w:p w:rsidR="00B958B1" w:rsidRPr="00CF25F3" w:rsidRDefault="00B958B1" w:rsidP="009F3B54">
            <w:pPr>
              <w:pStyle w:val="Tabletext"/>
              <w:rPr>
                <w:lang w:eastAsia="en-AU"/>
              </w:rPr>
            </w:pPr>
            <w:r w:rsidRPr="00CF25F3">
              <w:rPr>
                <w:lang w:eastAsia="en-AU"/>
              </w:rPr>
              <w:t>Arts and Cultural Facilities Maintenance Fund renewal</w:t>
            </w:r>
          </w:p>
        </w:tc>
        <w:tc>
          <w:tcPr>
            <w:tcW w:w="882" w:type="dxa"/>
            <w:gridSpan w:val="2"/>
            <w:tcBorders>
              <w:top w:val="nil"/>
              <w:left w:val="nil"/>
              <w:bottom w:val="nil"/>
              <w:right w:val="nil"/>
            </w:tcBorders>
            <w:shd w:val="solid" w:color="FFFFFF" w:fill="auto"/>
          </w:tcPr>
          <w:p w:rsidR="00B958B1" w:rsidRPr="00CF25F3" w:rsidRDefault="00B958B1" w:rsidP="009F3B54">
            <w:pPr>
              <w:pStyle w:val="TableofFigures"/>
              <w:rPr>
                <w:lang w:eastAsia="en-AU"/>
              </w:rPr>
            </w:pPr>
            <w:r w:rsidRPr="00CF25F3">
              <w:rPr>
                <w:lang w:eastAsia="en-AU"/>
              </w:rPr>
              <w:t>..</w:t>
            </w:r>
          </w:p>
        </w:tc>
        <w:tc>
          <w:tcPr>
            <w:tcW w:w="882" w:type="dxa"/>
            <w:tcBorders>
              <w:top w:val="nil"/>
              <w:left w:val="nil"/>
              <w:bottom w:val="nil"/>
              <w:right w:val="nil"/>
            </w:tcBorders>
            <w:shd w:val="solid" w:color="FFFFFF" w:fill="auto"/>
          </w:tcPr>
          <w:p w:rsidR="00B958B1" w:rsidRPr="00CF25F3" w:rsidRDefault="00B958B1" w:rsidP="009F3B54">
            <w:pPr>
              <w:pStyle w:val="TableofFigures"/>
              <w:rPr>
                <w:lang w:eastAsia="en-AU"/>
              </w:rPr>
            </w:pPr>
            <w:r w:rsidRPr="00CF25F3">
              <w:rPr>
                <w:lang w:eastAsia="en-AU"/>
              </w:rPr>
              <w:t>5.0</w:t>
            </w:r>
          </w:p>
        </w:tc>
        <w:tc>
          <w:tcPr>
            <w:tcW w:w="882" w:type="dxa"/>
            <w:tcBorders>
              <w:top w:val="nil"/>
              <w:left w:val="nil"/>
              <w:bottom w:val="nil"/>
              <w:right w:val="nil"/>
            </w:tcBorders>
            <w:shd w:val="solid" w:color="FFFFFF" w:fill="auto"/>
          </w:tcPr>
          <w:p w:rsidR="00B958B1" w:rsidRPr="00CF25F3" w:rsidRDefault="00B958B1" w:rsidP="009F3B54">
            <w:pPr>
              <w:pStyle w:val="TableofFigures"/>
              <w:rPr>
                <w:lang w:eastAsia="en-AU"/>
              </w:rPr>
            </w:pPr>
            <w:r w:rsidRPr="00CF25F3">
              <w:rPr>
                <w:lang w:eastAsia="en-AU"/>
              </w:rPr>
              <w:t>..</w:t>
            </w:r>
          </w:p>
        </w:tc>
        <w:tc>
          <w:tcPr>
            <w:tcW w:w="882" w:type="dxa"/>
            <w:tcBorders>
              <w:top w:val="nil"/>
              <w:left w:val="nil"/>
              <w:bottom w:val="nil"/>
              <w:right w:val="nil"/>
            </w:tcBorders>
            <w:shd w:val="solid" w:color="FFFFFF" w:fill="auto"/>
          </w:tcPr>
          <w:p w:rsidR="00B958B1" w:rsidRPr="00CF25F3" w:rsidRDefault="00B958B1" w:rsidP="009F3B54">
            <w:pPr>
              <w:pStyle w:val="TableofFigures"/>
              <w:rPr>
                <w:lang w:eastAsia="en-AU"/>
              </w:rPr>
            </w:pPr>
            <w:r w:rsidRPr="00CF25F3">
              <w:rPr>
                <w:lang w:eastAsia="en-AU"/>
              </w:rPr>
              <w:t>..</w:t>
            </w:r>
          </w:p>
        </w:tc>
        <w:tc>
          <w:tcPr>
            <w:tcW w:w="882" w:type="dxa"/>
            <w:tcBorders>
              <w:top w:val="nil"/>
              <w:left w:val="nil"/>
              <w:bottom w:val="nil"/>
              <w:right w:val="nil"/>
            </w:tcBorders>
            <w:shd w:val="solid" w:color="FFFFFF" w:fill="auto"/>
          </w:tcPr>
          <w:p w:rsidR="00B958B1" w:rsidRPr="00CF25F3" w:rsidRDefault="00B958B1" w:rsidP="009F3B54">
            <w:pPr>
              <w:pStyle w:val="TableofFigures"/>
              <w:rPr>
                <w:lang w:eastAsia="en-AU"/>
              </w:rPr>
            </w:pPr>
            <w:r w:rsidRPr="00CF25F3">
              <w:rPr>
                <w:lang w:eastAsia="en-AU"/>
              </w:rPr>
              <w:t>..</w:t>
            </w:r>
          </w:p>
        </w:tc>
        <w:tc>
          <w:tcPr>
            <w:tcW w:w="472" w:type="dxa"/>
            <w:tcBorders>
              <w:top w:val="nil"/>
              <w:left w:val="nil"/>
              <w:bottom w:val="nil"/>
              <w:right w:val="nil"/>
            </w:tcBorders>
          </w:tcPr>
          <w:p w:rsidR="00B958B1" w:rsidRPr="00CF25F3" w:rsidRDefault="00B958B1" w:rsidP="009F3B54">
            <w:pPr>
              <w:autoSpaceDE w:val="0"/>
              <w:autoSpaceDN w:val="0"/>
              <w:adjustRightInd w:val="0"/>
              <w:spacing w:after="0"/>
              <w:jc w:val="right"/>
              <w:rPr>
                <w:rFonts w:ascii="Calibri" w:hAnsi="Calibri" w:cs="Calibri"/>
                <w:color w:val="000000"/>
                <w:sz w:val="20"/>
                <w:lang w:eastAsia="en-AU"/>
              </w:rPr>
            </w:pPr>
            <w:r w:rsidRPr="00CF25F3">
              <w:rPr>
                <w:rFonts w:ascii="Calibri" w:hAnsi="Calibri" w:cs="Calibri"/>
                <w:color w:val="000000"/>
                <w:sz w:val="20"/>
                <w:lang w:eastAsia="en-AU"/>
              </w:rPr>
              <w:t>5.0</w:t>
            </w:r>
          </w:p>
        </w:tc>
      </w:tr>
      <w:tr w:rsidR="00B958B1" w:rsidRPr="00CF25F3" w:rsidTr="009F3B54">
        <w:tc>
          <w:tcPr>
            <w:tcW w:w="3101" w:type="dxa"/>
            <w:gridSpan w:val="2"/>
            <w:tcBorders>
              <w:top w:val="nil"/>
              <w:left w:val="nil"/>
              <w:bottom w:val="nil"/>
              <w:right w:val="nil"/>
            </w:tcBorders>
          </w:tcPr>
          <w:p w:rsidR="00B958B1" w:rsidRPr="00CF25F3" w:rsidRDefault="00B958B1" w:rsidP="009F3B54">
            <w:pPr>
              <w:pStyle w:val="Tabletext"/>
              <w:rPr>
                <w:lang w:eastAsia="en-AU"/>
              </w:rPr>
            </w:pPr>
            <w:r w:rsidRPr="00CF25F3">
              <w:rPr>
                <w:lang w:eastAsia="en-AU"/>
              </w:rPr>
              <w:t>National Gallery of Victoria renewal and redesign</w:t>
            </w:r>
          </w:p>
        </w:tc>
        <w:tc>
          <w:tcPr>
            <w:tcW w:w="675" w:type="dxa"/>
            <w:tcBorders>
              <w:top w:val="nil"/>
              <w:left w:val="nil"/>
              <w:bottom w:val="nil"/>
              <w:right w:val="nil"/>
            </w:tcBorders>
            <w:shd w:val="solid" w:color="FFFFFF" w:fill="auto"/>
          </w:tcPr>
          <w:p w:rsidR="00B958B1" w:rsidRPr="00CF25F3" w:rsidRDefault="00B958B1" w:rsidP="009F3B54">
            <w:pPr>
              <w:pStyle w:val="TableofFigures"/>
              <w:rPr>
                <w:lang w:eastAsia="en-AU"/>
              </w:rPr>
            </w:pPr>
            <w:r w:rsidRPr="00CF25F3">
              <w:rPr>
                <w:lang w:eastAsia="en-AU"/>
              </w:rPr>
              <w:t>..</w:t>
            </w:r>
          </w:p>
        </w:tc>
        <w:tc>
          <w:tcPr>
            <w:tcW w:w="882" w:type="dxa"/>
            <w:tcBorders>
              <w:top w:val="nil"/>
              <w:left w:val="nil"/>
              <w:bottom w:val="nil"/>
              <w:right w:val="nil"/>
            </w:tcBorders>
            <w:shd w:val="solid" w:color="FFFFFF" w:fill="auto"/>
          </w:tcPr>
          <w:p w:rsidR="00B958B1" w:rsidRPr="00CF25F3" w:rsidRDefault="00B958B1" w:rsidP="009F3B54">
            <w:pPr>
              <w:pStyle w:val="TableofFigures"/>
              <w:rPr>
                <w:lang w:eastAsia="en-AU"/>
              </w:rPr>
            </w:pPr>
            <w:r w:rsidRPr="00CF25F3">
              <w:rPr>
                <w:lang w:eastAsia="en-AU"/>
              </w:rPr>
              <w:t>4.0</w:t>
            </w:r>
          </w:p>
        </w:tc>
        <w:tc>
          <w:tcPr>
            <w:tcW w:w="882" w:type="dxa"/>
            <w:tcBorders>
              <w:top w:val="nil"/>
              <w:left w:val="nil"/>
              <w:bottom w:val="nil"/>
              <w:right w:val="nil"/>
            </w:tcBorders>
            <w:shd w:val="solid" w:color="FFFFFF" w:fill="auto"/>
          </w:tcPr>
          <w:p w:rsidR="00B958B1" w:rsidRPr="00CF25F3" w:rsidRDefault="00B958B1" w:rsidP="009F3B54">
            <w:pPr>
              <w:pStyle w:val="TableofFigures"/>
              <w:rPr>
                <w:lang w:eastAsia="en-AU"/>
              </w:rPr>
            </w:pPr>
            <w:r w:rsidRPr="00CF25F3">
              <w:rPr>
                <w:lang w:eastAsia="en-AU"/>
              </w:rPr>
              <w:t>..</w:t>
            </w:r>
          </w:p>
        </w:tc>
        <w:tc>
          <w:tcPr>
            <w:tcW w:w="882" w:type="dxa"/>
            <w:tcBorders>
              <w:top w:val="nil"/>
              <w:left w:val="nil"/>
              <w:bottom w:val="nil"/>
              <w:right w:val="nil"/>
            </w:tcBorders>
            <w:shd w:val="solid" w:color="FFFFFF" w:fill="auto"/>
          </w:tcPr>
          <w:p w:rsidR="00B958B1" w:rsidRPr="00CF25F3" w:rsidRDefault="00B958B1" w:rsidP="009F3B54">
            <w:pPr>
              <w:pStyle w:val="TableofFigures"/>
              <w:rPr>
                <w:lang w:eastAsia="en-AU"/>
              </w:rPr>
            </w:pPr>
            <w:r w:rsidRPr="00CF25F3">
              <w:rPr>
                <w:lang w:eastAsia="en-AU"/>
              </w:rPr>
              <w:t>..</w:t>
            </w:r>
          </w:p>
        </w:tc>
        <w:tc>
          <w:tcPr>
            <w:tcW w:w="882" w:type="dxa"/>
            <w:tcBorders>
              <w:top w:val="nil"/>
              <w:left w:val="nil"/>
              <w:bottom w:val="nil"/>
              <w:right w:val="nil"/>
            </w:tcBorders>
            <w:shd w:val="solid" w:color="FFFFFF" w:fill="auto"/>
          </w:tcPr>
          <w:p w:rsidR="00B958B1" w:rsidRPr="00CF25F3" w:rsidRDefault="00B958B1" w:rsidP="009F3B54">
            <w:pPr>
              <w:pStyle w:val="TableofFigures"/>
              <w:rPr>
                <w:lang w:eastAsia="en-AU"/>
              </w:rPr>
            </w:pPr>
            <w:r w:rsidRPr="00CF25F3">
              <w:rPr>
                <w:lang w:eastAsia="en-AU"/>
              </w:rPr>
              <w:t>..</w:t>
            </w:r>
          </w:p>
        </w:tc>
        <w:tc>
          <w:tcPr>
            <w:tcW w:w="472" w:type="dxa"/>
            <w:tcBorders>
              <w:top w:val="nil"/>
              <w:left w:val="nil"/>
              <w:bottom w:val="nil"/>
              <w:right w:val="nil"/>
            </w:tcBorders>
          </w:tcPr>
          <w:p w:rsidR="00B958B1" w:rsidRPr="00CF25F3" w:rsidRDefault="00B958B1" w:rsidP="009F3B54">
            <w:pPr>
              <w:autoSpaceDE w:val="0"/>
              <w:autoSpaceDN w:val="0"/>
              <w:adjustRightInd w:val="0"/>
              <w:spacing w:after="0"/>
              <w:jc w:val="right"/>
              <w:rPr>
                <w:rFonts w:ascii="Calibri" w:hAnsi="Calibri" w:cs="Calibri"/>
                <w:color w:val="000000"/>
                <w:sz w:val="20"/>
                <w:lang w:eastAsia="en-AU"/>
              </w:rPr>
            </w:pPr>
            <w:r w:rsidRPr="00CF25F3">
              <w:rPr>
                <w:rFonts w:ascii="Calibri" w:hAnsi="Calibri" w:cs="Calibri"/>
                <w:color w:val="000000"/>
                <w:sz w:val="20"/>
                <w:lang w:eastAsia="en-AU"/>
              </w:rPr>
              <w:t>4.0</w:t>
            </w:r>
          </w:p>
        </w:tc>
      </w:tr>
      <w:tr w:rsidR="00B958B1" w:rsidRPr="00CF25F3" w:rsidTr="009F3B54">
        <w:tc>
          <w:tcPr>
            <w:tcW w:w="2894" w:type="dxa"/>
            <w:tcBorders>
              <w:top w:val="nil"/>
              <w:left w:val="nil"/>
              <w:bottom w:val="nil"/>
              <w:right w:val="nil"/>
            </w:tcBorders>
            <w:shd w:val="solid" w:color="FFFFFF" w:fill="auto"/>
          </w:tcPr>
          <w:p w:rsidR="00B958B1" w:rsidRPr="00CF25F3" w:rsidRDefault="00B958B1" w:rsidP="009F3B54">
            <w:pPr>
              <w:pStyle w:val="Tabletext"/>
              <w:rPr>
                <w:lang w:eastAsia="en-AU"/>
              </w:rPr>
            </w:pPr>
            <w:r w:rsidRPr="00CF25F3">
              <w:rPr>
                <w:lang w:eastAsia="en-AU"/>
              </w:rPr>
              <w:t>Protection and preservation of Government House</w:t>
            </w:r>
            <w:r>
              <w:rPr>
                <w:lang w:eastAsia="en-AU"/>
              </w:rPr>
              <w:t xml:space="preserve"> – </w:t>
            </w:r>
            <w:r w:rsidRPr="00CF25F3">
              <w:rPr>
                <w:lang w:eastAsia="en-AU"/>
              </w:rPr>
              <w:t>stage 2</w:t>
            </w:r>
          </w:p>
        </w:tc>
        <w:tc>
          <w:tcPr>
            <w:tcW w:w="882" w:type="dxa"/>
            <w:gridSpan w:val="2"/>
            <w:tcBorders>
              <w:top w:val="nil"/>
              <w:left w:val="nil"/>
              <w:bottom w:val="nil"/>
              <w:right w:val="nil"/>
            </w:tcBorders>
            <w:shd w:val="solid" w:color="FFFFFF" w:fill="auto"/>
          </w:tcPr>
          <w:p w:rsidR="00B958B1" w:rsidRPr="00CF25F3" w:rsidRDefault="00B958B1" w:rsidP="009F3B54">
            <w:pPr>
              <w:pStyle w:val="TableofFigures"/>
              <w:rPr>
                <w:lang w:eastAsia="en-AU"/>
              </w:rPr>
            </w:pPr>
            <w:r w:rsidRPr="00CF25F3">
              <w:rPr>
                <w:lang w:eastAsia="en-AU"/>
              </w:rPr>
              <w:t>..</w:t>
            </w:r>
          </w:p>
        </w:tc>
        <w:tc>
          <w:tcPr>
            <w:tcW w:w="882" w:type="dxa"/>
            <w:tcBorders>
              <w:top w:val="nil"/>
              <w:left w:val="nil"/>
              <w:bottom w:val="nil"/>
              <w:right w:val="nil"/>
            </w:tcBorders>
            <w:shd w:val="solid" w:color="FFFFFF" w:fill="auto"/>
          </w:tcPr>
          <w:p w:rsidR="00B958B1" w:rsidRPr="00CF25F3" w:rsidRDefault="00B958B1" w:rsidP="009F3B54">
            <w:pPr>
              <w:pStyle w:val="TableofFigures"/>
              <w:rPr>
                <w:lang w:eastAsia="en-AU"/>
              </w:rPr>
            </w:pPr>
            <w:r w:rsidRPr="00CF25F3">
              <w:rPr>
                <w:lang w:eastAsia="en-AU"/>
              </w:rPr>
              <w:t>1.0</w:t>
            </w:r>
          </w:p>
        </w:tc>
        <w:tc>
          <w:tcPr>
            <w:tcW w:w="882" w:type="dxa"/>
            <w:tcBorders>
              <w:top w:val="nil"/>
              <w:left w:val="nil"/>
              <w:bottom w:val="nil"/>
              <w:right w:val="nil"/>
            </w:tcBorders>
            <w:shd w:val="solid" w:color="FFFFFF" w:fill="auto"/>
          </w:tcPr>
          <w:p w:rsidR="00B958B1" w:rsidRPr="00CF25F3" w:rsidRDefault="00B958B1" w:rsidP="009F3B54">
            <w:pPr>
              <w:pStyle w:val="TableofFigures"/>
              <w:rPr>
                <w:lang w:eastAsia="en-AU"/>
              </w:rPr>
            </w:pPr>
            <w:r w:rsidRPr="00CF25F3">
              <w:rPr>
                <w:lang w:eastAsia="en-AU"/>
              </w:rPr>
              <w:t>1.5</w:t>
            </w:r>
          </w:p>
        </w:tc>
        <w:tc>
          <w:tcPr>
            <w:tcW w:w="882" w:type="dxa"/>
            <w:tcBorders>
              <w:top w:val="nil"/>
              <w:left w:val="nil"/>
              <w:bottom w:val="nil"/>
              <w:right w:val="nil"/>
            </w:tcBorders>
            <w:shd w:val="solid" w:color="FFFFFF" w:fill="auto"/>
          </w:tcPr>
          <w:p w:rsidR="00B958B1" w:rsidRPr="00CF25F3" w:rsidRDefault="00B958B1" w:rsidP="009F3B54">
            <w:pPr>
              <w:pStyle w:val="TableofFigures"/>
              <w:rPr>
                <w:lang w:eastAsia="en-AU"/>
              </w:rPr>
            </w:pPr>
            <w:r w:rsidRPr="00CF25F3">
              <w:rPr>
                <w:lang w:eastAsia="en-AU"/>
              </w:rPr>
              <w:t>..</w:t>
            </w:r>
          </w:p>
        </w:tc>
        <w:tc>
          <w:tcPr>
            <w:tcW w:w="882" w:type="dxa"/>
            <w:tcBorders>
              <w:top w:val="nil"/>
              <w:left w:val="nil"/>
              <w:bottom w:val="nil"/>
              <w:right w:val="nil"/>
            </w:tcBorders>
            <w:shd w:val="solid" w:color="FFFFFF" w:fill="auto"/>
          </w:tcPr>
          <w:p w:rsidR="00B958B1" w:rsidRPr="00CF25F3" w:rsidRDefault="00B958B1" w:rsidP="009F3B54">
            <w:pPr>
              <w:pStyle w:val="TableofFigures"/>
              <w:rPr>
                <w:lang w:eastAsia="en-AU"/>
              </w:rPr>
            </w:pPr>
            <w:r w:rsidRPr="00CF25F3">
              <w:rPr>
                <w:lang w:eastAsia="en-AU"/>
              </w:rPr>
              <w:t>..</w:t>
            </w:r>
          </w:p>
        </w:tc>
        <w:tc>
          <w:tcPr>
            <w:tcW w:w="472" w:type="dxa"/>
            <w:tcBorders>
              <w:top w:val="nil"/>
              <w:left w:val="nil"/>
              <w:bottom w:val="nil"/>
              <w:right w:val="nil"/>
            </w:tcBorders>
            <w:shd w:val="solid" w:color="FFFFFF" w:fill="auto"/>
          </w:tcPr>
          <w:p w:rsidR="00B958B1" w:rsidRPr="00CF25F3" w:rsidRDefault="00B958B1" w:rsidP="009F3B54">
            <w:pPr>
              <w:autoSpaceDE w:val="0"/>
              <w:autoSpaceDN w:val="0"/>
              <w:adjustRightInd w:val="0"/>
              <w:spacing w:after="0"/>
              <w:jc w:val="right"/>
              <w:rPr>
                <w:rFonts w:ascii="Calibri" w:hAnsi="Calibri" w:cs="Calibri"/>
                <w:color w:val="000000"/>
                <w:sz w:val="20"/>
                <w:lang w:eastAsia="en-AU"/>
              </w:rPr>
            </w:pPr>
            <w:r w:rsidRPr="00CF25F3">
              <w:rPr>
                <w:rFonts w:ascii="Calibri" w:hAnsi="Calibri" w:cs="Calibri"/>
                <w:color w:val="000000"/>
                <w:sz w:val="20"/>
                <w:lang w:eastAsia="en-AU"/>
              </w:rPr>
              <w:t>2.5</w:t>
            </w:r>
          </w:p>
        </w:tc>
      </w:tr>
      <w:tr w:rsidR="00B958B1" w:rsidRPr="00CF25F3" w:rsidTr="009F3B54">
        <w:tc>
          <w:tcPr>
            <w:tcW w:w="2894" w:type="dxa"/>
            <w:tcBorders>
              <w:top w:val="nil"/>
              <w:left w:val="nil"/>
              <w:bottom w:val="nil"/>
              <w:right w:val="nil"/>
            </w:tcBorders>
            <w:shd w:val="solid" w:color="FFFFFF" w:fill="auto"/>
          </w:tcPr>
          <w:p w:rsidR="00B958B1" w:rsidRPr="00CF25F3" w:rsidRDefault="00B958B1" w:rsidP="009F3B54">
            <w:pPr>
              <w:pStyle w:val="Tabletext"/>
              <w:rPr>
                <w:lang w:eastAsia="en-AU"/>
              </w:rPr>
            </w:pPr>
            <w:r w:rsidRPr="00CF25F3">
              <w:rPr>
                <w:lang w:eastAsia="en-AU"/>
              </w:rPr>
              <w:t>Public Record Office Victoria asset plan renewal</w:t>
            </w:r>
          </w:p>
        </w:tc>
        <w:tc>
          <w:tcPr>
            <w:tcW w:w="882" w:type="dxa"/>
            <w:gridSpan w:val="2"/>
            <w:tcBorders>
              <w:top w:val="nil"/>
              <w:left w:val="nil"/>
              <w:bottom w:val="nil"/>
              <w:right w:val="nil"/>
            </w:tcBorders>
            <w:shd w:val="solid" w:color="FFFFFF" w:fill="auto"/>
          </w:tcPr>
          <w:p w:rsidR="00B958B1" w:rsidRPr="00CF25F3" w:rsidRDefault="00B958B1" w:rsidP="009F3B54">
            <w:pPr>
              <w:pStyle w:val="TableofFigures"/>
              <w:rPr>
                <w:lang w:eastAsia="en-AU"/>
              </w:rPr>
            </w:pPr>
            <w:r w:rsidRPr="00CF25F3">
              <w:rPr>
                <w:lang w:eastAsia="en-AU"/>
              </w:rPr>
              <w:t>..</w:t>
            </w:r>
          </w:p>
        </w:tc>
        <w:tc>
          <w:tcPr>
            <w:tcW w:w="882" w:type="dxa"/>
            <w:tcBorders>
              <w:top w:val="nil"/>
              <w:left w:val="nil"/>
              <w:bottom w:val="nil"/>
              <w:right w:val="nil"/>
            </w:tcBorders>
            <w:shd w:val="solid" w:color="FFFFFF" w:fill="auto"/>
          </w:tcPr>
          <w:p w:rsidR="00B958B1" w:rsidRPr="00CF25F3" w:rsidRDefault="00B958B1" w:rsidP="009F3B54">
            <w:pPr>
              <w:pStyle w:val="TableofFigures"/>
              <w:rPr>
                <w:lang w:eastAsia="en-AU"/>
              </w:rPr>
            </w:pPr>
            <w:r w:rsidRPr="00CF25F3">
              <w:rPr>
                <w:lang w:eastAsia="en-AU"/>
              </w:rPr>
              <w:t>1.7</w:t>
            </w:r>
          </w:p>
        </w:tc>
        <w:tc>
          <w:tcPr>
            <w:tcW w:w="882" w:type="dxa"/>
            <w:tcBorders>
              <w:top w:val="nil"/>
              <w:left w:val="nil"/>
              <w:bottom w:val="nil"/>
              <w:right w:val="nil"/>
            </w:tcBorders>
            <w:shd w:val="solid" w:color="FFFFFF" w:fill="auto"/>
          </w:tcPr>
          <w:p w:rsidR="00B958B1" w:rsidRPr="00CF25F3" w:rsidRDefault="00B958B1" w:rsidP="009F3B54">
            <w:pPr>
              <w:pStyle w:val="TableofFigures"/>
              <w:rPr>
                <w:lang w:eastAsia="en-AU"/>
              </w:rPr>
            </w:pPr>
            <w:r w:rsidRPr="00CF25F3">
              <w:rPr>
                <w:lang w:eastAsia="en-AU"/>
              </w:rPr>
              <w:t>..</w:t>
            </w:r>
          </w:p>
        </w:tc>
        <w:tc>
          <w:tcPr>
            <w:tcW w:w="882" w:type="dxa"/>
            <w:tcBorders>
              <w:top w:val="nil"/>
              <w:left w:val="nil"/>
              <w:bottom w:val="nil"/>
              <w:right w:val="nil"/>
            </w:tcBorders>
            <w:shd w:val="solid" w:color="FFFFFF" w:fill="auto"/>
          </w:tcPr>
          <w:p w:rsidR="00B958B1" w:rsidRPr="00CF25F3" w:rsidRDefault="00B958B1" w:rsidP="009F3B54">
            <w:pPr>
              <w:pStyle w:val="TableofFigures"/>
              <w:rPr>
                <w:lang w:eastAsia="en-AU"/>
              </w:rPr>
            </w:pPr>
            <w:r w:rsidRPr="00CF25F3">
              <w:rPr>
                <w:lang w:eastAsia="en-AU"/>
              </w:rPr>
              <w:t>..</w:t>
            </w:r>
          </w:p>
        </w:tc>
        <w:tc>
          <w:tcPr>
            <w:tcW w:w="882" w:type="dxa"/>
            <w:tcBorders>
              <w:top w:val="nil"/>
              <w:left w:val="nil"/>
              <w:bottom w:val="nil"/>
              <w:right w:val="nil"/>
            </w:tcBorders>
            <w:shd w:val="solid" w:color="FFFFFF" w:fill="auto"/>
          </w:tcPr>
          <w:p w:rsidR="00B958B1" w:rsidRPr="00CF25F3" w:rsidRDefault="00B958B1" w:rsidP="009F3B54">
            <w:pPr>
              <w:pStyle w:val="TableofFigures"/>
              <w:rPr>
                <w:lang w:eastAsia="en-AU"/>
              </w:rPr>
            </w:pPr>
            <w:r w:rsidRPr="00CF25F3">
              <w:rPr>
                <w:lang w:eastAsia="en-AU"/>
              </w:rPr>
              <w:t>..</w:t>
            </w:r>
          </w:p>
        </w:tc>
        <w:tc>
          <w:tcPr>
            <w:tcW w:w="472" w:type="dxa"/>
            <w:tcBorders>
              <w:top w:val="nil"/>
              <w:left w:val="nil"/>
              <w:bottom w:val="nil"/>
              <w:right w:val="nil"/>
            </w:tcBorders>
            <w:shd w:val="solid" w:color="FFFFFF" w:fill="auto"/>
          </w:tcPr>
          <w:p w:rsidR="00B958B1" w:rsidRPr="00CF25F3" w:rsidRDefault="00B958B1" w:rsidP="009F3B54">
            <w:pPr>
              <w:autoSpaceDE w:val="0"/>
              <w:autoSpaceDN w:val="0"/>
              <w:adjustRightInd w:val="0"/>
              <w:spacing w:after="0"/>
              <w:jc w:val="right"/>
              <w:rPr>
                <w:rFonts w:ascii="Calibri" w:hAnsi="Calibri" w:cs="Calibri"/>
                <w:color w:val="000000"/>
                <w:sz w:val="20"/>
                <w:lang w:eastAsia="en-AU"/>
              </w:rPr>
            </w:pPr>
            <w:r w:rsidRPr="00CF25F3">
              <w:rPr>
                <w:rFonts w:ascii="Calibri" w:hAnsi="Calibri" w:cs="Calibri"/>
                <w:color w:val="000000"/>
                <w:sz w:val="20"/>
                <w:lang w:eastAsia="en-AU"/>
              </w:rPr>
              <w:t>1.7</w:t>
            </w:r>
          </w:p>
        </w:tc>
      </w:tr>
      <w:tr w:rsidR="00B958B1" w:rsidRPr="00CF25F3" w:rsidTr="009F3B54">
        <w:tc>
          <w:tcPr>
            <w:tcW w:w="2894" w:type="dxa"/>
            <w:tcBorders>
              <w:top w:val="single" w:sz="6" w:space="0" w:color="auto"/>
              <w:left w:val="nil"/>
              <w:bottom w:val="single" w:sz="12" w:space="0" w:color="auto"/>
              <w:right w:val="nil"/>
            </w:tcBorders>
            <w:shd w:val="solid" w:color="FFFFFF" w:fill="auto"/>
          </w:tcPr>
          <w:p w:rsidR="00B958B1" w:rsidRPr="00CF25F3" w:rsidRDefault="00B958B1" w:rsidP="009F3B54">
            <w:pPr>
              <w:pStyle w:val="Tabletext"/>
              <w:rPr>
                <w:b/>
                <w:bCs/>
                <w:lang w:eastAsia="en-AU"/>
              </w:rPr>
            </w:pPr>
            <w:r w:rsidRPr="00CF25F3">
              <w:rPr>
                <w:b/>
                <w:bCs/>
                <w:lang w:eastAsia="en-AU"/>
              </w:rPr>
              <w:t>Total asset initiatives</w:t>
            </w:r>
          </w:p>
        </w:tc>
        <w:tc>
          <w:tcPr>
            <w:tcW w:w="882" w:type="dxa"/>
            <w:gridSpan w:val="2"/>
            <w:tcBorders>
              <w:top w:val="single" w:sz="6" w:space="0" w:color="auto"/>
              <w:left w:val="nil"/>
              <w:bottom w:val="single" w:sz="12" w:space="0" w:color="auto"/>
              <w:right w:val="nil"/>
            </w:tcBorders>
            <w:shd w:val="solid" w:color="FFFFFF" w:fill="auto"/>
          </w:tcPr>
          <w:p w:rsidR="00B958B1" w:rsidRPr="00CF25F3" w:rsidRDefault="00B958B1" w:rsidP="009F3B54">
            <w:pPr>
              <w:pStyle w:val="TableofFigures"/>
              <w:rPr>
                <w:b/>
                <w:bCs/>
                <w:lang w:eastAsia="en-AU"/>
              </w:rPr>
            </w:pPr>
            <w:r w:rsidRPr="00CF25F3">
              <w:rPr>
                <w:b/>
                <w:bCs/>
                <w:lang w:eastAsia="en-AU"/>
              </w:rPr>
              <w:t>..</w:t>
            </w:r>
          </w:p>
        </w:tc>
        <w:tc>
          <w:tcPr>
            <w:tcW w:w="882" w:type="dxa"/>
            <w:tcBorders>
              <w:top w:val="single" w:sz="6" w:space="0" w:color="auto"/>
              <w:left w:val="nil"/>
              <w:bottom w:val="single" w:sz="12" w:space="0" w:color="auto"/>
              <w:right w:val="nil"/>
            </w:tcBorders>
            <w:shd w:val="solid" w:color="FFFFFF" w:fill="auto"/>
          </w:tcPr>
          <w:p w:rsidR="00B958B1" w:rsidRPr="00CF25F3" w:rsidRDefault="00B958B1" w:rsidP="009F3B54">
            <w:pPr>
              <w:pStyle w:val="TableofFigures"/>
              <w:rPr>
                <w:b/>
                <w:bCs/>
                <w:lang w:eastAsia="en-AU"/>
              </w:rPr>
            </w:pPr>
            <w:r w:rsidRPr="00CF25F3">
              <w:rPr>
                <w:b/>
                <w:bCs/>
                <w:lang w:eastAsia="en-AU"/>
              </w:rPr>
              <w:t>11.7</w:t>
            </w:r>
          </w:p>
        </w:tc>
        <w:tc>
          <w:tcPr>
            <w:tcW w:w="882" w:type="dxa"/>
            <w:tcBorders>
              <w:top w:val="single" w:sz="6" w:space="0" w:color="auto"/>
              <w:left w:val="nil"/>
              <w:bottom w:val="single" w:sz="12" w:space="0" w:color="auto"/>
              <w:right w:val="nil"/>
            </w:tcBorders>
            <w:shd w:val="solid" w:color="FFFFFF" w:fill="auto"/>
          </w:tcPr>
          <w:p w:rsidR="00B958B1" w:rsidRPr="00CF25F3" w:rsidRDefault="00B958B1" w:rsidP="009F3B54">
            <w:pPr>
              <w:pStyle w:val="TableofFigures"/>
              <w:rPr>
                <w:b/>
                <w:bCs/>
                <w:lang w:eastAsia="en-AU"/>
              </w:rPr>
            </w:pPr>
            <w:r w:rsidRPr="00CF25F3">
              <w:rPr>
                <w:b/>
                <w:bCs/>
                <w:lang w:eastAsia="en-AU"/>
              </w:rPr>
              <w:t>1.5</w:t>
            </w:r>
          </w:p>
        </w:tc>
        <w:tc>
          <w:tcPr>
            <w:tcW w:w="882" w:type="dxa"/>
            <w:tcBorders>
              <w:top w:val="single" w:sz="6" w:space="0" w:color="auto"/>
              <w:left w:val="nil"/>
              <w:bottom w:val="single" w:sz="12" w:space="0" w:color="auto"/>
              <w:right w:val="nil"/>
            </w:tcBorders>
            <w:shd w:val="solid" w:color="FFFFFF" w:fill="auto"/>
          </w:tcPr>
          <w:p w:rsidR="00B958B1" w:rsidRPr="00CF25F3" w:rsidRDefault="00B958B1" w:rsidP="009F3B54">
            <w:pPr>
              <w:pStyle w:val="TableofFigures"/>
              <w:rPr>
                <w:b/>
                <w:bCs/>
                <w:lang w:eastAsia="en-AU"/>
              </w:rPr>
            </w:pPr>
            <w:r w:rsidRPr="00CF25F3">
              <w:rPr>
                <w:b/>
                <w:bCs/>
                <w:lang w:eastAsia="en-AU"/>
              </w:rPr>
              <w:t>..</w:t>
            </w:r>
          </w:p>
        </w:tc>
        <w:tc>
          <w:tcPr>
            <w:tcW w:w="882" w:type="dxa"/>
            <w:tcBorders>
              <w:top w:val="single" w:sz="6" w:space="0" w:color="auto"/>
              <w:left w:val="nil"/>
              <w:bottom w:val="single" w:sz="12" w:space="0" w:color="auto"/>
              <w:right w:val="nil"/>
            </w:tcBorders>
            <w:shd w:val="solid" w:color="FFFFFF" w:fill="auto"/>
          </w:tcPr>
          <w:p w:rsidR="00B958B1" w:rsidRPr="00CF25F3" w:rsidRDefault="00B958B1" w:rsidP="009F3B54">
            <w:pPr>
              <w:pStyle w:val="TableofFigures"/>
              <w:rPr>
                <w:b/>
                <w:bCs/>
                <w:lang w:eastAsia="en-AU"/>
              </w:rPr>
            </w:pPr>
            <w:r w:rsidRPr="00CF25F3">
              <w:rPr>
                <w:b/>
                <w:bCs/>
                <w:lang w:eastAsia="en-AU"/>
              </w:rPr>
              <w:t>..</w:t>
            </w:r>
          </w:p>
        </w:tc>
        <w:tc>
          <w:tcPr>
            <w:tcW w:w="472" w:type="dxa"/>
            <w:tcBorders>
              <w:top w:val="single" w:sz="6" w:space="0" w:color="auto"/>
              <w:left w:val="nil"/>
              <w:bottom w:val="single" w:sz="12" w:space="0" w:color="auto"/>
              <w:right w:val="nil"/>
            </w:tcBorders>
            <w:shd w:val="solid" w:color="FFFFFF" w:fill="auto"/>
          </w:tcPr>
          <w:p w:rsidR="00B958B1" w:rsidRPr="00CF25F3" w:rsidRDefault="00B958B1" w:rsidP="009F3B54">
            <w:pPr>
              <w:autoSpaceDE w:val="0"/>
              <w:autoSpaceDN w:val="0"/>
              <w:adjustRightInd w:val="0"/>
              <w:spacing w:after="0"/>
              <w:jc w:val="right"/>
              <w:rPr>
                <w:rFonts w:ascii="Calibri" w:hAnsi="Calibri" w:cs="Calibri"/>
                <w:b/>
                <w:bCs/>
                <w:color w:val="000000"/>
                <w:sz w:val="20"/>
                <w:lang w:eastAsia="en-AU"/>
              </w:rPr>
            </w:pPr>
            <w:r w:rsidRPr="00CF25F3">
              <w:rPr>
                <w:rFonts w:ascii="Calibri" w:hAnsi="Calibri" w:cs="Calibri"/>
                <w:b/>
                <w:bCs/>
                <w:color w:val="000000"/>
                <w:sz w:val="20"/>
                <w:lang w:eastAsia="en-AU"/>
              </w:rPr>
              <w:t>13.2</w:t>
            </w:r>
          </w:p>
        </w:tc>
      </w:tr>
    </w:tbl>
    <w:p w:rsidR="00B958B1" w:rsidRDefault="00B958B1" w:rsidP="009F3B54">
      <w:pPr>
        <w:pStyle w:val="Source"/>
      </w:pPr>
      <w:r w:rsidRPr="00A20936">
        <w:t>Source: Department of Treasury and Finance</w:t>
      </w:r>
    </w:p>
    <w:p w:rsidR="00B958B1" w:rsidRPr="004544B5" w:rsidRDefault="00B958B1" w:rsidP="009F3B54">
      <w:pPr>
        <w:pStyle w:val="Notes"/>
      </w:pPr>
    </w:p>
    <w:p w:rsidR="00B958B1" w:rsidRDefault="00B958B1" w:rsidP="009F3B54">
      <w:pPr>
        <w:pStyle w:val="Heading4"/>
        <w:rPr>
          <w:lang w:eastAsia="en-AU"/>
        </w:rPr>
      </w:pPr>
      <w:r>
        <w:rPr>
          <w:lang w:eastAsia="en-AU"/>
        </w:rPr>
        <w:t>Arts and Cultural Development</w:t>
      </w:r>
    </w:p>
    <w:p w:rsidR="00B958B1" w:rsidRDefault="00B958B1" w:rsidP="009F3B54">
      <w:pPr>
        <w:pStyle w:val="Heading5"/>
      </w:pPr>
      <w:r>
        <w:t>Arts and Cultural Facilities Maintenance Fund renewal</w:t>
      </w:r>
    </w:p>
    <w:p w:rsidR="00B958B1" w:rsidRDefault="00B958B1" w:rsidP="009F3B54">
      <w:r>
        <w:fldChar w:fldCharType="begin"/>
      </w:r>
      <w:r>
        <w:instrText xml:space="preserve"> XE "</w:instrText>
      </w:r>
      <w:r w:rsidRPr="001902E6">
        <w:instrText>Arts</w:instrText>
      </w:r>
      <w:r>
        <w:instrText xml:space="preserve">" </w:instrText>
      </w:r>
      <w:r>
        <w:fldChar w:fldCharType="end"/>
      </w:r>
      <w:r w:rsidRPr="00A3504A">
        <w:t>Continued funding to support maintenance works</w:t>
      </w:r>
      <w:r>
        <w:t xml:space="preserve"> at State</w:t>
      </w:r>
      <w:r w:rsidR="009F0F49">
        <w:noBreakHyphen/>
      </w:r>
      <w:r>
        <w:t>owned arts facilities that house a range of government and non</w:t>
      </w:r>
      <w:r w:rsidR="009F0F49">
        <w:noBreakHyphen/>
      </w:r>
      <w:r>
        <w:t xml:space="preserve">government arts organisations. </w:t>
      </w:r>
    </w:p>
    <w:p w:rsidR="00B958B1" w:rsidRDefault="00B958B1" w:rsidP="009F3B54">
      <w:r>
        <w:t xml:space="preserve">This initiative contributes to the Department of Premier and Cabinet’s Arts Portfolio Agencies output. </w:t>
      </w:r>
    </w:p>
    <w:p w:rsidR="00B958B1" w:rsidRDefault="00B958B1" w:rsidP="009F3B54">
      <w:pPr>
        <w:pStyle w:val="Heading5"/>
      </w:pPr>
      <w:r>
        <w:t>National Gallery of Victoria renewal and redesign</w:t>
      </w:r>
    </w:p>
    <w:p w:rsidR="00B958B1" w:rsidRDefault="00B958B1" w:rsidP="009F3B54">
      <w:r w:rsidRPr="003435E4">
        <w:t xml:space="preserve">The National Gallery of Victoria </w:t>
      </w:r>
      <w:r>
        <w:t>International and the Ian Potter Centre</w:t>
      </w:r>
      <w:r w:rsidRPr="003435E4">
        <w:t xml:space="preserve"> w</w:t>
      </w:r>
      <w:r>
        <w:t>ill be refurbished and enhanced</w:t>
      </w:r>
      <w:r w:rsidRPr="003435E4">
        <w:t>.</w:t>
      </w:r>
      <w:r>
        <w:t xml:space="preserve"> An existing storage facility at the </w:t>
      </w:r>
      <w:r w:rsidRPr="003435E4">
        <w:t xml:space="preserve">National Gallery of Victoria </w:t>
      </w:r>
      <w:r>
        <w:t>International will also be remodelled as a new temporary exhibition space.</w:t>
      </w:r>
    </w:p>
    <w:p w:rsidR="00B958B1" w:rsidRDefault="00B958B1" w:rsidP="009F3B54">
      <w:r>
        <w:t>This initiative contributes to the Department of Premier and Cabinet’s Arts Portfolio Agencies output.</w:t>
      </w:r>
    </w:p>
    <w:p w:rsidR="00B958B1" w:rsidRDefault="00B958B1" w:rsidP="009F3B54">
      <w:pPr>
        <w:pStyle w:val="Heading5"/>
      </w:pPr>
      <w:r>
        <w:t>Protection and preservation of Government House – stage 2</w:t>
      </w:r>
    </w:p>
    <w:p w:rsidR="00B958B1" w:rsidRDefault="00B958B1" w:rsidP="009F3B54">
      <w:r>
        <w:t>Further improvement works will be undertaken at Government House to preserve the heritage features of the buildings.</w:t>
      </w:r>
    </w:p>
    <w:p w:rsidR="00B958B1" w:rsidRDefault="00B958B1" w:rsidP="009F3B54">
      <w:r>
        <w:t>This initiative contributes to the Department of Premier and Cabinet’s Advice and Support to the Governor.</w:t>
      </w:r>
    </w:p>
    <w:p w:rsidR="00B958B1" w:rsidRDefault="00B958B1" w:rsidP="009F3B54">
      <w:pPr>
        <w:pStyle w:val="Heading5"/>
      </w:pPr>
      <w:r>
        <w:t>Public Record Office Victoria asset plan renewal</w:t>
      </w:r>
    </w:p>
    <w:p w:rsidR="00B958B1" w:rsidRDefault="00B958B1" w:rsidP="009F3B54">
      <w:r>
        <w:t>Refer to the output initiative for a description of this initiative.</w:t>
      </w:r>
    </w:p>
    <w:p w:rsidR="00B958B1" w:rsidRDefault="00B958B1" w:rsidP="009F3B54">
      <w:r>
        <w:t xml:space="preserve">This initiative contributes to the Department of Premier and Cabinet’s Arts Portfolio Agencies output. </w:t>
      </w:r>
      <w:r>
        <w:fldChar w:fldCharType="begin"/>
      </w:r>
      <w:r>
        <w:instrText xml:space="preserve"> XE "</w:instrText>
      </w:r>
      <w:r w:rsidRPr="00901816">
        <w:instrText>Department of Premier and Cabinet:Asset initiatives</w:instrText>
      </w:r>
      <w:r>
        <w:instrText xml:space="preserve">" \r "BP3Ch1DPCAssetInitves" </w:instrText>
      </w:r>
      <w:r>
        <w:fldChar w:fldCharType="end"/>
      </w:r>
    </w:p>
    <w:bookmarkEnd w:id="57"/>
    <w:p w:rsidR="00B958B1" w:rsidRPr="000C5BB1" w:rsidRDefault="00B958B1" w:rsidP="009F3B54">
      <w:pPr>
        <w:pStyle w:val="Heading1"/>
      </w:pPr>
      <w:r>
        <w:br w:type="page"/>
      </w:r>
      <w:bookmarkStart w:id="58" w:name="_Toc355248220"/>
      <w:bookmarkStart w:id="59" w:name="_Toc355362272"/>
      <w:r>
        <w:t xml:space="preserve">Department of State Development, Business </w:t>
      </w:r>
      <w:r w:rsidRPr="00376BA6">
        <w:t>and</w:t>
      </w:r>
      <w:r>
        <w:t xml:space="preserve"> Innovation</w:t>
      </w:r>
      <w:bookmarkEnd w:id="58"/>
      <w:bookmarkEnd w:id="59"/>
    </w:p>
    <w:p w:rsidR="00B958B1" w:rsidRPr="000C5BB1" w:rsidRDefault="00B958B1" w:rsidP="009F3B54">
      <w:pPr>
        <w:pStyle w:val="Heading3"/>
      </w:pPr>
      <w:bookmarkStart w:id="60" w:name="BP3Ch1DSDBIOutputInitves"/>
      <w:r>
        <w:t>Output initiatives</w:t>
      </w:r>
    </w:p>
    <w:p w:rsidR="00B958B1" w:rsidRPr="000C5BB1" w:rsidRDefault="00B958B1" w:rsidP="009F3B54">
      <w:pPr>
        <w:pStyle w:val="Tableheading"/>
      </w:pPr>
      <w:r w:rsidRPr="006C13A1">
        <w:t>Table 1.</w:t>
      </w:r>
      <w:r>
        <w:t>13</w:t>
      </w:r>
      <w:r w:rsidRPr="006C13A1">
        <w:t>:</w:t>
      </w:r>
      <w:r w:rsidRPr="006C13A1">
        <w:tab/>
        <w:t>Output initiatives – State Development, Business and Innovation</w:t>
      </w:r>
    </w:p>
    <w:p w:rsidR="00B958B1" w:rsidRPr="007660C2" w:rsidRDefault="00B958B1" w:rsidP="009F3B54">
      <w:pPr>
        <w:pStyle w:val="million"/>
      </w:pPr>
      <w:r>
        <w:fldChar w:fldCharType="begin"/>
      </w:r>
      <w:r>
        <w:instrText xml:space="preserve"> XE "</w:instrText>
      </w:r>
      <w:r w:rsidRPr="002103D2">
        <w:instrText>Department of State Development, Business and Innovation:Tourism</w:instrText>
      </w:r>
      <w:r>
        <w:instrText xml:space="preserve"> and Marketing" </w:instrText>
      </w:r>
      <w:r>
        <w:fldChar w:fldCharType="end"/>
      </w:r>
      <w:r>
        <w:fldChar w:fldCharType="begin"/>
      </w:r>
      <w:r>
        <w:instrText xml:space="preserve"> XE "</w:instrText>
      </w:r>
      <w:r w:rsidRPr="009E53A6">
        <w:instrText>Tourism</w:instrText>
      </w:r>
      <w:r>
        <w:instrText xml:space="preserve"> and Marketing" </w:instrText>
      </w:r>
      <w:r>
        <w:fldChar w:fldCharType="end"/>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524"/>
        <w:gridCol w:w="180"/>
        <w:gridCol w:w="108"/>
        <w:gridCol w:w="562"/>
        <w:gridCol w:w="850"/>
        <w:gridCol w:w="518"/>
        <w:gridCol w:w="106"/>
        <w:gridCol w:w="106"/>
        <w:gridCol w:w="121"/>
        <w:gridCol w:w="850"/>
        <w:gridCol w:w="851"/>
      </w:tblGrid>
      <w:tr w:rsidR="00B958B1" w:rsidRPr="007660C2" w:rsidTr="009F3B54">
        <w:tc>
          <w:tcPr>
            <w:tcW w:w="3524" w:type="dxa"/>
            <w:tcBorders>
              <w:top w:val="single" w:sz="6" w:space="0" w:color="auto"/>
              <w:left w:val="single" w:sz="4" w:space="0" w:color="auto"/>
              <w:bottom w:val="single" w:sz="4" w:space="0" w:color="auto"/>
              <w:right w:val="nil"/>
            </w:tcBorders>
            <w:shd w:val="clear" w:color="auto" w:fill="000000"/>
          </w:tcPr>
          <w:p w:rsidR="00B958B1" w:rsidRPr="007660C2" w:rsidRDefault="00B958B1" w:rsidP="009F3B54">
            <w:pPr>
              <w:pStyle w:val="Tabletext"/>
              <w:rPr>
                <w:lang w:eastAsia="en-AU"/>
              </w:rPr>
            </w:pPr>
          </w:p>
        </w:tc>
        <w:tc>
          <w:tcPr>
            <w:tcW w:w="850" w:type="dxa"/>
            <w:gridSpan w:val="3"/>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2012</w:t>
            </w:r>
            <w:r w:rsidR="009F0F49">
              <w:rPr>
                <w:lang w:eastAsia="en-AU"/>
              </w:rPr>
              <w:noBreakHyphen/>
            </w:r>
            <w:r w:rsidRPr="007660C2">
              <w:rPr>
                <w:lang w:eastAsia="en-AU"/>
              </w:rPr>
              <w:t>13</w:t>
            </w:r>
          </w:p>
        </w:tc>
        <w:tc>
          <w:tcPr>
            <w:tcW w:w="850" w:type="dxa"/>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2013</w:t>
            </w:r>
            <w:r w:rsidR="009F0F49">
              <w:rPr>
                <w:lang w:eastAsia="en-AU"/>
              </w:rPr>
              <w:noBreakHyphen/>
            </w:r>
            <w:r w:rsidRPr="007660C2">
              <w:rPr>
                <w:lang w:eastAsia="en-AU"/>
              </w:rPr>
              <w:t>14</w:t>
            </w:r>
          </w:p>
        </w:tc>
        <w:tc>
          <w:tcPr>
            <w:tcW w:w="851" w:type="dxa"/>
            <w:gridSpan w:val="4"/>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2014</w:t>
            </w:r>
            <w:r w:rsidR="009F0F49">
              <w:rPr>
                <w:lang w:eastAsia="en-AU"/>
              </w:rPr>
              <w:noBreakHyphen/>
            </w:r>
            <w:r w:rsidRPr="007660C2">
              <w:rPr>
                <w:lang w:eastAsia="en-AU"/>
              </w:rPr>
              <w:t>15</w:t>
            </w:r>
          </w:p>
        </w:tc>
        <w:tc>
          <w:tcPr>
            <w:tcW w:w="850" w:type="dxa"/>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2015</w:t>
            </w:r>
            <w:r w:rsidR="009F0F49">
              <w:rPr>
                <w:lang w:eastAsia="en-AU"/>
              </w:rPr>
              <w:noBreakHyphen/>
            </w:r>
            <w:r w:rsidRPr="007660C2">
              <w:rPr>
                <w:lang w:eastAsia="en-AU"/>
              </w:rPr>
              <w:t>16</w:t>
            </w:r>
          </w:p>
        </w:tc>
        <w:tc>
          <w:tcPr>
            <w:tcW w:w="851" w:type="dxa"/>
            <w:tcBorders>
              <w:top w:val="single" w:sz="6" w:space="0" w:color="auto"/>
              <w:left w:val="nil"/>
              <w:bottom w:val="single" w:sz="4" w:space="0" w:color="auto"/>
              <w:right w:val="single" w:sz="4" w:space="0" w:color="auto"/>
            </w:tcBorders>
            <w:shd w:val="clear" w:color="auto" w:fill="000000"/>
          </w:tcPr>
          <w:p w:rsidR="00B958B1" w:rsidRPr="007660C2" w:rsidRDefault="00B958B1" w:rsidP="009F3B54">
            <w:pPr>
              <w:pStyle w:val="Tabletextheading"/>
              <w:rPr>
                <w:lang w:eastAsia="en-AU"/>
              </w:rPr>
            </w:pPr>
            <w:r w:rsidRPr="007660C2">
              <w:rPr>
                <w:lang w:eastAsia="en-AU"/>
              </w:rPr>
              <w:t>2016</w:t>
            </w:r>
            <w:r w:rsidR="009F0F49">
              <w:rPr>
                <w:lang w:eastAsia="en-AU"/>
              </w:rPr>
              <w:noBreakHyphen/>
            </w:r>
            <w:r w:rsidRPr="007660C2">
              <w:rPr>
                <w:lang w:eastAsia="en-AU"/>
              </w:rPr>
              <w:t>17</w:t>
            </w:r>
          </w:p>
        </w:tc>
      </w:tr>
      <w:tr w:rsidR="00B958B1" w:rsidRPr="007660C2" w:rsidTr="009F3B54">
        <w:tc>
          <w:tcPr>
            <w:tcW w:w="3524" w:type="dxa"/>
            <w:tcBorders>
              <w:top w:val="single" w:sz="4" w:space="0" w:color="auto"/>
              <w:left w:val="nil"/>
              <w:bottom w:val="nil"/>
              <w:right w:val="nil"/>
            </w:tcBorders>
            <w:shd w:val="solid" w:color="FFFFFF" w:fill="auto"/>
          </w:tcPr>
          <w:p w:rsidR="00B958B1" w:rsidRPr="007660C2" w:rsidRDefault="00B958B1" w:rsidP="009F3B54">
            <w:pPr>
              <w:pStyle w:val="Tabletext"/>
              <w:rPr>
                <w:b/>
                <w:bCs/>
                <w:lang w:eastAsia="en-AU"/>
              </w:rPr>
            </w:pPr>
            <w:r w:rsidRPr="007660C2">
              <w:rPr>
                <w:b/>
                <w:bCs/>
                <w:lang w:eastAsia="en-AU"/>
              </w:rPr>
              <w:t>Employment</w:t>
            </w:r>
          </w:p>
        </w:tc>
        <w:tc>
          <w:tcPr>
            <w:tcW w:w="850" w:type="dxa"/>
            <w:gridSpan w:val="3"/>
            <w:tcBorders>
              <w:top w:val="single" w:sz="4" w:space="0" w:color="auto"/>
              <w:left w:val="nil"/>
              <w:bottom w:val="nil"/>
              <w:right w:val="nil"/>
            </w:tcBorders>
          </w:tcPr>
          <w:p w:rsidR="00B958B1" w:rsidRPr="007660C2" w:rsidRDefault="00B958B1" w:rsidP="009F3B54">
            <w:pPr>
              <w:pStyle w:val="TableofFigures"/>
              <w:rPr>
                <w:lang w:eastAsia="en-AU"/>
              </w:rPr>
            </w:pPr>
          </w:p>
        </w:tc>
        <w:tc>
          <w:tcPr>
            <w:tcW w:w="850" w:type="dxa"/>
            <w:tcBorders>
              <w:top w:val="single" w:sz="4" w:space="0" w:color="auto"/>
              <w:left w:val="nil"/>
              <w:bottom w:val="nil"/>
              <w:right w:val="nil"/>
            </w:tcBorders>
            <w:shd w:val="solid" w:color="FFFFFF" w:fill="auto"/>
          </w:tcPr>
          <w:p w:rsidR="00B958B1" w:rsidRPr="007660C2" w:rsidRDefault="00B958B1" w:rsidP="009F3B54">
            <w:pPr>
              <w:pStyle w:val="TableofFigures"/>
              <w:rPr>
                <w:lang w:eastAsia="en-AU"/>
              </w:rPr>
            </w:pPr>
          </w:p>
        </w:tc>
        <w:tc>
          <w:tcPr>
            <w:tcW w:w="851" w:type="dxa"/>
            <w:gridSpan w:val="4"/>
            <w:tcBorders>
              <w:top w:val="single" w:sz="4" w:space="0" w:color="auto"/>
              <w:left w:val="nil"/>
              <w:bottom w:val="nil"/>
              <w:right w:val="nil"/>
            </w:tcBorders>
            <w:shd w:val="solid" w:color="FFFFFF" w:fill="auto"/>
          </w:tcPr>
          <w:p w:rsidR="00B958B1" w:rsidRPr="007660C2" w:rsidRDefault="00B958B1" w:rsidP="009F3B54">
            <w:pPr>
              <w:pStyle w:val="TableofFigures"/>
              <w:rPr>
                <w:lang w:eastAsia="en-AU"/>
              </w:rPr>
            </w:pPr>
          </w:p>
        </w:tc>
        <w:tc>
          <w:tcPr>
            <w:tcW w:w="850" w:type="dxa"/>
            <w:tcBorders>
              <w:top w:val="single" w:sz="4" w:space="0" w:color="auto"/>
              <w:left w:val="nil"/>
              <w:bottom w:val="nil"/>
              <w:right w:val="nil"/>
            </w:tcBorders>
          </w:tcPr>
          <w:p w:rsidR="00B958B1" w:rsidRPr="007660C2" w:rsidRDefault="00B958B1" w:rsidP="009F3B54">
            <w:pPr>
              <w:pStyle w:val="TableofFigures"/>
              <w:rPr>
                <w:lang w:eastAsia="en-AU"/>
              </w:rPr>
            </w:pPr>
          </w:p>
        </w:tc>
        <w:tc>
          <w:tcPr>
            <w:tcW w:w="851" w:type="dxa"/>
            <w:tcBorders>
              <w:top w:val="single" w:sz="4" w:space="0" w:color="auto"/>
              <w:left w:val="nil"/>
              <w:bottom w:val="nil"/>
              <w:right w:val="nil"/>
            </w:tcBorders>
          </w:tcPr>
          <w:p w:rsidR="00B958B1" w:rsidRPr="007660C2" w:rsidRDefault="00B958B1" w:rsidP="009F3B54">
            <w:pPr>
              <w:pStyle w:val="TableofFigures"/>
              <w:rPr>
                <w:lang w:eastAsia="en-AU"/>
              </w:rPr>
            </w:pPr>
          </w:p>
        </w:tc>
      </w:tr>
      <w:tr w:rsidR="00B958B1" w:rsidRPr="007660C2" w:rsidTr="009F3B54">
        <w:tc>
          <w:tcPr>
            <w:tcW w:w="352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Employment start up</w:t>
            </w:r>
          </w:p>
        </w:tc>
        <w:tc>
          <w:tcPr>
            <w:tcW w:w="850"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1.5</w:t>
            </w:r>
          </w:p>
        </w:tc>
        <w:tc>
          <w:tcPr>
            <w:tcW w:w="851"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2.0</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2.0</w:t>
            </w:r>
          </w:p>
        </w:tc>
        <w:tc>
          <w:tcPr>
            <w:tcW w:w="851"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2.0</w:t>
            </w:r>
          </w:p>
        </w:tc>
      </w:tr>
      <w:tr w:rsidR="00B958B1" w:rsidRPr="007660C2" w:rsidTr="009F3B54">
        <w:tc>
          <w:tcPr>
            <w:tcW w:w="3524" w:type="dxa"/>
            <w:tcBorders>
              <w:top w:val="nil"/>
              <w:left w:val="nil"/>
              <w:bottom w:val="nil"/>
              <w:right w:val="nil"/>
            </w:tcBorders>
          </w:tcPr>
          <w:p w:rsidR="00B958B1" w:rsidRPr="007660C2" w:rsidRDefault="00B958B1" w:rsidP="009F3B54">
            <w:pPr>
              <w:pStyle w:val="Tabletext"/>
              <w:rPr>
                <w:b/>
                <w:bCs/>
                <w:lang w:eastAsia="en-AU"/>
              </w:rPr>
            </w:pPr>
            <w:r w:rsidRPr="007660C2">
              <w:rPr>
                <w:b/>
                <w:bCs/>
                <w:lang w:eastAsia="en-AU"/>
              </w:rPr>
              <w:t>Energy and Resources</w:t>
            </w:r>
          </w:p>
        </w:tc>
        <w:tc>
          <w:tcPr>
            <w:tcW w:w="850" w:type="dxa"/>
            <w:gridSpan w:val="3"/>
            <w:tcBorders>
              <w:top w:val="nil"/>
              <w:left w:val="nil"/>
              <w:bottom w:val="nil"/>
              <w:right w:val="nil"/>
            </w:tcBorders>
          </w:tcPr>
          <w:p w:rsidR="00B958B1" w:rsidRPr="007660C2" w:rsidRDefault="00B958B1" w:rsidP="009F3B54">
            <w:pPr>
              <w:pStyle w:val="TableofFigures"/>
              <w:rPr>
                <w:lang w:eastAsia="en-AU"/>
              </w:rPr>
            </w:pPr>
          </w:p>
        </w:tc>
        <w:tc>
          <w:tcPr>
            <w:tcW w:w="850" w:type="dxa"/>
            <w:tcBorders>
              <w:top w:val="nil"/>
              <w:left w:val="nil"/>
              <w:bottom w:val="nil"/>
              <w:right w:val="nil"/>
            </w:tcBorders>
          </w:tcPr>
          <w:p w:rsidR="00B958B1" w:rsidRPr="007660C2" w:rsidRDefault="00B958B1" w:rsidP="009F3B54">
            <w:pPr>
              <w:pStyle w:val="TableofFigures"/>
              <w:rPr>
                <w:lang w:eastAsia="en-AU"/>
              </w:rPr>
            </w:pPr>
          </w:p>
        </w:tc>
        <w:tc>
          <w:tcPr>
            <w:tcW w:w="851" w:type="dxa"/>
            <w:gridSpan w:val="4"/>
            <w:tcBorders>
              <w:top w:val="nil"/>
              <w:left w:val="nil"/>
              <w:bottom w:val="nil"/>
              <w:right w:val="nil"/>
            </w:tcBorders>
          </w:tcPr>
          <w:p w:rsidR="00B958B1" w:rsidRPr="007660C2" w:rsidRDefault="00B958B1" w:rsidP="009F3B54">
            <w:pPr>
              <w:pStyle w:val="TableofFigures"/>
              <w:rPr>
                <w:lang w:eastAsia="en-AU"/>
              </w:rPr>
            </w:pPr>
          </w:p>
        </w:tc>
        <w:tc>
          <w:tcPr>
            <w:tcW w:w="850" w:type="dxa"/>
            <w:tcBorders>
              <w:top w:val="nil"/>
              <w:left w:val="nil"/>
              <w:bottom w:val="nil"/>
              <w:right w:val="nil"/>
            </w:tcBorders>
          </w:tcPr>
          <w:p w:rsidR="00B958B1" w:rsidRPr="007660C2" w:rsidRDefault="00B958B1" w:rsidP="009F3B54">
            <w:pPr>
              <w:pStyle w:val="TableofFigures"/>
              <w:rPr>
                <w:lang w:eastAsia="en-AU"/>
              </w:rPr>
            </w:pPr>
          </w:p>
        </w:tc>
        <w:tc>
          <w:tcPr>
            <w:tcW w:w="851" w:type="dxa"/>
            <w:tcBorders>
              <w:top w:val="nil"/>
              <w:left w:val="nil"/>
              <w:bottom w:val="nil"/>
              <w:right w:val="nil"/>
            </w:tcBorders>
          </w:tcPr>
          <w:p w:rsidR="00B958B1" w:rsidRPr="007660C2" w:rsidRDefault="00B958B1" w:rsidP="009F3B54">
            <w:pPr>
              <w:pStyle w:val="TableofFigures"/>
              <w:rPr>
                <w:lang w:eastAsia="en-AU"/>
              </w:rPr>
            </w:pPr>
          </w:p>
        </w:tc>
      </w:tr>
      <w:tr w:rsidR="00B958B1" w:rsidRPr="007660C2" w:rsidTr="009F3B54">
        <w:tc>
          <w:tcPr>
            <w:tcW w:w="3524" w:type="dxa"/>
            <w:tcBorders>
              <w:top w:val="nil"/>
              <w:left w:val="nil"/>
              <w:bottom w:val="nil"/>
              <w:right w:val="nil"/>
            </w:tcBorders>
            <w:shd w:val="solid" w:color="FFFFFF" w:fill="auto"/>
          </w:tcPr>
          <w:p w:rsidR="00B958B1" w:rsidRPr="007660C2" w:rsidRDefault="00B958B1" w:rsidP="009F3B54">
            <w:pPr>
              <w:pStyle w:val="Tabletext"/>
              <w:rPr>
                <w:vertAlign w:val="superscript"/>
                <w:lang w:eastAsia="en-AU"/>
              </w:rPr>
            </w:pPr>
            <w:r w:rsidRPr="007660C2">
              <w:rPr>
                <w:lang w:eastAsia="en-AU"/>
              </w:rPr>
              <w:t>Clean Coal Victoria extension</w:t>
            </w:r>
            <w:r w:rsidRPr="007660C2">
              <w:rPr>
                <w:vertAlign w:val="superscript"/>
                <w:lang w:eastAsia="en-AU"/>
              </w:rPr>
              <w:t xml:space="preserve"> (a)</w:t>
            </w:r>
          </w:p>
        </w:tc>
        <w:tc>
          <w:tcPr>
            <w:tcW w:w="85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2.5</w:t>
            </w:r>
          </w:p>
        </w:tc>
        <w:tc>
          <w:tcPr>
            <w:tcW w:w="851"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2.0</w:t>
            </w:r>
          </w:p>
        </w:tc>
        <w:tc>
          <w:tcPr>
            <w:tcW w:w="85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1.9</w:t>
            </w:r>
          </w:p>
        </w:tc>
        <w:tc>
          <w:tcPr>
            <w:tcW w:w="851"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1.9</w:t>
            </w:r>
          </w:p>
        </w:tc>
      </w:tr>
      <w:tr w:rsidR="00B958B1" w:rsidRPr="007660C2" w:rsidTr="009F3B54">
        <w:tc>
          <w:tcPr>
            <w:tcW w:w="352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Mine stability</w:t>
            </w:r>
          </w:p>
        </w:tc>
        <w:tc>
          <w:tcPr>
            <w:tcW w:w="85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2.1</w:t>
            </w:r>
          </w:p>
        </w:tc>
        <w:tc>
          <w:tcPr>
            <w:tcW w:w="851"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2.1</w:t>
            </w:r>
          </w:p>
        </w:tc>
        <w:tc>
          <w:tcPr>
            <w:tcW w:w="85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1"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r>
      <w:tr w:rsidR="00B958B1" w:rsidRPr="007660C2" w:rsidTr="009F3B54">
        <w:tc>
          <w:tcPr>
            <w:tcW w:w="3704" w:type="dxa"/>
            <w:gridSpan w:val="2"/>
            <w:tcBorders>
              <w:top w:val="nil"/>
              <w:left w:val="nil"/>
              <w:bottom w:val="nil"/>
              <w:right w:val="nil"/>
            </w:tcBorders>
            <w:shd w:val="solid" w:color="FFFFFF" w:fill="auto"/>
          </w:tcPr>
          <w:p w:rsidR="00B958B1" w:rsidRPr="007660C2" w:rsidRDefault="00B958B1" w:rsidP="009F3B54">
            <w:pPr>
              <w:pStyle w:val="Tabletext"/>
              <w:rPr>
                <w:vertAlign w:val="superscript"/>
                <w:lang w:eastAsia="en-AU"/>
              </w:rPr>
            </w:pPr>
            <w:r w:rsidRPr="007660C2">
              <w:rPr>
                <w:lang w:eastAsia="en-AU"/>
              </w:rPr>
              <w:t xml:space="preserve">Strengthening our earth resources sector </w:t>
            </w:r>
            <w:r w:rsidRPr="007660C2">
              <w:rPr>
                <w:vertAlign w:val="superscript"/>
                <w:lang w:eastAsia="en-AU"/>
              </w:rPr>
              <w:t>(b)</w:t>
            </w:r>
          </w:p>
        </w:tc>
        <w:tc>
          <w:tcPr>
            <w:tcW w:w="670"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4.3</w:t>
            </w:r>
          </w:p>
        </w:tc>
        <w:tc>
          <w:tcPr>
            <w:tcW w:w="851"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7.6</w:t>
            </w:r>
          </w:p>
        </w:tc>
        <w:tc>
          <w:tcPr>
            <w:tcW w:w="85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4.0</w:t>
            </w:r>
          </w:p>
        </w:tc>
        <w:tc>
          <w:tcPr>
            <w:tcW w:w="851"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3.2</w:t>
            </w:r>
          </w:p>
        </w:tc>
      </w:tr>
      <w:tr w:rsidR="00B958B1" w:rsidRPr="007660C2" w:rsidTr="009F3B54">
        <w:tc>
          <w:tcPr>
            <w:tcW w:w="3524" w:type="dxa"/>
            <w:tcBorders>
              <w:top w:val="nil"/>
              <w:left w:val="nil"/>
              <w:bottom w:val="nil"/>
              <w:right w:val="nil"/>
            </w:tcBorders>
          </w:tcPr>
          <w:p w:rsidR="00B958B1" w:rsidRPr="007660C2" w:rsidRDefault="00B958B1" w:rsidP="009F3B54">
            <w:pPr>
              <w:pStyle w:val="Tabletext"/>
              <w:rPr>
                <w:b/>
                <w:bCs/>
                <w:lang w:eastAsia="en-AU"/>
              </w:rPr>
            </w:pPr>
            <w:r w:rsidRPr="007660C2">
              <w:rPr>
                <w:b/>
                <w:bCs/>
                <w:lang w:eastAsia="en-AU"/>
              </w:rPr>
              <w:t>Innovation and Technology</w:t>
            </w:r>
          </w:p>
        </w:tc>
        <w:tc>
          <w:tcPr>
            <w:tcW w:w="850" w:type="dxa"/>
            <w:gridSpan w:val="3"/>
            <w:tcBorders>
              <w:top w:val="nil"/>
              <w:left w:val="nil"/>
              <w:bottom w:val="nil"/>
              <w:right w:val="nil"/>
            </w:tcBorders>
          </w:tcPr>
          <w:p w:rsidR="00B958B1" w:rsidRPr="007660C2" w:rsidRDefault="00B958B1" w:rsidP="009F3B54">
            <w:pPr>
              <w:pStyle w:val="TableofFigures"/>
              <w:rPr>
                <w:lang w:eastAsia="en-AU"/>
              </w:rPr>
            </w:pPr>
          </w:p>
        </w:tc>
        <w:tc>
          <w:tcPr>
            <w:tcW w:w="850" w:type="dxa"/>
            <w:tcBorders>
              <w:top w:val="nil"/>
              <w:left w:val="nil"/>
              <w:bottom w:val="nil"/>
              <w:right w:val="nil"/>
            </w:tcBorders>
          </w:tcPr>
          <w:p w:rsidR="00B958B1" w:rsidRPr="007660C2" w:rsidRDefault="00B958B1" w:rsidP="009F3B54">
            <w:pPr>
              <w:pStyle w:val="TableofFigures"/>
              <w:rPr>
                <w:lang w:eastAsia="en-AU"/>
              </w:rPr>
            </w:pPr>
          </w:p>
        </w:tc>
        <w:tc>
          <w:tcPr>
            <w:tcW w:w="851" w:type="dxa"/>
            <w:gridSpan w:val="4"/>
            <w:tcBorders>
              <w:top w:val="nil"/>
              <w:left w:val="nil"/>
              <w:bottom w:val="nil"/>
              <w:right w:val="nil"/>
            </w:tcBorders>
          </w:tcPr>
          <w:p w:rsidR="00B958B1" w:rsidRPr="007660C2" w:rsidRDefault="00B958B1" w:rsidP="009F3B54">
            <w:pPr>
              <w:pStyle w:val="TableofFigures"/>
              <w:rPr>
                <w:lang w:eastAsia="en-AU"/>
              </w:rPr>
            </w:pPr>
          </w:p>
        </w:tc>
        <w:tc>
          <w:tcPr>
            <w:tcW w:w="850" w:type="dxa"/>
            <w:tcBorders>
              <w:top w:val="nil"/>
              <w:left w:val="nil"/>
              <w:bottom w:val="nil"/>
              <w:right w:val="nil"/>
            </w:tcBorders>
          </w:tcPr>
          <w:p w:rsidR="00B958B1" w:rsidRPr="007660C2" w:rsidRDefault="00B958B1" w:rsidP="009F3B54">
            <w:pPr>
              <w:pStyle w:val="TableofFigures"/>
              <w:rPr>
                <w:lang w:eastAsia="en-AU"/>
              </w:rPr>
            </w:pPr>
          </w:p>
        </w:tc>
        <w:tc>
          <w:tcPr>
            <w:tcW w:w="851" w:type="dxa"/>
            <w:tcBorders>
              <w:top w:val="nil"/>
              <w:left w:val="nil"/>
              <w:bottom w:val="nil"/>
              <w:right w:val="nil"/>
            </w:tcBorders>
          </w:tcPr>
          <w:p w:rsidR="00B958B1" w:rsidRPr="007660C2" w:rsidRDefault="00B958B1" w:rsidP="009F3B54">
            <w:pPr>
              <w:pStyle w:val="TableofFigures"/>
              <w:rPr>
                <w:lang w:eastAsia="en-AU"/>
              </w:rPr>
            </w:pPr>
          </w:p>
        </w:tc>
      </w:tr>
      <w:tr w:rsidR="00B958B1" w:rsidRPr="007660C2" w:rsidTr="009F3B54">
        <w:tc>
          <w:tcPr>
            <w:tcW w:w="352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 xml:space="preserve">Driving business innovation </w:t>
            </w:r>
          </w:p>
        </w:tc>
        <w:tc>
          <w:tcPr>
            <w:tcW w:w="850"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4.0</w:t>
            </w:r>
          </w:p>
        </w:tc>
        <w:tc>
          <w:tcPr>
            <w:tcW w:w="851"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4.0</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4.0</w:t>
            </w:r>
          </w:p>
        </w:tc>
        <w:tc>
          <w:tcPr>
            <w:tcW w:w="851"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4.0</w:t>
            </w:r>
          </w:p>
        </w:tc>
      </w:tr>
      <w:tr w:rsidR="00B958B1" w:rsidRPr="007660C2" w:rsidTr="009F3B54">
        <w:tc>
          <w:tcPr>
            <w:tcW w:w="352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Health Exports Strategy</w:t>
            </w:r>
          </w:p>
        </w:tc>
        <w:tc>
          <w:tcPr>
            <w:tcW w:w="850"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1.5</w:t>
            </w:r>
          </w:p>
        </w:tc>
        <w:tc>
          <w:tcPr>
            <w:tcW w:w="851"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51"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r>
      <w:tr w:rsidR="00B958B1" w:rsidRPr="007660C2" w:rsidTr="009F3B54">
        <w:tc>
          <w:tcPr>
            <w:tcW w:w="352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Melbourne International Film Festival</w:t>
            </w:r>
          </w:p>
        </w:tc>
        <w:tc>
          <w:tcPr>
            <w:tcW w:w="850"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1.1</w:t>
            </w:r>
          </w:p>
        </w:tc>
        <w:tc>
          <w:tcPr>
            <w:tcW w:w="851"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1.4</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1.4</w:t>
            </w:r>
          </w:p>
        </w:tc>
        <w:tc>
          <w:tcPr>
            <w:tcW w:w="851"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1.4</w:t>
            </w:r>
          </w:p>
        </w:tc>
      </w:tr>
      <w:tr w:rsidR="00B958B1" w:rsidRPr="007660C2" w:rsidTr="009F3B54">
        <w:tc>
          <w:tcPr>
            <w:tcW w:w="352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Screen jobs, business and skills</w:t>
            </w:r>
          </w:p>
        </w:tc>
        <w:tc>
          <w:tcPr>
            <w:tcW w:w="850"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1.5</w:t>
            </w:r>
          </w:p>
        </w:tc>
        <w:tc>
          <w:tcPr>
            <w:tcW w:w="851"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2.0</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2.5</w:t>
            </w:r>
          </w:p>
        </w:tc>
        <w:tc>
          <w:tcPr>
            <w:tcW w:w="851"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2.5</w:t>
            </w:r>
          </w:p>
        </w:tc>
      </w:tr>
      <w:tr w:rsidR="00B958B1" w:rsidRPr="007660C2" w:rsidTr="009F3B54">
        <w:tc>
          <w:tcPr>
            <w:tcW w:w="3812" w:type="dxa"/>
            <w:gridSpan w:val="3"/>
            <w:tcBorders>
              <w:top w:val="nil"/>
              <w:left w:val="nil"/>
              <w:bottom w:val="nil"/>
              <w:right w:val="nil"/>
            </w:tcBorders>
          </w:tcPr>
          <w:p w:rsidR="00B958B1" w:rsidRPr="007660C2" w:rsidRDefault="00B958B1" w:rsidP="009F3B54">
            <w:pPr>
              <w:pStyle w:val="Tabletext"/>
              <w:rPr>
                <w:lang w:eastAsia="en-AU"/>
              </w:rPr>
            </w:pPr>
            <w:r w:rsidRPr="007660C2">
              <w:rPr>
                <w:lang w:eastAsia="en-AU"/>
              </w:rPr>
              <w:t>Victoria's Technology Plan for the Future and Government Information and Communications Technology (ICT) Strategy</w:t>
            </w:r>
          </w:p>
        </w:tc>
        <w:tc>
          <w:tcPr>
            <w:tcW w:w="562"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7.0</w:t>
            </w:r>
          </w:p>
        </w:tc>
        <w:tc>
          <w:tcPr>
            <w:tcW w:w="851"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6.0</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3.0</w:t>
            </w:r>
          </w:p>
        </w:tc>
        <w:tc>
          <w:tcPr>
            <w:tcW w:w="851"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3.0</w:t>
            </w:r>
          </w:p>
        </w:tc>
      </w:tr>
      <w:tr w:rsidR="00B958B1" w:rsidRPr="007660C2" w:rsidTr="009F3B54">
        <w:tc>
          <w:tcPr>
            <w:tcW w:w="5742" w:type="dxa"/>
            <w:gridSpan w:val="6"/>
            <w:tcBorders>
              <w:top w:val="nil"/>
              <w:left w:val="nil"/>
              <w:bottom w:val="nil"/>
              <w:right w:val="nil"/>
            </w:tcBorders>
          </w:tcPr>
          <w:p w:rsidR="00B958B1" w:rsidRPr="007660C2" w:rsidRDefault="00B958B1" w:rsidP="009F3B54">
            <w:pPr>
              <w:pStyle w:val="Tabletext"/>
              <w:rPr>
                <w:b/>
                <w:bCs/>
                <w:lang w:eastAsia="en-AU"/>
              </w:rPr>
            </w:pPr>
            <w:r w:rsidRPr="007660C2">
              <w:rPr>
                <w:b/>
                <w:bCs/>
                <w:lang w:eastAsia="en-AU"/>
              </w:rPr>
              <w:t>Investment Attraction, Facilitation and Major Projects</w:t>
            </w:r>
          </w:p>
        </w:tc>
        <w:tc>
          <w:tcPr>
            <w:tcW w:w="106"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 xml:space="preserve"> </w:t>
            </w:r>
          </w:p>
        </w:tc>
        <w:tc>
          <w:tcPr>
            <w:tcW w:w="106" w:type="dxa"/>
            <w:tcBorders>
              <w:top w:val="nil"/>
              <w:left w:val="nil"/>
              <w:bottom w:val="nil"/>
              <w:right w:val="nil"/>
            </w:tcBorders>
          </w:tcPr>
          <w:p w:rsidR="00B958B1" w:rsidRPr="007660C2" w:rsidRDefault="00B958B1" w:rsidP="009F3B54">
            <w:pPr>
              <w:pStyle w:val="TableofFigures"/>
              <w:rPr>
                <w:lang w:eastAsia="en-AU"/>
              </w:rPr>
            </w:pPr>
          </w:p>
        </w:tc>
        <w:tc>
          <w:tcPr>
            <w:tcW w:w="121" w:type="dxa"/>
            <w:tcBorders>
              <w:top w:val="nil"/>
              <w:left w:val="nil"/>
              <w:bottom w:val="nil"/>
              <w:right w:val="nil"/>
            </w:tcBorders>
          </w:tcPr>
          <w:p w:rsidR="00B958B1" w:rsidRPr="007660C2" w:rsidRDefault="00B958B1" w:rsidP="009F3B54">
            <w:pPr>
              <w:pStyle w:val="TableofFigures"/>
              <w:rPr>
                <w:lang w:eastAsia="en-AU"/>
              </w:rPr>
            </w:pPr>
          </w:p>
        </w:tc>
        <w:tc>
          <w:tcPr>
            <w:tcW w:w="850" w:type="dxa"/>
            <w:tcBorders>
              <w:top w:val="nil"/>
              <w:left w:val="nil"/>
              <w:bottom w:val="nil"/>
              <w:right w:val="nil"/>
            </w:tcBorders>
          </w:tcPr>
          <w:p w:rsidR="00B958B1" w:rsidRPr="007660C2" w:rsidRDefault="00B958B1" w:rsidP="009F3B54">
            <w:pPr>
              <w:pStyle w:val="TableofFigures"/>
              <w:rPr>
                <w:lang w:eastAsia="en-AU"/>
              </w:rPr>
            </w:pPr>
          </w:p>
        </w:tc>
        <w:tc>
          <w:tcPr>
            <w:tcW w:w="851" w:type="dxa"/>
            <w:tcBorders>
              <w:top w:val="nil"/>
              <w:left w:val="nil"/>
              <w:bottom w:val="nil"/>
              <w:right w:val="nil"/>
            </w:tcBorders>
          </w:tcPr>
          <w:p w:rsidR="00B958B1" w:rsidRPr="007660C2" w:rsidRDefault="00B958B1" w:rsidP="009F3B54">
            <w:pPr>
              <w:pStyle w:val="TableofFigures"/>
              <w:rPr>
                <w:lang w:eastAsia="en-AU"/>
              </w:rPr>
            </w:pPr>
          </w:p>
        </w:tc>
      </w:tr>
      <w:tr w:rsidR="00B958B1" w:rsidRPr="007660C2" w:rsidTr="009F3B54">
        <w:tc>
          <w:tcPr>
            <w:tcW w:w="352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Establish Office of State Development</w:t>
            </w:r>
          </w:p>
        </w:tc>
        <w:tc>
          <w:tcPr>
            <w:tcW w:w="850"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4.0</w:t>
            </w:r>
          </w:p>
        </w:tc>
        <w:tc>
          <w:tcPr>
            <w:tcW w:w="851"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4.0</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4.0</w:t>
            </w:r>
          </w:p>
        </w:tc>
        <w:tc>
          <w:tcPr>
            <w:tcW w:w="851"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4.0</w:t>
            </w:r>
          </w:p>
        </w:tc>
      </w:tr>
      <w:tr w:rsidR="00B958B1" w:rsidRPr="007660C2" w:rsidTr="009F3B54">
        <w:tc>
          <w:tcPr>
            <w:tcW w:w="352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Expansion of Victorian International Engagement Strategy</w:t>
            </w:r>
          </w:p>
        </w:tc>
        <w:tc>
          <w:tcPr>
            <w:tcW w:w="850"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1.5</w:t>
            </w:r>
          </w:p>
        </w:tc>
        <w:tc>
          <w:tcPr>
            <w:tcW w:w="851"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1.5</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1.5</w:t>
            </w:r>
          </w:p>
        </w:tc>
        <w:tc>
          <w:tcPr>
            <w:tcW w:w="851"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1.5</w:t>
            </w:r>
          </w:p>
        </w:tc>
      </w:tr>
      <w:tr w:rsidR="00B958B1" w:rsidRPr="007660C2" w:rsidTr="009F3B54">
        <w:tc>
          <w:tcPr>
            <w:tcW w:w="352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Implementation of the Victorian Coal Development Strategy</w:t>
            </w:r>
          </w:p>
        </w:tc>
        <w:tc>
          <w:tcPr>
            <w:tcW w:w="850"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4.0</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51"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51"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r>
      <w:tr w:rsidR="00B958B1" w:rsidRPr="007660C2" w:rsidTr="009F3B54">
        <w:tc>
          <w:tcPr>
            <w:tcW w:w="352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Supporting the aviation industry</w:t>
            </w:r>
          </w:p>
        </w:tc>
        <w:tc>
          <w:tcPr>
            <w:tcW w:w="850"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2.5</w:t>
            </w:r>
          </w:p>
        </w:tc>
        <w:tc>
          <w:tcPr>
            <w:tcW w:w="851"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2.0</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51"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r>
      <w:tr w:rsidR="00B958B1" w:rsidRPr="007660C2" w:rsidTr="009F3B54">
        <w:tc>
          <w:tcPr>
            <w:tcW w:w="3524" w:type="dxa"/>
            <w:tcBorders>
              <w:top w:val="nil"/>
              <w:left w:val="nil"/>
              <w:bottom w:val="nil"/>
              <w:right w:val="nil"/>
            </w:tcBorders>
          </w:tcPr>
          <w:p w:rsidR="00B958B1" w:rsidRPr="007660C2" w:rsidRDefault="00B958B1" w:rsidP="009F3B54">
            <w:pPr>
              <w:pStyle w:val="Tabletext"/>
              <w:rPr>
                <w:b/>
                <w:bCs/>
                <w:lang w:eastAsia="en-AU"/>
              </w:rPr>
            </w:pPr>
            <w:r w:rsidRPr="007660C2">
              <w:rPr>
                <w:b/>
                <w:bCs/>
                <w:lang w:eastAsia="en-AU"/>
              </w:rPr>
              <w:t>Small Business Assistance</w:t>
            </w:r>
          </w:p>
        </w:tc>
        <w:tc>
          <w:tcPr>
            <w:tcW w:w="850" w:type="dxa"/>
            <w:gridSpan w:val="3"/>
            <w:tcBorders>
              <w:top w:val="nil"/>
              <w:left w:val="nil"/>
              <w:bottom w:val="nil"/>
              <w:right w:val="nil"/>
            </w:tcBorders>
          </w:tcPr>
          <w:p w:rsidR="00B958B1" w:rsidRPr="007660C2" w:rsidRDefault="00B958B1" w:rsidP="009F3B54">
            <w:pPr>
              <w:pStyle w:val="TableofFigures"/>
              <w:rPr>
                <w:lang w:eastAsia="en-AU"/>
              </w:rPr>
            </w:pPr>
          </w:p>
        </w:tc>
        <w:tc>
          <w:tcPr>
            <w:tcW w:w="850" w:type="dxa"/>
            <w:tcBorders>
              <w:top w:val="nil"/>
              <w:left w:val="nil"/>
              <w:bottom w:val="nil"/>
              <w:right w:val="nil"/>
            </w:tcBorders>
          </w:tcPr>
          <w:p w:rsidR="00B958B1" w:rsidRPr="007660C2" w:rsidRDefault="00B958B1" w:rsidP="009F3B54">
            <w:pPr>
              <w:pStyle w:val="TableofFigures"/>
              <w:rPr>
                <w:lang w:eastAsia="en-AU"/>
              </w:rPr>
            </w:pPr>
          </w:p>
        </w:tc>
        <w:tc>
          <w:tcPr>
            <w:tcW w:w="851" w:type="dxa"/>
            <w:gridSpan w:val="4"/>
            <w:tcBorders>
              <w:top w:val="nil"/>
              <w:left w:val="nil"/>
              <w:bottom w:val="nil"/>
              <w:right w:val="nil"/>
            </w:tcBorders>
          </w:tcPr>
          <w:p w:rsidR="00B958B1" w:rsidRPr="007660C2" w:rsidRDefault="00B958B1" w:rsidP="009F3B54">
            <w:pPr>
              <w:pStyle w:val="TableofFigures"/>
              <w:rPr>
                <w:lang w:eastAsia="en-AU"/>
              </w:rPr>
            </w:pPr>
          </w:p>
        </w:tc>
        <w:tc>
          <w:tcPr>
            <w:tcW w:w="850" w:type="dxa"/>
            <w:tcBorders>
              <w:top w:val="nil"/>
              <w:left w:val="nil"/>
              <w:bottom w:val="nil"/>
              <w:right w:val="nil"/>
            </w:tcBorders>
          </w:tcPr>
          <w:p w:rsidR="00B958B1" w:rsidRPr="007660C2" w:rsidRDefault="00B958B1" w:rsidP="009F3B54">
            <w:pPr>
              <w:pStyle w:val="TableofFigures"/>
              <w:rPr>
                <w:lang w:eastAsia="en-AU"/>
              </w:rPr>
            </w:pPr>
          </w:p>
        </w:tc>
        <w:tc>
          <w:tcPr>
            <w:tcW w:w="851" w:type="dxa"/>
            <w:tcBorders>
              <w:top w:val="nil"/>
              <w:left w:val="nil"/>
              <w:bottom w:val="nil"/>
              <w:right w:val="nil"/>
            </w:tcBorders>
          </w:tcPr>
          <w:p w:rsidR="00B958B1" w:rsidRPr="007660C2" w:rsidRDefault="00B958B1" w:rsidP="009F3B54">
            <w:pPr>
              <w:pStyle w:val="TableofFigures"/>
              <w:rPr>
                <w:lang w:eastAsia="en-AU"/>
              </w:rPr>
            </w:pPr>
          </w:p>
        </w:tc>
      </w:tr>
      <w:tr w:rsidR="00B958B1" w:rsidRPr="007660C2" w:rsidTr="009F3B54">
        <w:tc>
          <w:tcPr>
            <w:tcW w:w="352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 xml:space="preserve">Business Victoria Online </w:t>
            </w:r>
          </w:p>
        </w:tc>
        <w:tc>
          <w:tcPr>
            <w:tcW w:w="850"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6.4</w:t>
            </w:r>
          </w:p>
        </w:tc>
        <w:tc>
          <w:tcPr>
            <w:tcW w:w="851"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6.4</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51"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r>
      <w:tr w:rsidR="00B958B1" w:rsidRPr="007660C2" w:rsidTr="009F3B54">
        <w:tc>
          <w:tcPr>
            <w:tcW w:w="3524" w:type="dxa"/>
            <w:tcBorders>
              <w:top w:val="nil"/>
              <w:left w:val="nil"/>
              <w:bottom w:val="nil"/>
              <w:right w:val="nil"/>
            </w:tcBorders>
          </w:tcPr>
          <w:p w:rsidR="00B958B1" w:rsidRPr="007660C2" w:rsidRDefault="00B958B1" w:rsidP="009F3B54">
            <w:pPr>
              <w:pStyle w:val="Tabletext"/>
              <w:rPr>
                <w:b/>
                <w:bCs/>
                <w:lang w:eastAsia="en-AU"/>
              </w:rPr>
            </w:pPr>
            <w:r w:rsidRPr="007660C2">
              <w:rPr>
                <w:b/>
                <w:bCs/>
                <w:lang w:eastAsia="en-AU"/>
              </w:rPr>
              <w:t>Tourism and Marketing</w:t>
            </w:r>
          </w:p>
        </w:tc>
        <w:tc>
          <w:tcPr>
            <w:tcW w:w="850" w:type="dxa"/>
            <w:gridSpan w:val="3"/>
            <w:tcBorders>
              <w:top w:val="nil"/>
              <w:left w:val="nil"/>
              <w:bottom w:val="nil"/>
              <w:right w:val="nil"/>
            </w:tcBorders>
          </w:tcPr>
          <w:p w:rsidR="00B958B1" w:rsidRPr="007660C2" w:rsidRDefault="00B958B1" w:rsidP="009F3B54">
            <w:pPr>
              <w:pStyle w:val="TableofFigures"/>
              <w:rPr>
                <w:lang w:eastAsia="en-AU"/>
              </w:rPr>
            </w:pPr>
          </w:p>
        </w:tc>
        <w:tc>
          <w:tcPr>
            <w:tcW w:w="850" w:type="dxa"/>
            <w:tcBorders>
              <w:top w:val="nil"/>
              <w:left w:val="nil"/>
              <w:bottom w:val="nil"/>
              <w:right w:val="nil"/>
            </w:tcBorders>
          </w:tcPr>
          <w:p w:rsidR="00B958B1" w:rsidRPr="007660C2" w:rsidRDefault="00B958B1" w:rsidP="009F3B54">
            <w:pPr>
              <w:pStyle w:val="TableofFigures"/>
              <w:rPr>
                <w:lang w:eastAsia="en-AU"/>
              </w:rPr>
            </w:pPr>
          </w:p>
        </w:tc>
        <w:tc>
          <w:tcPr>
            <w:tcW w:w="851" w:type="dxa"/>
            <w:gridSpan w:val="4"/>
            <w:tcBorders>
              <w:top w:val="nil"/>
              <w:left w:val="nil"/>
              <w:bottom w:val="nil"/>
              <w:right w:val="nil"/>
            </w:tcBorders>
          </w:tcPr>
          <w:p w:rsidR="00B958B1" w:rsidRPr="007660C2" w:rsidRDefault="00B958B1" w:rsidP="009F3B54">
            <w:pPr>
              <w:pStyle w:val="TableofFigures"/>
              <w:rPr>
                <w:lang w:eastAsia="en-AU"/>
              </w:rPr>
            </w:pPr>
          </w:p>
        </w:tc>
        <w:tc>
          <w:tcPr>
            <w:tcW w:w="850" w:type="dxa"/>
            <w:tcBorders>
              <w:top w:val="nil"/>
              <w:left w:val="nil"/>
              <w:bottom w:val="nil"/>
              <w:right w:val="nil"/>
            </w:tcBorders>
          </w:tcPr>
          <w:p w:rsidR="00B958B1" w:rsidRPr="007660C2" w:rsidRDefault="00B958B1" w:rsidP="009F3B54">
            <w:pPr>
              <w:pStyle w:val="TableofFigures"/>
              <w:rPr>
                <w:lang w:eastAsia="en-AU"/>
              </w:rPr>
            </w:pPr>
          </w:p>
        </w:tc>
        <w:tc>
          <w:tcPr>
            <w:tcW w:w="851" w:type="dxa"/>
            <w:tcBorders>
              <w:top w:val="nil"/>
              <w:left w:val="nil"/>
              <w:bottom w:val="nil"/>
              <w:right w:val="nil"/>
            </w:tcBorders>
          </w:tcPr>
          <w:p w:rsidR="00B958B1" w:rsidRPr="007660C2" w:rsidRDefault="00B958B1" w:rsidP="009F3B54">
            <w:pPr>
              <w:pStyle w:val="TableofFigures"/>
              <w:rPr>
                <w:lang w:eastAsia="en-AU"/>
              </w:rPr>
            </w:pPr>
          </w:p>
        </w:tc>
      </w:tr>
      <w:tr w:rsidR="00B958B1" w:rsidRPr="007660C2" w:rsidTr="009F3B54">
        <w:tc>
          <w:tcPr>
            <w:tcW w:w="352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 xml:space="preserve">International education </w:t>
            </w:r>
          </w:p>
        </w:tc>
        <w:tc>
          <w:tcPr>
            <w:tcW w:w="850"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4.0</w:t>
            </w:r>
          </w:p>
        </w:tc>
        <w:tc>
          <w:tcPr>
            <w:tcW w:w="851"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4.5</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4.5</w:t>
            </w:r>
          </w:p>
        </w:tc>
        <w:tc>
          <w:tcPr>
            <w:tcW w:w="851"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4.5</w:t>
            </w:r>
          </w:p>
        </w:tc>
      </w:tr>
      <w:tr w:rsidR="00B958B1" w:rsidRPr="007660C2" w:rsidTr="009F3B54">
        <w:tc>
          <w:tcPr>
            <w:tcW w:w="352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International markets</w:t>
            </w:r>
          </w:p>
        </w:tc>
        <w:tc>
          <w:tcPr>
            <w:tcW w:w="850"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2.0</w:t>
            </w:r>
          </w:p>
        </w:tc>
        <w:tc>
          <w:tcPr>
            <w:tcW w:w="851"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2.0</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2.0</w:t>
            </w:r>
          </w:p>
        </w:tc>
        <w:tc>
          <w:tcPr>
            <w:tcW w:w="851"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2.0</w:t>
            </w:r>
          </w:p>
        </w:tc>
      </w:tr>
      <w:tr w:rsidR="00B958B1" w:rsidRPr="007660C2" w:rsidTr="009F3B54">
        <w:tc>
          <w:tcPr>
            <w:tcW w:w="352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Regional tourism</w:t>
            </w:r>
          </w:p>
        </w:tc>
        <w:tc>
          <w:tcPr>
            <w:tcW w:w="850"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2.0</w:t>
            </w:r>
          </w:p>
        </w:tc>
        <w:tc>
          <w:tcPr>
            <w:tcW w:w="851"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2.0</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2.0</w:t>
            </w:r>
          </w:p>
        </w:tc>
        <w:tc>
          <w:tcPr>
            <w:tcW w:w="851"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2.0</w:t>
            </w:r>
          </w:p>
        </w:tc>
      </w:tr>
      <w:tr w:rsidR="00B958B1" w:rsidRPr="007660C2" w:rsidTr="009F3B54">
        <w:tc>
          <w:tcPr>
            <w:tcW w:w="352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Victoria's China Tourism Strategy</w:t>
            </w:r>
          </w:p>
        </w:tc>
        <w:tc>
          <w:tcPr>
            <w:tcW w:w="850"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2.0</w:t>
            </w:r>
          </w:p>
        </w:tc>
        <w:tc>
          <w:tcPr>
            <w:tcW w:w="851"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2.0</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2.0</w:t>
            </w:r>
          </w:p>
        </w:tc>
        <w:tc>
          <w:tcPr>
            <w:tcW w:w="851"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2.0</w:t>
            </w:r>
          </w:p>
        </w:tc>
      </w:tr>
      <w:tr w:rsidR="00B958B1" w:rsidRPr="007660C2" w:rsidTr="009F3B54">
        <w:tc>
          <w:tcPr>
            <w:tcW w:w="3524" w:type="dxa"/>
            <w:tcBorders>
              <w:top w:val="nil"/>
              <w:left w:val="nil"/>
              <w:bottom w:val="nil"/>
              <w:right w:val="nil"/>
            </w:tcBorders>
          </w:tcPr>
          <w:p w:rsidR="00B958B1" w:rsidRPr="007660C2" w:rsidRDefault="00B958B1" w:rsidP="009F3B54">
            <w:pPr>
              <w:pStyle w:val="Tabletext"/>
              <w:ind w:left="187" w:hanging="187"/>
              <w:rPr>
                <w:b/>
                <w:bCs/>
                <w:lang w:eastAsia="en-AU"/>
              </w:rPr>
            </w:pPr>
            <w:r w:rsidRPr="007660C2">
              <w:rPr>
                <w:b/>
                <w:bCs/>
                <w:lang w:eastAsia="en-AU"/>
              </w:rPr>
              <w:t>Trade and Export Facilitation</w:t>
            </w:r>
          </w:p>
        </w:tc>
        <w:tc>
          <w:tcPr>
            <w:tcW w:w="850" w:type="dxa"/>
            <w:gridSpan w:val="3"/>
            <w:tcBorders>
              <w:top w:val="nil"/>
              <w:left w:val="nil"/>
              <w:bottom w:val="nil"/>
              <w:right w:val="nil"/>
            </w:tcBorders>
          </w:tcPr>
          <w:p w:rsidR="00B958B1" w:rsidRPr="007660C2" w:rsidRDefault="00B958B1" w:rsidP="009F3B54">
            <w:pPr>
              <w:pStyle w:val="TableofFigures"/>
              <w:rPr>
                <w:lang w:eastAsia="en-AU"/>
              </w:rPr>
            </w:pPr>
          </w:p>
        </w:tc>
        <w:tc>
          <w:tcPr>
            <w:tcW w:w="850" w:type="dxa"/>
            <w:tcBorders>
              <w:top w:val="nil"/>
              <w:left w:val="nil"/>
              <w:bottom w:val="nil"/>
              <w:right w:val="nil"/>
            </w:tcBorders>
          </w:tcPr>
          <w:p w:rsidR="00B958B1" w:rsidRPr="007660C2" w:rsidRDefault="00B958B1" w:rsidP="009F3B54">
            <w:pPr>
              <w:pStyle w:val="TableofFigures"/>
              <w:rPr>
                <w:lang w:eastAsia="en-AU"/>
              </w:rPr>
            </w:pPr>
          </w:p>
        </w:tc>
        <w:tc>
          <w:tcPr>
            <w:tcW w:w="851" w:type="dxa"/>
            <w:gridSpan w:val="4"/>
            <w:tcBorders>
              <w:top w:val="nil"/>
              <w:left w:val="nil"/>
              <w:bottom w:val="nil"/>
              <w:right w:val="nil"/>
            </w:tcBorders>
          </w:tcPr>
          <w:p w:rsidR="00B958B1" w:rsidRPr="007660C2" w:rsidRDefault="00B958B1" w:rsidP="009F3B54">
            <w:pPr>
              <w:pStyle w:val="TableofFigures"/>
              <w:rPr>
                <w:lang w:eastAsia="en-AU"/>
              </w:rPr>
            </w:pPr>
          </w:p>
        </w:tc>
        <w:tc>
          <w:tcPr>
            <w:tcW w:w="850" w:type="dxa"/>
            <w:tcBorders>
              <w:top w:val="nil"/>
              <w:left w:val="nil"/>
              <w:bottom w:val="nil"/>
              <w:right w:val="nil"/>
            </w:tcBorders>
          </w:tcPr>
          <w:p w:rsidR="00B958B1" w:rsidRPr="007660C2" w:rsidRDefault="00B958B1" w:rsidP="009F3B54">
            <w:pPr>
              <w:pStyle w:val="TableofFigures"/>
              <w:rPr>
                <w:lang w:eastAsia="en-AU"/>
              </w:rPr>
            </w:pPr>
          </w:p>
        </w:tc>
        <w:tc>
          <w:tcPr>
            <w:tcW w:w="851" w:type="dxa"/>
            <w:tcBorders>
              <w:top w:val="nil"/>
              <w:left w:val="nil"/>
              <w:bottom w:val="nil"/>
              <w:right w:val="nil"/>
            </w:tcBorders>
          </w:tcPr>
          <w:p w:rsidR="00B958B1" w:rsidRPr="007660C2" w:rsidRDefault="00B958B1" w:rsidP="009F3B54">
            <w:pPr>
              <w:pStyle w:val="TableofFigures"/>
              <w:rPr>
                <w:lang w:eastAsia="en-AU"/>
              </w:rPr>
            </w:pPr>
          </w:p>
        </w:tc>
      </w:tr>
      <w:tr w:rsidR="00B958B1" w:rsidRPr="007660C2" w:rsidTr="009F3B54">
        <w:tc>
          <w:tcPr>
            <w:tcW w:w="352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Victoria's international engagement in Western China and Indonesia</w:t>
            </w:r>
          </w:p>
        </w:tc>
        <w:tc>
          <w:tcPr>
            <w:tcW w:w="850"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1.8</w:t>
            </w:r>
          </w:p>
        </w:tc>
        <w:tc>
          <w:tcPr>
            <w:tcW w:w="851"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1.6</w:t>
            </w:r>
          </w:p>
        </w:tc>
        <w:tc>
          <w:tcPr>
            <w:tcW w:w="85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1.6</w:t>
            </w:r>
          </w:p>
        </w:tc>
        <w:tc>
          <w:tcPr>
            <w:tcW w:w="851"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1.6</w:t>
            </w:r>
          </w:p>
        </w:tc>
      </w:tr>
      <w:tr w:rsidR="00B958B1" w:rsidRPr="007660C2" w:rsidTr="009F3B54">
        <w:tc>
          <w:tcPr>
            <w:tcW w:w="3524" w:type="dxa"/>
            <w:tcBorders>
              <w:top w:val="single" w:sz="6" w:space="0" w:color="auto"/>
              <w:left w:val="nil"/>
              <w:bottom w:val="single" w:sz="6" w:space="0" w:color="auto"/>
              <w:right w:val="nil"/>
            </w:tcBorders>
          </w:tcPr>
          <w:p w:rsidR="00B958B1" w:rsidRPr="007660C2" w:rsidRDefault="00B958B1" w:rsidP="009F3B54">
            <w:pPr>
              <w:pStyle w:val="Tabletext"/>
              <w:rPr>
                <w:b/>
                <w:bCs/>
                <w:lang w:eastAsia="en-AU"/>
              </w:rPr>
            </w:pPr>
            <w:r>
              <w:rPr>
                <w:b/>
                <w:bCs/>
                <w:lang w:eastAsia="en-AU"/>
              </w:rPr>
              <w:t>Sub total</w:t>
            </w:r>
            <w:r w:rsidRPr="007660C2">
              <w:rPr>
                <w:b/>
                <w:bCs/>
                <w:lang w:eastAsia="en-AU"/>
              </w:rPr>
              <w:t xml:space="preserve"> output initiatives</w:t>
            </w:r>
          </w:p>
        </w:tc>
        <w:tc>
          <w:tcPr>
            <w:tcW w:w="850" w:type="dxa"/>
            <w:gridSpan w:val="3"/>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4.0</w:t>
            </w:r>
          </w:p>
        </w:tc>
        <w:tc>
          <w:tcPr>
            <w:tcW w:w="850" w:type="dxa"/>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51.7</w:t>
            </w:r>
          </w:p>
        </w:tc>
        <w:tc>
          <w:tcPr>
            <w:tcW w:w="851" w:type="dxa"/>
            <w:gridSpan w:val="4"/>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53.1</w:t>
            </w:r>
          </w:p>
        </w:tc>
        <w:tc>
          <w:tcPr>
            <w:tcW w:w="850" w:type="dxa"/>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36.4</w:t>
            </w:r>
          </w:p>
        </w:tc>
        <w:tc>
          <w:tcPr>
            <w:tcW w:w="851" w:type="dxa"/>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35.7</w:t>
            </w:r>
          </w:p>
        </w:tc>
      </w:tr>
      <w:tr w:rsidR="00B958B1" w:rsidRPr="007660C2" w:rsidTr="009F3B54">
        <w:tc>
          <w:tcPr>
            <w:tcW w:w="3524" w:type="dxa"/>
            <w:tcBorders>
              <w:top w:val="single" w:sz="6" w:space="0" w:color="auto"/>
              <w:left w:val="nil"/>
              <w:bottom w:val="nil"/>
              <w:right w:val="nil"/>
            </w:tcBorders>
          </w:tcPr>
          <w:p w:rsidR="00B958B1" w:rsidRPr="007660C2" w:rsidRDefault="00B958B1" w:rsidP="009F3B54">
            <w:pPr>
              <w:pStyle w:val="Tabletext"/>
              <w:rPr>
                <w:lang w:eastAsia="en-AU"/>
              </w:rPr>
            </w:pPr>
            <w:r w:rsidRPr="007660C2">
              <w:rPr>
                <w:lang w:eastAsia="en-AU"/>
              </w:rPr>
              <w:t>Existing resources</w:t>
            </w:r>
          </w:p>
        </w:tc>
        <w:tc>
          <w:tcPr>
            <w:tcW w:w="850" w:type="dxa"/>
            <w:gridSpan w:val="3"/>
            <w:tcBorders>
              <w:top w:val="nil"/>
              <w:left w:val="nil"/>
              <w:bottom w:val="single" w:sz="6" w:space="0" w:color="auto"/>
              <w:right w:val="nil"/>
            </w:tcBorders>
          </w:tcPr>
          <w:p w:rsidR="00B958B1" w:rsidRPr="007660C2" w:rsidRDefault="00B958B1" w:rsidP="009F3B54">
            <w:pPr>
              <w:pStyle w:val="TableofFigures"/>
              <w:rPr>
                <w:lang w:eastAsia="en-AU"/>
              </w:rPr>
            </w:pPr>
            <w:r w:rsidRPr="007660C2">
              <w:rPr>
                <w:lang w:eastAsia="en-AU"/>
              </w:rPr>
              <w:t>..</w:t>
            </w:r>
          </w:p>
        </w:tc>
        <w:tc>
          <w:tcPr>
            <w:tcW w:w="850" w:type="dxa"/>
            <w:tcBorders>
              <w:top w:val="nil"/>
              <w:left w:val="nil"/>
              <w:bottom w:val="nil"/>
              <w:right w:val="nil"/>
            </w:tcBorders>
            <w:shd w:val="solid" w:color="FFFFFF" w:fill="auto"/>
          </w:tcPr>
          <w:p w:rsidR="00B958B1" w:rsidRPr="007660C2" w:rsidRDefault="009F0F49" w:rsidP="009F3B54">
            <w:pPr>
              <w:pStyle w:val="TableofFigures"/>
              <w:rPr>
                <w:lang w:eastAsia="en-AU"/>
              </w:rPr>
            </w:pPr>
            <w:r>
              <w:rPr>
                <w:lang w:eastAsia="en-AU"/>
              </w:rPr>
              <w:noBreakHyphen/>
            </w:r>
            <w:r w:rsidR="00B958B1" w:rsidRPr="007660C2">
              <w:rPr>
                <w:lang w:eastAsia="en-AU"/>
              </w:rPr>
              <w:t>11.3</w:t>
            </w:r>
          </w:p>
        </w:tc>
        <w:tc>
          <w:tcPr>
            <w:tcW w:w="851" w:type="dxa"/>
            <w:gridSpan w:val="4"/>
            <w:tcBorders>
              <w:top w:val="nil"/>
              <w:left w:val="nil"/>
              <w:bottom w:val="nil"/>
              <w:right w:val="nil"/>
            </w:tcBorders>
            <w:shd w:val="solid" w:color="FFFFFF" w:fill="auto"/>
          </w:tcPr>
          <w:p w:rsidR="00B958B1" w:rsidRPr="007660C2" w:rsidRDefault="009F0F49" w:rsidP="009F3B54">
            <w:pPr>
              <w:pStyle w:val="TableofFigures"/>
              <w:rPr>
                <w:lang w:eastAsia="en-AU"/>
              </w:rPr>
            </w:pPr>
            <w:r>
              <w:rPr>
                <w:lang w:eastAsia="en-AU"/>
              </w:rPr>
              <w:noBreakHyphen/>
            </w:r>
            <w:r w:rsidR="00B958B1" w:rsidRPr="007660C2">
              <w:rPr>
                <w:lang w:eastAsia="en-AU"/>
              </w:rPr>
              <w:t>12.6</w:t>
            </w:r>
          </w:p>
        </w:tc>
        <w:tc>
          <w:tcPr>
            <w:tcW w:w="850" w:type="dxa"/>
            <w:tcBorders>
              <w:top w:val="nil"/>
              <w:left w:val="nil"/>
              <w:bottom w:val="nil"/>
              <w:right w:val="nil"/>
            </w:tcBorders>
            <w:shd w:val="solid" w:color="FFFFFF" w:fill="auto"/>
          </w:tcPr>
          <w:p w:rsidR="00B958B1" w:rsidRPr="007660C2" w:rsidRDefault="009F0F49" w:rsidP="009F3B54">
            <w:pPr>
              <w:pStyle w:val="TableofFigures"/>
              <w:rPr>
                <w:lang w:eastAsia="en-AU"/>
              </w:rPr>
            </w:pPr>
            <w:r>
              <w:rPr>
                <w:lang w:eastAsia="en-AU"/>
              </w:rPr>
              <w:noBreakHyphen/>
            </w:r>
            <w:r w:rsidR="00B958B1" w:rsidRPr="007660C2">
              <w:rPr>
                <w:lang w:eastAsia="en-AU"/>
              </w:rPr>
              <w:t>5.6</w:t>
            </w:r>
          </w:p>
        </w:tc>
        <w:tc>
          <w:tcPr>
            <w:tcW w:w="851" w:type="dxa"/>
            <w:tcBorders>
              <w:top w:val="nil"/>
              <w:left w:val="nil"/>
              <w:bottom w:val="nil"/>
              <w:right w:val="nil"/>
            </w:tcBorders>
            <w:shd w:val="solid" w:color="FFFFFF" w:fill="auto"/>
          </w:tcPr>
          <w:p w:rsidR="00B958B1" w:rsidRPr="007660C2" w:rsidRDefault="009F0F49" w:rsidP="009F3B54">
            <w:pPr>
              <w:pStyle w:val="TableofFigures"/>
              <w:rPr>
                <w:lang w:eastAsia="en-AU"/>
              </w:rPr>
            </w:pPr>
            <w:r>
              <w:rPr>
                <w:lang w:eastAsia="en-AU"/>
              </w:rPr>
              <w:noBreakHyphen/>
            </w:r>
            <w:r w:rsidR="00B958B1" w:rsidRPr="007660C2">
              <w:rPr>
                <w:lang w:eastAsia="en-AU"/>
              </w:rPr>
              <w:t>4.8</w:t>
            </w:r>
          </w:p>
        </w:tc>
      </w:tr>
      <w:tr w:rsidR="00B958B1" w:rsidRPr="007660C2" w:rsidTr="009F3B54">
        <w:tc>
          <w:tcPr>
            <w:tcW w:w="3524" w:type="dxa"/>
            <w:tcBorders>
              <w:top w:val="single" w:sz="6" w:space="0" w:color="auto"/>
              <w:left w:val="nil"/>
              <w:bottom w:val="single" w:sz="12" w:space="0" w:color="auto"/>
              <w:right w:val="nil"/>
            </w:tcBorders>
          </w:tcPr>
          <w:p w:rsidR="00B958B1" w:rsidRPr="007660C2" w:rsidRDefault="00B958B1" w:rsidP="009F3B54">
            <w:pPr>
              <w:pStyle w:val="Tabletext"/>
              <w:rPr>
                <w:b/>
                <w:bCs/>
                <w:lang w:eastAsia="en-AU"/>
              </w:rPr>
            </w:pPr>
            <w:r w:rsidRPr="007660C2">
              <w:rPr>
                <w:b/>
                <w:bCs/>
                <w:lang w:eastAsia="en-AU"/>
              </w:rPr>
              <w:t>Total output initiatives</w:t>
            </w:r>
          </w:p>
        </w:tc>
        <w:tc>
          <w:tcPr>
            <w:tcW w:w="850" w:type="dxa"/>
            <w:gridSpan w:val="3"/>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4.0</w:t>
            </w:r>
          </w:p>
        </w:tc>
        <w:tc>
          <w:tcPr>
            <w:tcW w:w="850"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40.4</w:t>
            </w:r>
          </w:p>
        </w:tc>
        <w:tc>
          <w:tcPr>
            <w:tcW w:w="851" w:type="dxa"/>
            <w:gridSpan w:val="4"/>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40.5</w:t>
            </w:r>
          </w:p>
        </w:tc>
        <w:tc>
          <w:tcPr>
            <w:tcW w:w="850"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30.9</w:t>
            </w:r>
          </w:p>
        </w:tc>
        <w:tc>
          <w:tcPr>
            <w:tcW w:w="851"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30.9</w:t>
            </w:r>
          </w:p>
        </w:tc>
      </w:tr>
    </w:tbl>
    <w:p w:rsidR="00B958B1" w:rsidRDefault="00B958B1" w:rsidP="009F3B54">
      <w:pPr>
        <w:pStyle w:val="Source"/>
      </w:pPr>
      <w:r w:rsidRPr="00A20936">
        <w:t>Source: Department of Treasury and Finance</w:t>
      </w:r>
      <w:r>
        <w:t xml:space="preserve"> </w:t>
      </w:r>
      <w:r>
        <w:fldChar w:fldCharType="begin"/>
      </w:r>
      <w:r>
        <w:instrText xml:space="preserve"> XE "</w:instrText>
      </w:r>
      <w:r w:rsidRPr="001902E6">
        <w:instrText>Employment</w:instrText>
      </w:r>
      <w:r>
        <w:instrText xml:space="preserve">" </w:instrText>
      </w:r>
      <w:r>
        <w:fldChar w:fldCharType="end"/>
      </w:r>
      <w:r>
        <w:fldChar w:fldCharType="begin"/>
      </w:r>
      <w:r>
        <w:instrText xml:space="preserve"> XE "</w:instrText>
      </w:r>
      <w:r w:rsidRPr="001902E6">
        <w:instrText>Energy and Resources</w:instrText>
      </w:r>
      <w:r>
        <w:instrText xml:space="preserve">" </w:instrText>
      </w:r>
      <w:r>
        <w:fldChar w:fldCharType="end"/>
      </w:r>
      <w:r>
        <w:fldChar w:fldCharType="begin"/>
      </w:r>
      <w:r>
        <w:instrText xml:space="preserve"> XE "</w:instrText>
      </w:r>
      <w:r w:rsidRPr="001902E6">
        <w:instrText>Skills</w:instrText>
      </w:r>
      <w:r>
        <w:instrText xml:space="preserve">" </w:instrText>
      </w:r>
      <w:r>
        <w:fldChar w:fldCharType="end"/>
      </w:r>
      <w:r>
        <w:fldChar w:fldCharType="begin"/>
      </w:r>
      <w:r>
        <w:instrText xml:space="preserve"> XE "</w:instrText>
      </w:r>
      <w:r w:rsidRPr="001902E6">
        <w:instrText>Education</w:instrText>
      </w:r>
      <w:r>
        <w:instrText xml:space="preserve">" </w:instrText>
      </w:r>
      <w:r>
        <w:fldChar w:fldCharType="end"/>
      </w:r>
    </w:p>
    <w:p w:rsidR="00B958B1" w:rsidRPr="00356BDA" w:rsidRDefault="00B958B1" w:rsidP="009F3B54">
      <w:pPr>
        <w:pStyle w:val="Notes"/>
      </w:pPr>
      <w:r w:rsidRPr="00356BDA">
        <w:t>Note</w:t>
      </w:r>
      <w:r>
        <w:t>s</w:t>
      </w:r>
      <w:r w:rsidRPr="00356BDA">
        <w:t>:</w:t>
      </w:r>
    </w:p>
    <w:p w:rsidR="00B958B1" w:rsidRDefault="00B958B1" w:rsidP="009F3B54">
      <w:pPr>
        <w:pStyle w:val="Notes"/>
      </w:pPr>
      <w:r>
        <w:t>(a)</w:t>
      </w:r>
      <w:r>
        <w:tab/>
        <w:t>This initiative includes Commonwealth funding of $0.8 million over the forward estimates period.</w:t>
      </w:r>
    </w:p>
    <w:p w:rsidR="00B958B1" w:rsidRPr="00AB121E" w:rsidRDefault="00B958B1" w:rsidP="009F3B54">
      <w:pPr>
        <w:pStyle w:val="Notes"/>
      </w:pPr>
      <w:r>
        <w:t>(b)</w:t>
      </w:r>
      <w:r>
        <w:tab/>
        <w:t>This initiative includes Commonwealth funding of $0.7 million over the forward estimates period.</w:t>
      </w:r>
    </w:p>
    <w:p w:rsidR="00B958B1" w:rsidRDefault="00B958B1" w:rsidP="009F3B54">
      <w:pPr>
        <w:pStyle w:val="Heading4"/>
      </w:pPr>
      <w:r>
        <w:br w:type="page"/>
        <w:t>Employment</w:t>
      </w:r>
    </w:p>
    <w:p w:rsidR="00B958B1" w:rsidRDefault="00B958B1" w:rsidP="009F3B54">
      <w:pPr>
        <w:pStyle w:val="Heading5"/>
      </w:pPr>
      <w:r w:rsidRPr="000977EF">
        <w:t>Employment</w:t>
      </w:r>
      <w:r>
        <w:t xml:space="preserve"> start up</w:t>
      </w:r>
    </w:p>
    <w:p w:rsidR="00B958B1" w:rsidRDefault="00B958B1" w:rsidP="009F3B54">
      <w:r w:rsidRPr="002C6B38">
        <w:t>This program will assist businesses with their recruitment requirements and support young unemployed jobseekers to enter employment.</w:t>
      </w:r>
      <w:r>
        <w:fldChar w:fldCharType="begin"/>
      </w:r>
      <w:r>
        <w:instrText xml:space="preserve"> XE "</w:instrText>
      </w:r>
      <w:r w:rsidRPr="002103D2">
        <w:instrText>Department of State Development, Business and Innovation</w:instrText>
      </w:r>
      <w:r w:rsidRPr="00A06C00">
        <w:instrText>:Employment</w:instrText>
      </w:r>
      <w:r>
        <w:instrText xml:space="preserve">" </w:instrText>
      </w:r>
      <w:r>
        <w:fldChar w:fldCharType="end"/>
      </w:r>
      <w:r>
        <w:fldChar w:fldCharType="begin"/>
      </w:r>
      <w:r>
        <w:instrText xml:space="preserve"> XE "</w:instrText>
      </w:r>
      <w:r w:rsidRPr="009E53A6">
        <w:instrText>Employment</w:instrText>
      </w:r>
      <w:r>
        <w:instrText xml:space="preserve">" </w:instrText>
      </w:r>
      <w:r>
        <w:fldChar w:fldCharType="end"/>
      </w:r>
    </w:p>
    <w:p w:rsidR="00B958B1" w:rsidRDefault="00B958B1" w:rsidP="009F3B54">
      <w:r>
        <w:t xml:space="preserve">This initiative contributes to the </w:t>
      </w:r>
      <w:r w:rsidRPr="00DC5D8E">
        <w:t xml:space="preserve">Department </w:t>
      </w:r>
      <w:r>
        <w:t>of</w:t>
      </w:r>
      <w:r w:rsidRPr="00DC5D8E">
        <w:t xml:space="preserve"> </w:t>
      </w:r>
      <w:r>
        <w:t xml:space="preserve">State Development, </w:t>
      </w:r>
      <w:r w:rsidRPr="00DC5D8E">
        <w:t>Business and Innovation</w:t>
      </w:r>
      <w:r>
        <w:t>’</w:t>
      </w:r>
      <w:r w:rsidRPr="00DC5D8E">
        <w:t>s</w:t>
      </w:r>
      <w:r>
        <w:t xml:space="preserve"> Employment output. </w:t>
      </w:r>
    </w:p>
    <w:p w:rsidR="00B958B1" w:rsidRDefault="00B958B1" w:rsidP="009F3B54">
      <w:pPr>
        <w:pStyle w:val="Heading4"/>
      </w:pPr>
      <w:bookmarkStart w:id="61" w:name="BP3Ch1DSDBIEnergynResources"/>
      <w:r>
        <w:t>Energy and Resources</w:t>
      </w:r>
    </w:p>
    <w:p w:rsidR="00B958B1" w:rsidRDefault="00B958B1" w:rsidP="009F3B54">
      <w:pPr>
        <w:pStyle w:val="Heading5"/>
      </w:pPr>
      <w:r>
        <w:t>Clean Coal Victoria extension</w:t>
      </w:r>
    </w:p>
    <w:p w:rsidR="00B958B1" w:rsidRDefault="00B958B1" w:rsidP="009F3B54">
      <w:r>
        <w:t>Clean Coal Victoria has received funding to implement actions from the Strategic Coal Plan for Victoria to facilitate coal technology projects, and continue extensive stakeholder and community consultation on the access to, and development of, Victoria’s coal resources.</w:t>
      </w:r>
    </w:p>
    <w:p w:rsidR="00B958B1" w:rsidRDefault="00B958B1" w:rsidP="009F3B54">
      <w:r>
        <w:t xml:space="preserve">This initiative contributes to the </w:t>
      </w:r>
      <w:r w:rsidRPr="00DC5D8E">
        <w:t xml:space="preserve">Department </w:t>
      </w:r>
      <w:r>
        <w:t>of</w:t>
      </w:r>
      <w:r w:rsidRPr="00DC5D8E">
        <w:t xml:space="preserve"> </w:t>
      </w:r>
      <w:r>
        <w:t xml:space="preserve">State Development, </w:t>
      </w:r>
      <w:r w:rsidRPr="00DC5D8E">
        <w:t>Business and Innovation</w:t>
      </w:r>
      <w:r>
        <w:t>’</w:t>
      </w:r>
      <w:r w:rsidRPr="00DC5D8E">
        <w:t>s</w:t>
      </w:r>
      <w:r>
        <w:t xml:space="preserve"> Energy and Resources output.</w:t>
      </w:r>
    </w:p>
    <w:p w:rsidR="00B958B1" w:rsidRDefault="00B958B1" w:rsidP="009F3B54">
      <w:pPr>
        <w:pStyle w:val="Heading5"/>
      </w:pPr>
      <w:r>
        <w:t>Mine stability</w:t>
      </w:r>
    </w:p>
    <w:p w:rsidR="00B958B1" w:rsidRDefault="00B958B1" w:rsidP="009F3B54">
      <w:r>
        <w:t>The highest priority and highest risk issues associated with mine stability and safety will be addressed through increasing the Department’s technical, support, data</w:t>
      </w:r>
      <w:r w:rsidR="009F0F49">
        <w:noBreakHyphen/>
      </w:r>
      <w:r>
        <w:t xml:space="preserve">gathering and response capabilities. </w:t>
      </w:r>
    </w:p>
    <w:p w:rsidR="00B958B1" w:rsidRDefault="00B958B1" w:rsidP="009F3B54">
      <w:r>
        <w:t xml:space="preserve">This initiative contributes to the </w:t>
      </w:r>
      <w:r w:rsidRPr="00DC5D8E">
        <w:t xml:space="preserve">Department </w:t>
      </w:r>
      <w:r>
        <w:t>of</w:t>
      </w:r>
      <w:r w:rsidRPr="00DC5D8E">
        <w:t xml:space="preserve"> </w:t>
      </w:r>
      <w:r>
        <w:t xml:space="preserve">State Development, </w:t>
      </w:r>
      <w:r w:rsidRPr="00DC5D8E">
        <w:t>Business and Innovation</w:t>
      </w:r>
      <w:r>
        <w:t>’</w:t>
      </w:r>
      <w:r w:rsidRPr="00DC5D8E">
        <w:t>s</w:t>
      </w:r>
      <w:r>
        <w:t xml:space="preserve"> Energy and Resources output.</w:t>
      </w:r>
    </w:p>
    <w:p w:rsidR="00B958B1" w:rsidRDefault="00B958B1" w:rsidP="009F3B54">
      <w:pPr>
        <w:pStyle w:val="Heading5"/>
      </w:pPr>
      <w:r>
        <w:t>Strengthening our earth resources sector</w:t>
      </w:r>
    </w:p>
    <w:p w:rsidR="00B958B1" w:rsidRDefault="00B958B1" w:rsidP="009F3B54">
      <w:r>
        <w:t>This initiative seeks to attract new exploration, reduce barriers to investment and promote Victoria as an investment destination in the earth resources sector, generating employment and economic growth.</w:t>
      </w:r>
    </w:p>
    <w:p w:rsidR="00B958B1" w:rsidRDefault="00B958B1" w:rsidP="009F3B54">
      <w:r>
        <w:t xml:space="preserve">This initiative contributes to the </w:t>
      </w:r>
      <w:r w:rsidRPr="00DC5D8E">
        <w:t xml:space="preserve">Department </w:t>
      </w:r>
      <w:r>
        <w:t>of</w:t>
      </w:r>
      <w:r w:rsidRPr="00DC5D8E">
        <w:t xml:space="preserve"> </w:t>
      </w:r>
      <w:r>
        <w:t xml:space="preserve">State Development, </w:t>
      </w:r>
      <w:r w:rsidRPr="00DC5D8E">
        <w:t>Business and Innovation</w:t>
      </w:r>
      <w:r>
        <w:t>’</w:t>
      </w:r>
      <w:r w:rsidRPr="00DC5D8E">
        <w:t>s</w:t>
      </w:r>
      <w:r>
        <w:t xml:space="preserve"> Energy and Resources output. </w:t>
      </w:r>
      <w:r>
        <w:fldChar w:fldCharType="begin"/>
      </w:r>
      <w:r>
        <w:instrText xml:space="preserve"> XE "</w:instrText>
      </w:r>
      <w:r w:rsidRPr="002103D2">
        <w:instrText>Department of State Development, Business and Innovation</w:instrText>
      </w:r>
      <w:r w:rsidRPr="0007630C">
        <w:instrText xml:space="preserve">:Energy and </w:instrText>
      </w:r>
      <w:r>
        <w:instrText>R</w:instrText>
      </w:r>
      <w:r w:rsidRPr="0007630C">
        <w:instrText>esources</w:instrText>
      </w:r>
      <w:r>
        <w:instrText xml:space="preserve">" \r "BP3Ch1DSDBIEnergynResources" </w:instrText>
      </w:r>
      <w:r>
        <w:fldChar w:fldCharType="end"/>
      </w:r>
      <w:r>
        <w:t xml:space="preserve"> </w:t>
      </w:r>
      <w:r>
        <w:fldChar w:fldCharType="begin"/>
      </w:r>
      <w:r>
        <w:instrText xml:space="preserve"> XE "</w:instrText>
      </w:r>
      <w:r w:rsidRPr="009E53A6">
        <w:instrText xml:space="preserve">Energy and </w:instrText>
      </w:r>
      <w:r>
        <w:instrText>R</w:instrText>
      </w:r>
      <w:r w:rsidRPr="009E53A6">
        <w:instrText>esources</w:instrText>
      </w:r>
      <w:r>
        <w:instrText xml:space="preserve">" \r "BP3Ch1DSDBIEnergynResources" </w:instrText>
      </w:r>
      <w:r>
        <w:fldChar w:fldCharType="end"/>
      </w:r>
    </w:p>
    <w:p w:rsidR="00B958B1" w:rsidRDefault="00B958B1" w:rsidP="009F3B54">
      <w:pPr>
        <w:pStyle w:val="Heading4"/>
      </w:pPr>
      <w:bookmarkStart w:id="62" w:name="BP3Ch1DSDBIInnovnTech"/>
      <w:bookmarkEnd w:id="61"/>
      <w:r>
        <w:t>Innovation and Technology</w:t>
      </w:r>
    </w:p>
    <w:p w:rsidR="00B958B1" w:rsidRPr="00DC5D8E" w:rsidRDefault="00B958B1" w:rsidP="009F3B54">
      <w:pPr>
        <w:pStyle w:val="Heading5"/>
      </w:pPr>
      <w:r w:rsidRPr="00DC5D8E">
        <w:t xml:space="preserve">Driving </w:t>
      </w:r>
      <w:r>
        <w:t>b</w:t>
      </w:r>
      <w:r w:rsidRPr="000977EF">
        <w:t>usiness</w:t>
      </w:r>
      <w:r>
        <w:t xml:space="preserve"> i</w:t>
      </w:r>
      <w:r w:rsidRPr="00DC5D8E">
        <w:t>nnovation</w:t>
      </w:r>
    </w:p>
    <w:p w:rsidR="00B958B1" w:rsidRDefault="00B958B1" w:rsidP="009F3B54">
      <w:r>
        <w:t>This initiative will support collaboration projects that link Victorian public sector agencies to Victorian small businesses. These projects will develop innovative products and services for the public sector market and create new business and export opportunities for high</w:t>
      </w:r>
      <w:r w:rsidR="009F0F49">
        <w:noBreakHyphen/>
      </w:r>
      <w:r>
        <w:t xml:space="preserve">growth potential businesses. </w:t>
      </w:r>
      <w:r>
        <w:fldChar w:fldCharType="begin"/>
      </w:r>
      <w:r>
        <w:instrText xml:space="preserve"> XE "</w:instrText>
      </w:r>
      <w:r w:rsidRPr="002103D2">
        <w:instrText>Department of State Development, Business and Innovation</w:instrText>
      </w:r>
      <w:r w:rsidRPr="00EC4B94">
        <w:instrText xml:space="preserve">:Innovation and </w:instrText>
      </w:r>
      <w:r>
        <w:instrText>T</w:instrText>
      </w:r>
      <w:r w:rsidRPr="00EC4B94">
        <w:instrText>echnology</w:instrText>
      </w:r>
      <w:r>
        <w:instrText xml:space="preserve">" \r "BP3Ch1DSDBIInnovnTech" </w:instrText>
      </w:r>
      <w:r>
        <w:fldChar w:fldCharType="end"/>
      </w:r>
      <w:r>
        <w:t xml:space="preserve"> </w:t>
      </w:r>
      <w:r>
        <w:fldChar w:fldCharType="begin"/>
      </w:r>
      <w:r>
        <w:instrText xml:space="preserve"> XE "</w:instrText>
      </w:r>
      <w:r w:rsidRPr="009E53A6">
        <w:instrText xml:space="preserve">Innovation and </w:instrText>
      </w:r>
      <w:r>
        <w:instrText>T</w:instrText>
      </w:r>
      <w:r w:rsidRPr="009E53A6">
        <w:instrText>echnology</w:instrText>
      </w:r>
      <w:r>
        <w:instrText xml:space="preserve">" \r "BP3Ch1DSDBIInnovnTech" </w:instrText>
      </w:r>
      <w:r>
        <w:fldChar w:fldCharType="end"/>
      </w:r>
    </w:p>
    <w:p w:rsidR="00B958B1" w:rsidRDefault="00B958B1" w:rsidP="009F3B54">
      <w:r>
        <w:br w:type="page"/>
        <w:t>This initiative contributes to the Department of State Development, Business and Innovation’s:</w:t>
      </w:r>
    </w:p>
    <w:p w:rsidR="00B958B1" w:rsidRPr="00C024AC" w:rsidRDefault="00B958B1" w:rsidP="009F3B54">
      <w:pPr>
        <w:pStyle w:val="BulletText"/>
      </w:pPr>
      <w:r w:rsidRPr="00C024AC">
        <w:t>Innovation and Technology output; and</w:t>
      </w:r>
    </w:p>
    <w:p w:rsidR="00B958B1" w:rsidRDefault="00B958B1" w:rsidP="009F3B54">
      <w:pPr>
        <w:pStyle w:val="BulletText"/>
      </w:pPr>
      <w:r w:rsidRPr="000977EF">
        <w:t>Investment Attraction, Facilitation</w:t>
      </w:r>
      <w:r>
        <w:t xml:space="preserve"> and Major Projects output.</w:t>
      </w:r>
    </w:p>
    <w:p w:rsidR="00B958B1" w:rsidRDefault="00B958B1" w:rsidP="009F3B54">
      <w:pPr>
        <w:pStyle w:val="Heading5"/>
      </w:pPr>
      <w:r>
        <w:t>Health Exports Strategy</w:t>
      </w:r>
    </w:p>
    <w:p w:rsidR="00B958B1" w:rsidRPr="002F6752" w:rsidRDefault="00B958B1" w:rsidP="009F3B54">
      <w:r>
        <w:t>This provides initial funding towards a</w:t>
      </w:r>
      <w:r w:rsidRPr="002F6752">
        <w:t xml:space="preserve"> Health Exports Strategy aim</w:t>
      </w:r>
      <w:r>
        <w:t>ing</w:t>
      </w:r>
      <w:r w:rsidRPr="002F6752">
        <w:t xml:space="preserve"> to leverage Victoria</w:t>
      </w:r>
      <w:r>
        <w:t>’</w:t>
      </w:r>
      <w:r w:rsidRPr="002F6752">
        <w:t>s competitive advantages in health</w:t>
      </w:r>
      <w:r>
        <w:t xml:space="preserve"> </w:t>
      </w:r>
      <w:r w:rsidRPr="002F6752">
        <w:t>care and medical research through increased exports of health related products and services.</w:t>
      </w:r>
    </w:p>
    <w:p w:rsidR="00B958B1" w:rsidRDefault="00B958B1" w:rsidP="009F3B54">
      <w:pPr>
        <w:rPr>
          <w:b/>
        </w:rPr>
      </w:pPr>
      <w:r w:rsidRPr="002F6752">
        <w:t xml:space="preserve">This initiative contributes to the </w:t>
      </w:r>
      <w:r w:rsidRPr="00DC5D8E">
        <w:t xml:space="preserve">Department </w:t>
      </w:r>
      <w:r>
        <w:t>of</w:t>
      </w:r>
      <w:r w:rsidRPr="00DC5D8E">
        <w:t xml:space="preserve"> </w:t>
      </w:r>
      <w:r>
        <w:t xml:space="preserve">State Development, </w:t>
      </w:r>
      <w:r w:rsidRPr="00DC5D8E">
        <w:t>Business and Innovation</w:t>
      </w:r>
      <w:r>
        <w:t>’</w:t>
      </w:r>
      <w:r w:rsidRPr="00DC5D8E">
        <w:t>s</w:t>
      </w:r>
      <w:r w:rsidRPr="002F6752">
        <w:t xml:space="preserve"> Innovation and Technology output</w:t>
      </w:r>
      <w:r>
        <w:t>.</w:t>
      </w:r>
    </w:p>
    <w:p w:rsidR="00B958B1" w:rsidRDefault="00B958B1" w:rsidP="009F3B54">
      <w:pPr>
        <w:pStyle w:val="Heading5"/>
      </w:pPr>
      <w:r>
        <w:t>Melbourne International Film Festival</w:t>
      </w:r>
    </w:p>
    <w:p w:rsidR="00B958B1" w:rsidRDefault="00B958B1" w:rsidP="009F3B54">
      <w:r w:rsidRPr="002F6752">
        <w:t>Continued support is provided for the Melbourne International Film Festival to ensure it can maintain its place as the Southern Hemisphere</w:t>
      </w:r>
      <w:r>
        <w:t>’</w:t>
      </w:r>
      <w:r w:rsidRPr="002F6752">
        <w:t>s largest and most prestigious film festival and the leading film event in Australia and New Zealand.</w:t>
      </w:r>
    </w:p>
    <w:p w:rsidR="00B958B1" w:rsidRDefault="00B958B1" w:rsidP="009F3B54">
      <w:r>
        <w:t xml:space="preserve">This initiative contributes to the </w:t>
      </w:r>
      <w:r w:rsidRPr="00DC5D8E">
        <w:t xml:space="preserve">Department </w:t>
      </w:r>
      <w:r>
        <w:t>of</w:t>
      </w:r>
      <w:r w:rsidRPr="00DC5D8E">
        <w:t xml:space="preserve"> </w:t>
      </w:r>
      <w:r>
        <w:t xml:space="preserve">State Development, </w:t>
      </w:r>
      <w:r w:rsidRPr="00DC5D8E">
        <w:t>Business and Innovation</w:t>
      </w:r>
      <w:r>
        <w:t>’</w:t>
      </w:r>
      <w:r w:rsidRPr="00DC5D8E">
        <w:t>s</w:t>
      </w:r>
      <w:r>
        <w:t xml:space="preserve"> Innovation and Technology output.</w:t>
      </w:r>
    </w:p>
    <w:p w:rsidR="00B958B1" w:rsidRDefault="00B958B1" w:rsidP="009F3B54">
      <w:pPr>
        <w:pStyle w:val="Heading5"/>
      </w:pPr>
      <w:r>
        <w:t xml:space="preserve">Screen jobs, business and skills </w:t>
      </w:r>
    </w:p>
    <w:p w:rsidR="00B958B1" w:rsidRDefault="00B958B1" w:rsidP="009F3B54">
      <w:r>
        <w:fldChar w:fldCharType="begin"/>
      </w:r>
      <w:r>
        <w:instrText xml:space="preserve"> XE "</w:instrText>
      </w:r>
      <w:r w:rsidRPr="009E53A6">
        <w:instrText>Skills</w:instrText>
      </w:r>
      <w:r>
        <w:instrText xml:space="preserve">" </w:instrText>
      </w:r>
      <w:r>
        <w:fldChar w:fldCharType="end"/>
      </w:r>
      <w:r w:rsidRPr="002F6752">
        <w:t xml:space="preserve">Funding will deliver support to Victorian screen </w:t>
      </w:r>
      <w:r>
        <w:t>practitioners</w:t>
      </w:r>
      <w:r w:rsidRPr="002F6752">
        <w:t xml:space="preserve"> in the areas of television production, animation and games industry</w:t>
      </w:r>
      <w:r>
        <w:t xml:space="preserve"> to</w:t>
      </w:r>
      <w:r w:rsidRPr="002F6752">
        <w:t xml:space="preserve"> </w:t>
      </w:r>
      <w:r>
        <w:t xml:space="preserve">help establish Victoria as the preferred location for Australian television production </w:t>
      </w:r>
      <w:r w:rsidRPr="002F6752">
        <w:t>and provide investment funding in new games and animation projects.</w:t>
      </w:r>
    </w:p>
    <w:p w:rsidR="00B958B1" w:rsidRDefault="00B958B1" w:rsidP="009F3B54">
      <w:r>
        <w:t xml:space="preserve">This initiative contributes to the </w:t>
      </w:r>
      <w:r w:rsidRPr="00DC5D8E">
        <w:t xml:space="preserve">Department </w:t>
      </w:r>
      <w:r>
        <w:t>of</w:t>
      </w:r>
      <w:r w:rsidRPr="00DC5D8E">
        <w:t xml:space="preserve"> </w:t>
      </w:r>
      <w:r>
        <w:t xml:space="preserve">State Development, </w:t>
      </w:r>
      <w:r w:rsidRPr="00DC5D8E">
        <w:t>Business and Innovation</w:t>
      </w:r>
      <w:r>
        <w:t>’</w:t>
      </w:r>
      <w:r w:rsidRPr="00DC5D8E">
        <w:t>s</w:t>
      </w:r>
      <w:r>
        <w:t xml:space="preserve"> Innovation and Technology output.</w:t>
      </w:r>
    </w:p>
    <w:p w:rsidR="00B958B1" w:rsidRDefault="00B958B1" w:rsidP="009F3B54">
      <w:pPr>
        <w:pStyle w:val="Heading5"/>
      </w:pPr>
      <w:r>
        <w:t>Victoria’s Technology Plan for the Future and Government Information and Communications Technology (ICT) Strategy</w:t>
      </w:r>
    </w:p>
    <w:p w:rsidR="00B958B1" w:rsidRDefault="00B958B1" w:rsidP="009F3B54">
      <w:r>
        <w:t>Additional funding is provided to continue initiatives in Victoria’s Technology Plan for the Future and for implementation of the Government ICT Strategy 2013</w:t>
      </w:r>
      <w:r w:rsidR="009F0F49">
        <w:noBreakHyphen/>
      </w:r>
      <w:r>
        <w:t>14.</w:t>
      </w:r>
    </w:p>
    <w:p w:rsidR="00B958B1" w:rsidRDefault="00B958B1" w:rsidP="009F3B54">
      <w:r>
        <w:t xml:space="preserve">This initiative contributes to the </w:t>
      </w:r>
      <w:r w:rsidRPr="00DC5D8E">
        <w:t xml:space="preserve">Department </w:t>
      </w:r>
      <w:r>
        <w:t>of</w:t>
      </w:r>
      <w:r w:rsidRPr="00DC5D8E">
        <w:t xml:space="preserve"> </w:t>
      </w:r>
      <w:r>
        <w:t xml:space="preserve">State Development, </w:t>
      </w:r>
      <w:r w:rsidRPr="00DC5D8E">
        <w:t>Business and Innovation</w:t>
      </w:r>
      <w:r>
        <w:t>’</w:t>
      </w:r>
      <w:r w:rsidRPr="00DC5D8E">
        <w:t>s</w:t>
      </w:r>
      <w:r>
        <w:t>:</w:t>
      </w:r>
    </w:p>
    <w:p w:rsidR="00B958B1" w:rsidRDefault="00B958B1" w:rsidP="009F3B54">
      <w:pPr>
        <w:pStyle w:val="BulletText"/>
      </w:pPr>
      <w:r>
        <w:t>Innovation and Technology output;</w:t>
      </w:r>
    </w:p>
    <w:p w:rsidR="00B958B1" w:rsidRDefault="00B958B1" w:rsidP="009F3B54">
      <w:pPr>
        <w:pStyle w:val="BulletText"/>
      </w:pPr>
      <w:r>
        <w:t>Investment Attraction, Facilitation and Major Projects output; and</w:t>
      </w:r>
    </w:p>
    <w:p w:rsidR="00B958B1" w:rsidRDefault="00B958B1" w:rsidP="009F3B54">
      <w:pPr>
        <w:pStyle w:val="BulletText"/>
      </w:pPr>
      <w:r>
        <w:t>Trade and Export Facilitation output.</w:t>
      </w:r>
    </w:p>
    <w:bookmarkEnd w:id="62"/>
    <w:p w:rsidR="00B958B1" w:rsidRDefault="00B958B1" w:rsidP="009F3B54">
      <w:pPr>
        <w:pStyle w:val="Heading4"/>
      </w:pPr>
      <w:r>
        <w:br w:type="page"/>
      </w:r>
      <w:r w:rsidRPr="006A2E6C">
        <w:t>Investment Attraction, Facilitation and Major Projects</w:t>
      </w:r>
    </w:p>
    <w:p w:rsidR="00B958B1" w:rsidRDefault="00B958B1" w:rsidP="009F3B54">
      <w:pPr>
        <w:pStyle w:val="Heading5"/>
      </w:pPr>
      <w:bookmarkStart w:id="63" w:name="BP3Ch1DSDBIInvestAttractProjects"/>
      <w:r>
        <w:t>Establish Office of State Development</w:t>
      </w:r>
    </w:p>
    <w:p w:rsidR="00B958B1" w:rsidRDefault="00B958B1" w:rsidP="009F3B54">
      <w:r>
        <w:t>The Office of State Development</w:t>
      </w:r>
      <w:r w:rsidRPr="002C6B38">
        <w:t xml:space="preserve"> will </w:t>
      </w:r>
      <w:r>
        <w:t>facilitate whole</w:t>
      </w:r>
      <w:r w:rsidR="009F0F49">
        <w:noBreakHyphen/>
      </w:r>
      <w:r>
        <w:t>of</w:t>
      </w:r>
      <w:r w:rsidR="009F0F49">
        <w:noBreakHyphen/>
      </w:r>
      <w:r>
        <w:t>government co</w:t>
      </w:r>
      <w:r w:rsidR="009F0F49">
        <w:noBreakHyphen/>
      </w:r>
      <w:r>
        <w:t>ordination of strategic investment projects,</w:t>
      </w:r>
      <w:r w:rsidRPr="002C6B38">
        <w:t xml:space="preserve"> raise Victoria</w:t>
      </w:r>
      <w:r>
        <w:t>’</w:t>
      </w:r>
      <w:r w:rsidRPr="002C6B38">
        <w:t xml:space="preserve">s profile and promote the State as a </w:t>
      </w:r>
      <w:r>
        <w:t>viable</w:t>
      </w:r>
      <w:r w:rsidRPr="002C6B38">
        <w:t xml:space="preserve">, secure and </w:t>
      </w:r>
      <w:r>
        <w:t xml:space="preserve">welcoming </w:t>
      </w:r>
      <w:r w:rsidRPr="002C6B38">
        <w:t xml:space="preserve">place to do business and invest. </w:t>
      </w:r>
      <w:r>
        <w:t>The Office will also be responsible for identifying and attracting</w:t>
      </w:r>
      <w:r w:rsidRPr="002C6B38">
        <w:t xml:space="preserve"> investment opportunities domestically and internationally.</w:t>
      </w:r>
    </w:p>
    <w:p w:rsidR="00B958B1" w:rsidRDefault="00B958B1" w:rsidP="009F3B54">
      <w:r>
        <w:t xml:space="preserve">This initiative contributes to the </w:t>
      </w:r>
      <w:r w:rsidRPr="00DC5D8E">
        <w:t xml:space="preserve">Department </w:t>
      </w:r>
      <w:r>
        <w:t>of</w:t>
      </w:r>
      <w:r w:rsidRPr="00DC5D8E">
        <w:t xml:space="preserve"> </w:t>
      </w:r>
      <w:r>
        <w:t xml:space="preserve">State Development, </w:t>
      </w:r>
      <w:r w:rsidRPr="00DC5D8E">
        <w:t>Business and Innovation</w:t>
      </w:r>
      <w:r>
        <w:t>’</w:t>
      </w:r>
      <w:r w:rsidRPr="00DC5D8E">
        <w:t>s</w:t>
      </w:r>
      <w:r>
        <w:t xml:space="preserve"> Investment Attraction, Facilitation and Major Projects output.</w:t>
      </w:r>
    </w:p>
    <w:p w:rsidR="00B958B1" w:rsidRDefault="00B958B1" w:rsidP="009F3B54">
      <w:pPr>
        <w:pStyle w:val="Heading5"/>
      </w:pPr>
      <w:r>
        <w:t>Expansion of Victorian International Engagement Strategy</w:t>
      </w:r>
    </w:p>
    <w:p w:rsidR="00B958B1" w:rsidRDefault="00B958B1" w:rsidP="009F3B54">
      <w:r w:rsidRPr="008778BD">
        <w:t>This initiative expands the current Hamer Scholarships program, a Chinese language scholarship program designed to build the language capabilities of Victorians and help strengthen cultural awareness between Victoria and China. This investment builds upon existing Victorian International Engagement Strategy</w:t>
      </w:r>
      <w:r>
        <w:t xml:space="preserve"> of </w:t>
      </w:r>
      <w:r w:rsidRPr="008778BD">
        <w:t>$50</w:t>
      </w:r>
      <w:r>
        <w:t> million over four years</w:t>
      </w:r>
      <w:r w:rsidRPr="008778BD">
        <w:t>.</w:t>
      </w:r>
      <w:r>
        <w:t xml:space="preserve"> </w:t>
      </w:r>
      <w:r>
        <w:fldChar w:fldCharType="begin"/>
      </w:r>
      <w:r>
        <w:instrText xml:space="preserve"> XE "</w:instrText>
      </w:r>
      <w:r w:rsidRPr="00451516">
        <w:instrText>Investment Attraction, Facilitation and Major Projects</w:instrText>
      </w:r>
      <w:r>
        <w:instrText xml:space="preserve">" \r "BP3Ch1DSDBIInvestAttractProjects" </w:instrText>
      </w:r>
      <w:r>
        <w:fldChar w:fldCharType="end"/>
      </w:r>
      <w:r>
        <w:fldChar w:fldCharType="begin"/>
      </w:r>
      <w:r>
        <w:instrText xml:space="preserve"> XE "</w:instrText>
      </w:r>
      <w:r w:rsidRPr="002103D2">
        <w:instrText>Department of State Development, Business and Innovation</w:instrText>
      </w:r>
      <w:r w:rsidRPr="00EC4B94">
        <w:instrText>:</w:instrText>
      </w:r>
      <w:r w:rsidRPr="00451516">
        <w:instrText>Investment Attraction, Facilitation and Major Projects</w:instrText>
      </w:r>
      <w:r>
        <w:instrText xml:space="preserve">" \r "BP3Ch1DSDBIInvestAttractProjects" </w:instrText>
      </w:r>
      <w:r>
        <w:fldChar w:fldCharType="end"/>
      </w:r>
    </w:p>
    <w:p w:rsidR="00B958B1" w:rsidRDefault="00B958B1" w:rsidP="009F3B54"/>
    <w:p w:rsidR="00B958B1" w:rsidRDefault="00B958B1" w:rsidP="009F3B54">
      <w:r>
        <w:t>This initiative contributes to the Department of State Development, Business and Innovation’s:</w:t>
      </w:r>
    </w:p>
    <w:p w:rsidR="00B958B1" w:rsidRPr="008E047D" w:rsidRDefault="00B958B1" w:rsidP="009F3B54">
      <w:pPr>
        <w:pStyle w:val="BulletText"/>
      </w:pPr>
      <w:r w:rsidRPr="008E047D">
        <w:t>Investment Attraction, Facilitation and Major Projects output;</w:t>
      </w:r>
      <w:r>
        <w:t xml:space="preserve"> and</w:t>
      </w:r>
    </w:p>
    <w:p w:rsidR="00B958B1" w:rsidRDefault="00B958B1" w:rsidP="009F3B54">
      <w:pPr>
        <w:pStyle w:val="BulletText"/>
      </w:pPr>
      <w:r w:rsidRPr="008E047D">
        <w:t>Trade an</w:t>
      </w:r>
      <w:r>
        <w:t>d Export Facilitation output.</w:t>
      </w:r>
    </w:p>
    <w:p w:rsidR="00B958B1" w:rsidRDefault="00B958B1" w:rsidP="009F3B54">
      <w:pPr>
        <w:pStyle w:val="Heading5"/>
      </w:pPr>
      <w:r>
        <w:t>Implementation of the Victorian Coal Development Strategy</w:t>
      </w:r>
    </w:p>
    <w:p w:rsidR="00B958B1" w:rsidRDefault="00B958B1" w:rsidP="009F3B54">
      <w:r w:rsidRPr="00485E12">
        <w:t xml:space="preserve">A market engagement process is testing interest in coal development in the Latrobe Valley, with the aim to maximise the benefits of Victoria's coal resources. The Government expects to make an announcement on the next stage of this process, and whether to </w:t>
      </w:r>
      <w:r>
        <w:t>proceed to tender</w:t>
      </w:r>
      <w:r w:rsidRPr="00485E12">
        <w:t xml:space="preserve"> in mid</w:t>
      </w:r>
      <w:r w:rsidR="009F0F49">
        <w:noBreakHyphen/>
      </w:r>
      <w:r w:rsidRPr="00485E12">
        <w:t>2013.</w:t>
      </w:r>
    </w:p>
    <w:p w:rsidR="00B958B1" w:rsidRDefault="00B958B1" w:rsidP="009F3B54">
      <w:r>
        <w:t xml:space="preserve">This initiative contributes to the </w:t>
      </w:r>
      <w:r w:rsidRPr="00DC5D8E">
        <w:t xml:space="preserve">Department </w:t>
      </w:r>
      <w:r>
        <w:t>of</w:t>
      </w:r>
      <w:r w:rsidRPr="00DC5D8E">
        <w:t xml:space="preserve"> </w:t>
      </w:r>
      <w:r>
        <w:t xml:space="preserve">State Development, </w:t>
      </w:r>
      <w:r w:rsidRPr="00DC5D8E">
        <w:t>Business and Innovation</w:t>
      </w:r>
      <w:r>
        <w:t>’</w:t>
      </w:r>
      <w:r w:rsidRPr="00DC5D8E">
        <w:t>s</w:t>
      </w:r>
      <w:r>
        <w:t xml:space="preserve"> Investment Attraction, Facilitation and Major Projects output.</w:t>
      </w:r>
    </w:p>
    <w:p w:rsidR="00B958B1" w:rsidRPr="00AB5FFD" w:rsidRDefault="00B958B1" w:rsidP="009F3B54">
      <w:pPr>
        <w:pStyle w:val="Heading5"/>
      </w:pPr>
      <w:r w:rsidRPr="00AB5FFD">
        <w:t>Supporting the aviation industry</w:t>
      </w:r>
    </w:p>
    <w:p w:rsidR="00B958B1" w:rsidRPr="00AB5FFD" w:rsidRDefault="00B958B1" w:rsidP="009F3B54">
      <w:pPr>
        <w:rPr>
          <w:lang w:eastAsia="en-AU"/>
        </w:rPr>
      </w:pPr>
      <w:r w:rsidRPr="00AB5FFD">
        <w:rPr>
          <w:lang w:eastAsia="en-AU"/>
        </w:rPr>
        <w:t xml:space="preserve">This initiative will support the aviation industry through investment in education and skills, promotion of investment and trade and industry research. </w:t>
      </w:r>
    </w:p>
    <w:p w:rsidR="00B958B1" w:rsidRPr="00AB5FFD" w:rsidRDefault="00B958B1" w:rsidP="009F3B54">
      <w:r>
        <w:t>This</w:t>
      </w:r>
      <w:r w:rsidRPr="00AB5FFD">
        <w:t xml:space="preserve"> initiative contributes to the Department of State Development, Business and Innovation’s:</w:t>
      </w:r>
    </w:p>
    <w:p w:rsidR="00B958B1" w:rsidRPr="008E047D" w:rsidRDefault="00B958B1" w:rsidP="009F3B54">
      <w:pPr>
        <w:pStyle w:val="BulletText"/>
      </w:pPr>
      <w:r w:rsidRPr="008E047D">
        <w:t>Investment Attraction, Facilitation and Major Projects output;</w:t>
      </w:r>
      <w:r>
        <w:t xml:space="preserve"> and</w:t>
      </w:r>
    </w:p>
    <w:p w:rsidR="00B958B1" w:rsidRDefault="00B958B1" w:rsidP="009F3B54">
      <w:pPr>
        <w:pStyle w:val="BulletText"/>
      </w:pPr>
      <w:r w:rsidRPr="008E047D">
        <w:t>Trade an</w:t>
      </w:r>
      <w:r>
        <w:t>d Export Facilitation output.</w:t>
      </w:r>
      <w:bookmarkEnd w:id="63"/>
    </w:p>
    <w:p w:rsidR="00B958B1" w:rsidRDefault="00B958B1" w:rsidP="009F3B54">
      <w:pPr>
        <w:pStyle w:val="Heading4"/>
      </w:pPr>
      <w:r>
        <w:t>Small Business Assistance</w:t>
      </w:r>
    </w:p>
    <w:p w:rsidR="00B958B1" w:rsidRDefault="00B958B1" w:rsidP="009F3B54">
      <w:pPr>
        <w:pStyle w:val="Heading5"/>
      </w:pPr>
      <w:r w:rsidRPr="007C2AB7">
        <w:t>Business</w:t>
      </w:r>
      <w:r>
        <w:t xml:space="preserve"> </w:t>
      </w:r>
      <w:r w:rsidRPr="000977EF">
        <w:t>Victoria</w:t>
      </w:r>
      <w:r>
        <w:t xml:space="preserve"> Online</w:t>
      </w:r>
    </w:p>
    <w:p w:rsidR="00B958B1" w:rsidRPr="00DC5D8E" w:rsidRDefault="00B958B1" w:rsidP="009F3B54">
      <w:r>
        <w:fldChar w:fldCharType="begin"/>
      </w:r>
      <w:r>
        <w:instrText xml:space="preserve"> XE "</w:instrText>
      </w:r>
      <w:r w:rsidRPr="002103D2">
        <w:instrText>Department of State Development, Business and Innovation</w:instrText>
      </w:r>
      <w:r w:rsidRPr="00F70A6C">
        <w:instrText xml:space="preserve">:Small </w:instrText>
      </w:r>
      <w:r>
        <w:instrText>B</w:instrText>
      </w:r>
      <w:r w:rsidRPr="00F70A6C">
        <w:instrText xml:space="preserve">usiness </w:instrText>
      </w:r>
      <w:r>
        <w:instrText>A</w:instrText>
      </w:r>
      <w:r w:rsidRPr="00F70A6C">
        <w:instrText>ssistance</w:instrText>
      </w:r>
      <w:r>
        <w:instrText xml:space="preserve">" </w:instrText>
      </w:r>
      <w:r>
        <w:fldChar w:fldCharType="end"/>
      </w:r>
      <w:r>
        <w:fldChar w:fldCharType="begin"/>
      </w:r>
      <w:r>
        <w:instrText xml:space="preserve"> XE "</w:instrText>
      </w:r>
      <w:r w:rsidRPr="009E53A6">
        <w:instrText xml:space="preserve">Small </w:instrText>
      </w:r>
      <w:r>
        <w:instrText>B</w:instrText>
      </w:r>
      <w:r w:rsidRPr="009E53A6">
        <w:instrText xml:space="preserve">usiness </w:instrText>
      </w:r>
      <w:r>
        <w:instrText>A</w:instrText>
      </w:r>
      <w:r w:rsidRPr="009E53A6">
        <w:instrText>ssistance</w:instrText>
      </w:r>
      <w:r>
        <w:instrText xml:space="preserve">" </w:instrText>
      </w:r>
      <w:r>
        <w:fldChar w:fldCharType="end"/>
      </w:r>
      <w:r w:rsidRPr="00DC5D8E">
        <w:t xml:space="preserve">Business Victoria Online is an integrated online platform that provides small businesses with easy access to information, advice and transactional services. Funding is provided to </w:t>
      </w:r>
      <w:r>
        <w:t>extend</w:t>
      </w:r>
      <w:r w:rsidRPr="00DC5D8E">
        <w:t xml:space="preserve"> this service and leverage the platform </w:t>
      </w:r>
      <w:r>
        <w:t xml:space="preserve">more broadly across government </w:t>
      </w:r>
      <w:r w:rsidRPr="00DC5D8E">
        <w:t>to bring</w:t>
      </w:r>
      <w:r>
        <w:t xml:space="preserve"> greater benefits to businesses and contribute to reducing red tape.</w:t>
      </w:r>
    </w:p>
    <w:p w:rsidR="00B958B1" w:rsidRDefault="00B958B1" w:rsidP="009F3B54">
      <w:r w:rsidRPr="00DC5D8E">
        <w:t xml:space="preserve">This initiative contributes to the Department </w:t>
      </w:r>
      <w:r>
        <w:t>of</w:t>
      </w:r>
      <w:r w:rsidRPr="00DC5D8E">
        <w:t xml:space="preserve"> </w:t>
      </w:r>
      <w:r>
        <w:t xml:space="preserve">State Development, </w:t>
      </w:r>
      <w:r w:rsidRPr="00DC5D8E">
        <w:t>Business and Innovation</w:t>
      </w:r>
      <w:r>
        <w:t>’</w:t>
      </w:r>
      <w:r w:rsidRPr="00DC5D8E">
        <w:t>s Small Business Assistance output.</w:t>
      </w:r>
    </w:p>
    <w:p w:rsidR="00B958B1" w:rsidRDefault="00B958B1" w:rsidP="009F3B54">
      <w:pPr>
        <w:pStyle w:val="Heading4"/>
      </w:pPr>
      <w:bookmarkStart w:id="64" w:name="BP3Ch1DSDBITourismMkting"/>
      <w:r>
        <w:t>Tourism and Marketing</w:t>
      </w:r>
    </w:p>
    <w:p w:rsidR="00B958B1" w:rsidRDefault="00B958B1" w:rsidP="009F3B54">
      <w:pPr>
        <w:pStyle w:val="Heading5"/>
      </w:pPr>
      <w:r>
        <w:t xml:space="preserve">International education </w:t>
      </w:r>
    </w:p>
    <w:p w:rsidR="00B958B1" w:rsidRDefault="00B958B1" w:rsidP="009F3B54">
      <w:r w:rsidRPr="00625E6F">
        <w:t>An International Education</w:t>
      </w:r>
      <w:r>
        <w:fldChar w:fldCharType="begin"/>
      </w:r>
      <w:r>
        <w:instrText xml:space="preserve"> XE "</w:instrText>
      </w:r>
      <w:r w:rsidRPr="001902E6">
        <w:instrText>Education</w:instrText>
      </w:r>
      <w:r>
        <w:instrText xml:space="preserve">" </w:instrText>
      </w:r>
      <w:r>
        <w:fldChar w:fldCharType="end"/>
      </w:r>
      <w:r w:rsidRPr="00625E6F">
        <w:t xml:space="preserve"> Strategy will deliver a package of initiatives to build on Victoria’s globally competitive position as a quality provider of inte</w:t>
      </w:r>
      <w:r>
        <w:t>rnational education in the Asia</w:t>
      </w:r>
      <w:r w:rsidR="009F0F49">
        <w:noBreakHyphen/>
      </w:r>
      <w:r w:rsidRPr="00625E6F">
        <w:t>Pacific region and support the sector to take advantage of expanding opportunities in the global market.</w:t>
      </w:r>
    </w:p>
    <w:p w:rsidR="00B958B1" w:rsidRDefault="00B958B1" w:rsidP="009F3B54">
      <w:r>
        <w:t xml:space="preserve">This initiative contributes to the </w:t>
      </w:r>
      <w:r w:rsidRPr="00DC5D8E">
        <w:t xml:space="preserve">Department </w:t>
      </w:r>
      <w:r>
        <w:t>of</w:t>
      </w:r>
      <w:r w:rsidRPr="00DC5D8E">
        <w:t xml:space="preserve"> </w:t>
      </w:r>
      <w:r>
        <w:t xml:space="preserve">State Development, </w:t>
      </w:r>
      <w:r w:rsidRPr="00DC5D8E">
        <w:t>Business and Innovation</w:t>
      </w:r>
      <w:r>
        <w:t>’</w:t>
      </w:r>
      <w:r w:rsidRPr="00DC5D8E">
        <w:t>s</w:t>
      </w:r>
      <w:r>
        <w:t xml:space="preserve"> Tourism and Marketing output.</w:t>
      </w:r>
    </w:p>
    <w:p w:rsidR="00B958B1" w:rsidRDefault="00B958B1" w:rsidP="009F3B54">
      <w:pPr>
        <w:pStyle w:val="Heading5"/>
      </w:pPr>
      <w:r>
        <w:t>International markets</w:t>
      </w:r>
    </w:p>
    <w:p w:rsidR="00B958B1" w:rsidRDefault="00B958B1" w:rsidP="009F3B54">
      <w:r w:rsidRPr="00E47A96">
        <w:t xml:space="preserve">This initiative seeks to increase the number of international visitors to Victoria and the associated economic benefits of tourism through developing targeted industry partnerships and marketing activities, </w:t>
      </w:r>
      <w:r>
        <w:t>including co</w:t>
      </w:r>
      <w:r w:rsidR="009F0F49">
        <w:noBreakHyphen/>
      </w:r>
      <w:r>
        <w:t>operative airline opportunities focused on fast growing markets, particularly in Asia.</w:t>
      </w:r>
    </w:p>
    <w:p w:rsidR="00B958B1" w:rsidRDefault="00B958B1" w:rsidP="009F3B54">
      <w:r>
        <w:t xml:space="preserve">This initiative contributes to the </w:t>
      </w:r>
      <w:r w:rsidRPr="00DC5D8E">
        <w:t xml:space="preserve">Department </w:t>
      </w:r>
      <w:r>
        <w:t>of</w:t>
      </w:r>
      <w:r w:rsidRPr="00DC5D8E">
        <w:t xml:space="preserve"> </w:t>
      </w:r>
      <w:r>
        <w:t xml:space="preserve">State Development, </w:t>
      </w:r>
      <w:r w:rsidRPr="00DC5D8E">
        <w:t>Business and Innovation</w:t>
      </w:r>
      <w:r>
        <w:t>’</w:t>
      </w:r>
      <w:r w:rsidRPr="00DC5D8E">
        <w:t>s</w:t>
      </w:r>
      <w:r>
        <w:t xml:space="preserve"> Tourism and Marketing output.</w:t>
      </w:r>
    </w:p>
    <w:p w:rsidR="00B958B1" w:rsidRDefault="00B958B1" w:rsidP="009F3B54">
      <w:pPr>
        <w:pStyle w:val="Heading5"/>
      </w:pPr>
      <w:r>
        <w:t>Regional tourism</w:t>
      </w:r>
    </w:p>
    <w:p w:rsidR="00B958B1" w:rsidRDefault="00B958B1" w:rsidP="009F3B54">
      <w:r w:rsidRPr="002F6752">
        <w:t xml:space="preserve">This initiative aims to increase the number of visitors to regional Victoria, </w:t>
      </w:r>
      <w:r>
        <w:t>and</w:t>
      </w:r>
      <w:r w:rsidRPr="002F6752">
        <w:t xml:space="preserve"> increase the benefits of tourism to the regional economy. Specific initiatives include integrated marketing activities directed towards key markets and a continued focus on regional events.</w:t>
      </w:r>
    </w:p>
    <w:p w:rsidR="00B958B1" w:rsidRDefault="00B958B1" w:rsidP="009F3B54">
      <w:r>
        <w:t xml:space="preserve">This initiative contributes to the </w:t>
      </w:r>
      <w:r w:rsidRPr="00DC5D8E">
        <w:t xml:space="preserve">Department </w:t>
      </w:r>
      <w:r>
        <w:t>of</w:t>
      </w:r>
      <w:r w:rsidRPr="00DC5D8E">
        <w:t xml:space="preserve"> </w:t>
      </w:r>
      <w:r>
        <w:t xml:space="preserve">State Development, </w:t>
      </w:r>
      <w:r w:rsidRPr="00DC5D8E">
        <w:t>Business and Innovation</w:t>
      </w:r>
      <w:r>
        <w:t>’</w:t>
      </w:r>
      <w:r w:rsidRPr="00DC5D8E">
        <w:t>s</w:t>
      </w:r>
      <w:r>
        <w:t xml:space="preserve"> Tourism and Marketing output.</w:t>
      </w:r>
    </w:p>
    <w:p w:rsidR="00B958B1" w:rsidRDefault="00B958B1" w:rsidP="009F3B54">
      <w:pPr>
        <w:pStyle w:val="Heading5"/>
      </w:pPr>
      <w:r>
        <w:t>Victoria’s China Tourism Strategy</w:t>
      </w:r>
    </w:p>
    <w:p w:rsidR="00B958B1" w:rsidRDefault="00B958B1" w:rsidP="009F3B54">
      <w:r w:rsidRPr="002F6752">
        <w:t xml:space="preserve">Funding will support strategies to increase the number of international visitors from China. Activities will include marketing in China and a focus </w:t>
      </w:r>
      <w:r>
        <w:t xml:space="preserve">on enhancing Chinese visitors’ experience in Victoria. </w:t>
      </w:r>
      <w:r>
        <w:fldChar w:fldCharType="begin"/>
      </w:r>
      <w:r>
        <w:instrText xml:space="preserve"> XE "</w:instrText>
      </w:r>
      <w:r w:rsidRPr="002103D2">
        <w:instrText>Department of State Development, Business and Innovation</w:instrText>
      </w:r>
      <w:r w:rsidRPr="00EC4B94">
        <w:instrText>:</w:instrText>
      </w:r>
      <w:r w:rsidRPr="00BB02EE">
        <w:instrText xml:space="preserve">Tourism and </w:instrText>
      </w:r>
      <w:r>
        <w:instrText>M</w:instrText>
      </w:r>
      <w:r w:rsidRPr="00BB02EE">
        <w:instrText>arketing</w:instrText>
      </w:r>
      <w:r>
        <w:instrText xml:space="preserve">" \r "BP3Ch1DSDBITourismMkting" </w:instrText>
      </w:r>
      <w:r>
        <w:fldChar w:fldCharType="end"/>
      </w:r>
      <w:r>
        <w:fldChar w:fldCharType="begin"/>
      </w:r>
      <w:r>
        <w:instrText xml:space="preserve"> XE "</w:instrText>
      </w:r>
      <w:r w:rsidRPr="009E53A6">
        <w:instrText xml:space="preserve">Tourism and </w:instrText>
      </w:r>
      <w:r>
        <w:instrText>M</w:instrText>
      </w:r>
      <w:r w:rsidRPr="009E53A6">
        <w:instrText>arketing</w:instrText>
      </w:r>
      <w:r>
        <w:instrText xml:space="preserve">" \r "BP3Ch1DSDBITourismMkting" </w:instrText>
      </w:r>
      <w:r>
        <w:fldChar w:fldCharType="end"/>
      </w:r>
    </w:p>
    <w:p w:rsidR="00B958B1" w:rsidRDefault="00B958B1" w:rsidP="009F3B54">
      <w:r>
        <w:t xml:space="preserve">This initiative contributes to the </w:t>
      </w:r>
      <w:r w:rsidRPr="00DC5D8E">
        <w:t xml:space="preserve">Department </w:t>
      </w:r>
      <w:r>
        <w:t>of</w:t>
      </w:r>
      <w:r w:rsidRPr="00DC5D8E">
        <w:t xml:space="preserve"> </w:t>
      </w:r>
      <w:r>
        <w:t xml:space="preserve">State Development, </w:t>
      </w:r>
      <w:r w:rsidRPr="00DC5D8E">
        <w:t>Business and Innovation</w:t>
      </w:r>
      <w:r>
        <w:t>’</w:t>
      </w:r>
      <w:r w:rsidRPr="00DC5D8E">
        <w:t>s</w:t>
      </w:r>
      <w:r>
        <w:t xml:space="preserve"> Tourism and Marketing output.</w:t>
      </w:r>
      <w:bookmarkEnd w:id="64"/>
    </w:p>
    <w:p w:rsidR="00B958B1" w:rsidRDefault="00B958B1" w:rsidP="009F3B54">
      <w:pPr>
        <w:pStyle w:val="Heading4"/>
      </w:pPr>
      <w:r>
        <w:t>Trade and Export Facilitation</w:t>
      </w:r>
    </w:p>
    <w:p w:rsidR="00B958B1" w:rsidRDefault="00B958B1" w:rsidP="009F3B54">
      <w:pPr>
        <w:pStyle w:val="Heading5"/>
      </w:pPr>
      <w:r>
        <w:t>Victoria’s international engagement in Western China and Indonesia</w:t>
      </w:r>
    </w:p>
    <w:p w:rsidR="00B958B1" w:rsidRDefault="00B958B1" w:rsidP="009F3B54">
      <w:r>
        <w:t xml:space="preserve">This provides support for additional Victorian Government Business Offices in Western China and Indonesia. </w:t>
      </w:r>
      <w:r>
        <w:fldChar w:fldCharType="begin"/>
      </w:r>
      <w:r>
        <w:instrText xml:space="preserve"> XE "</w:instrText>
      </w:r>
      <w:r w:rsidRPr="002103D2">
        <w:instrText>Department of State Development, Business and Innovation</w:instrText>
      </w:r>
      <w:r w:rsidRPr="00EC4B94">
        <w:instrText>:</w:instrText>
      </w:r>
      <w:r w:rsidRPr="00A4755B">
        <w:instrText xml:space="preserve">Trade and </w:instrText>
      </w:r>
      <w:r>
        <w:instrText>E</w:instrText>
      </w:r>
      <w:r w:rsidRPr="00A4755B">
        <w:instrText xml:space="preserve">xport </w:instrText>
      </w:r>
      <w:r>
        <w:instrText>F</w:instrText>
      </w:r>
      <w:r w:rsidRPr="00A4755B">
        <w:instrText>acilitation</w:instrText>
      </w:r>
      <w:r>
        <w:instrText xml:space="preserve">" </w:instrText>
      </w:r>
      <w:r>
        <w:fldChar w:fldCharType="end"/>
      </w:r>
      <w:r>
        <w:fldChar w:fldCharType="begin"/>
      </w:r>
      <w:r>
        <w:instrText xml:space="preserve"> XE "</w:instrText>
      </w:r>
      <w:r w:rsidRPr="009E53A6">
        <w:instrText xml:space="preserve">Trade and </w:instrText>
      </w:r>
      <w:r>
        <w:instrText>E</w:instrText>
      </w:r>
      <w:r w:rsidRPr="009E53A6">
        <w:instrText xml:space="preserve">xport </w:instrText>
      </w:r>
      <w:r>
        <w:instrText>F</w:instrText>
      </w:r>
      <w:r w:rsidRPr="009E53A6">
        <w:instrText>acilitation</w:instrText>
      </w:r>
      <w:r>
        <w:instrText xml:space="preserve">" </w:instrText>
      </w:r>
      <w:r>
        <w:fldChar w:fldCharType="end"/>
      </w:r>
    </w:p>
    <w:p w:rsidR="00B958B1" w:rsidRDefault="00B958B1" w:rsidP="009F3B54">
      <w:r>
        <w:br w:type="page"/>
        <w:t>This initiative contributes to the Department of State Development, Business and Innovation’s:</w:t>
      </w:r>
    </w:p>
    <w:p w:rsidR="00B958B1" w:rsidRDefault="00B958B1" w:rsidP="009F3B54">
      <w:pPr>
        <w:pStyle w:val="BulletText"/>
        <w:spacing w:after="80"/>
      </w:pPr>
      <w:r>
        <w:t>Trade and Export Facilitation output; and</w:t>
      </w:r>
    </w:p>
    <w:p w:rsidR="00B958B1" w:rsidRDefault="00B958B1" w:rsidP="009F3B54">
      <w:pPr>
        <w:pStyle w:val="BulletText"/>
        <w:spacing w:after="80"/>
      </w:pPr>
      <w:r>
        <w:t xml:space="preserve">Investment Attraction, Facilitation and Major Projects output. </w:t>
      </w:r>
      <w:r>
        <w:fldChar w:fldCharType="begin"/>
      </w:r>
      <w:r>
        <w:instrText xml:space="preserve"> XE "</w:instrText>
      </w:r>
      <w:r w:rsidRPr="002103D2">
        <w:instrText>Department of State Development, Business and Innovation</w:instrText>
      </w:r>
      <w:r w:rsidRPr="00EC4B94">
        <w:instrText>:</w:instrText>
      </w:r>
      <w:r w:rsidRPr="00135EA2">
        <w:instrText>Output initiatives</w:instrText>
      </w:r>
      <w:r>
        <w:instrText xml:space="preserve">" \r "BP3Ch1DSDBIAssetInitves" </w:instrText>
      </w:r>
      <w:r>
        <w:fldChar w:fldCharType="end"/>
      </w:r>
    </w:p>
    <w:p w:rsidR="00B958B1" w:rsidRDefault="00B958B1" w:rsidP="009F3B54">
      <w:pPr>
        <w:pStyle w:val="Heading3"/>
      </w:pPr>
      <w:bookmarkStart w:id="65" w:name="BP3Ch1DSDBIAssetInitves"/>
      <w:bookmarkEnd w:id="60"/>
      <w:r w:rsidRPr="000977EF">
        <w:t>Asset</w:t>
      </w:r>
      <w:r>
        <w:t xml:space="preserve"> initiatives</w:t>
      </w:r>
    </w:p>
    <w:p w:rsidR="00B958B1" w:rsidRDefault="00B958B1" w:rsidP="009F3B54">
      <w:pPr>
        <w:pStyle w:val="Tableheading"/>
      </w:pPr>
      <w:r w:rsidRPr="006C13A1">
        <w:t>Table 1.</w:t>
      </w:r>
      <w:r>
        <w:t>14</w:t>
      </w:r>
      <w:r w:rsidRPr="006C13A1">
        <w:t>:</w:t>
      </w:r>
      <w:r w:rsidRPr="006C13A1">
        <w:tab/>
        <w:t>Asset initiatives – State Development, Business and Innovation</w:t>
      </w:r>
    </w:p>
    <w:p w:rsidR="00B958B1" w:rsidRPr="009C06AA" w:rsidRDefault="00B958B1" w:rsidP="009F3B5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984"/>
        <w:gridCol w:w="333"/>
        <w:gridCol w:w="513"/>
        <w:gridCol w:w="846"/>
        <w:gridCol w:w="108"/>
        <w:gridCol w:w="266"/>
        <w:gridCol w:w="236"/>
        <w:gridCol w:w="236"/>
        <w:gridCol w:w="846"/>
        <w:gridCol w:w="846"/>
        <w:gridCol w:w="562"/>
      </w:tblGrid>
      <w:tr w:rsidR="00B958B1" w:rsidRPr="009C06AA" w:rsidTr="009F3B54">
        <w:tc>
          <w:tcPr>
            <w:tcW w:w="2984" w:type="dxa"/>
            <w:tcBorders>
              <w:top w:val="single" w:sz="6" w:space="0" w:color="auto"/>
              <w:left w:val="single" w:sz="4" w:space="0" w:color="auto"/>
              <w:bottom w:val="single" w:sz="4" w:space="0" w:color="auto"/>
              <w:right w:val="nil"/>
            </w:tcBorders>
            <w:shd w:val="clear" w:color="auto" w:fill="000000"/>
          </w:tcPr>
          <w:p w:rsidR="00B958B1" w:rsidRPr="009C06AA" w:rsidRDefault="00B958B1" w:rsidP="009F3B54">
            <w:pPr>
              <w:pStyle w:val="Tabletext"/>
              <w:rPr>
                <w:lang w:eastAsia="en-AU"/>
              </w:rPr>
            </w:pPr>
          </w:p>
        </w:tc>
        <w:tc>
          <w:tcPr>
            <w:tcW w:w="846" w:type="dxa"/>
            <w:gridSpan w:val="2"/>
            <w:tcBorders>
              <w:top w:val="single" w:sz="6" w:space="0" w:color="auto"/>
              <w:left w:val="nil"/>
              <w:bottom w:val="single" w:sz="4" w:space="0" w:color="auto"/>
              <w:right w:val="nil"/>
            </w:tcBorders>
            <w:shd w:val="clear" w:color="auto" w:fill="000000"/>
          </w:tcPr>
          <w:p w:rsidR="00B958B1" w:rsidRPr="009C06AA" w:rsidRDefault="00B958B1" w:rsidP="009F3B54">
            <w:pPr>
              <w:pStyle w:val="Tabletextheading"/>
              <w:rPr>
                <w:lang w:eastAsia="en-AU"/>
              </w:rPr>
            </w:pPr>
            <w:r w:rsidRPr="009C06AA">
              <w:rPr>
                <w:lang w:eastAsia="en-AU"/>
              </w:rPr>
              <w:t>2012</w:t>
            </w:r>
            <w:r w:rsidR="009F0F49">
              <w:rPr>
                <w:lang w:eastAsia="en-AU"/>
              </w:rPr>
              <w:noBreakHyphen/>
            </w:r>
            <w:r w:rsidRPr="009C06AA">
              <w:rPr>
                <w:lang w:eastAsia="en-AU"/>
              </w:rPr>
              <w:t>13</w:t>
            </w:r>
          </w:p>
        </w:tc>
        <w:tc>
          <w:tcPr>
            <w:tcW w:w="846" w:type="dxa"/>
            <w:tcBorders>
              <w:top w:val="single" w:sz="6" w:space="0" w:color="auto"/>
              <w:left w:val="nil"/>
              <w:bottom w:val="single" w:sz="4" w:space="0" w:color="auto"/>
              <w:right w:val="nil"/>
            </w:tcBorders>
            <w:shd w:val="clear" w:color="auto" w:fill="000000"/>
          </w:tcPr>
          <w:p w:rsidR="00B958B1" w:rsidRPr="009C06AA" w:rsidRDefault="00B958B1" w:rsidP="009F3B54">
            <w:pPr>
              <w:pStyle w:val="Tabletextheading"/>
              <w:rPr>
                <w:lang w:eastAsia="en-AU"/>
              </w:rPr>
            </w:pPr>
            <w:r w:rsidRPr="009C06AA">
              <w:rPr>
                <w:lang w:eastAsia="en-AU"/>
              </w:rPr>
              <w:t>2013</w:t>
            </w:r>
            <w:r w:rsidR="009F0F49">
              <w:rPr>
                <w:lang w:eastAsia="en-AU"/>
              </w:rPr>
              <w:noBreakHyphen/>
            </w:r>
            <w:r w:rsidRPr="009C06AA">
              <w:rPr>
                <w:lang w:eastAsia="en-AU"/>
              </w:rPr>
              <w:t>14</w:t>
            </w:r>
          </w:p>
        </w:tc>
        <w:tc>
          <w:tcPr>
            <w:tcW w:w="846" w:type="dxa"/>
            <w:gridSpan w:val="4"/>
            <w:tcBorders>
              <w:top w:val="single" w:sz="6" w:space="0" w:color="auto"/>
              <w:left w:val="nil"/>
              <w:bottom w:val="single" w:sz="4" w:space="0" w:color="auto"/>
              <w:right w:val="nil"/>
            </w:tcBorders>
            <w:shd w:val="clear" w:color="auto" w:fill="000000"/>
          </w:tcPr>
          <w:p w:rsidR="00B958B1" w:rsidRPr="009C06AA" w:rsidRDefault="00B958B1" w:rsidP="009F3B54">
            <w:pPr>
              <w:pStyle w:val="Tabletextheading"/>
              <w:rPr>
                <w:lang w:eastAsia="en-AU"/>
              </w:rPr>
            </w:pPr>
            <w:r w:rsidRPr="009C06AA">
              <w:rPr>
                <w:lang w:eastAsia="en-AU"/>
              </w:rPr>
              <w:t>2014</w:t>
            </w:r>
            <w:r w:rsidR="009F0F49">
              <w:rPr>
                <w:lang w:eastAsia="en-AU"/>
              </w:rPr>
              <w:noBreakHyphen/>
            </w:r>
            <w:r w:rsidRPr="009C06AA">
              <w:rPr>
                <w:lang w:eastAsia="en-AU"/>
              </w:rPr>
              <w:t>15</w:t>
            </w:r>
          </w:p>
        </w:tc>
        <w:tc>
          <w:tcPr>
            <w:tcW w:w="846" w:type="dxa"/>
            <w:tcBorders>
              <w:top w:val="single" w:sz="6" w:space="0" w:color="auto"/>
              <w:left w:val="nil"/>
              <w:bottom w:val="single" w:sz="4" w:space="0" w:color="auto"/>
              <w:right w:val="nil"/>
            </w:tcBorders>
            <w:shd w:val="clear" w:color="auto" w:fill="000000"/>
          </w:tcPr>
          <w:p w:rsidR="00B958B1" w:rsidRPr="009C06AA" w:rsidRDefault="00B958B1" w:rsidP="009F3B54">
            <w:pPr>
              <w:pStyle w:val="Tabletextheading"/>
              <w:rPr>
                <w:lang w:eastAsia="en-AU"/>
              </w:rPr>
            </w:pPr>
            <w:r w:rsidRPr="009C06AA">
              <w:rPr>
                <w:lang w:eastAsia="en-AU"/>
              </w:rPr>
              <w:t>2015</w:t>
            </w:r>
            <w:r w:rsidR="009F0F49">
              <w:rPr>
                <w:lang w:eastAsia="en-AU"/>
              </w:rPr>
              <w:noBreakHyphen/>
            </w:r>
            <w:r w:rsidRPr="009C06AA">
              <w:rPr>
                <w:lang w:eastAsia="en-AU"/>
              </w:rPr>
              <w:t>16</w:t>
            </w:r>
          </w:p>
        </w:tc>
        <w:tc>
          <w:tcPr>
            <w:tcW w:w="846" w:type="dxa"/>
            <w:tcBorders>
              <w:top w:val="single" w:sz="6" w:space="0" w:color="auto"/>
              <w:left w:val="nil"/>
              <w:bottom w:val="single" w:sz="4" w:space="0" w:color="auto"/>
              <w:right w:val="nil"/>
            </w:tcBorders>
            <w:shd w:val="clear" w:color="auto" w:fill="000000"/>
          </w:tcPr>
          <w:p w:rsidR="00B958B1" w:rsidRPr="009C06AA" w:rsidRDefault="00B958B1" w:rsidP="009F3B54">
            <w:pPr>
              <w:pStyle w:val="Tabletextheading"/>
              <w:rPr>
                <w:lang w:eastAsia="en-AU"/>
              </w:rPr>
            </w:pPr>
            <w:r w:rsidRPr="009C06AA">
              <w:rPr>
                <w:lang w:eastAsia="en-AU"/>
              </w:rPr>
              <w:t>2016</w:t>
            </w:r>
            <w:r w:rsidR="009F0F49">
              <w:rPr>
                <w:lang w:eastAsia="en-AU"/>
              </w:rPr>
              <w:noBreakHyphen/>
            </w:r>
            <w:r w:rsidRPr="009C06AA">
              <w:rPr>
                <w:lang w:eastAsia="en-AU"/>
              </w:rPr>
              <w:t>17</w:t>
            </w:r>
          </w:p>
        </w:tc>
        <w:tc>
          <w:tcPr>
            <w:tcW w:w="562" w:type="dxa"/>
            <w:tcBorders>
              <w:top w:val="single" w:sz="6" w:space="0" w:color="auto"/>
              <w:left w:val="nil"/>
              <w:bottom w:val="single" w:sz="4" w:space="0" w:color="auto"/>
              <w:right w:val="single" w:sz="4" w:space="0" w:color="auto"/>
            </w:tcBorders>
            <w:shd w:val="clear" w:color="auto" w:fill="000000"/>
          </w:tcPr>
          <w:p w:rsidR="00B958B1" w:rsidRPr="009C06AA" w:rsidRDefault="00B958B1" w:rsidP="009F3B54">
            <w:pPr>
              <w:pStyle w:val="Tabletextheading"/>
              <w:rPr>
                <w:lang w:eastAsia="en-AU"/>
              </w:rPr>
            </w:pPr>
            <w:r w:rsidRPr="009C06AA">
              <w:rPr>
                <w:lang w:eastAsia="en-AU"/>
              </w:rPr>
              <w:t>TEI</w:t>
            </w:r>
          </w:p>
        </w:tc>
      </w:tr>
      <w:tr w:rsidR="00B958B1" w:rsidRPr="009C06AA" w:rsidTr="009F3B54">
        <w:tc>
          <w:tcPr>
            <w:tcW w:w="4784" w:type="dxa"/>
            <w:gridSpan w:val="5"/>
            <w:tcBorders>
              <w:top w:val="single" w:sz="4" w:space="0" w:color="auto"/>
              <w:left w:val="nil"/>
              <w:bottom w:val="nil"/>
              <w:right w:val="nil"/>
            </w:tcBorders>
          </w:tcPr>
          <w:p w:rsidR="00B958B1" w:rsidRPr="009C06AA" w:rsidRDefault="00B958B1" w:rsidP="009F3B54">
            <w:pPr>
              <w:pStyle w:val="Tabletext"/>
              <w:rPr>
                <w:b/>
                <w:bCs/>
                <w:lang w:eastAsia="en-AU"/>
              </w:rPr>
            </w:pPr>
            <w:r w:rsidRPr="009C06AA">
              <w:rPr>
                <w:b/>
                <w:bCs/>
                <w:lang w:eastAsia="en-AU"/>
              </w:rPr>
              <w:t>Investment Attraction, Facilitation and Major Projects</w:t>
            </w:r>
          </w:p>
        </w:tc>
        <w:tc>
          <w:tcPr>
            <w:tcW w:w="266" w:type="dxa"/>
            <w:tcBorders>
              <w:top w:val="single" w:sz="4" w:space="0" w:color="auto"/>
              <w:left w:val="nil"/>
              <w:bottom w:val="nil"/>
              <w:right w:val="nil"/>
            </w:tcBorders>
          </w:tcPr>
          <w:p w:rsidR="00B958B1" w:rsidRPr="009C06AA" w:rsidRDefault="00B958B1" w:rsidP="009F3B54">
            <w:pPr>
              <w:pStyle w:val="TableofFigures"/>
              <w:rPr>
                <w:lang w:eastAsia="en-AU"/>
              </w:rPr>
            </w:pPr>
            <w:r w:rsidRPr="009C06AA">
              <w:rPr>
                <w:lang w:eastAsia="en-AU"/>
              </w:rPr>
              <w:t xml:space="preserve"> </w:t>
            </w:r>
          </w:p>
        </w:tc>
        <w:tc>
          <w:tcPr>
            <w:tcW w:w="236" w:type="dxa"/>
            <w:tcBorders>
              <w:top w:val="single" w:sz="4" w:space="0" w:color="auto"/>
              <w:left w:val="nil"/>
              <w:bottom w:val="nil"/>
              <w:right w:val="nil"/>
            </w:tcBorders>
          </w:tcPr>
          <w:p w:rsidR="00B958B1" w:rsidRPr="009C06AA" w:rsidRDefault="00B958B1" w:rsidP="009F3B54">
            <w:pPr>
              <w:pStyle w:val="TableofFigures"/>
              <w:rPr>
                <w:lang w:eastAsia="en-AU"/>
              </w:rPr>
            </w:pPr>
          </w:p>
        </w:tc>
        <w:tc>
          <w:tcPr>
            <w:tcW w:w="236" w:type="dxa"/>
            <w:tcBorders>
              <w:top w:val="single" w:sz="4" w:space="0" w:color="auto"/>
              <w:left w:val="nil"/>
              <w:bottom w:val="nil"/>
              <w:right w:val="nil"/>
            </w:tcBorders>
          </w:tcPr>
          <w:p w:rsidR="00B958B1" w:rsidRPr="009C06AA" w:rsidRDefault="00B958B1" w:rsidP="009F3B54">
            <w:pPr>
              <w:pStyle w:val="TableofFigures"/>
              <w:rPr>
                <w:lang w:eastAsia="en-AU"/>
              </w:rPr>
            </w:pPr>
          </w:p>
        </w:tc>
        <w:tc>
          <w:tcPr>
            <w:tcW w:w="846" w:type="dxa"/>
            <w:tcBorders>
              <w:top w:val="single" w:sz="4" w:space="0" w:color="auto"/>
              <w:left w:val="nil"/>
              <w:bottom w:val="nil"/>
              <w:right w:val="nil"/>
            </w:tcBorders>
          </w:tcPr>
          <w:p w:rsidR="00B958B1" w:rsidRPr="009C06AA" w:rsidRDefault="00B958B1" w:rsidP="009F3B54">
            <w:pPr>
              <w:pStyle w:val="TableofFigures"/>
              <w:rPr>
                <w:lang w:eastAsia="en-AU"/>
              </w:rPr>
            </w:pPr>
          </w:p>
        </w:tc>
        <w:tc>
          <w:tcPr>
            <w:tcW w:w="846" w:type="dxa"/>
            <w:tcBorders>
              <w:top w:val="single" w:sz="4" w:space="0" w:color="auto"/>
              <w:left w:val="nil"/>
              <w:bottom w:val="nil"/>
              <w:right w:val="nil"/>
            </w:tcBorders>
          </w:tcPr>
          <w:p w:rsidR="00B958B1" w:rsidRPr="009C06AA" w:rsidRDefault="00B958B1" w:rsidP="009F3B54">
            <w:pPr>
              <w:pStyle w:val="TableofFigures"/>
              <w:rPr>
                <w:lang w:eastAsia="en-AU"/>
              </w:rPr>
            </w:pPr>
          </w:p>
        </w:tc>
        <w:tc>
          <w:tcPr>
            <w:tcW w:w="562" w:type="dxa"/>
            <w:tcBorders>
              <w:top w:val="single" w:sz="4" w:space="0" w:color="auto"/>
              <w:left w:val="nil"/>
              <w:bottom w:val="nil"/>
              <w:right w:val="nil"/>
            </w:tcBorders>
          </w:tcPr>
          <w:p w:rsidR="00B958B1" w:rsidRPr="009C06AA" w:rsidRDefault="00B958B1" w:rsidP="009F3B54">
            <w:pPr>
              <w:pStyle w:val="TableofFigures"/>
              <w:rPr>
                <w:lang w:eastAsia="en-AU"/>
              </w:rPr>
            </w:pPr>
          </w:p>
        </w:tc>
      </w:tr>
      <w:tr w:rsidR="00B958B1" w:rsidRPr="009C06AA" w:rsidTr="009F3B54">
        <w:tc>
          <w:tcPr>
            <w:tcW w:w="2984" w:type="dxa"/>
            <w:tcBorders>
              <w:top w:val="nil"/>
              <w:left w:val="nil"/>
              <w:bottom w:val="nil"/>
              <w:right w:val="nil"/>
            </w:tcBorders>
          </w:tcPr>
          <w:p w:rsidR="00B958B1" w:rsidRPr="009C06AA" w:rsidRDefault="00B958B1" w:rsidP="009F3B54">
            <w:pPr>
              <w:pStyle w:val="Tabletext"/>
              <w:rPr>
                <w:lang w:eastAsia="en-AU"/>
              </w:rPr>
            </w:pPr>
            <w:r w:rsidRPr="009C06AA">
              <w:rPr>
                <w:lang w:eastAsia="en-AU"/>
              </w:rPr>
              <w:t>E</w:t>
            </w:r>
            <w:r w:rsidR="009F0F49">
              <w:rPr>
                <w:lang w:eastAsia="en-AU"/>
              </w:rPr>
              <w:noBreakHyphen/>
            </w:r>
            <w:r w:rsidRPr="009C06AA">
              <w:rPr>
                <w:lang w:eastAsia="en-AU"/>
              </w:rPr>
              <w:t>Gate precinct redevelopment</w:t>
            </w:r>
          </w:p>
        </w:tc>
        <w:tc>
          <w:tcPr>
            <w:tcW w:w="846" w:type="dxa"/>
            <w:gridSpan w:val="2"/>
            <w:tcBorders>
              <w:top w:val="nil"/>
              <w:left w:val="nil"/>
              <w:bottom w:val="nil"/>
              <w:right w:val="nil"/>
            </w:tcBorders>
          </w:tcPr>
          <w:p w:rsidR="00B958B1" w:rsidRPr="009C06AA" w:rsidRDefault="00B958B1" w:rsidP="009F3B54">
            <w:pPr>
              <w:pStyle w:val="TableofFigures"/>
              <w:rPr>
                <w:lang w:eastAsia="en-AU"/>
              </w:rPr>
            </w:pPr>
            <w:r w:rsidRPr="009C06AA">
              <w:rPr>
                <w:lang w:eastAsia="en-AU"/>
              </w:rPr>
              <w:t>..</w:t>
            </w:r>
          </w:p>
        </w:tc>
        <w:tc>
          <w:tcPr>
            <w:tcW w:w="846"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2.1</w:t>
            </w:r>
          </w:p>
        </w:tc>
        <w:tc>
          <w:tcPr>
            <w:tcW w:w="846" w:type="dxa"/>
            <w:gridSpan w:val="4"/>
            <w:tcBorders>
              <w:top w:val="nil"/>
              <w:left w:val="nil"/>
              <w:bottom w:val="nil"/>
              <w:right w:val="nil"/>
            </w:tcBorders>
          </w:tcPr>
          <w:p w:rsidR="00B958B1" w:rsidRPr="009C06AA" w:rsidRDefault="00B958B1" w:rsidP="009F3B54">
            <w:pPr>
              <w:pStyle w:val="TableofFigures"/>
              <w:rPr>
                <w:lang w:eastAsia="en-AU"/>
              </w:rPr>
            </w:pPr>
            <w:r w:rsidRPr="009C06AA">
              <w:rPr>
                <w:lang w:eastAsia="en-AU"/>
              </w:rPr>
              <w:t>..</w:t>
            </w:r>
          </w:p>
        </w:tc>
        <w:tc>
          <w:tcPr>
            <w:tcW w:w="846"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w:t>
            </w:r>
          </w:p>
        </w:tc>
        <w:tc>
          <w:tcPr>
            <w:tcW w:w="846"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w:t>
            </w:r>
          </w:p>
        </w:tc>
        <w:tc>
          <w:tcPr>
            <w:tcW w:w="562"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2.1</w:t>
            </w:r>
          </w:p>
        </w:tc>
      </w:tr>
      <w:tr w:rsidR="00B958B1" w:rsidRPr="009C06AA" w:rsidTr="009F3B54">
        <w:tc>
          <w:tcPr>
            <w:tcW w:w="2984" w:type="dxa"/>
            <w:tcBorders>
              <w:top w:val="nil"/>
              <w:left w:val="nil"/>
              <w:bottom w:val="nil"/>
              <w:right w:val="nil"/>
            </w:tcBorders>
          </w:tcPr>
          <w:p w:rsidR="00B958B1" w:rsidRPr="009C06AA" w:rsidRDefault="00B958B1" w:rsidP="009F3B54">
            <w:pPr>
              <w:pStyle w:val="Tabletext"/>
              <w:rPr>
                <w:b/>
                <w:bCs/>
                <w:lang w:eastAsia="en-AU"/>
              </w:rPr>
            </w:pPr>
            <w:r w:rsidRPr="009C06AA">
              <w:rPr>
                <w:b/>
                <w:bCs/>
                <w:lang w:eastAsia="en-AU"/>
              </w:rPr>
              <w:t>Tourism and Marketing</w:t>
            </w:r>
          </w:p>
        </w:tc>
        <w:tc>
          <w:tcPr>
            <w:tcW w:w="846" w:type="dxa"/>
            <w:gridSpan w:val="2"/>
            <w:tcBorders>
              <w:top w:val="nil"/>
              <w:left w:val="nil"/>
              <w:bottom w:val="nil"/>
              <w:right w:val="nil"/>
            </w:tcBorders>
          </w:tcPr>
          <w:p w:rsidR="00B958B1" w:rsidRPr="009C06AA" w:rsidRDefault="00B958B1" w:rsidP="009F3B54">
            <w:pPr>
              <w:pStyle w:val="TableofFigures"/>
              <w:rPr>
                <w:lang w:eastAsia="en-AU"/>
              </w:rPr>
            </w:pPr>
            <w:r w:rsidRPr="009C06AA">
              <w:rPr>
                <w:lang w:eastAsia="en-AU"/>
              </w:rPr>
              <w:t xml:space="preserve"> </w:t>
            </w:r>
          </w:p>
        </w:tc>
        <w:tc>
          <w:tcPr>
            <w:tcW w:w="846" w:type="dxa"/>
            <w:tcBorders>
              <w:top w:val="nil"/>
              <w:left w:val="nil"/>
              <w:bottom w:val="nil"/>
              <w:right w:val="nil"/>
            </w:tcBorders>
          </w:tcPr>
          <w:p w:rsidR="00B958B1" w:rsidRPr="009C06AA" w:rsidRDefault="00B958B1" w:rsidP="009F3B54">
            <w:pPr>
              <w:pStyle w:val="TableofFigures"/>
              <w:rPr>
                <w:lang w:eastAsia="en-AU"/>
              </w:rPr>
            </w:pPr>
          </w:p>
        </w:tc>
        <w:tc>
          <w:tcPr>
            <w:tcW w:w="846" w:type="dxa"/>
            <w:gridSpan w:val="4"/>
            <w:tcBorders>
              <w:top w:val="nil"/>
              <w:left w:val="nil"/>
              <w:bottom w:val="nil"/>
              <w:right w:val="nil"/>
            </w:tcBorders>
          </w:tcPr>
          <w:p w:rsidR="00B958B1" w:rsidRPr="009C06AA" w:rsidRDefault="00B958B1" w:rsidP="009F3B54">
            <w:pPr>
              <w:pStyle w:val="TableofFigures"/>
              <w:rPr>
                <w:lang w:eastAsia="en-AU"/>
              </w:rPr>
            </w:pPr>
          </w:p>
        </w:tc>
        <w:tc>
          <w:tcPr>
            <w:tcW w:w="846" w:type="dxa"/>
            <w:tcBorders>
              <w:top w:val="nil"/>
              <w:left w:val="nil"/>
              <w:bottom w:val="nil"/>
              <w:right w:val="nil"/>
            </w:tcBorders>
          </w:tcPr>
          <w:p w:rsidR="00B958B1" w:rsidRPr="009C06AA" w:rsidRDefault="00B958B1" w:rsidP="009F3B54">
            <w:pPr>
              <w:pStyle w:val="TableofFigures"/>
              <w:rPr>
                <w:lang w:eastAsia="en-AU"/>
              </w:rPr>
            </w:pPr>
          </w:p>
        </w:tc>
        <w:tc>
          <w:tcPr>
            <w:tcW w:w="846" w:type="dxa"/>
            <w:tcBorders>
              <w:top w:val="nil"/>
              <w:left w:val="nil"/>
              <w:bottom w:val="nil"/>
              <w:right w:val="nil"/>
            </w:tcBorders>
          </w:tcPr>
          <w:p w:rsidR="00B958B1" w:rsidRPr="009C06AA" w:rsidRDefault="00B958B1" w:rsidP="009F3B54">
            <w:pPr>
              <w:pStyle w:val="TableofFigures"/>
              <w:rPr>
                <w:lang w:eastAsia="en-AU"/>
              </w:rPr>
            </w:pPr>
          </w:p>
        </w:tc>
        <w:tc>
          <w:tcPr>
            <w:tcW w:w="562" w:type="dxa"/>
            <w:tcBorders>
              <w:top w:val="nil"/>
              <w:left w:val="nil"/>
              <w:bottom w:val="nil"/>
              <w:right w:val="nil"/>
            </w:tcBorders>
          </w:tcPr>
          <w:p w:rsidR="00B958B1" w:rsidRPr="009C06AA" w:rsidRDefault="00B958B1" w:rsidP="009F3B54">
            <w:pPr>
              <w:pStyle w:val="TableofFigures"/>
              <w:rPr>
                <w:lang w:eastAsia="en-AU"/>
              </w:rPr>
            </w:pPr>
          </w:p>
        </w:tc>
      </w:tr>
      <w:tr w:rsidR="00B958B1" w:rsidRPr="009C06AA" w:rsidTr="009F3B54">
        <w:tc>
          <w:tcPr>
            <w:tcW w:w="3317" w:type="dxa"/>
            <w:gridSpan w:val="2"/>
            <w:tcBorders>
              <w:top w:val="nil"/>
              <w:left w:val="nil"/>
              <w:bottom w:val="nil"/>
              <w:right w:val="nil"/>
            </w:tcBorders>
          </w:tcPr>
          <w:p w:rsidR="00B958B1" w:rsidRPr="009C06AA" w:rsidRDefault="00B958B1" w:rsidP="009F3B54">
            <w:pPr>
              <w:pStyle w:val="Tabletext"/>
              <w:rPr>
                <w:lang w:eastAsia="en-AU"/>
              </w:rPr>
            </w:pPr>
            <w:r w:rsidRPr="009C06AA">
              <w:rPr>
                <w:lang w:eastAsia="en-AU"/>
              </w:rPr>
              <w:t>Federation Square capital replacement and renewal works</w:t>
            </w:r>
          </w:p>
        </w:tc>
        <w:tc>
          <w:tcPr>
            <w:tcW w:w="513"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w:t>
            </w:r>
          </w:p>
        </w:tc>
        <w:tc>
          <w:tcPr>
            <w:tcW w:w="846"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3.9</w:t>
            </w:r>
          </w:p>
        </w:tc>
        <w:tc>
          <w:tcPr>
            <w:tcW w:w="846" w:type="dxa"/>
            <w:gridSpan w:val="4"/>
            <w:tcBorders>
              <w:top w:val="nil"/>
              <w:left w:val="nil"/>
              <w:bottom w:val="nil"/>
              <w:right w:val="nil"/>
            </w:tcBorders>
          </w:tcPr>
          <w:p w:rsidR="00B958B1" w:rsidRPr="009C06AA" w:rsidRDefault="00B958B1" w:rsidP="009F3B54">
            <w:pPr>
              <w:pStyle w:val="TableofFigures"/>
              <w:rPr>
                <w:lang w:eastAsia="en-AU"/>
              </w:rPr>
            </w:pPr>
            <w:r w:rsidRPr="009C06AA">
              <w:rPr>
                <w:lang w:eastAsia="en-AU"/>
              </w:rPr>
              <w:t>3.7</w:t>
            </w:r>
          </w:p>
        </w:tc>
        <w:tc>
          <w:tcPr>
            <w:tcW w:w="846"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4.1</w:t>
            </w:r>
          </w:p>
        </w:tc>
        <w:tc>
          <w:tcPr>
            <w:tcW w:w="846"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w:t>
            </w:r>
          </w:p>
        </w:tc>
        <w:tc>
          <w:tcPr>
            <w:tcW w:w="562"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11.7</w:t>
            </w:r>
          </w:p>
        </w:tc>
      </w:tr>
      <w:tr w:rsidR="00B958B1" w:rsidRPr="009C06AA" w:rsidTr="009F3B54">
        <w:tc>
          <w:tcPr>
            <w:tcW w:w="2984" w:type="dxa"/>
            <w:tcBorders>
              <w:top w:val="nil"/>
              <w:left w:val="nil"/>
              <w:bottom w:val="nil"/>
              <w:right w:val="nil"/>
            </w:tcBorders>
            <w:shd w:val="solid" w:color="FFFFFF" w:fill="auto"/>
          </w:tcPr>
          <w:p w:rsidR="00B958B1" w:rsidRPr="009C06AA" w:rsidRDefault="00B958B1" w:rsidP="009F3B54">
            <w:pPr>
              <w:pStyle w:val="Tabletext"/>
              <w:rPr>
                <w:lang w:eastAsia="en-AU"/>
              </w:rPr>
            </w:pPr>
            <w:r w:rsidRPr="009C06AA">
              <w:rPr>
                <w:lang w:eastAsia="en-AU"/>
              </w:rPr>
              <w:t xml:space="preserve">Federation Square East </w:t>
            </w:r>
          </w:p>
        </w:tc>
        <w:tc>
          <w:tcPr>
            <w:tcW w:w="846" w:type="dxa"/>
            <w:gridSpan w:val="2"/>
            <w:tcBorders>
              <w:top w:val="nil"/>
              <w:left w:val="nil"/>
              <w:bottom w:val="nil"/>
              <w:right w:val="nil"/>
            </w:tcBorders>
          </w:tcPr>
          <w:p w:rsidR="00B958B1" w:rsidRPr="009C06AA" w:rsidRDefault="00B958B1" w:rsidP="009F3B54">
            <w:pPr>
              <w:pStyle w:val="TableofFigures"/>
              <w:rPr>
                <w:lang w:eastAsia="en-AU"/>
              </w:rPr>
            </w:pPr>
            <w:r w:rsidRPr="009C06AA">
              <w:rPr>
                <w:lang w:eastAsia="en-AU"/>
              </w:rPr>
              <w:t>..</w:t>
            </w:r>
          </w:p>
        </w:tc>
        <w:tc>
          <w:tcPr>
            <w:tcW w:w="846" w:type="dxa"/>
            <w:tcBorders>
              <w:top w:val="nil"/>
              <w:left w:val="nil"/>
              <w:bottom w:val="nil"/>
              <w:right w:val="nil"/>
            </w:tcBorders>
            <w:shd w:val="solid" w:color="FFFFFF" w:fill="auto"/>
          </w:tcPr>
          <w:p w:rsidR="00B958B1" w:rsidRPr="009C06AA" w:rsidRDefault="00B958B1" w:rsidP="009F3B54">
            <w:pPr>
              <w:pStyle w:val="TableofFigures"/>
              <w:rPr>
                <w:lang w:eastAsia="en-AU"/>
              </w:rPr>
            </w:pPr>
            <w:r w:rsidRPr="009C06AA">
              <w:rPr>
                <w:lang w:eastAsia="en-AU"/>
              </w:rPr>
              <w:t>1.0</w:t>
            </w:r>
          </w:p>
        </w:tc>
        <w:tc>
          <w:tcPr>
            <w:tcW w:w="846" w:type="dxa"/>
            <w:gridSpan w:val="4"/>
            <w:tcBorders>
              <w:top w:val="nil"/>
              <w:left w:val="nil"/>
              <w:bottom w:val="nil"/>
              <w:right w:val="nil"/>
            </w:tcBorders>
          </w:tcPr>
          <w:p w:rsidR="00B958B1" w:rsidRPr="009C06AA" w:rsidRDefault="00B958B1" w:rsidP="009F3B54">
            <w:pPr>
              <w:pStyle w:val="TableofFigures"/>
              <w:rPr>
                <w:lang w:eastAsia="en-AU"/>
              </w:rPr>
            </w:pPr>
            <w:r w:rsidRPr="009C06AA">
              <w:rPr>
                <w:lang w:eastAsia="en-AU"/>
              </w:rPr>
              <w:t>..</w:t>
            </w:r>
          </w:p>
        </w:tc>
        <w:tc>
          <w:tcPr>
            <w:tcW w:w="846"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w:t>
            </w:r>
          </w:p>
        </w:tc>
        <w:tc>
          <w:tcPr>
            <w:tcW w:w="846"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w:t>
            </w:r>
          </w:p>
        </w:tc>
        <w:tc>
          <w:tcPr>
            <w:tcW w:w="562"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1.0</w:t>
            </w:r>
          </w:p>
        </w:tc>
      </w:tr>
      <w:tr w:rsidR="00B958B1" w:rsidRPr="009C06AA" w:rsidTr="009F3B54">
        <w:tc>
          <w:tcPr>
            <w:tcW w:w="2984" w:type="dxa"/>
            <w:tcBorders>
              <w:top w:val="nil"/>
              <w:left w:val="nil"/>
              <w:bottom w:val="nil"/>
              <w:right w:val="nil"/>
            </w:tcBorders>
          </w:tcPr>
          <w:p w:rsidR="00B958B1" w:rsidRPr="009C06AA" w:rsidRDefault="00B958B1" w:rsidP="009F3B54">
            <w:pPr>
              <w:pStyle w:val="Tabletext"/>
              <w:rPr>
                <w:lang w:eastAsia="en-AU"/>
              </w:rPr>
            </w:pPr>
            <w:r w:rsidRPr="009C06AA">
              <w:rPr>
                <w:lang w:eastAsia="en-AU"/>
              </w:rPr>
              <w:t>Melbourne Exhibition Centre expansion project</w:t>
            </w:r>
          </w:p>
        </w:tc>
        <w:tc>
          <w:tcPr>
            <w:tcW w:w="846" w:type="dxa"/>
            <w:gridSpan w:val="2"/>
            <w:tcBorders>
              <w:top w:val="nil"/>
              <w:left w:val="nil"/>
              <w:bottom w:val="nil"/>
              <w:right w:val="nil"/>
            </w:tcBorders>
          </w:tcPr>
          <w:p w:rsidR="00B958B1" w:rsidRPr="009C06AA" w:rsidRDefault="00B958B1" w:rsidP="009F3B54">
            <w:pPr>
              <w:pStyle w:val="TableofFigures"/>
              <w:rPr>
                <w:lang w:eastAsia="en-AU"/>
              </w:rPr>
            </w:pPr>
            <w:r w:rsidRPr="009C06AA">
              <w:rPr>
                <w:lang w:eastAsia="en-AU"/>
              </w:rPr>
              <w:t>..</w:t>
            </w:r>
          </w:p>
        </w:tc>
        <w:tc>
          <w:tcPr>
            <w:tcW w:w="846"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2.0</w:t>
            </w:r>
          </w:p>
        </w:tc>
        <w:tc>
          <w:tcPr>
            <w:tcW w:w="846" w:type="dxa"/>
            <w:gridSpan w:val="4"/>
            <w:tcBorders>
              <w:top w:val="nil"/>
              <w:left w:val="nil"/>
              <w:bottom w:val="nil"/>
              <w:right w:val="nil"/>
            </w:tcBorders>
          </w:tcPr>
          <w:p w:rsidR="00B958B1" w:rsidRPr="009C06AA" w:rsidRDefault="00B958B1" w:rsidP="009F3B54">
            <w:pPr>
              <w:pStyle w:val="TableofFigures"/>
              <w:rPr>
                <w:lang w:eastAsia="en-AU"/>
              </w:rPr>
            </w:pPr>
            <w:r w:rsidRPr="009C06AA">
              <w:rPr>
                <w:lang w:eastAsia="en-AU"/>
              </w:rPr>
              <w:t>..</w:t>
            </w:r>
          </w:p>
        </w:tc>
        <w:tc>
          <w:tcPr>
            <w:tcW w:w="846"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w:t>
            </w:r>
          </w:p>
        </w:tc>
        <w:tc>
          <w:tcPr>
            <w:tcW w:w="846"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w:t>
            </w:r>
          </w:p>
        </w:tc>
        <w:tc>
          <w:tcPr>
            <w:tcW w:w="562"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2.0</w:t>
            </w:r>
          </w:p>
        </w:tc>
      </w:tr>
      <w:tr w:rsidR="00B958B1" w:rsidRPr="009C06AA" w:rsidTr="009F3B54">
        <w:tc>
          <w:tcPr>
            <w:tcW w:w="2984" w:type="dxa"/>
            <w:tcBorders>
              <w:top w:val="single" w:sz="6" w:space="0" w:color="auto"/>
              <w:left w:val="nil"/>
              <w:bottom w:val="single" w:sz="12" w:space="0" w:color="auto"/>
              <w:right w:val="nil"/>
            </w:tcBorders>
          </w:tcPr>
          <w:p w:rsidR="00B958B1" w:rsidRPr="009C06AA" w:rsidRDefault="00B958B1" w:rsidP="009F3B54">
            <w:pPr>
              <w:pStyle w:val="Tabletext"/>
              <w:rPr>
                <w:b/>
                <w:bCs/>
                <w:lang w:eastAsia="en-AU"/>
              </w:rPr>
            </w:pPr>
            <w:r w:rsidRPr="009C06AA">
              <w:rPr>
                <w:b/>
                <w:bCs/>
                <w:lang w:eastAsia="en-AU"/>
              </w:rPr>
              <w:t>Total asset initiatives</w:t>
            </w:r>
          </w:p>
        </w:tc>
        <w:tc>
          <w:tcPr>
            <w:tcW w:w="846" w:type="dxa"/>
            <w:gridSpan w:val="2"/>
            <w:tcBorders>
              <w:top w:val="single" w:sz="6" w:space="0" w:color="auto"/>
              <w:left w:val="nil"/>
              <w:bottom w:val="single" w:sz="12" w:space="0" w:color="auto"/>
              <w:right w:val="nil"/>
            </w:tcBorders>
          </w:tcPr>
          <w:p w:rsidR="00B958B1" w:rsidRPr="009C06AA" w:rsidRDefault="00B958B1" w:rsidP="009F3B54">
            <w:pPr>
              <w:pStyle w:val="TableofFigures"/>
              <w:rPr>
                <w:b/>
                <w:bCs/>
                <w:lang w:eastAsia="en-AU"/>
              </w:rPr>
            </w:pPr>
            <w:r w:rsidRPr="009C06AA">
              <w:rPr>
                <w:b/>
                <w:bCs/>
                <w:lang w:eastAsia="en-AU"/>
              </w:rPr>
              <w:t>..</w:t>
            </w:r>
          </w:p>
        </w:tc>
        <w:tc>
          <w:tcPr>
            <w:tcW w:w="846" w:type="dxa"/>
            <w:tcBorders>
              <w:top w:val="single" w:sz="6" w:space="0" w:color="auto"/>
              <w:left w:val="nil"/>
              <w:bottom w:val="single" w:sz="12" w:space="0" w:color="auto"/>
              <w:right w:val="nil"/>
            </w:tcBorders>
          </w:tcPr>
          <w:p w:rsidR="00B958B1" w:rsidRPr="009C06AA" w:rsidRDefault="00B958B1" w:rsidP="009F3B54">
            <w:pPr>
              <w:pStyle w:val="TableofFigures"/>
              <w:rPr>
                <w:b/>
                <w:bCs/>
                <w:lang w:eastAsia="en-AU"/>
              </w:rPr>
            </w:pPr>
            <w:r w:rsidRPr="009C06AA">
              <w:rPr>
                <w:b/>
                <w:bCs/>
                <w:lang w:eastAsia="en-AU"/>
              </w:rPr>
              <w:t>9.1</w:t>
            </w:r>
          </w:p>
        </w:tc>
        <w:tc>
          <w:tcPr>
            <w:tcW w:w="846" w:type="dxa"/>
            <w:gridSpan w:val="4"/>
            <w:tcBorders>
              <w:top w:val="single" w:sz="6" w:space="0" w:color="auto"/>
              <w:left w:val="nil"/>
              <w:bottom w:val="single" w:sz="12" w:space="0" w:color="auto"/>
              <w:right w:val="nil"/>
            </w:tcBorders>
          </w:tcPr>
          <w:p w:rsidR="00B958B1" w:rsidRPr="009C06AA" w:rsidRDefault="00B958B1" w:rsidP="009F3B54">
            <w:pPr>
              <w:pStyle w:val="TableofFigures"/>
              <w:rPr>
                <w:b/>
                <w:bCs/>
                <w:lang w:eastAsia="en-AU"/>
              </w:rPr>
            </w:pPr>
            <w:r w:rsidRPr="009C06AA">
              <w:rPr>
                <w:b/>
                <w:bCs/>
                <w:lang w:eastAsia="en-AU"/>
              </w:rPr>
              <w:t>3.7</w:t>
            </w:r>
          </w:p>
        </w:tc>
        <w:tc>
          <w:tcPr>
            <w:tcW w:w="846" w:type="dxa"/>
            <w:tcBorders>
              <w:top w:val="single" w:sz="6" w:space="0" w:color="auto"/>
              <w:left w:val="nil"/>
              <w:bottom w:val="single" w:sz="12" w:space="0" w:color="auto"/>
              <w:right w:val="nil"/>
            </w:tcBorders>
          </w:tcPr>
          <w:p w:rsidR="00B958B1" w:rsidRPr="009C06AA" w:rsidRDefault="00B958B1" w:rsidP="009F3B54">
            <w:pPr>
              <w:pStyle w:val="TableofFigures"/>
              <w:rPr>
                <w:b/>
                <w:bCs/>
                <w:lang w:eastAsia="en-AU"/>
              </w:rPr>
            </w:pPr>
            <w:r w:rsidRPr="009C06AA">
              <w:rPr>
                <w:b/>
                <w:bCs/>
                <w:lang w:eastAsia="en-AU"/>
              </w:rPr>
              <w:t>4.1</w:t>
            </w:r>
          </w:p>
        </w:tc>
        <w:tc>
          <w:tcPr>
            <w:tcW w:w="846" w:type="dxa"/>
            <w:tcBorders>
              <w:top w:val="single" w:sz="6" w:space="0" w:color="auto"/>
              <w:left w:val="nil"/>
              <w:bottom w:val="single" w:sz="12" w:space="0" w:color="auto"/>
              <w:right w:val="nil"/>
            </w:tcBorders>
          </w:tcPr>
          <w:p w:rsidR="00B958B1" w:rsidRPr="009C06AA" w:rsidRDefault="00B958B1" w:rsidP="009F3B54">
            <w:pPr>
              <w:pStyle w:val="TableofFigures"/>
              <w:rPr>
                <w:b/>
                <w:bCs/>
                <w:lang w:eastAsia="en-AU"/>
              </w:rPr>
            </w:pPr>
            <w:r w:rsidRPr="009C06AA">
              <w:rPr>
                <w:b/>
                <w:bCs/>
                <w:lang w:eastAsia="en-AU"/>
              </w:rPr>
              <w:t>..</w:t>
            </w:r>
          </w:p>
        </w:tc>
        <w:tc>
          <w:tcPr>
            <w:tcW w:w="562" w:type="dxa"/>
            <w:tcBorders>
              <w:top w:val="single" w:sz="6" w:space="0" w:color="auto"/>
              <w:left w:val="nil"/>
              <w:bottom w:val="single" w:sz="12" w:space="0" w:color="auto"/>
              <w:right w:val="nil"/>
            </w:tcBorders>
          </w:tcPr>
          <w:p w:rsidR="00B958B1" w:rsidRPr="009C06AA" w:rsidRDefault="00B958B1" w:rsidP="009F3B54">
            <w:pPr>
              <w:pStyle w:val="TableofFigures"/>
              <w:rPr>
                <w:b/>
                <w:bCs/>
                <w:lang w:eastAsia="en-AU"/>
              </w:rPr>
            </w:pPr>
            <w:r w:rsidRPr="009C06AA">
              <w:rPr>
                <w:b/>
                <w:bCs/>
                <w:lang w:eastAsia="en-AU"/>
              </w:rPr>
              <w:t>16.9</w:t>
            </w:r>
          </w:p>
        </w:tc>
      </w:tr>
    </w:tbl>
    <w:p w:rsidR="00B958B1" w:rsidRDefault="00B958B1" w:rsidP="009F3B54">
      <w:pPr>
        <w:pStyle w:val="Source"/>
      </w:pPr>
      <w:r w:rsidRPr="00A20936">
        <w:t>Source: Department of Treasury and Finance</w:t>
      </w:r>
    </w:p>
    <w:p w:rsidR="00B958B1" w:rsidRPr="00EA330A" w:rsidRDefault="00B958B1" w:rsidP="009F3B54">
      <w:pPr>
        <w:pStyle w:val="Source"/>
      </w:pPr>
    </w:p>
    <w:p w:rsidR="00B958B1" w:rsidRDefault="00B958B1" w:rsidP="009F3B54">
      <w:pPr>
        <w:pStyle w:val="Heading4"/>
      </w:pPr>
      <w:r w:rsidRPr="006A2E6C">
        <w:t>Investment Attraction, Facilitation and Major Projects</w:t>
      </w:r>
    </w:p>
    <w:p w:rsidR="00B958B1" w:rsidRDefault="00B958B1" w:rsidP="009F3B54">
      <w:pPr>
        <w:pStyle w:val="Heading5"/>
      </w:pPr>
      <w:r>
        <w:t>E</w:t>
      </w:r>
      <w:r w:rsidR="009F0F49">
        <w:noBreakHyphen/>
      </w:r>
      <w:r>
        <w:t>Gate precinct r</w:t>
      </w:r>
      <w:r w:rsidRPr="000977EF">
        <w:t>edevelopment</w:t>
      </w:r>
    </w:p>
    <w:p w:rsidR="00B958B1" w:rsidRDefault="00B958B1" w:rsidP="009F3B54">
      <w:r>
        <w:fldChar w:fldCharType="begin"/>
      </w:r>
      <w:r>
        <w:instrText xml:space="preserve"> XE "</w:instrText>
      </w:r>
      <w:r w:rsidRPr="002103D2">
        <w:instrText>Department of State Development, Business and Innovation</w:instrText>
      </w:r>
      <w:r w:rsidRPr="00EC4B94">
        <w:instrText>:</w:instrText>
      </w:r>
      <w:r w:rsidRPr="003D513C">
        <w:instrText>Investment Attraction, Facilitation and Major Projects</w:instrText>
      </w:r>
      <w:r>
        <w:instrText xml:space="preserve">" </w:instrText>
      </w:r>
      <w:r>
        <w:fldChar w:fldCharType="end"/>
      </w:r>
      <w:r>
        <w:fldChar w:fldCharType="begin"/>
      </w:r>
      <w:r>
        <w:instrText xml:space="preserve"> XE "</w:instrText>
      </w:r>
      <w:r w:rsidRPr="009E53A6">
        <w:instrText>Investment Attraction, Facilitation and Major Projects</w:instrText>
      </w:r>
      <w:r>
        <w:instrText xml:space="preserve">" </w:instrText>
      </w:r>
      <w:r>
        <w:fldChar w:fldCharType="end"/>
      </w:r>
      <w:r w:rsidRPr="0075620E">
        <w:t>Additional funding is provided to complete a full business case to assess the development potential of the 23 hectare E</w:t>
      </w:r>
      <w:r w:rsidR="009F0F49">
        <w:noBreakHyphen/>
      </w:r>
      <w:r w:rsidRPr="0075620E">
        <w:t xml:space="preserve">Gate site in West Melbourne. </w:t>
      </w:r>
    </w:p>
    <w:p w:rsidR="00B958B1" w:rsidRDefault="00B958B1" w:rsidP="009F3B54">
      <w:r>
        <w:t xml:space="preserve">This initiative contributes to the </w:t>
      </w:r>
      <w:r w:rsidRPr="00DC5D8E">
        <w:t xml:space="preserve">Department </w:t>
      </w:r>
      <w:r>
        <w:t>of</w:t>
      </w:r>
      <w:r w:rsidRPr="00DC5D8E">
        <w:t xml:space="preserve"> </w:t>
      </w:r>
      <w:r>
        <w:t xml:space="preserve">State Development, </w:t>
      </w:r>
      <w:r w:rsidRPr="00DC5D8E">
        <w:t>Business and Innovation</w:t>
      </w:r>
      <w:r>
        <w:t>’</w:t>
      </w:r>
      <w:r w:rsidRPr="00DC5D8E">
        <w:t>s</w:t>
      </w:r>
      <w:r>
        <w:t xml:space="preserve"> Investment Attraction, Facilitation and Major Projects output.</w:t>
      </w:r>
    </w:p>
    <w:p w:rsidR="00B958B1" w:rsidRDefault="00B958B1" w:rsidP="009F3B54">
      <w:pPr>
        <w:pStyle w:val="Heading4"/>
      </w:pPr>
      <w:r>
        <w:t>Tourism and Marketing</w:t>
      </w:r>
    </w:p>
    <w:p w:rsidR="00B958B1" w:rsidRDefault="00B958B1" w:rsidP="009F3B54">
      <w:pPr>
        <w:pStyle w:val="Heading5"/>
      </w:pPr>
      <w:r>
        <w:t>Federation Square capital replacement and renewal works</w:t>
      </w:r>
    </w:p>
    <w:p w:rsidR="00B958B1" w:rsidRDefault="00B958B1" w:rsidP="009F3B54">
      <w:r w:rsidRPr="0075620E">
        <w:t>Essential engineering works will be carried out to ensure Federation Square continues to generate social, community and economic value to the community, while meeting statutory and regulatory obligations.</w:t>
      </w:r>
    </w:p>
    <w:p w:rsidR="00B958B1" w:rsidRDefault="00B958B1" w:rsidP="009F3B54">
      <w:r>
        <w:t xml:space="preserve">This initiative contributes to the </w:t>
      </w:r>
      <w:r w:rsidRPr="00DC5D8E">
        <w:t xml:space="preserve">Department </w:t>
      </w:r>
      <w:r>
        <w:t>of</w:t>
      </w:r>
      <w:r w:rsidRPr="00DC5D8E">
        <w:t xml:space="preserve"> </w:t>
      </w:r>
      <w:r>
        <w:t xml:space="preserve">State Development, </w:t>
      </w:r>
      <w:r w:rsidRPr="00DC5D8E">
        <w:t>Business and Innovation</w:t>
      </w:r>
      <w:r>
        <w:t>’</w:t>
      </w:r>
      <w:r w:rsidRPr="00DC5D8E">
        <w:t>s</w:t>
      </w:r>
      <w:r>
        <w:t xml:space="preserve"> Tourism and Marketing output.</w:t>
      </w:r>
    </w:p>
    <w:p w:rsidR="00B958B1" w:rsidRDefault="00B958B1" w:rsidP="009F3B54">
      <w:pPr>
        <w:pStyle w:val="Heading5"/>
      </w:pPr>
      <w:r>
        <w:br w:type="page"/>
        <w:t>Federation Square East</w:t>
      </w:r>
    </w:p>
    <w:p w:rsidR="00B958B1" w:rsidRDefault="00B958B1" w:rsidP="009F3B54">
      <w:r w:rsidRPr="00706B1A">
        <w:t xml:space="preserve">Federation Square East is a 3.3 hectare site adjacent to Federation Square. Funding provided </w:t>
      </w:r>
      <w:r>
        <w:t>to this initiative will assess the commercial viability of this site and determine whether there is private interest in developing the site. Suggestions will be sought on the design and functionality of the area to ensure Federation Square remains a successful tourist experience.</w:t>
      </w:r>
    </w:p>
    <w:p w:rsidR="00B958B1" w:rsidRDefault="00B958B1" w:rsidP="009F3B54">
      <w:r>
        <w:t xml:space="preserve">This initiative contributes to the </w:t>
      </w:r>
      <w:r w:rsidRPr="00DC5D8E">
        <w:t xml:space="preserve">Department </w:t>
      </w:r>
      <w:r>
        <w:t>of</w:t>
      </w:r>
      <w:r w:rsidRPr="00DC5D8E">
        <w:t xml:space="preserve"> </w:t>
      </w:r>
      <w:r>
        <w:t xml:space="preserve">State Development, </w:t>
      </w:r>
      <w:r w:rsidRPr="00DC5D8E">
        <w:t>Business and Innovation</w:t>
      </w:r>
      <w:r>
        <w:t>’</w:t>
      </w:r>
      <w:r w:rsidRPr="00DC5D8E">
        <w:t>s</w:t>
      </w:r>
      <w:r>
        <w:t xml:space="preserve"> Tourism and Marketing output.</w:t>
      </w:r>
    </w:p>
    <w:p w:rsidR="00B958B1" w:rsidRDefault="00B958B1" w:rsidP="009F3B54">
      <w:pPr>
        <w:pStyle w:val="Heading5"/>
      </w:pPr>
      <w:r>
        <w:t>Melbourne Exhibition Centre expansion project</w:t>
      </w:r>
    </w:p>
    <w:p w:rsidR="00B958B1" w:rsidRDefault="00B958B1" w:rsidP="009F3B54">
      <w:r w:rsidRPr="00853A43">
        <w:t xml:space="preserve">Funding is provided for further exploration of options for expanding the Melbourne </w:t>
      </w:r>
      <w:r>
        <w:t xml:space="preserve">Convention and </w:t>
      </w:r>
      <w:r w:rsidRPr="00853A43">
        <w:t>Exhibition Centre, including investigating possibilities to</w:t>
      </w:r>
      <w:r>
        <w:t xml:space="preserve"> leverage commercial or private </w:t>
      </w:r>
      <w:r w:rsidRPr="00853A43">
        <w:t>sector financing.</w:t>
      </w:r>
    </w:p>
    <w:p w:rsidR="00B958B1" w:rsidRDefault="00B958B1" w:rsidP="009F3B54">
      <w:r>
        <w:t xml:space="preserve">This initiative contributes to the </w:t>
      </w:r>
      <w:r w:rsidRPr="00DC5D8E">
        <w:t xml:space="preserve">Department </w:t>
      </w:r>
      <w:r>
        <w:t>of</w:t>
      </w:r>
      <w:r w:rsidRPr="00DC5D8E">
        <w:t xml:space="preserve"> </w:t>
      </w:r>
      <w:r>
        <w:t xml:space="preserve">State Development, </w:t>
      </w:r>
      <w:r w:rsidRPr="00DC5D8E">
        <w:t>Business and Innovation</w:t>
      </w:r>
      <w:r>
        <w:t>’</w:t>
      </w:r>
      <w:r w:rsidRPr="00DC5D8E">
        <w:t>s</w:t>
      </w:r>
      <w:r>
        <w:t xml:space="preserve"> Tourism and Marketing output. </w:t>
      </w:r>
      <w:r>
        <w:fldChar w:fldCharType="begin"/>
      </w:r>
      <w:r>
        <w:instrText xml:space="preserve"> XE "</w:instrText>
      </w:r>
      <w:r w:rsidRPr="002103D2">
        <w:instrText>Department of State Development, Business and Innovation</w:instrText>
      </w:r>
      <w:r w:rsidRPr="00EC4B94">
        <w:instrText>:</w:instrText>
      </w:r>
      <w:r w:rsidRPr="00FC53EF">
        <w:instrText>Asset initiatives</w:instrText>
      </w:r>
      <w:r>
        <w:instrText xml:space="preserve">" \r "BP3Ch1DSDBIAssetInitves" </w:instrText>
      </w:r>
      <w:r>
        <w:fldChar w:fldCharType="end"/>
      </w:r>
    </w:p>
    <w:bookmarkEnd w:id="65"/>
    <w:p w:rsidR="00B958B1" w:rsidRDefault="00B958B1" w:rsidP="009F3B54">
      <w:pPr>
        <w:pStyle w:val="Heading1"/>
      </w:pPr>
      <w:r>
        <w:br w:type="page"/>
      </w:r>
      <w:bookmarkStart w:id="66" w:name="_Toc355248221"/>
      <w:bookmarkStart w:id="67" w:name="_Toc355362273"/>
      <w:r>
        <w:t>Department of Transport, Planning and Local Infrastructure</w:t>
      </w:r>
      <w:bookmarkEnd w:id="66"/>
      <w:bookmarkEnd w:id="67"/>
    </w:p>
    <w:p w:rsidR="00B958B1" w:rsidRDefault="00B958B1" w:rsidP="009F3B54">
      <w:pPr>
        <w:pStyle w:val="Heading3"/>
      </w:pPr>
      <w:bookmarkStart w:id="68" w:name="BP3Ch1DTPLIOutputInitves"/>
      <w:r>
        <w:t>Output initiatives</w:t>
      </w:r>
    </w:p>
    <w:p w:rsidR="00B958B1" w:rsidRPr="00A00C6E" w:rsidRDefault="00B958B1" w:rsidP="009F3B54">
      <w:pPr>
        <w:pStyle w:val="Tableheading"/>
        <w:spacing w:before="200" w:after="80"/>
      </w:pPr>
      <w:r w:rsidRPr="006C13A1">
        <w:t>Table 1.</w:t>
      </w:r>
      <w:r>
        <w:t>15</w:t>
      </w:r>
      <w:r w:rsidRPr="006C13A1">
        <w:t>:</w:t>
      </w:r>
      <w:r w:rsidRPr="006C13A1">
        <w:tab/>
        <w:t>Output initiatives – Transport, Planning and Local Infrastructure</w:t>
      </w:r>
    </w:p>
    <w:p w:rsidR="00B958B1" w:rsidRPr="007660C2" w:rsidRDefault="00B958B1" w:rsidP="009F3B54">
      <w:pPr>
        <w:pStyle w:val="million"/>
      </w:pPr>
      <w:r>
        <w:fldChar w:fldCharType="begin"/>
      </w:r>
      <w:r>
        <w:instrText xml:space="preserve"> XE "</w:instrText>
      </w:r>
      <w:r w:rsidRPr="00182BEC">
        <w:instrText>Department of Transport, Planning and Local Infrastructure:Public transport</w:instrText>
      </w:r>
      <w:r>
        <w:instrText xml:space="preserve">" </w:instrText>
      </w:r>
      <w:r>
        <w:fldChar w:fldCharType="end"/>
      </w:r>
      <w:r>
        <w:fldChar w:fldCharType="begin"/>
      </w:r>
      <w:r>
        <w:instrText xml:space="preserve"> XE "</w:instrText>
      </w:r>
      <w:r w:rsidRPr="006E28D9">
        <w:instrText>Department of Transport, Planning and Local Infrastructure:Roads</w:instrText>
      </w:r>
      <w:r>
        <w:instrText xml:space="preserve">" </w:instrText>
      </w:r>
      <w:r>
        <w:fldChar w:fldCharType="end"/>
      </w:r>
      <w:r>
        <w:fldChar w:fldCharType="begin"/>
      </w:r>
      <w:r>
        <w:instrText xml:space="preserve"> XE "</w:instrText>
      </w:r>
      <w:r w:rsidRPr="0036700B">
        <w:instrText>Department of Transport, Planning and Local Infrastructure:Transport</w:instrText>
      </w:r>
      <w:r>
        <w:instrText xml:space="preserve">" </w:instrText>
      </w:r>
      <w:r>
        <w:fldChar w:fldCharType="end"/>
      </w:r>
      <w:r>
        <w:fldChar w:fldCharType="begin"/>
      </w:r>
      <w:r>
        <w:instrText xml:space="preserve"> XE "</w:instrText>
      </w:r>
      <w:r w:rsidRPr="009E53A6">
        <w:instrText>Public transport</w:instrText>
      </w:r>
      <w:r>
        <w:instrText xml:space="preserve">" </w:instrText>
      </w:r>
      <w:r>
        <w:fldChar w:fldCharType="end"/>
      </w:r>
      <w:r>
        <w:fldChar w:fldCharType="begin"/>
      </w:r>
      <w:r>
        <w:instrText xml:space="preserve"> XE "</w:instrText>
      </w:r>
      <w:r w:rsidRPr="009E53A6">
        <w:instrText>Roads</w:instrText>
      </w:r>
      <w:r>
        <w:instrText xml:space="preserve">" </w:instrText>
      </w:r>
      <w:r>
        <w:fldChar w:fldCharType="end"/>
      </w:r>
      <w:r>
        <w:fldChar w:fldCharType="begin"/>
      </w:r>
      <w:r>
        <w:instrText xml:space="preserve"> XE "</w:instrText>
      </w:r>
      <w:r w:rsidRPr="009E53A6">
        <w:instrText>Transport</w:instrText>
      </w:r>
      <w:r>
        <w:instrText xml:space="preserve">" </w:instrText>
      </w:r>
      <w:r>
        <w:fldChar w:fldCharType="end"/>
      </w:r>
      <w:r w:rsidRPr="00A00C6E">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930"/>
        <w:gridCol w:w="54"/>
        <w:gridCol w:w="720"/>
        <w:gridCol w:w="162"/>
        <w:gridCol w:w="540"/>
        <w:gridCol w:w="108"/>
        <w:gridCol w:w="810"/>
        <w:gridCol w:w="810"/>
        <w:gridCol w:w="810"/>
        <w:gridCol w:w="832"/>
      </w:tblGrid>
      <w:tr w:rsidR="00B958B1" w:rsidRPr="007660C2" w:rsidTr="009F3B54">
        <w:tc>
          <w:tcPr>
            <w:tcW w:w="3704" w:type="dxa"/>
            <w:gridSpan w:val="3"/>
            <w:tcBorders>
              <w:top w:val="single" w:sz="6" w:space="0" w:color="auto"/>
              <w:left w:val="single" w:sz="4" w:space="0" w:color="auto"/>
              <w:bottom w:val="single" w:sz="4" w:space="0" w:color="auto"/>
              <w:right w:val="nil"/>
            </w:tcBorders>
            <w:shd w:val="clear" w:color="auto" w:fill="000000"/>
          </w:tcPr>
          <w:p w:rsidR="00B958B1" w:rsidRPr="007660C2" w:rsidRDefault="00B958B1" w:rsidP="009F3B54">
            <w:pPr>
              <w:pStyle w:val="Tabletext"/>
              <w:rPr>
                <w:lang w:eastAsia="en-AU"/>
              </w:rPr>
            </w:pPr>
          </w:p>
        </w:tc>
        <w:tc>
          <w:tcPr>
            <w:tcW w:w="810" w:type="dxa"/>
            <w:gridSpan w:val="3"/>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2012</w:t>
            </w:r>
            <w:r w:rsidR="009F0F49">
              <w:rPr>
                <w:lang w:eastAsia="en-AU"/>
              </w:rPr>
              <w:noBreakHyphen/>
            </w:r>
            <w:r w:rsidRPr="007660C2">
              <w:rPr>
                <w:lang w:eastAsia="en-AU"/>
              </w:rPr>
              <w:t>13</w:t>
            </w:r>
          </w:p>
        </w:tc>
        <w:tc>
          <w:tcPr>
            <w:tcW w:w="810" w:type="dxa"/>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2013</w:t>
            </w:r>
            <w:r w:rsidR="009F0F49">
              <w:rPr>
                <w:lang w:eastAsia="en-AU"/>
              </w:rPr>
              <w:noBreakHyphen/>
            </w:r>
            <w:r w:rsidRPr="007660C2">
              <w:rPr>
                <w:lang w:eastAsia="en-AU"/>
              </w:rPr>
              <w:t>14</w:t>
            </w:r>
          </w:p>
        </w:tc>
        <w:tc>
          <w:tcPr>
            <w:tcW w:w="810" w:type="dxa"/>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2014</w:t>
            </w:r>
            <w:r w:rsidR="009F0F49">
              <w:rPr>
                <w:lang w:eastAsia="en-AU"/>
              </w:rPr>
              <w:noBreakHyphen/>
            </w:r>
            <w:r w:rsidRPr="007660C2">
              <w:rPr>
                <w:lang w:eastAsia="en-AU"/>
              </w:rPr>
              <w:t>15</w:t>
            </w:r>
          </w:p>
        </w:tc>
        <w:tc>
          <w:tcPr>
            <w:tcW w:w="810" w:type="dxa"/>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2015</w:t>
            </w:r>
            <w:r w:rsidR="009F0F49">
              <w:rPr>
                <w:lang w:eastAsia="en-AU"/>
              </w:rPr>
              <w:noBreakHyphen/>
            </w:r>
            <w:r w:rsidRPr="007660C2">
              <w:rPr>
                <w:lang w:eastAsia="en-AU"/>
              </w:rPr>
              <w:t>16</w:t>
            </w:r>
          </w:p>
        </w:tc>
        <w:tc>
          <w:tcPr>
            <w:tcW w:w="832" w:type="dxa"/>
            <w:tcBorders>
              <w:top w:val="single" w:sz="6" w:space="0" w:color="auto"/>
              <w:left w:val="nil"/>
              <w:bottom w:val="single" w:sz="4" w:space="0" w:color="auto"/>
              <w:right w:val="single" w:sz="4" w:space="0" w:color="auto"/>
            </w:tcBorders>
            <w:shd w:val="clear" w:color="auto" w:fill="000000"/>
          </w:tcPr>
          <w:p w:rsidR="00B958B1" w:rsidRPr="007660C2" w:rsidRDefault="00B958B1" w:rsidP="009F3B54">
            <w:pPr>
              <w:pStyle w:val="Tabletextheading"/>
              <w:rPr>
                <w:lang w:eastAsia="en-AU"/>
              </w:rPr>
            </w:pPr>
            <w:r w:rsidRPr="007660C2">
              <w:rPr>
                <w:lang w:eastAsia="en-AU"/>
              </w:rPr>
              <w:t>2016</w:t>
            </w:r>
            <w:r w:rsidR="009F0F49">
              <w:rPr>
                <w:lang w:eastAsia="en-AU"/>
              </w:rPr>
              <w:noBreakHyphen/>
            </w:r>
            <w:r w:rsidRPr="007660C2">
              <w:rPr>
                <w:lang w:eastAsia="en-AU"/>
              </w:rPr>
              <w:t>17</w:t>
            </w:r>
          </w:p>
        </w:tc>
      </w:tr>
      <w:tr w:rsidR="00B958B1" w:rsidRPr="007660C2" w:rsidTr="009F3B54">
        <w:tc>
          <w:tcPr>
            <w:tcW w:w="3704" w:type="dxa"/>
            <w:gridSpan w:val="3"/>
            <w:tcBorders>
              <w:top w:val="single" w:sz="4" w:space="0" w:color="auto"/>
              <w:left w:val="nil"/>
              <w:bottom w:val="nil"/>
              <w:right w:val="nil"/>
            </w:tcBorders>
          </w:tcPr>
          <w:p w:rsidR="00B958B1" w:rsidRPr="007660C2" w:rsidRDefault="00B958B1" w:rsidP="009F3B54">
            <w:pPr>
              <w:pStyle w:val="Tabletext"/>
              <w:rPr>
                <w:b/>
                <w:bCs/>
                <w:lang w:eastAsia="en-AU"/>
              </w:rPr>
            </w:pPr>
            <w:r w:rsidRPr="007660C2">
              <w:rPr>
                <w:b/>
                <w:bCs/>
                <w:lang w:eastAsia="en-AU"/>
              </w:rPr>
              <w:t>Integrated Transport Services</w:t>
            </w:r>
          </w:p>
        </w:tc>
        <w:tc>
          <w:tcPr>
            <w:tcW w:w="810" w:type="dxa"/>
            <w:gridSpan w:val="3"/>
            <w:tcBorders>
              <w:top w:val="single" w:sz="4" w:space="0" w:color="auto"/>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810" w:type="dxa"/>
            <w:tcBorders>
              <w:top w:val="single" w:sz="4" w:space="0" w:color="auto"/>
              <w:left w:val="nil"/>
              <w:bottom w:val="nil"/>
              <w:right w:val="nil"/>
            </w:tcBorders>
          </w:tcPr>
          <w:p w:rsidR="00B958B1" w:rsidRPr="007660C2" w:rsidRDefault="00B958B1" w:rsidP="009F3B54">
            <w:pPr>
              <w:pStyle w:val="TableofFigures"/>
              <w:rPr>
                <w:lang w:eastAsia="en-AU"/>
              </w:rPr>
            </w:pPr>
            <w:r w:rsidRPr="007660C2">
              <w:rPr>
                <w:lang w:eastAsia="en-AU"/>
              </w:rPr>
              <w:t xml:space="preserve"> </w:t>
            </w:r>
          </w:p>
        </w:tc>
        <w:tc>
          <w:tcPr>
            <w:tcW w:w="810" w:type="dxa"/>
            <w:tcBorders>
              <w:top w:val="single" w:sz="4" w:space="0" w:color="auto"/>
              <w:left w:val="nil"/>
              <w:bottom w:val="nil"/>
              <w:right w:val="nil"/>
            </w:tcBorders>
          </w:tcPr>
          <w:p w:rsidR="00B958B1" w:rsidRPr="007660C2" w:rsidRDefault="00B958B1" w:rsidP="009F3B54">
            <w:pPr>
              <w:pStyle w:val="TableofFigures"/>
              <w:rPr>
                <w:lang w:eastAsia="en-AU"/>
              </w:rPr>
            </w:pPr>
            <w:r w:rsidRPr="007660C2">
              <w:rPr>
                <w:lang w:eastAsia="en-AU"/>
              </w:rPr>
              <w:t xml:space="preserve"> </w:t>
            </w:r>
          </w:p>
        </w:tc>
        <w:tc>
          <w:tcPr>
            <w:tcW w:w="810" w:type="dxa"/>
            <w:tcBorders>
              <w:top w:val="single" w:sz="4" w:space="0" w:color="auto"/>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832" w:type="dxa"/>
            <w:tcBorders>
              <w:top w:val="single" w:sz="4" w:space="0" w:color="auto"/>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r>
      <w:tr w:rsidR="00B958B1" w:rsidRPr="007660C2" w:rsidTr="009F3B54">
        <w:tc>
          <w:tcPr>
            <w:tcW w:w="3704" w:type="dxa"/>
            <w:gridSpan w:val="3"/>
            <w:tcBorders>
              <w:top w:val="nil"/>
              <w:left w:val="nil"/>
              <w:bottom w:val="nil"/>
              <w:right w:val="nil"/>
            </w:tcBorders>
          </w:tcPr>
          <w:p w:rsidR="00B958B1" w:rsidRPr="007660C2" w:rsidRDefault="00B958B1" w:rsidP="009F3B54">
            <w:pPr>
              <w:pStyle w:val="Tabletext"/>
              <w:rPr>
                <w:lang w:eastAsia="en-AU"/>
              </w:rPr>
            </w:pPr>
            <w:r w:rsidRPr="007660C2">
              <w:rPr>
                <w:lang w:eastAsia="en-AU"/>
              </w:rPr>
              <w:t>Additional train services</w:t>
            </w:r>
          </w:p>
        </w:tc>
        <w:tc>
          <w:tcPr>
            <w:tcW w:w="81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5.4</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6.6</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6.6</w:t>
            </w:r>
          </w:p>
        </w:tc>
        <w:tc>
          <w:tcPr>
            <w:tcW w:w="832"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6.6</w:t>
            </w:r>
          </w:p>
        </w:tc>
      </w:tr>
      <w:tr w:rsidR="00B958B1" w:rsidRPr="007660C2" w:rsidTr="009F3B54">
        <w:tc>
          <w:tcPr>
            <w:tcW w:w="3704" w:type="dxa"/>
            <w:gridSpan w:val="3"/>
            <w:tcBorders>
              <w:top w:val="nil"/>
              <w:left w:val="nil"/>
              <w:bottom w:val="nil"/>
              <w:right w:val="nil"/>
            </w:tcBorders>
          </w:tcPr>
          <w:p w:rsidR="00B958B1" w:rsidRPr="007660C2" w:rsidRDefault="00B958B1" w:rsidP="009F3B54">
            <w:pPr>
              <w:pStyle w:val="Tabletext"/>
              <w:rPr>
                <w:lang w:eastAsia="en-AU"/>
              </w:rPr>
            </w:pPr>
            <w:r w:rsidRPr="007660C2">
              <w:rPr>
                <w:i/>
                <w:iCs/>
                <w:lang w:eastAsia="en-AU"/>
              </w:rPr>
              <w:t xml:space="preserve">myki </w:t>
            </w:r>
            <w:r w:rsidRPr="007660C2">
              <w:rPr>
                <w:lang w:eastAsia="en-AU"/>
              </w:rPr>
              <w:t>(operations and customer service)</w:t>
            </w:r>
          </w:p>
        </w:tc>
        <w:tc>
          <w:tcPr>
            <w:tcW w:w="81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12.0</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27.4</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26.8</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26.5</w:t>
            </w:r>
          </w:p>
        </w:tc>
        <w:tc>
          <w:tcPr>
            <w:tcW w:w="832"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r>
      <w:tr w:rsidR="00B958B1" w:rsidRPr="007660C2" w:rsidTr="009F3B54">
        <w:tc>
          <w:tcPr>
            <w:tcW w:w="4406" w:type="dxa"/>
            <w:gridSpan w:val="5"/>
            <w:tcBorders>
              <w:top w:val="nil"/>
              <w:left w:val="nil"/>
              <w:bottom w:val="nil"/>
              <w:right w:val="nil"/>
            </w:tcBorders>
          </w:tcPr>
          <w:p w:rsidR="00B958B1" w:rsidRPr="007660C2" w:rsidRDefault="00B958B1" w:rsidP="009F3B54">
            <w:pPr>
              <w:pStyle w:val="Tabletext"/>
              <w:rPr>
                <w:b/>
                <w:bCs/>
                <w:lang w:eastAsia="en-AU"/>
              </w:rPr>
            </w:pPr>
            <w:r w:rsidRPr="007660C2">
              <w:rPr>
                <w:b/>
                <w:bCs/>
                <w:lang w:eastAsia="en-AU"/>
              </w:rPr>
              <w:t>Transport System Development and Maintenance</w:t>
            </w:r>
          </w:p>
        </w:tc>
        <w:tc>
          <w:tcPr>
            <w:tcW w:w="108"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810" w:type="dxa"/>
            <w:tcBorders>
              <w:top w:val="nil"/>
              <w:left w:val="nil"/>
              <w:bottom w:val="nil"/>
              <w:right w:val="nil"/>
            </w:tcBorders>
          </w:tcPr>
          <w:p w:rsidR="00B958B1" w:rsidRPr="007660C2" w:rsidRDefault="00B958B1" w:rsidP="009F3B54">
            <w:pPr>
              <w:pStyle w:val="TableofFigures"/>
              <w:rPr>
                <w:lang w:eastAsia="en-AU"/>
              </w:rPr>
            </w:pPr>
          </w:p>
        </w:tc>
        <w:tc>
          <w:tcPr>
            <w:tcW w:w="810" w:type="dxa"/>
            <w:tcBorders>
              <w:top w:val="nil"/>
              <w:left w:val="nil"/>
              <w:bottom w:val="nil"/>
              <w:right w:val="nil"/>
            </w:tcBorders>
          </w:tcPr>
          <w:p w:rsidR="00B958B1" w:rsidRPr="007660C2" w:rsidRDefault="00B958B1" w:rsidP="009F3B54">
            <w:pPr>
              <w:pStyle w:val="TableofFigures"/>
              <w:rPr>
                <w:lang w:eastAsia="en-AU"/>
              </w:rPr>
            </w:pPr>
          </w:p>
        </w:tc>
        <w:tc>
          <w:tcPr>
            <w:tcW w:w="810" w:type="dxa"/>
            <w:tcBorders>
              <w:top w:val="nil"/>
              <w:left w:val="nil"/>
              <w:bottom w:val="nil"/>
              <w:right w:val="nil"/>
            </w:tcBorders>
          </w:tcPr>
          <w:p w:rsidR="00B958B1" w:rsidRPr="007660C2" w:rsidRDefault="00B958B1" w:rsidP="009F3B54">
            <w:pPr>
              <w:pStyle w:val="TableofFigures"/>
              <w:rPr>
                <w:lang w:eastAsia="en-AU"/>
              </w:rPr>
            </w:pPr>
          </w:p>
        </w:tc>
        <w:tc>
          <w:tcPr>
            <w:tcW w:w="832" w:type="dxa"/>
            <w:tcBorders>
              <w:top w:val="nil"/>
              <w:left w:val="nil"/>
              <w:bottom w:val="nil"/>
              <w:right w:val="nil"/>
            </w:tcBorders>
            <w:shd w:val="solid" w:color="FFFFFF" w:fill="auto"/>
          </w:tcPr>
          <w:p w:rsidR="00B958B1" w:rsidRPr="007660C2" w:rsidRDefault="00B958B1" w:rsidP="009F3B54">
            <w:pPr>
              <w:pStyle w:val="TableofFigures"/>
              <w:rPr>
                <w:lang w:eastAsia="en-AU"/>
              </w:rPr>
            </w:pPr>
          </w:p>
        </w:tc>
      </w:tr>
      <w:tr w:rsidR="00B958B1" w:rsidRPr="007660C2" w:rsidTr="009F3B54">
        <w:tc>
          <w:tcPr>
            <w:tcW w:w="3704" w:type="dxa"/>
            <w:gridSpan w:val="3"/>
            <w:tcBorders>
              <w:top w:val="nil"/>
              <w:left w:val="nil"/>
              <w:bottom w:val="nil"/>
              <w:right w:val="nil"/>
            </w:tcBorders>
          </w:tcPr>
          <w:p w:rsidR="00B958B1" w:rsidRPr="007660C2" w:rsidRDefault="00B958B1" w:rsidP="009F3B54">
            <w:pPr>
              <w:pStyle w:val="Tabletext"/>
              <w:rPr>
                <w:lang w:eastAsia="en-AU"/>
              </w:rPr>
            </w:pPr>
            <w:r w:rsidRPr="007660C2">
              <w:rPr>
                <w:lang w:eastAsia="en-AU"/>
              </w:rPr>
              <w:t>Arterial road maintenance</w:t>
            </w:r>
          </w:p>
        </w:tc>
        <w:tc>
          <w:tcPr>
            <w:tcW w:w="81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40.0</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40.0</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32"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r>
      <w:tr w:rsidR="00B958B1" w:rsidRPr="007660C2" w:rsidTr="009F3B54">
        <w:tc>
          <w:tcPr>
            <w:tcW w:w="3704" w:type="dxa"/>
            <w:gridSpan w:val="3"/>
            <w:tcBorders>
              <w:top w:val="nil"/>
              <w:left w:val="nil"/>
              <w:bottom w:val="nil"/>
              <w:right w:val="nil"/>
            </w:tcBorders>
          </w:tcPr>
          <w:p w:rsidR="00B958B1" w:rsidRPr="007660C2" w:rsidRDefault="00B958B1" w:rsidP="009F3B54">
            <w:pPr>
              <w:pStyle w:val="Tabletext"/>
              <w:rPr>
                <w:lang w:eastAsia="en-AU"/>
              </w:rPr>
            </w:pPr>
            <w:r w:rsidRPr="007660C2">
              <w:rPr>
                <w:lang w:eastAsia="en-AU"/>
              </w:rPr>
              <w:t>Bicycle infrastructure program</w:t>
            </w:r>
          </w:p>
        </w:tc>
        <w:tc>
          <w:tcPr>
            <w:tcW w:w="81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0.1</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0.3</w:t>
            </w:r>
          </w:p>
        </w:tc>
        <w:tc>
          <w:tcPr>
            <w:tcW w:w="832"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0.3</w:t>
            </w:r>
          </w:p>
        </w:tc>
      </w:tr>
      <w:tr w:rsidR="00B958B1" w:rsidRPr="007660C2" w:rsidTr="009F3B54">
        <w:tc>
          <w:tcPr>
            <w:tcW w:w="3704" w:type="dxa"/>
            <w:gridSpan w:val="3"/>
            <w:tcBorders>
              <w:top w:val="nil"/>
              <w:left w:val="nil"/>
              <w:bottom w:val="nil"/>
              <w:right w:val="nil"/>
            </w:tcBorders>
          </w:tcPr>
          <w:p w:rsidR="00B958B1" w:rsidRPr="007660C2" w:rsidRDefault="00B958B1" w:rsidP="009F3B54">
            <w:pPr>
              <w:pStyle w:val="Tabletext"/>
              <w:rPr>
                <w:lang w:eastAsia="en-AU"/>
              </w:rPr>
            </w:pPr>
            <w:r w:rsidRPr="007660C2">
              <w:rPr>
                <w:lang w:eastAsia="en-AU"/>
              </w:rPr>
              <w:t>Bus services improvements</w:t>
            </w:r>
          </w:p>
        </w:tc>
        <w:tc>
          <w:tcPr>
            <w:tcW w:w="81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0.8</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4.0</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4.8</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5.0</w:t>
            </w:r>
          </w:p>
        </w:tc>
        <w:tc>
          <w:tcPr>
            <w:tcW w:w="832"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5.2</w:t>
            </w:r>
          </w:p>
        </w:tc>
      </w:tr>
      <w:tr w:rsidR="00B958B1" w:rsidRPr="007660C2" w:rsidTr="009F3B54">
        <w:tc>
          <w:tcPr>
            <w:tcW w:w="3704" w:type="dxa"/>
            <w:gridSpan w:val="3"/>
            <w:tcBorders>
              <w:top w:val="nil"/>
              <w:left w:val="nil"/>
              <w:bottom w:val="nil"/>
              <w:right w:val="nil"/>
            </w:tcBorders>
          </w:tcPr>
          <w:p w:rsidR="00B958B1" w:rsidRPr="007660C2" w:rsidRDefault="00B958B1" w:rsidP="009F3B54">
            <w:pPr>
              <w:pStyle w:val="Tabletext"/>
              <w:rPr>
                <w:lang w:eastAsia="en-AU"/>
              </w:rPr>
            </w:pPr>
            <w:r w:rsidRPr="007660C2">
              <w:rPr>
                <w:lang w:eastAsia="en-AU"/>
              </w:rPr>
              <w:t>Cardinia Road upgrade</w:t>
            </w:r>
          </w:p>
        </w:tc>
        <w:tc>
          <w:tcPr>
            <w:tcW w:w="81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0.4</w:t>
            </w:r>
          </w:p>
        </w:tc>
        <w:tc>
          <w:tcPr>
            <w:tcW w:w="832"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0.4</w:t>
            </w:r>
          </w:p>
        </w:tc>
      </w:tr>
      <w:tr w:rsidR="00B958B1" w:rsidRPr="007660C2" w:rsidTr="009F3B54">
        <w:tc>
          <w:tcPr>
            <w:tcW w:w="3704" w:type="dxa"/>
            <w:gridSpan w:val="3"/>
            <w:tcBorders>
              <w:top w:val="nil"/>
              <w:left w:val="nil"/>
              <w:bottom w:val="nil"/>
              <w:right w:val="nil"/>
            </w:tcBorders>
          </w:tcPr>
          <w:p w:rsidR="00B958B1" w:rsidRPr="007660C2" w:rsidRDefault="00B958B1" w:rsidP="009F3B54">
            <w:pPr>
              <w:pStyle w:val="Tabletext"/>
              <w:rPr>
                <w:lang w:eastAsia="en-AU"/>
              </w:rPr>
            </w:pPr>
            <w:r w:rsidRPr="007660C2">
              <w:rPr>
                <w:lang w:eastAsia="en-AU"/>
              </w:rPr>
              <w:t>East West Link business case development</w:t>
            </w:r>
          </w:p>
        </w:tc>
        <w:tc>
          <w:tcPr>
            <w:tcW w:w="81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12.0</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32"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r>
      <w:tr w:rsidR="00B958B1" w:rsidRPr="007660C2" w:rsidTr="009F3B54">
        <w:tc>
          <w:tcPr>
            <w:tcW w:w="3704" w:type="dxa"/>
            <w:gridSpan w:val="3"/>
            <w:tcBorders>
              <w:top w:val="nil"/>
              <w:left w:val="nil"/>
              <w:bottom w:val="nil"/>
              <w:right w:val="nil"/>
            </w:tcBorders>
          </w:tcPr>
          <w:p w:rsidR="00B958B1" w:rsidRPr="007660C2" w:rsidRDefault="00B958B1" w:rsidP="009F3B54">
            <w:pPr>
              <w:pStyle w:val="Tabletext"/>
              <w:rPr>
                <w:lang w:eastAsia="en-AU"/>
              </w:rPr>
            </w:pPr>
            <w:r w:rsidRPr="007660C2">
              <w:rPr>
                <w:lang w:eastAsia="en-AU"/>
              </w:rPr>
              <w:t>Epsom Eaglehawk rail improvement</w:t>
            </w:r>
          </w:p>
        </w:tc>
        <w:tc>
          <w:tcPr>
            <w:tcW w:w="81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0.3</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0.6</w:t>
            </w:r>
          </w:p>
        </w:tc>
        <w:tc>
          <w:tcPr>
            <w:tcW w:w="832"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0.6</w:t>
            </w:r>
          </w:p>
        </w:tc>
      </w:tr>
      <w:tr w:rsidR="00B958B1" w:rsidRPr="007660C2" w:rsidTr="009F3B54">
        <w:tc>
          <w:tcPr>
            <w:tcW w:w="3704" w:type="dxa"/>
            <w:gridSpan w:val="3"/>
            <w:tcBorders>
              <w:top w:val="nil"/>
              <w:left w:val="nil"/>
              <w:bottom w:val="nil"/>
              <w:right w:val="nil"/>
            </w:tcBorders>
          </w:tcPr>
          <w:p w:rsidR="00B958B1" w:rsidRPr="007660C2" w:rsidRDefault="00B958B1" w:rsidP="009F3B54">
            <w:pPr>
              <w:pStyle w:val="Tabletext"/>
              <w:rPr>
                <w:lang w:eastAsia="en-AU"/>
              </w:rPr>
            </w:pPr>
            <w:r w:rsidRPr="007660C2">
              <w:rPr>
                <w:lang w:eastAsia="en-AU"/>
              </w:rPr>
              <w:t>Grovedale Station</w:t>
            </w:r>
          </w:p>
        </w:tc>
        <w:tc>
          <w:tcPr>
            <w:tcW w:w="81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1.0</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1.7</w:t>
            </w:r>
          </w:p>
        </w:tc>
        <w:tc>
          <w:tcPr>
            <w:tcW w:w="832"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2.5</w:t>
            </w:r>
          </w:p>
        </w:tc>
      </w:tr>
      <w:tr w:rsidR="00B958B1" w:rsidRPr="007660C2" w:rsidTr="009F3B54">
        <w:tc>
          <w:tcPr>
            <w:tcW w:w="3704" w:type="dxa"/>
            <w:gridSpan w:val="3"/>
            <w:tcBorders>
              <w:top w:val="nil"/>
              <w:left w:val="nil"/>
              <w:bottom w:val="nil"/>
              <w:right w:val="nil"/>
            </w:tcBorders>
          </w:tcPr>
          <w:p w:rsidR="00B958B1" w:rsidRPr="007660C2" w:rsidRDefault="00B958B1" w:rsidP="009F3B54">
            <w:pPr>
              <w:pStyle w:val="Tabletext"/>
              <w:rPr>
                <w:lang w:eastAsia="en-AU"/>
              </w:rPr>
            </w:pPr>
            <w:r w:rsidRPr="007660C2">
              <w:rPr>
                <w:lang w:eastAsia="en-AU"/>
              </w:rPr>
              <w:t>High Street Road improvement project</w:t>
            </w:r>
          </w:p>
        </w:tc>
        <w:tc>
          <w:tcPr>
            <w:tcW w:w="81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32"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0.3</w:t>
            </w:r>
          </w:p>
        </w:tc>
      </w:tr>
      <w:tr w:rsidR="00B958B1" w:rsidRPr="007660C2" w:rsidTr="009F3B54">
        <w:tc>
          <w:tcPr>
            <w:tcW w:w="3866" w:type="dxa"/>
            <w:gridSpan w:val="4"/>
            <w:tcBorders>
              <w:top w:val="nil"/>
              <w:left w:val="nil"/>
              <w:bottom w:val="nil"/>
              <w:right w:val="nil"/>
            </w:tcBorders>
          </w:tcPr>
          <w:p w:rsidR="00B958B1" w:rsidRPr="007660C2" w:rsidRDefault="00B958B1" w:rsidP="009F3B54">
            <w:pPr>
              <w:pStyle w:val="Tabletext"/>
              <w:rPr>
                <w:lang w:eastAsia="en-AU"/>
              </w:rPr>
            </w:pPr>
            <w:r w:rsidRPr="007660C2">
              <w:rPr>
                <w:lang w:eastAsia="en-AU"/>
              </w:rPr>
              <w:t>Managed motorway program</w:t>
            </w:r>
            <w:r>
              <w:rPr>
                <w:lang w:eastAsia="en-AU"/>
              </w:rPr>
              <w:t xml:space="preserve"> – </w:t>
            </w:r>
            <w:r w:rsidRPr="007660C2">
              <w:rPr>
                <w:lang w:eastAsia="en-AU"/>
              </w:rPr>
              <w:t>Monash Freeway between High Street and Warrigal Road</w:t>
            </w:r>
          </w:p>
        </w:tc>
        <w:tc>
          <w:tcPr>
            <w:tcW w:w="648"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0.4</w:t>
            </w:r>
          </w:p>
        </w:tc>
        <w:tc>
          <w:tcPr>
            <w:tcW w:w="832"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0.4</w:t>
            </w:r>
          </w:p>
        </w:tc>
      </w:tr>
      <w:tr w:rsidR="00B958B1" w:rsidRPr="007660C2" w:rsidTr="009F3B54">
        <w:tc>
          <w:tcPr>
            <w:tcW w:w="3704" w:type="dxa"/>
            <w:gridSpan w:val="3"/>
            <w:tcBorders>
              <w:top w:val="nil"/>
              <w:left w:val="nil"/>
              <w:bottom w:val="nil"/>
              <w:right w:val="nil"/>
            </w:tcBorders>
          </w:tcPr>
          <w:p w:rsidR="00B958B1" w:rsidRPr="007660C2" w:rsidRDefault="00B958B1" w:rsidP="009F3B54">
            <w:pPr>
              <w:pStyle w:val="Tabletext"/>
              <w:rPr>
                <w:lang w:eastAsia="en-AU"/>
              </w:rPr>
            </w:pPr>
            <w:r w:rsidRPr="007660C2">
              <w:rPr>
                <w:lang w:eastAsia="en-AU"/>
              </w:rPr>
              <w:t>Melbourne Bike Share Scheme</w:t>
            </w:r>
          </w:p>
        </w:tc>
        <w:tc>
          <w:tcPr>
            <w:tcW w:w="81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1.3</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2.4</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32"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r>
      <w:tr w:rsidR="00B958B1" w:rsidRPr="007660C2" w:rsidTr="009F3B54">
        <w:tc>
          <w:tcPr>
            <w:tcW w:w="3704" w:type="dxa"/>
            <w:gridSpan w:val="3"/>
            <w:tcBorders>
              <w:top w:val="nil"/>
              <w:left w:val="nil"/>
              <w:bottom w:val="nil"/>
              <w:right w:val="nil"/>
            </w:tcBorders>
          </w:tcPr>
          <w:p w:rsidR="00B958B1" w:rsidRPr="007660C2" w:rsidRDefault="00B958B1" w:rsidP="009F3B54">
            <w:pPr>
              <w:pStyle w:val="Tabletext"/>
              <w:rPr>
                <w:lang w:eastAsia="en-AU"/>
              </w:rPr>
            </w:pPr>
            <w:r w:rsidRPr="007660C2">
              <w:rPr>
                <w:lang w:eastAsia="en-AU"/>
              </w:rPr>
              <w:t>New trains for Melbourne commuters</w:t>
            </w:r>
          </w:p>
        </w:tc>
        <w:tc>
          <w:tcPr>
            <w:tcW w:w="81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0.6</w:t>
            </w:r>
          </w:p>
        </w:tc>
        <w:tc>
          <w:tcPr>
            <w:tcW w:w="832"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0.6</w:t>
            </w:r>
          </w:p>
        </w:tc>
      </w:tr>
      <w:tr w:rsidR="00B958B1" w:rsidRPr="007660C2" w:rsidTr="009F3B54">
        <w:tc>
          <w:tcPr>
            <w:tcW w:w="3704" w:type="dxa"/>
            <w:gridSpan w:val="3"/>
            <w:tcBorders>
              <w:top w:val="nil"/>
              <w:left w:val="nil"/>
              <w:bottom w:val="nil"/>
              <w:right w:val="nil"/>
            </w:tcBorders>
          </w:tcPr>
          <w:p w:rsidR="00B958B1" w:rsidRPr="007660C2" w:rsidRDefault="00B958B1" w:rsidP="009F3B54">
            <w:pPr>
              <w:pStyle w:val="Tabletext"/>
              <w:rPr>
                <w:lang w:val="fr-FR" w:eastAsia="en-AU"/>
              </w:rPr>
            </w:pPr>
            <w:r w:rsidRPr="007660C2">
              <w:rPr>
                <w:lang w:val="fr-FR" w:eastAsia="en-AU"/>
              </w:rPr>
              <w:t>Non</w:t>
            </w:r>
            <w:r w:rsidR="009F0F49">
              <w:rPr>
                <w:lang w:val="fr-FR" w:eastAsia="en-AU"/>
              </w:rPr>
              <w:noBreakHyphen/>
            </w:r>
            <w:r w:rsidRPr="007660C2">
              <w:rPr>
                <w:lang w:val="fr-FR" w:eastAsia="en-AU"/>
              </w:rPr>
              <w:t>Urban Train Radio renewal</w:t>
            </w:r>
          </w:p>
        </w:tc>
        <w:tc>
          <w:tcPr>
            <w:tcW w:w="81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0.2</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3.0</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4.3</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5.2</w:t>
            </w:r>
          </w:p>
        </w:tc>
        <w:tc>
          <w:tcPr>
            <w:tcW w:w="832"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5.4</w:t>
            </w:r>
          </w:p>
        </w:tc>
      </w:tr>
      <w:tr w:rsidR="00B958B1" w:rsidRPr="007660C2" w:rsidTr="009F3B54">
        <w:tc>
          <w:tcPr>
            <w:tcW w:w="3704" w:type="dxa"/>
            <w:gridSpan w:val="3"/>
            <w:tcBorders>
              <w:top w:val="nil"/>
              <w:left w:val="nil"/>
              <w:bottom w:val="nil"/>
              <w:right w:val="nil"/>
            </w:tcBorders>
          </w:tcPr>
          <w:p w:rsidR="00B958B1" w:rsidRPr="007660C2" w:rsidRDefault="00B958B1" w:rsidP="009F3B54">
            <w:pPr>
              <w:pStyle w:val="Tabletext"/>
              <w:rPr>
                <w:lang w:eastAsia="en-AU"/>
              </w:rPr>
            </w:pPr>
            <w:r w:rsidRPr="007660C2">
              <w:rPr>
                <w:lang w:eastAsia="en-AU"/>
              </w:rPr>
              <w:t>Protective Services Officers railway infrastructure</w:t>
            </w:r>
          </w:p>
        </w:tc>
        <w:tc>
          <w:tcPr>
            <w:tcW w:w="81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1.9</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2.8</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2.8</w:t>
            </w:r>
          </w:p>
        </w:tc>
        <w:tc>
          <w:tcPr>
            <w:tcW w:w="832"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2.8</w:t>
            </w:r>
          </w:p>
        </w:tc>
      </w:tr>
      <w:tr w:rsidR="00B958B1" w:rsidRPr="007660C2" w:rsidTr="009F3B54">
        <w:tc>
          <w:tcPr>
            <w:tcW w:w="3704" w:type="dxa"/>
            <w:gridSpan w:val="3"/>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Rail Revival: South Geelong to Drysdale, and Grovedale to Torquay</w:t>
            </w:r>
          </w:p>
        </w:tc>
        <w:tc>
          <w:tcPr>
            <w:tcW w:w="81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0.3</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32"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r>
      <w:tr w:rsidR="00B958B1" w:rsidRPr="007660C2" w:rsidTr="009F3B54">
        <w:tc>
          <w:tcPr>
            <w:tcW w:w="3704" w:type="dxa"/>
            <w:gridSpan w:val="3"/>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Ringwood Station and interchange upgrade</w:t>
            </w:r>
          </w:p>
        </w:tc>
        <w:tc>
          <w:tcPr>
            <w:tcW w:w="81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32"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0.3</w:t>
            </w:r>
          </w:p>
        </w:tc>
      </w:tr>
      <w:tr w:rsidR="00B958B1" w:rsidRPr="007660C2" w:rsidTr="009F3B54">
        <w:tc>
          <w:tcPr>
            <w:tcW w:w="3704" w:type="dxa"/>
            <w:gridSpan w:val="3"/>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Sealing Omeo Highway</w:t>
            </w:r>
          </w:p>
        </w:tc>
        <w:tc>
          <w:tcPr>
            <w:tcW w:w="81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0.1</w:t>
            </w:r>
          </w:p>
        </w:tc>
        <w:tc>
          <w:tcPr>
            <w:tcW w:w="832"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0.1</w:t>
            </w:r>
          </w:p>
        </w:tc>
      </w:tr>
      <w:tr w:rsidR="00B958B1" w:rsidRPr="007660C2" w:rsidTr="009F3B54">
        <w:tc>
          <w:tcPr>
            <w:tcW w:w="3704" w:type="dxa"/>
            <w:gridSpan w:val="3"/>
            <w:tcBorders>
              <w:top w:val="nil"/>
              <w:left w:val="nil"/>
              <w:bottom w:val="nil"/>
              <w:right w:val="nil"/>
            </w:tcBorders>
            <w:shd w:val="solid" w:color="FFFFFF" w:fill="auto"/>
          </w:tcPr>
          <w:p w:rsidR="00B958B1" w:rsidRPr="007660C2" w:rsidRDefault="00B958B1" w:rsidP="009F3B54">
            <w:pPr>
              <w:pStyle w:val="Tabletext"/>
              <w:rPr>
                <w:vertAlign w:val="superscript"/>
                <w:lang w:eastAsia="en-AU"/>
              </w:rPr>
            </w:pPr>
            <w:r w:rsidRPr="007660C2">
              <w:rPr>
                <w:lang w:eastAsia="en-AU"/>
              </w:rPr>
              <w:t xml:space="preserve">Southland Station </w:t>
            </w:r>
            <w:r w:rsidRPr="007660C2">
              <w:rPr>
                <w:vertAlign w:val="superscript"/>
                <w:lang w:eastAsia="en-AU"/>
              </w:rPr>
              <w:t>(a)</w:t>
            </w:r>
          </w:p>
        </w:tc>
        <w:tc>
          <w:tcPr>
            <w:tcW w:w="81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tbc</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tbc</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tbc</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tbc</w:t>
            </w:r>
          </w:p>
        </w:tc>
        <w:tc>
          <w:tcPr>
            <w:tcW w:w="832"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tbc</w:t>
            </w:r>
          </w:p>
        </w:tc>
      </w:tr>
      <w:tr w:rsidR="00B958B1" w:rsidRPr="007660C2" w:rsidTr="009F3B54">
        <w:tc>
          <w:tcPr>
            <w:tcW w:w="3704" w:type="dxa"/>
            <w:gridSpan w:val="3"/>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Syndal Station multi</w:t>
            </w:r>
            <w:r w:rsidR="009F0F49">
              <w:rPr>
                <w:lang w:eastAsia="en-AU"/>
              </w:rPr>
              <w:noBreakHyphen/>
            </w:r>
            <w:r w:rsidRPr="007660C2">
              <w:rPr>
                <w:lang w:eastAsia="en-AU"/>
              </w:rPr>
              <w:t>deck car park project</w:t>
            </w:r>
          </w:p>
        </w:tc>
        <w:tc>
          <w:tcPr>
            <w:tcW w:w="81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0.1</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0.1</w:t>
            </w:r>
          </w:p>
        </w:tc>
        <w:tc>
          <w:tcPr>
            <w:tcW w:w="832"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0.1</w:t>
            </w:r>
          </w:p>
        </w:tc>
      </w:tr>
      <w:tr w:rsidR="00B958B1" w:rsidRPr="007660C2" w:rsidTr="009F3B54">
        <w:tc>
          <w:tcPr>
            <w:tcW w:w="3704" w:type="dxa"/>
            <w:gridSpan w:val="3"/>
            <w:tcBorders>
              <w:top w:val="nil"/>
              <w:left w:val="nil"/>
              <w:bottom w:val="nil"/>
              <w:right w:val="nil"/>
            </w:tcBorders>
          </w:tcPr>
          <w:p w:rsidR="00B958B1" w:rsidRPr="007660C2" w:rsidRDefault="00B958B1" w:rsidP="009F3B54">
            <w:pPr>
              <w:pStyle w:val="Tabletext"/>
              <w:rPr>
                <w:lang w:eastAsia="en-AU"/>
              </w:rPr>
            </w:pPr>
            <w:r w:rsidRPr="007660C2">
              <w:rPr>
                <w:lang w:eastAsia="en-AU"/>
              </w:rPr>
              <w:t>Transport Solutions</w:t>
            </w:r>
          </w:p>
        </w:tc>
        <w:tc>
          <w:tcPr>
            <w:tcW w:w="810"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0.1</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3.4</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3.1</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0.5</w:t>
            </w:r>
          </w:p>
        </w:tc>
        <w:tc>
          <w:tcPr>
            <w:tcW w:w="832"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0.5</w:t>
            </w:r>
          </w:p>
        </w:tc>
      </w:tr>
      <w:tr w:rsidR="00B958B1" w:rsidRPr="007660C2" w:rsidTr="009F3B54">
        <w:tc>
          <w:tcPr>
            <w:tcW w:w="2984" w:type="dxa"/>
            <w:gridSpan w:val="2"/>
            <w:tcBorders>
              <w:top w:val="nil"/>
              <w:left w:val="nil"/>
              <w:bottom w:val="nil"/>
              <w:right w:val="nil"/>
            </w:tcBorders>
          </w:tcPr>
          <w:p w:rsidR="00B958B1" w:rsidRPr="007660C2" w:rsidRDefault="00B958B1" w:rsidP="009F3B54">
            <w:pPr>
              <w:pStyle w:val="Tabletext"/>
              <w:rPr>
                <w:vertAlign w:val="superscript"/>
                <w:lang w:eastAsia="en-AU"/>
              </w:rPr>
            </w:pPr>
            <w:r w:rsidRPr="007660C2">
              <w:rPr>
                <w:lang w:eastAsia="en-AU"/>
              </w:rPr>
              <w:t xml:space="preserve">West Gate Bridge maintenance </w:t>
            </w:r>
            <w:r w:rsidRPr="007660C2">
              <w:rPr>
                <w:vertAlign w:val="superscript"/>
                <w:lang w:eastAsia="en-AU"/>
              </w:rPr>
              <w:t>(b)</w:t>
            </w:r>
          </w:p>
        </w:tc>
        <w:tc>
          <w:tcPr>
            <w:tcW w:w="1530"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5.0</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8.5</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9.2</w:t>
            </w:r>
          </w:p>
        </w:tc>
        <w:tc>
          <w:tcPr>
            <w:tcW w:w="832"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9.0</w:t>
            </w:r>
          </w:p>
        </w:tc>
      </w:tr>
      <w:tr w:rsidR="00B958B1" w:rsidRPr="007660C2" w:rsidTr="009F3B54">
        <w:tc>
          <w:tcPr>
            <w:tcW w:w="3704" w:type="dxa"/>
            <w:gridSpan w:val="3"/>
            <w:tcBorders>
              <w:top w:val="nil"/>
              <w:left w:val="nil"/>
              <w:bottom w:val="nil"/>
              <w:right w:val="nil"/>
            </w:tcBorders>
          </w:tcPr>
          <w:p w:rsidR="00B958B1" w:rsidRPr="007660C2" w:rsidRDefault="00B958B1" w:rsidP="009F3B54">
            <w:pPr>
              <w:pStyle w:val="Tabletext"/>
              <w:ind w:left="187" w:hanging="187"/>
              <w:rPr>
                <w:b/>
                <w:bCs/>
                <w:lang w:eastAsia="en-AU"/>
              </w:rPr>
            </w:pPr>
            <w:r w:rsidRPr="007660C2">
              <w:rPr>
                <w:b/>
                <w:bCs/>
                <w:lang w:eastAsia="en-AU"/>
              </w:rPr>
              <w:t>Transport Safety and Security</w:t>
            </w:r>
          </w:p>
        </w:tc>
        <w:tc>
          <w:tcPr>
            <w:tcW w:w="81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810" w:type="dxa"/>
            <w:tcBorders>
              <w:top w:val="nil"/>
              <w:left w:val="nil"/>
              <w:bottom w:val="nil"/>
              <w:right w:val="nil"/>
            </w:tcBorders>
          </w:tcPr>
          <w:p w:rsidR="00B958B1" w:rsidRPr="007660C2" w:rsidRDefault="00B958B1" w:rsidP="009F3B54">
            <w:pPr>
              <w:pStyle w:val="TableofFigures"/>
              <w:rPr>
                <w:lang w:eastAsia="en-AU"/>
              </w:rPr>
            </w:pPr>
          </w:p>
        </w:tc>
        <w:tc>
          <w:tcPr>
            <w:tcW w:w="810" w:type="dxa"/>
            <w:tcBorders>
              <w:top w:val="nil"/>
              <w:left w:val="nil"/>
              <w:bottom w:val="nil"/>
              <w:right w:val="nil"/>
            </w:tcBorders>
          </w:tcPr>
          <w:p w:rsidR="00B958B1" w:rsidRPr="007660C2" w:rsidRDefault="00B958B1" w:rsidP="009F3B54">
            <w:pPr>
              <w:pStyle w:val="TableofFigures"/>
              <w:rPr>
                <w:lang w:eastAsia="en-AU"/>
              </w:rPr>
            </w:pPr>
          </w:p>
        </w:tc>
        <w:tc>
          <w:tcPr>
            <w:tcW w:w="810" w:type="dxa"/>
            <w:tcBorders>
              <w:top w:val="nil"/>
              <w:left w:val="nil"/>
              <w:bottom w:val="nil"/>
              <w:right w:val="nil"/>
            </w:tcBorders>
          </w:tcPr>
          <w:p w:rsidR="00B958B1" w:rsidRPr="007660C2" w:rsidRDefault="00B958B1" w:rsidP="009F3B54">
            <w:pPr>
              <w:pStyle w:val="TableofFigures"/>
              <w:rPr>
                <w:lang w:eastAsia="en-AU"/>
              </w:rPr>
            </w:pPr>
          </w:p>
        </w:tc>
        <w:tc>
          <w:tcPr>
            <w:tcW w:w="832" w:type="dxa"/>
            <w:tcBorders>
              <w:top w:val="nil"/>
              <w:left w:val="nil"/>
              <w:bottom w:val="nil"/>
              <w:right w:val="nil"/>
            </w:tcBorders>
            <w:shd w:val="solid" w:color="FFFFFF" w:fill="auto"/>
          </w:tcPr>
          <w:p w:rsidR="00B958B1" w:rsidRPr="007660C2" w:rsidRDefault="00B958B1" w:rsidP="009F3B54">
            <w:pPr>
              <w:pStyle w:val="TableofFigures"/>
              <w:rPr>
                <w:lang w:eastAsia="en-AU"/>
              </w:rPr>
            </w:pPr>
          </w:p>
        </w:tc>
      </w:tr>
      <w:tr w:rsidR="00B958B1" w:rsidRPr="007660C2" w:rsidTr="009F3B54">
        <w:tc>
          <w:tcPr>
            <w:tcW w:w="3704" w:type="dxa"/>
            <w:gridSpan w:val="3"/>
            <w:tcBorders>
              <w:top w:val="nil"/>
              <w:left w:val="nil"/>
              <w:bottom w:val="nil"/>
              <w:right w:val="nil"/>
            </w:tcBorders>
          </w:tcPr>
          <w:p w:rsidR="00B958B1" w:rsidRPr="007660C2" w:rsidRDefault="00B958B1" w:rsidP="009F3B54">
            <w:pPr>
              <w:pStyle w:val="Tabletext"/>
              <w:rPr>
                <w:lang w:eastAsia="en-AU"/>
              </w:rPr>
            </w:pPr>
            <w:r w:rsidRPr="007660C2">
              <w:rPr>
                <w:lang w:eastAsia="en-AU"/>
              </w:rPr>
              <w:t>Graduated Licensing System</w:t>
            </w:r>
          </w:p>
        </w:tc>
        <w:tc>
          <w:tcPr>
            <w:tcW w:w="81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11.7</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12.0</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12.3</w:t>
            </w:r>
          </w:p>
        </w:tc>
        <w:tc>
          <w:tcPr>
            <w:tcW w:w="832"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12.7</w:t>
            </w:r>
          </w:p>
        </w:tc>
      </w:tr>
      <w:tr w:rsidR="00B958B1" w:rsidRPr="007660C2" w:rsidTr="009F3B54">
        <w:tc>
          <w:tcPr>
            <w:tcW w:w="3704" w:type="dxa"/>
            <w:gridSpan w:val="3"/>
            <w:tcBorders>
              <w:top w:val="nil"/>
              <w:left w:val="nil"/>
              <w:bottom w:val="nil"/>
              <w:right w:val="nil"/>
            </w:tcBorders>
          </w:tcPr>
          <w:p w:rsidR="00B958B1" w:rsidRPr="007660C2" w:rsidRDefault="00B958B1" w:rsidP="009F3B54">
            <w:pPr>
              <w:pStyle w:val="Tabletext"/>
              <w:rPr>
                <w:lang w:eastAsia="en-AU"/>
              </w:rPr>
            </w:pPr>
            <w:r w:rsidRPr="007660C2">
              <w:rPr>
                <w:lang w:eastAsia="en-AU"/>
              </w:rPr>
              <w:t>National Rail Safety Regulator</w:t>
            </w:r>
          </w:p>
        </w:tc>
        <w:tc>
          <w:tcPr>
            <w:tcW w:w="810"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0.9</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2.2</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2.2</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2.2</w:t>
            </w:r>
          </w:p>
        </w:tc>
        <w:tc>
          <w:tcPr>
            <w:tcW w:w="832"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2.2</w:t>
            </w:r>
          </w:p>
        </w:tc>
      </w:tr>
      <w:tr w:rsidR="00B958B1" w:rsidRPr="007660C2" w:rsidTr="009F3B54">
        <w:tc>
          <w:tcPr>
            <w:tcW w:w="2930" w:type="dxa"/>
            <w:tcBorders>
              <w:top w:val="nil"/>
              <w:left w:val="nil"/>
              <w:bottom w:val="nil"/>
              <w:right w:val="nil"/>
            </w:tcBorders>
            <w:shd w:val="solid" w:color="FFFFFF" w:fill="auto"/>
          </w:tcPr>
          <w:p w:rsidR="00B958B1" w:rsidRPr="007660C2" w:rsidRDefault="00B958B1" w:rsidP="009F3B54">
            <w:pPr>
              <w:pStyle w:val="Tabletext"/>
              <w:rPr>
                <w:vertAlign w:val="superscript"/>
                <w:lang w:eastAsia="en-AU"/>
              </w:rPr>
            </w:pPr>
            <w:r w:rsidRPr="007660C2">
              <w:rPr>
                <w:lang w:eastAsia="en-AU"/>
              </w:rPr>
              <w:t>Road Safety Strategy 2013</w:t>
            </w:r>
            <w:r w:rsidR="009F0F49">
              <w:rPr>
                <w:lang w:eastAsia="en-AU"/>
              </w:rPr>
              <w:noBreakHyphen/>
            </w:r>
            <w:r w:rsidRPr="007660C2">
              <w:rPr>
                <w:lang w:eastAsia="en-AU"/>
              </w:rPr>
              <w:t xml:space="preserve">2022 </w:t>
            </w:r>
            <w:r w:rsidRPr="007660C2">
              <w:rPr>
                <w:vertAlign w:val="superscript"/>
                <w:lang w:eastAsia="en-AU"/>
              </w:rPr>
              <w:t>(c)</w:t>
            </w:r>
          </w:p>
        </w:tc>
        <w:tc>
          <w:tcPr>
            <w:tcW w:w="1584" w:type="dxa"/>
            <w:gridSpan w:val="5"/>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19.9</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10.9</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28.5</w:t>
            </w:r>
          </w:p>
        </w:tc>
        <w:tc>
          <w:tcPr>
            <w:tcW w:w="832"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50.0</w:t>
            </w:r>
          </w:p>
        </w:tc>
      </w:tr>
      <w:tr w:rsidR="00B958B1" w:rsidRPr="007660C2" w:rsidTr="009F3B54">
        <w:tc>
          <w:tcPr>
            <w:tcW w:w="3704" w:type="dxa"/>
            <w:gridSpan w:val="3"/>
            <w:tcBorders>
              <w:top w:val="single" w:sz="6" w:space="0" w:color="auto"/>
              <w:left w:val="nil"/>
              <w:bottom w:val="single" w:sz="6" w:space="0" w:color="auto"/>
              <w:right w:val="nil"/>
            </w:tcBorders>
          </w:tcPr>
          <w:p w:rsidR="00B958B1" w:rsidRPr="007660C2" w:rsidRDefault="00B958B1" w:rsidP="009F3B54">
            <w:pPr>
              <w:pStyle w:val="Tabletext"/>
              <w:rPr>
                <w:b/>
                <w:bCs/>
                <w:lang w:eastAsia="en-AU"/>
              </w:rPr>
            </w:pPr>
            <w:r>
              <w:rPr>
                <w:b/>
                <w:bCs/>
                <w:lang w:eastAsia="en-AU"/>
              </w:rPr>
              <w:t>Sub total</w:t>
            </w:r>
            <w:r w:rsidRPr="007660C2">
              <w:rPr>
                <w:b/>
                <w:bCs/>
                <w:lang w:eastAsia="en-AU"/>
              </w:rPr>
              <w:t xml:space="preserve"> output initiatives</w:t>
            </w:r>
          </w:p>
        </w:tc>
        <w:tc>
          <w:tcPr>
            <w:tcW w:w="810" w:type="dxa"/>
            <w:gridSpan w:val="3"/>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27.3</w:t>
            </w:r>
          </w:p>
        </w:tc>
        <w:tc>
          <w:tcPr>
            <w:tcW w:w="810" w:type="dxa"/>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126.4</w:t>
            </w:r>
          </w:p>
        </w:tc>
        <w:tc>
          <w:tcPr>
            <w:tcW w:w="810" w:type="dxa"/>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123.5</w:t>
            </w:r>
          </w:p>
        </w:tc>
        <w:tc>
          <w:tcPr>
            <w:tcW w:w="810" w:type="dxa"/>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103.0</w:t>
            </w:r>
          </w:p>
        </w:tc>
        <w:tc>
          <w:tcPr>
            <w:tcW w:w="832" w:type="dxa"/>
            <w:tcBorders>
              <w:top w:val="single" w:sz="6" w:space="0" w:color="auto"/>
              <w:left w:val="nil"/>
              <w:bottom w:val="single" w:sz="6" w:space="0" w:color="auto"/>
              <w:right w:val="nil"/>
            </w:tcBorders>
          </w:tcPr>
          <w:p w:rsidR="00B958B1" w:rsidRPr="007660C2" w:rsidRDefault="00B958B1" w:rsidP="009F3B54">
            <w:pPr>
              <w:pStyle w:val="TableofFigures"/>
              <w:rPr>
                <w:b/>
                <w:bCs/>
                <w:lang w:eastAsia="en-AU"/>
              </w:rPr>
            </w:pPr>
            <w:r w:rsidRPr="007660C2">
              <w:rPr>
                <w:b/>
                <w:bCs/>
                <w:lang w:eastAsia="en-AU"/>
              </w:rPr>
              <w:t>99.9</w:t>
            </w:r>
          </w:p>
        </w:tc>
      </w:tr>
      <w:tr w:rsidR="00B958B1" w:rsidRPr="007660C2" w:rsidTr="009F3B54">
        <w:tc>
          <w:tcPr>
            <w:tcW w:w="3704" w:type="dxa"/>
            <w:gridSpan w:val="3"/>
            <w:tcBorders>
              <w:top w:val="single" w:sz="6" w:space="0" w:color="auto"/>
              <w:left w:val="nil"/>
              <w:bottom w:val="nil"/>
              <w:right w:val="nil"/>
            </w:tcBorders>
          </w:tcPr>
          <w:p w:rsidR="00B958B1" w:rsidRPr="007660C2" w:rsidRDefault="00B958B1" w:rsidP="009F3B54">
            <w:pPr>
              <w:pStyle w:val="Tabletext"/>
              <w:rPr>
                <w:lang w:eastAsia="en-AU"/>
              </w:rPr>
            </w:pPr>
            <w:r w:rsidRPr="007660C2">
              <w:rPr>
                <w:lang w:eastAsia="en-AU"/>
              </w:rPr>
              <w:t>Existing resources</w:t>
            </w:r>
          </w:p>
        </w:tc>
        <w:tc>
          <w:tcPr>
            <w:tcW w:w="810" w:type="dxa"/>
            <w:gridSpan w:val="3"/>
            <w:tcBorders>
              <w:top w:val="single" w:sz="6" w:space="0" w:color="auto"/>
              <w:left w:val="nil"/>
              <w:bottom w:val="single" w:sz="6" w:space="0" w:color="auto"/>
              <w:right w:val="nil"/>
            </w:tcBorders>
          </w:tcPr>
          <w:p w:rsidR="00B958B1" w:rsidRPr="007660C2" w:rsidRDefault="009F0F49" w:rsidP="009F3B54">
            <w:pPr>
              <w:pStyle w:val="TableofFigures"/>
              <w:rPr>
                <w:lang w:eastAsia="en-AU"/>
              </w:rPr>
            </w:pPr>
            <w:r>
              <w:rPr>
                <w:lang w:eastAsia="en-AU"/>
              </w:rPr>
              <w:noBreakHyphen/>
            </w:r>
            <w:r w:rsidR="00B958B1" w:rsidRPr="007660C2">
              <w:rPr>
                <w:lang w:eastAsia="en-AU"/>
              </w:rPr>
              <w:t>2.4</w:t>
            </w:r>
          </w:p>
        </w:tc>
        <w:tc>
          <w:tcPr>
            <w:tcW w:w="810" w:type="dxa"/>
            <w:tcBorders>
              <w:top w:val="nil"/>
              <w:left w:val="nil"/>
              <w:bottom w:val="nil"/>
              <w:right w:val="nil"/>
            </w:tcBorders>
          </w:tcPr>
          <w:p w:rsidR="00B958B1" w:rsidRPr="007660C2" w:rsidRDefault="009F0F49" w:rsidP="009F3B54">
            <w:pPr>
              <w:pStyle w:val="TableofFigures"/>
              <w:rPr>
                <w:lang w:eastAsia="en-AU"/>
              </w:rPr>
            </w:pPr>
            <w:r>
              <w:rPr>
                <w:lang w:eastAsia="en-AU"/>
              </w:rPr>
              <w:noBreakHyphen/>
            </w:r>
            <w:r w:rsidR="00B958B1" w:rsidRPr="007660C2">
              <w:rPr>
                <w:lang w:eastAsia="en-AU"/>
              </w:rPr>
              <w:t>4.8</w:t>
            </w:r>
          </w:p>
        </w:tc>
        <w:tc>
          <w:tcPr>
            <w:tcW w:w="810" w:type="dxa"/>
            <w:tcBorders>
              <w:top w:val="nil"/>
              <w:left w:val="nil"/>
              <w:bottom w:val="nil"/>
              <w:right w:val="nil"/>
            </w:tcBorders>
          </w:tcPr>
          <w:p w:rsidR="00B958B1" w:rsidRPr="007660C2" w:rsidRDefault="009F0F49" w:rsidP="009F3B54">
            <w:pPr>
              <w:pStyle w:val="TableofFigures"/>
              <w:rPr>
                <w:lang w:eastAsia="en-AU"/>
              </w:rPr>
            </w:pPr>
            <w:r>
              <w:rPr>
                <w:lang w:eastAsia="en-AU"/>
              </w:rPr>
              <w:noBreakHyphen/>
            </w:r>
            <w:r w:rsidR="00B958B1" w:rsidRPr="007660C2">
              <w:rPr>
                <w:lang w:eastAsia="en-AU"/>
              </w:rPr>
              <w:t>2.2</w:t>
            </w:r>
          </w:p>
        </w:tc>
        <w:tc>
          <w:tcPr>
            <w:tcW w:w="810" w:type="dxa"/>
            <w:tcBorders>
              <w:top w:val="nil"/>
              <w:left w:val="nil"/>
              <w:bottom w:val="nil"/>
              <w:right w:val="nil"/>
            </w:tcBorders>
          </w:tcPr>
          <w:p w:rsidR="00B958B1" w:rsidRPr="007660C2" w:rsidRDefault="009F0F49" w:rsidP="009F3B54">
            <w:pPr>
              <w:pStyle w:val="TableofFigures"/>
              <w:rPr>
                <w:lang w:eastAsia="en-AU"/>
              </w:rPr>
            </w:pPr>
            <w:r>
              <w:rPr>
                <w:lang w:eastAsia="en-AU"/>
              </w:rPr>
              <w:noBreakHyphen/>
            </w:r>
            <w:r w:rsidR="00B958B1" w:rsidRPr="007660C2">
              <w:rPr>
                <w:lang w:eastAsia="en-AU"/>
              </w:rPr>
              <w:t>3.1</w:t>
            </w:r>
          </w:p>
        </w:tc>
        <w:tc>
          <w:tcPr>
            <w:tcW w:w="832" w:type="dxa"/>
            <w:tcBorders>
              <w:top w:val="nil"/>
              <w:left w:val="nil"/>
              <w:bottom w:val="nil"/>
              <w:right w:val="nil"/>
            </w:tcBorders>
          </w:tcPr>
          <w:p w:rsidR="00B958B1" w:rsidRPr="007660C2" w:rsidRDefault="009F0F49" w:rsidP="009F3B54">
            <w:pPr>
              <w:pStyle w:val="TableofFigures"/>
              <w:rPr>
                <w:lang w:eastAsia="en-AU"/>
              </w:rPr>
            </w:pPr>
            <w:r>
              <w:rPr>
                <w:lang w:eastAsia="en-AU"/>
              </w:rPr>
              <w:noBreakHyphen/>
            </w:r>
            <w:r w:rsidR="00B958B1" w:rsidRPr="007660C2">
              <w:rPr>
                <w:lang w:eastAsia="en-AU"/>
              </w:rPr>
              <w:t>3.6</w:t>
            </w:r>
          </w:p>
        </w:tc>
      </w:tr>
      <w:tr w:rsidR="00B958B1" w:rsidRPr="007660C2" w:rsidTr="009F3B54">
        <w:tc>
          <w:tcPr>
            <w:tcW w:w="3704" w:type="dxa"/>
            <w:gridSpan w:val="3"/>
            <w:tcBorders>
              <w:top w:val="single" w:sz="6" w:space="0" w:color="auto"/>
              <w:left w:val="nil"/>
              <w:bottom w:val="single" w:sz="12" w:space="0" w:color="auto"/>
              <w:right w:val="nil"/>
            </w:tcBorders>
          </w:tcPr>
          <w:p w:rsidR="00B958B1" w:rsidRPr="007660C2" w:rsidRDefault="00B958B1" w:rsidP="009F3B54">
            <w:pPr>
              <w:pStyle w:val="Tabletext"/>
              <w:rPr>
                <w:b/>
                <w:bCs/>
                <w:lang w:eastAsia="en-AU"/>
              </w:rPr>
            </w:pPr>
            <w:r w:rsidRPr="007660C2">
              <w:rPr>
                <w:b/>
                <w:bCs/>
                <w:lang w:eastAsia="en-AU"/>
              </w:rPr>
              <w:t>Total output initiatives</w:t>
            </w:r>
          </w:p>
        </w:tc>
        <w:tc>
          <w:tcPr>
            <w:tcW w:w="810" w:type="dxa"/>
            <w:gridSpan w:val="3"/>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24.9</w:t>
            </w:r>
          </w:p>
        </w:tc>
        <w:tc>
          <w:tcPr>
            <w:tcW w:w="810"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121.7</w:t>
            </w:r>
          </w:p>
        </w:tc>
        <w:tc>
          <w:tcPr>
            <w:tcW w:w="810"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121.3</w:t>
            </w:r>
          </w:p>
        </w:tc>
        <w:tc>
          <w:tcPr>
            <w:tcW w:w="810"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99.9</w:t>
            </w:r>
          </w:p>
        </w:tc>
        <w:tc>
          <w:tcPr>
            <w:tcW w:w="832"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96.3</w:t>
            </w:r>
          </w:p>
        </w:tc>
      </w:tr>
    </w:tbl>
    <w:p w:rsidR="00B958B1" w:rsidRDefault="00B958B1" w:rsidP="009F3B54">
      <w:pPr>
        <w:pStyle w:val="Source"/>
      </w:pPr>
      <w:r w:rsidRPr="00A20936">
        <w:t>Source: Department of Treasury and Finance</w:t>
      </w:r>
    </w:p>
    <w:p w:rsidR="00B958B1" w:rsidRPr="003B54C4" w:rsidRDefault="00B958B1" w:rsidP="009F3B54">
      <w:pPr>
        <w:pStyle w:val="Notes"/>
      </w:pPr>
      <w:r>
        <w:br w:type="page"/>
      </w:r>
      <w:r>
        <w:fldChar w:fldCharType="begin"/>
      </w:r>
      <w:r>
        <w:instrText xml:space="preserve"> XE "</w:instrText>
      </w:r>
      <w:r w:rsidRPr="001902E6">
        <w:instrText>Protective Service</w:instrText>
      </w:r>
      <w:r>
        <w:instrText>s</w:instrText>
      </w:r>
      <w:r w:rsidRPr="001902E6">
        <w:instrText xml:space="preserve"> Officers</w:instrText>
      </w:r>
      <w:r>
        <w:instrText xml:space="preserve">" </w:instrText>
      </w:r>
      <w:r>
        <w:fldChar w:fldCharType="end"/>
      </w:r>
      <w:r>
        <w:fldChar w:fldCharType="begin"/>
      </w:r>
      <w:r>
        <w:instrText xml:space="preserve"> XE "Transport:</w:instrText>
      </w:r>
      <w:r w:rsidRPr="001902E6">
        <w:instrText>Trains</w:instrText>
      </w:r>
      <w:r>
        <w:instrText xml:space="preserve">" </w:instrText>
      </w:r>
      <w:r>
        <w:fldChar w:fldCharType="end"/>
      </w:r>
      <w:r w:rsidRPr="00356BDA">
        <w:t>Note</w:t>
      </w:r>
      <w:r>
        <w:t>s</w:t>
      </w:r>
      <w:r w:rsidRPr="00356BDA">
        <w:t>:</w:t>
      </w:r>
    </w:p>
    <w:p w:rsidR="00B958B1" w:rsidRDefault="00B958B1" w:rsidP="009F3B54">
      <w:pPr>
        <w:pStyle w:val="Notes"/>
      </w:pPr>
      <w:r>
        <w:t>(a)</w:t>
      </w:r>
      <w:r>
        <w:tab/>
        <w:t>Funding is not announced at this time due to commercial sensitivities.</w:t>
      </w:r>
    </w:p>
    <w:p w:rsidR="00B958B1" w:rsidRDefault="00B958B1" w:rsidP="009F3B54">
      <w:pPr>
        <w:pStyle w:val="Notes"/>
      </w:pPr>
      <w:r>
        <w:t>(b)</w:t>
      </w:r>
      <w:r>
        <w:tab/>
        <w:t xml:space="preserve">This initiative does not include </w:t>
      </w:r>
      <w:r w:rsidRPr="00356BDA">
        <w:t>Commonwealth funding of $32</w:t>
      </w:r>
      <w:r>
        <w:t> million</w:t>
      </w:r>
      <w:r w:rsidRPr="00356BDA">
        <w:t xml:space="preserve"> over the forward estimates period.</w:t>
      </w:r>
    </w:p>
    <w:p w:rsidR="00B958B1" w:rsidRDefault="00B958B1" w:rsidP="009F3B54">
      <w:pPr>
        <w:pStyle w:val="Notes"/>
      </w:pPr>
      <w:r>
        <w:t>(c</w:t>
      </w:r>
      <w:r w:rsidRPr="00356BDA">
        <w:t>)</w:t>
      </w:r>
      <w:r w:rsidRPr="00356BDA">
        <w:tab/>
        <w:t>New funding from the Transport Accident Commission. This is in addition to existing funding provided via the Safer Roads Infrastructure Program 3, and extends beyond 2016</w:t>
      </w:r>
      <w:r w:rsidR="009F0F49">
        <w:noBreakHyphen/>
      </w:r>
      <w:r w:rsidRPr="00356BDA">
        <w:t xml:space="preserve">17. </w:t>
      </w:r>
    </w:p>
    <w:p w:rsidR="00B958B1" w:rsidRPr="00EA330A" w:rsidRDefault="00B958B1" w:rsidP="009F3B54">
      <w:pPr>
        <w:pStyle w:val="Notes"/>
      </w:pPr>
    </w:p>
    <w:p w:rsidR="00B958B1" w:rsidRPr="00DE65E7" w:rsidRDefault="00B958B1" w:rsidP="009F3B54">
      <w:pPr>
        <w:pStyle w:val="Heading4"/>
      </w:pPr>
      <w:r>
        <w:t>Integrated Transport Services</w:t>
      </w:r>
    </w:p>
    <w:p w:rsidR="00B958B1" w:rsidRDefault="00B958B1" w:rsidP="009F3B54">
      <w:pPr>
        <w:pStyle w:val="Heading5"/>
      </w:pPr>
      <w:r>
        <w:t>Additional train services</w:t>
      </w:r>
    </w:p>
    <w:p w:rsidR="00B958B1" w:rsidRDefault="00B958B1" w:rsidP="009F3B54">
      <w:r>
        <w:t>More train services will run on the Dandenong rail line to support growing demand.</w:t>
      </w:r>
    </w:p>
    <w:p w:rsidR="00B958B1" w:rsidRDefault="00B958B1" w:rsidP="009F3B54">
      <w:r>
        <w:t xml:space="preserve">This initiative contributes to the Department of Transport, Planning and Local Infrastructure’s Metropolitan Transport Services output. </w:t>
      </w:r>
      <w:r>
        <w:fldChar w:fldCharType="begin"/>
      </w:r>
      <w:r>
        <w:instrText xml:space="preserve"> XE "</w:instrText>
      </w:r>
      <w:r w:rsidRPr="00311CEB">
        <w:instrText xml:space="preserve">Department of Transport, Planning and Local Infrastructure:Integrated </w:instrText>
      </w:r>
      <w:r>
        <w:instrText>T</w:instrText>
      </w:r>
      <w:r w:rsidRPr="00311CEB">
        <w:instrText xml:space="preserve">ransport </w:instrText>
      </w:r>
      <w:r>
        <w:instrText>S</w:instrText>
      </w:r>
      <w:r w:rsidRPr="00311CEB">
        <w:instrText>olutions</w:instrText>
      </w:r>
      <w:r>
        <w:instrText xml:space="preserve">" </w:instrText>
      </w:r>
      <w:r>
        <w:fldChar w:fldCharType="end"/>
      </w:r>
      <w:r>
        <w:fldChar w:fldCharType="begin"/>
      </w:r>
      <w:r>
        <w:instrText xml:space="preserve"> XE "</w:instrText>
      </w:r>
      <w:r w:rsidRPr="009E53A6">
        <w:instrText xml:space="preserve">Integrated </w:instrText>
      </w:r>
      <w:r>
        <w:instrText>T</w:instrText>
      </w:r>
      <w:r w:rsidRPr="009E53A6">
        <w:instrText xml:space="preserve">ransport </w:instrText>
      </w:r>
      <w:r>
        <w:instrText>S</w:instrText>
      </w:r>
      <w:r w:rsidRPr="009E53A6">
        <w:instrText>olutions</w:instrText>
      </w:r>
      <w:r>
        <w:instrText xml:space="preserve">" </w:instrText>
      </w:r>
      <w:r>
        <w:fldChar w:fldCharType="end"/>
      </w:r>
    </w:p>
    <w:p w:rsidR="00B958B1" w:rsidRDefault="00B958B1" w:rsidP="009F3B54">
      <w:pPr>
        <w:pStyle w:val="Heading5"/>
      </w:pPr>
      <w:r w:rsidRPr="0019139E">
        <w:rPr>
          <w:i/>
        </w:rPr>
        <w:t>myki</w:t>
      </w:r>
      <w:r>
        <w:t xml:space="preserve"> (operations and customer service)</w:t>
      </w:r>
    </w:p>
    <w:p w:rsidR="00B958B1" w:rsidRDefault="00B958B1" w:rsidP="009F3B54">
      <w:r>
        <w:t xml:space="preserve">A new operations contract will be delivered for </w:t>
      </w:r>
      <w:r w:rsidRPr="0019139E">
        <w:rPr>
          <w:i/>
        </w:rPr>
        <w:t>myki</w:t>
      </w:r>
      <w:r>
        <w:t xml:space="preserve"> public transport</w:t>
      </w:r>
      <w:r>
        <w:fldChar w:fldCharType="begin"/>
      </w:r>
      <w:r>
        <w:instrText xml:space="preserve"> XE "</w:instrText>
      </w:r>
      <w:r w:rsidRPr="009E53A6">
        <w:instrText>Public transport</w:instrText>
      </w:r>
      <w:r>
        <w:instrText xml:space="preserve">" </w:instrText>
      </w:r>
      <w:r>
        <w:fldChar w:fldCharType="end"/>
      </w:r>
      <w:r>
        <w:t xml:space="preserve"> ticketing and will include reassignment of the </w:t>
      </w:r>
      <w:r w:rsidRPr="0019139E">
        <w:rPr>
          <w:i/>
        </w:rPr>
        <w:t>myki</w:t>
      </w:r>
      <w:r>
        <w:t xml:space="preserve"> call centre to Public Transport Victoria oversight, customer service improvements and a revised performance management regime.</w:t>
      </w:r>
    </w:p>
    <w:p w:rsidR="00B958B1" w:rsidRDefault="00B958B1" w:rsidP="009F3B54">
      <w:r>
        <w:t xml:space="preserve">This initiative contributes to the Department of Transport, Planning and Local Infrastructure’s Statewide Transport Services output. </w:t>
      </w:r>
    </w:p>
    <w:p w:rsidR="00B958B1" w:rsidRDefault="00B958B1" w:rsidP="009F3B54">
      <w:pPr>
        <w:pStyle w:val="Heading4"/>
      </w:pPr>
      <w:bookmarkStart w:id="69" w:name="BP3Ch1DTPLITranspSysDvpmntMain"/>
      <w:r>
        <w:t>Transport System Development and Maintenance</w:t>
      </w:r>
    </w:p>
    <w:p w:rsidR="00B958B1" w:rsidRDefault="00B958B1" w:rsidP="009F3B54">
      <w:pPr>
        <w:pStyle w:val="Heading5"/>
      </w:pPr>
      <w:r>
        <w:t>Arterial road maintenance</w:t>
      </w:r>
    </w:p>
    <w:p w:rsidR="00B958B1" w:rsidRDefault="00B958B1" w:rsidP="009F3B54">
      <w:r>
        <w:t>Additional funding is provided to support maintenance of the State’s arterial road network. Maintenance activities will focus on the roads</w:t>
      </w:r>
      <w:r>
        <w:fldChar w:fldCharType="begin"/>
      </w:r>
      <w:r>
        <w:instrText xml:space="preserve"> XE "</w:instrText>
      </w:r>
      <w:r w:rsidRPr="009E53A6">
        <w:instrText>Roads</w:instrText>
      </w:r>
      <w:r>
        <w:instrText xml:space="preserve">" </w:instrText>
      </w:r>
      <w:r>
        <w:fldChar w:fldCharType="end"/>
      </w:r>
      <w:r>
        <w:t xml:space="preserve"> most in need of repair and will help maintain the standard of Victoria’s arterial road network. This builds on VicRoads’ existing </w:t>
      </w:r>
      <w:r w:rsidRPr="00E15786">
        <w:t>annual base road maintenance funding.</w:t>
      </w:r>
      <w:r>
        <w:t xml:space="preserve"> </w:t>
      </w:r>
      <w:r>
        <w:fldChar w:fldCharType="begin"/>
      </w:r>
      <w:r>
        <w:instrText xml:space="preserve"> XE "</w:instrText>
      </w:r>
      <w:r w:rsidRPr="00BE0E6D">
        <w:instrText xml:space="preserve">Department of Transport, Planning and Local Infrastructure:Transport </w:instrText>
      </w:r>
      <w:r>
        <w:instrText>System D</w:instrText>
      </w:r>
      <w:r w:rsidRPr="00BE0E6D">
        <w:instrText xml:space="preserve">evelopment and </w:instrText>
      </w:r>
      <w:r>
        <w:instrText>M</w:instrText>
      </w:r>
      <w:r w:rsidRPr="00BE0E6D">
        <w:instrText>aintenance</w:instrText>
      </w:r>
      <w:r>
        <w:instrText xml:space="preserve">" \r "BP3Ch1DTPLITranspSysDvpmntMain" </w:instrText>
      </w:r>
      <w:r>
        <w:fldChar w:fldCharType="end"/>
      </w:r>
      <w:r>
        <w:fldChar w:fldCharType="begin"/>
      </w:r>
      <w:r>
        <w:instrText xml:space="preserve"> XE "Transport:</w:instrText>
      </w:r>
      <w:r w:rsidRPr="009E53A6">
        <w:instrText xml:space="preserve">Transport </w:instrText>
      </w:r>
      <w:r>
        <w:instrText>System D</w:instrText>
      </w:r>
      <w:r w:rsidRPr="009E53A6">
        <w:instrText xml:space="preserve">evelopment and </w:instrText>
      </w:r>
      <w:r>
        <w:instrText>M</w:instrText>
      </w:r>
      <w:r w:rsidRPr="009E53A6">
        <w:instrText>aintenance</w:instrText>
      </w:r>
      <w:r>
        <w:instrText xml:space="preserve">" \r "BP3Ch1DTPLITranspSysDvpmntMain" </w:instrText>
      </w:r>
      <w:r>
        <w:fldChar w:fldCharType="end"/>
      </w:r>
      <w:r>
        <w:t xml:space="preserve"> </w:t>
      </w:r>
    </w:p>
    <w:p w:rsidR="00B958B1" w:rsidRDefault="00B958B1" w:rsidP="009F3B54">
      <w:r>
        <w:t>This initiative contributes to the Department of Transport, Planning and Local Infrastructure’s Road Asset Management output.</w:t>
      </w:r>
    </w:p>
    <w:p w:rsidR="00B958B1" w:rsidRDefault="00B958B1" w:rsidP="009F3B54">
      <w:pPr>
        <w:pStyle w:val="Heading5"/>
      </w:pPr>
      <w:r>
        <w:t>Bicycle infrastructure program</w:t>
      </w:r>
    </w:p>
    <w:p w:rsidR="00B958B1" w:rsidRPr="00EA330A" w:rsidRDefault="00B958B1" w:rsidP="009F3B54">
      <w:r>
        <w:t>Refer to the asset initiative for a description of this initiative.</w:t>
      </w:r>
    </w:p>
    <w:p w:rsidR="00B958B1" w:rsidRDefault="00B958B1" w:rsidP="009F3B54">
      <w:pPr>
        <w:pStyle w:val="Heading5"/>
      </w:pPr>
      <w:r>
        <w:t>Bus services improvements</w:t>
      </w:r>
    </w:p>
    <w:p w:rsidR="00B958B1" w:rsidRDefault="00B958B1" w:rsidP="009F3B54">
      <w:r>
        <w:t>Bus services will be increased to improve transport coordination and address demand pressures in growth, semi</w:t>
      </w:r>
      <w:r w:rsidR="009F0F49">
        <w:noBreakHyphen/>
      </w:r>
      <w:r>
        <w:t>urban and regional areas.</w:t>
      </w:r>
    </w:p>
    <w:p w:rsidR="00B958B1" w:rsidRDefault="00B958B1" w:rsidP="009F3B54">
      <w:r>
        <w:t>This initiative contributes to the Department of Transport, Planning and Local Infrastructure’s:</w:t>
      </w:r>
    </w:p>
    <w:p w:rsidR="00B958B1" w:rsidRDefault="00B958B1" w:rsidP="009F3B54">
      <w:pPr>
        <w:pStyle w:val="BulletText"/>
      </w:pPr>
      <w:r>
        <w:t>Public Transport Network Improvements and Maintenance output;</w:t>
      </w:r>
    </w:p>
    <w:p w:rsidR="00B958B1" w:rsidRDefault="00B958B1" w:rsidP="009F3B54">
      <w:pPr>
        <w:pStyle w:val="BulletText"/>
      </w:pPr>
      <w:r>
        <w:t>Metropolitan Transport Services output; and</w:t>
      </w:r>
    </w:p>
    <w:p w:rsidR="00B958B1" w:rsidRDefault="00B958B1" w:rsidP="009F3B54">
      <w:pPr>
        <w:pStyle w:val="BulletText"/>
      </w:pPr>
      <w:r>
        <w:t>Regional Transport Services output.</w:t>
      </w:r>
    </w:p>
    <w:p w:rsidR="00B958B1" w:rsidRDefault="00B958B1" w:rsidP="009F3B54">
      <w:pPr>
        <w:pStyle w:val="Heading5"/>
      </w:pPr>
      <w:r>
        <w:t>Cardinia Road upgrade</w:t>
      </w:r>
    </w:p>
    <w:p w:rsidR="00B958B1" w:rsidRDefault="00B958B1" w:rsidP="009F3B54">
      <w:r>
        <w:t>Refer to the asset initiative for a description of this initiative.</w:t>
      </w:r>
    </w:p>
    <w:p w:rsidR="00B958B1" w:rsidRPr="002C3D61" w:rsidRDefault="00B958B1" w:rsidP="009F3B54">
      <w:pPr>
        <w:pStyle w:val="Heading5"/>
      </w:pPr>
      <w:r>
        <w:t>East West Link business case development</w:t>
      </w:r>
    </w:p>
    <w:p w:rsidR="00B958B1" w:rsidRDefault="00B958B1" w:rsidP="009F3B54">
      <w:r>
        <w:t>The East West Link business case has been progressed during 2012</w:t>
      </w:r>
      <w:r w:rsidR="009F0F49">
        <w:noBreakHyphen/>
      </w:r>
      <w:r>
        <w:t>13.</w:t>
      </w:r>
    </w:p>
    <w:p w:rsidR="00B958B1" w:rsidRDefault="00B958B1" w:rsidP="009F3B54">
      <w:r>
        <w:t>This initiative contributes to the Department of Transport, Planning and Local Infrastructure’s Integrated Transport System Planning output.</w:t>
      </w:r>
    </w:p>
    <w:p w:rsidR="00B958B1" w:rsidRDefault="00B958B1" w:rsidP="009F3B54">
      <w:pPr>
        <w:pStyle w:val="Heading5"/>
      </w:pPr>
      <w:r>
        <w:t>Epsom Eaglehawk rail improvement</w:t>
      </w:r>
    </w:p>
    <w:p w:rsidR="00B958B1" w:rsidRDefault="00B958B1" w:rsidP="009F3B54">
      <w:r>
        <w:t>Refer to the asset initiative for a description of this initiative.</w:t>
      </w:r>
    </w:p>
    <w:p w:rsidR="00B958B1" w:rsidRDefault="00B958B1" w:rsidP="009F3B54">
      <w:pPr>
        <w:pStyle w:val="Heading5"/>
      </w:pPr>
      <w:r>
        <w:t>Grovedale Station</w:t>
      </w:r>
    </w:p>
    <w:p w:rsidR="00B958B1" w:rsidRDefault="00B958B1" w:rsidP="009F3B54">
      <w:r>
        <w:t>Refer to the asset initiative for a description of this initiative.</w:t>
      </w:r>
    </w:p>
    <w:p w:rsidR="00B958B1" w:rsidRDefault="00B958B1" w:rsidP="009F3B54">
      <w:pPr>
        <w:pStyle w:val="Heading5"/>
      </w:pPr>
      <w:r>
        <w:t>High Street Road improvement project</w:t>
      </w:r>
    </w:p>
    <w:p w:rsidR="00B958B1" w:rsidRDefault="00B958B1" w:rsidP="009F3B54">
      <w:r>
        <w:t>Refer to the asset initiative for a description of this initiative.</w:t>
      </w:r>
    </w:p>
    <w:p w:rsidR="00B958B1" w:rsidRPr="00FA0254" w:rsidRDefault="00B958B1" w:rsidP="009F3B54">
      <w:pPr>
        <w:pStyle w:val="Heading5"/>
      </w:pPr>
      <w:r>
        <w:t>Managed m</w:t>
      </w:r>
      <w:r w:rsidRPr="00FA0254">
        <w:t>oto</w:t>
      </w:r>
      <w:r>
        <w:t>rway p</w:t>
      </w:r>
      <w:r w:rsidRPr="00FA0254">
        <w:t>rogram – Monash Freeway between High Street and Warrigal Road</w:t>
      </w:r>
    </w:p>
    <w:p w:rsidR="00B958B1" w:rsidRPr="00FA0254" w:rsidRDefault="00B958B1" w:rsidP="009F3B54">
      <w:r w:rsidRPr="00FA0254">
        <w:t>Refer to the asset initiative for a description of this initiative.</w:t>
      </w:r>
    </w:p>
    <w:p w:rsidR="00B958B1" w:rsidRDefault="00B958B1" w:rsidP="009F3B54">
      <w:pPr>
        <w:pStyle w:val="Heading5"/>
      </w:pPr>
      <w:r>
        <w:t>Melbourne Bike Share Scheme</w:t>
      </w:r>
    </w:p>
    <w:p w:rsidR="00B958B1" w:rsidRDefault="00B958B1" w:rsidP="009F3B54">
      <w:r>
        <w:t>Melbourne’s Bike Share Scheme will continue to provide bikes for hire around the Melbourne inner city in 2013</w:t>
      </w:r>
      <w:r w:rsidR="009F0F49">
        <w:noBreakHyphen/>
      </w:r>
      <w:r>
        <w:t>14.</w:t>
      </w:r>
    </w:p>
    <w:p w:rsidR="00B958B1" w:rsidRDefault="00B958B1" w:rsidP="009F3B54">
      <w:r>
        <w:t>This initiative contributes to the Department of Transport, Planning and Local Infrastructure’s Road Network Improvements output.</w:t>
      </w:r>
    </w:p>
    <w:p w:rsidR="00B958B1" w:rsidRDefault="00B958B1" w:rsidP="009F3B54">
      <w:pPr>
        <w:pStyle w:val="Heading5"/>
      </w:pPr>
      <w:r>
        <w:t xml:space="preserve">New trains for Melbourne commuters </w:t>
      </w:r>
    </w:p>
    <w:p w:rsidR="00B958B1" w:rsidRDefault="00B958B1" w:rsidP="009F3B54">
      <w:r>
        <w:fldChar w:fldCharType="begin"/>
      </w:r>
      <w:r>
        <w:instrText xml:space="preserve"> XE "Transport:</w:instrText>
      </w:r>
      <w:r w:rsidRPr="009E53A6">
        <w:instrText>Trains</w:instrText>
      </w:r>
      <w:r>
        <w:instrText xml:space="preserve">" </w:instrText>
      </w:r>
      <w:r>
        <w:fldChar w:fldCharType="end"/>
      </w:r>
      <w:r>
        <w:t>Refer to the asset initiative for a description of this initiative.</w:t>
      </w:r>
    </w:p>
    <w:p w:rsidR="00B958B1" w:rsidRDefault="00B958B1" w:rsidP="009F3B54">
      <w:pPr>
        <w:pStyle w:val="Heading5"/>
      </w:pPr>
      <w:r>
        <w:t>Non</w:t>
      </w:r>
      <w:r w:rsidR="009F0F49">
        <w:noBreakHyphen/>
      </w:r>
      <w:r>
        <w:t>Urban Train Radio renewal</w:t>
      </w:r>
    </w:p>
    <w:p w:rsidR="00B958B1" w:rsidRDefault="00B958B1" w:rsidP="009F3B54">
      <w:r>
        <w:t>Refer to the asset initiative for a description of this initiative.</w:t>
      </w:r>
    </w:p>
    <w:p w:rsidR="00B958B1" w:rsidRDefault="00B958B1" w:rsidP="009F3B54">
      <w:pPr>
        <w:pStyle w:val="Heading5"/>
      </w:pPr>
      <w:r>
        <w:t xml:space="preserve">Protective Services Officers railway infrastructure </w:t>
      </w:r>
    </w:p>
    <w:p w:rsidR="00B958B1" w:rsidRPr="00EA330A" w:rsidRDefault="00B958B1" w:rsidP="009F3B54">
      <w:r>
        <w:fldChar w:fldCharType="begin"/>
      </w:r>
      <w:r>
        <w:instrText xml:space="preserve"> XE "</w:instrText>
      </w:r>
      <w:r w:rsidRPr="009E53A6">
        <w:instrText>Protective Services Officers</w:instrText>
      </w:r>
      <w:r>
        <w:instrText xml:space="preserve">" </w:instrText>
      </w:r>
      <w:r>
        <w:fldChar w:fldCharType="end"/>
      </w:r>
      <w:r>
        <w:t>Refer to the asset initiative for a description of this initiative.</w:t>
      </w:r>
    </w:p>
    <w:p w:rsidR="00B958B1" w:rsidRDefault="00B958B1" w:rsidP="009F3B54">
      <w:pPr>
        <w:pStyle w:val="Heading5"/>
      </w:pPr>
      <w:r>
        <w:t>Rail Revival: South Geelong to Drysdale, and Grovedale to Torquay</w:t>
      </w:r>
    </w:p>
    <w:p w:rsidR="00B958B1" w:rsidRDefault="00B958B1" w:rsidP="009F3B54">
      <w:r>
        <w:t xml:space="preserve">Planning will be undertaken to determine the viability of rail services between South Geelong to Drysdale and Grovedale to Torquay. </w:t>
      </w:r>
    </w:p>
    <w:p w:rsidR="00B958B1" w:rsidRDefault="00B958B1" w:rsidP="009F3B54">
      <w:r>
        <w:t>This delivers the Government’s election commitment.</w:t>
      </w:r>
    </w:p>
    <w:p w:rsidR="00B958B1" w:rsidRDefault="00B958B1" w:rsidP="009F3B54">
      <w:r>
        <w:t xml:space="preserve">This initiative contributes to the Department of Transport, Planning and Local Infrastructure’s Integrated Transport System Planning output. </w:t>
      </w:r>
    </w:p>
    <w:p w:rsidR="00B958B1" w:rsidRDefault="00B958B1" w:rsidP="009F3B54">
      <w:pPr>
        <w:pStyle w:val="Heading5"/>
      </w:pPr>
      <w:r>
        <w:t>Ringwood Station and interchange upgrade</w:t>
      </w:r>
    </w:p>
    <w:p w:rsidR="00B958B1" w:rsidRDefault="00B958B1" w:rsidP="009F3B54">
      <w:r>
        <w:t>Refer to the asset initiative for a description of this initiative.</w:t>
      </w:r>
    </w:p>
    <w:p w:rsidR="00B958B1" w:rsidRDefault="00B958B1" w:rsidP="009F3B54">
      <w:pPr>
        <w:pStyle w:val="Heading5"/>
      </w:pPr>
      <w:r>
        <w:t>Sealing Omeo Highway</w:t>
      </w:r>
    </w:p>
    <w:p w:rsidR="00B958B1" w:rsidRDefault="00B958B1" w:rsidP="009F3B54">
      <w:r>
        <w:t>Refer to the asset initiative for a description of this initiative.</w:t>
      </w:r>
    </w:p>
    <w:p w:rsidR="00B958B1" w:rsidRPr="00FA0254" w:rsidRDefault="00B958B1" w:rsidP="009F3B54">
      <w:pPr>
        <w:pStyle w:val="Heading5"/>
      </w:pPr>
      <w:r>
        <w:br w:type="page"/>
      </w:r>
      <w:r w:rsidRPr="00FA0254">
        <w:t>Southland Station</w:t>
      </w:r>
    </w:p>
    <w:p w:rsidR="00B958B1" w:rsidRPr="00FA0254" w:rsidRDefault="00B958B1" w:rsidP="009F3B54">
      <w:r w:rsidRPr="00FA0254">
        <w:t>Refer to the asset initiative for a description of this initiative.</w:t>
      </w:r>
    </w:p>
    <w:p w:rsidR="00B958B1" w:rsidRDefault="00B958B1" w:rsidP="009F3B54">
      <w:pPr>
        <w:pStyle w:val="Heading5"/>
      </w:pPr>
      <w:r>
        <w:t>Syndal Station multi</w:t>
      </w:r>
      <w:r w:rsidR="009F0F49">
        <w:noBreakHyphen/>
      </w:r>
      <w:r>
        <w:t>deck car park project</w:t>
      </w:r>
    </w:p>
    <w:p w:rsidR="00B958B1" w:rsidRDefault="00B958B1" w:rsidP="009F3B54">
      <w:r>
        <w:t>Refer to the asset initiative for a description of this initiative.</w:t>
      </w:r>
    </w:p>
    <w:p w:rsidR="00B958B1" w:rsidRDefault="00B958B1" w:rsidP="009F3B54">
      <w:pPr>
        <w:pStyle w:val="Heading5"/>
      </w:pPr>
      <w:r>
        <w:t>Transport Solutions</w:t>
      </w:r>
    </w:p>
    <w:p w:rsidR="00B958B1" w:rsidRDefault="00B958B1" w:rsidP="009F3B54">
      <w:r>
        <w:t>Refer to the asset initiative for a description of this initiative.</w:t>
      </w:r>
    </w:p>
    <w:p w:rsidR="00B958B1" w:rsidRDefault="00B958B1" w:rsidP="009F3B54">
      <w:pPr>
        <w:pStyle w:val="Heading5"/>
      </w:pPr>
      <w:r>
        <w:t>West Gate Bridge maintenance</w:t>
      </w:r>
    </w:p>
    <w:p w:rsidR="00B958B1" w:rsidRDefault="00B958B1" w:rsidP="009F3B54">
      <w:r>
        <w:t xml:space="preserve">The </w:t>
      </w:r>
      <w:r w:rsidRPr="00D91666">
        <w:t>West Gate Bridge</w:t>
      </w:r>
      <w:r>
        <w:t xml:space="preserve"> will undergo enhanced maintenance works </w:t>
      </w:r>
      <w:r w:rsidRPr="00D91666">
        <w:t xml:space="preserve">to ensure the longevity of this </w:t>
      </w:r>
      <w:r>
        <w:t>key</w:t>
      </w:r>
      <w:r w:rsidRPr="00D91666">
        <w:t xml:space="preserve"> road asset.</w:t>
      </w:r>
    </w:p>
    <w:p w:rsidR="00B958B1" w:rsidRDefault="00B958B1" w:rsidP="009F3B54">
      <w:r>
        <w:t>This initiative contributes to the Department of Transport, Planning and Local Infrastructure’s Road Asset Management output.</w:t>
      </w:r>
    </w:p>
    <w:p w:rsidR="00B958B1" w:rsidRDefault="00B958B1" w:rsidP="009F3B54">
      <w:pPr>
        <w:pStyle w:val="Heading4"/>
        <w:rPr>
          <w:highlight w:val="lightGray"/>
        </w:rPr>
      </w:pPr>
      <w:bookmarkStart w:id="70" w:name="BP3Ch1DTPLITransSafetynSecure"/>
      <w:bookmarkEnd w:id="69"/>
      <w:r w:rsidRPr="008F0E46">
        <w:t>Transport Safety and Security</w:t>
      </w:r>
    </w:p>
    <w:p w:rsidR="00B958B1" w:rsidRDefault="00B958B1" w:rsidP="009F3B54">
      <w:pPr>
        <w:pStyle w:val="Heading5"/>
      </w:pPr>
      <w:r w:rsidRPr="008F0E46">
        <w:t>Graduated Licensing</w:t>
      </w:r>
      <w:r>
        <w:t xml:space="preserve"> System</w:t>
      </w:r>
    </w:p>
    <w:p w:rsidR="00B958B1" w:rsidRDefault="00B958B1" w:rsidP="009F3B54">
      <w:r>
        <w:t>The Graduated Licensing System program will be extended to improve new driver safety through increasing the level of driving experience, promoting safe practices and safer vehicle purchase, and providing motivation for safer driving behaviour.</w:t>
      </w:r>
    </w:p>
    <w:p w:rsidR="00B958B1" w:rsidRDefault="00B958B1" w:rsidP="009F3B54">
      <w:r>
        <w:t>This initiative contributes to the Department of Transport, Planning and Local Infrastructure’s Transport Safety Regulation and Investigations output.</w:t>
      </w:r>
    </w:p>
    <w:p w:rsidR="00B958B1" w:rsidRDefault="00B958B1" w:rsidP="009F3B54">
      <w:pPr>
        <w:pStyle w:val="Heading5"/>
      </w:pPr>
      <w:r>
        <w:t>National Rail Safety Regulator</w:t>
      </w:r>
    </w:p>
    <w:p w:rsidR="00B958B1" w:rsidRDefault="00B958B1" w:rsidP="009F3B54">
      <w:r>
        <w:t>Victoria is contributing to the establishment of a National Rail Safety Regulator, which aims to improve rail safety and provide the consistency of rail regulation across Australia.</w:t>
      </w:r>
    </w:p>
    <w:p w:rsidR="00B958B1" w:rsidRDefault="00B958B1" w:rsidP="009F3B54">
      <w:r>
        <w:t>This initiative contributes to the Department of Transport, Planning and Local Infrastructure’s Transport Safety Regulation and Investigations output.</w:t>
      </w:r>
    </w:p>
    <w:p w:rsidR="00B958B1" w:rsidRPr="00FA0254" w:rsidRDefault="00B958B1" w:rsidP="009F3B54">
      <w:pPr>
        <w:pStyle w:val="Heading5"/>
      </w:pPr>
      <w:r w:rsidRPr="00FA0254">
        <w:t>Road Safety Strategy 2013</w:t>
      </w:r>
      <w:r w:rsidR="009F0F49">
        <w:noBreakHyphen/>
      </w:r>
      <w:r w:rsidRPr="00FA0254">
        <w:t>2022</w:t>
      </w:r>
    </w:p>
    <w:p w:rsidR="00B958B1" w:rsidRDefault="00B958B1" w:rsidP="009F3B54">
      <w:r w:rsidRPr="00FA0254">
        <w:t>Refer to the asset initiative for a description of this initiative.</w:t>
      </w:r>
      <w:bookmarkEnd w:id="70"/>
      <w:r>
        <w:fldChar w:fldCharType="begin"/>
      </w:r>
      <w:r>
        <w:instrText xml:space="preserve"> XE "</w:instrText>
      </w:r>
      <w:r w:rsidRPr="00720241">
        <w:instrText xml:space="preserve">Department of Transport, Planning and Local Infrastructure:Transport </w:instrText>
      </w:r>
      <w:r>
        <w:instrText>S</w:instrText>
      </w:r>
      <w:r w:rsidRPr="00720241">
        <w:instrText xml:space="preserve">afety and </w:instrText>
      </w:r>
      <w:r>
        <w:instrText>S</w:instrText>
      </w:r>
      <w:r w:rsidRPr="00720241">
        <w:instrText>ecurity</w:instrText>
      </w:r>
      <w:r>
        <w:instrText xml:space="preserve">" \r "BP3Ch1DTPLITransSafetynSecure" </w:instrText>
      </w:r>
      <w:r>
        <w:fldChar w:fldCharType="end"/>
      </w:r>
      <w:r>
        <w:fldChar w:fldCharType="begin"/>
      </w:r>
      <w:r>
        <w:instrText xml:space="preserve"> XE "Transport:</w:instrText>
      </w:r>
      <w:r w:rsidRPr="009E53A6">
        <w:instrText xml:space="preserve">Transport </w:instrText>
      </w:r>
      <w:r>
        <w:instrText>S</w:instrText>
      </w:r>
      <w:r w:rsidRPr="009E53A6">
        <w:instrText xml:space="preserve">afety and </w:instrText>
      </w:r>
      <w:r>
        <w:instrText>S</w:instrText>
      </w:r>
      <w:r w:rsidRPr="009E53A6">
        <w:instrText>ecurity</w:instrText>
      </w:r>
      <w:r>
        <w:instrText xml:space="preserve">" \r "BP3Ch1DTPLITransSafetynSecure" </w:instrText>
      </w:r>
      <w:r>
        <w:fldChar w:fldCharType="end"/>
      </w:r>
      <w:r>
        <w:t xml:space="preserve"> </w:t>
      </w:r>
      <w:r>
        <w:fldChar w:fldCharType="begin"/>
      </w:r>
      <w:r>
        <w:instrText xml:space="preserve"> XE "</w:instrText>
      </w:r>
      <w:r w:rsidRPr="00722D6E">
        <w:instrText>Department of Transport, Planning and Local Infrastructure:Output initiatives</w:instrText>
      </w:r>
      <w:r>
        <w:instrText xml:space="preserve">" \r "BP3Ch1DTPLIOutputInitves" </w:instrText>
      </w:r>
      <w:r>
        <w:fldChar w:fldCharType="end"/>
      </w:r>
    </w:p>
    <w:bookmarkEnd w:id="68"/>
    <w:p w:rsidR="00B958B1" w:rsidRDefault="00B958B1" w:rsidP="009F3B54">
      <w:pPr>
        <w:pStyle w:val="Heading3"/>
      </w:pPr>
      <w:r>
        <w:br w:type="page"/>
      </w:r>
      <w:bookmarkStart w:id="71" w:name="BP3Ch1DTPLIAssetInitves"/>
      <w:r>
        <w:t>Asset initiatives</w:t>
      </w:r>
    </w:p>
    <w:p w:rsidR="00B958B1" w:rsidRDefault="00B958B1" w:rsidP="009F3B54">
      <w:pPr>
        <w:pStyle w:val="Tableheading"/>
      </w:pPr>
      <w:r w:rsidRPr="006C13A1">
        <w:t>Table 1.</w:t>
      </w:r>
      <w:r>
        <w:t>16</w:t>
      </w:r>
      <w:r w:rsidRPr="006C13A1">
        <w:t>:</w:t>
      </w:r>
      <w:r w:rsidRPr="006C13A1">
        <w:tab/>
        <w:t>Asset initiatives –Transport, Planning and Local Infrastructure</w:t>
      </w:r>
    </w:p>
    <w:p w:rsidR="00B958B1" w:rsidRPr="007660C2" w:rsidRDefault="00B958B1" w:rsidP="009F3B54">
      <w:pPr>
        <w:pStyle w:val="million"/>
      </w:pPr>
      <w:r>
        <w:t xml:space="preserve"> ($ million)</w:t>
      </w:r>
    </w:p>
    <w:tbl>
      <w:tblPr>
        <w:tblW w:w="7776" w:type="dxa"/>
        <w:tblInd w:w="29" w:type="dxa"/>
        <w:tblLayout w:type="fixed"/>
        <w:tblCellMar>
          <w:left w:w="43" w:type="dxa"/>
          <w:right w:w="43" w:type="dxa"/>
        </w:tblCellMar>
        <w:tblLook w:val="0000" w:firstRow="0" w:lastRow="0" w:firstColumn="0" w:lastColumn="0" w:noHBand="0" w:noVBand="0"/>
      </w:tblPr>
      <w:tblGrid>
        <w:gridCol w:w="2714"/>
        <w:gridCol w:w="198"/>
        <w:gridCol w:w="9"/>
        <w:gridCol w:w="9"/>
        <w:gridCol w:w="27"/>
        <w:gridCol w:w="9"/>
        <w:gridCol w:w="558"/>
        <w:gridCol w:w="810"/>
        <w:gridCol w:w="90"/>
        <w:gridCol w:w="270"/>
        <w:gridCol w:w="198"/>
        <w:gridCol w:w="252"/>
        <w:gridCol w:w="43"/>
        <w:gridCol w:w="173"/>
        <w:gridCol w:w="320"/>
        <w:gridCol w:w="148"/>
        <w:gridCol w:w="126"/>
        <w:gridCol w:w="219"/>
        <w:gridCol w:w="123"/>
        <w:gridCol w:w="370"/>
        <w:gridCol w:w="98"/>
        <w:gridCol w:w="395"/>
        <w:gridCol w:w="617"/>
      </w:tblGrid>
      <w:tr w:rsidR="00B958B1" w:rsidRPr="007660C2" w:rsidTr="009F3B54">
        <w:trPr>
          <w:tblHeader/>
        </w:trPr>
        <w:tc>
          <w:tcPr>
            <w:tcW w:w="2714" w:type="dxa"/>
            <w:tcBorders>
              <w:top w:val="single" w:sz="6" w:space="0" w:color="auto"/>
              <w:left w:val="single" w:sz="4" w:space="0" w:color="auto"/>
              <w:bottom w:val="single" w:sz="4" w:space="0" w:color="auto"/>
              <w:right w:val="nil"/>
            </w:tcBorders>
            <w:shd w:val="clear" w:color="auto" w:fill="000000"/>
          </w:tcPr>
          <w:p w:rsidR="00B958B1" w:rsidRPr="007660C2" w:rsidRDefault="00B958B1" w:rsidP="009F3B54">
            <w:pPr>
              <w:pStyle w:val="Tabletext"/>
              <w:rPr>
                <w:lang w:eastAsia="en-AU"/>
              </w:rPr>
            </w:pPr>
          </w:p>
        </w:tc>
        <w:tc>
          <w:tcPr>
            <w:tcW w:w="810" w:type="dxa"/>
            <w:gridSpan w:val="6"/>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2012</w:t>
            </w:r>
            <w:r w:rsidR="009F0F49">
              <w:rPr>
                <w:lang w:eastAsia="en-AU"/>
              </w:rPr>
              <w:noBreakHyphen/>
            </w:r>
            <w:r w:rsidRPr="007660C2">
              <w:rPr>
                <w:lang w:eastAsia="en-AU"/>
              </w:rPr>
              <w:t>13</w:t>
            </w:r>
          </w:p>
        </w:tc>
        <w:tc>
          <w:tcPr>
            <w:tcW w:w="810" w:type="dxa"/>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2013</w:t>
            </w:r>
            <w:r w:rsidR="009F0F49">
              <w:rPr>
                <w:lang w:eastAsia="en-AU"/>
              </w:rPr>
              <w:noBreakHyphen/>
            </w:r>
            <w:r w:rsidRPr="007660C2">
              <w:rPr>
                <w:lang w:eastAsia="en-AU"/>
              </w:rPr>
              <w:t>14</w:t>
            </w:r>
          </w:p>
        </w:tc>
        <w:tc>
          <w:tcPr>
            <w:tcW w:w="810" w:type="dxa"/>
            <w:gridSpan w:val="4"/>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2014</w:t>
            </w:r>
            <w:r w:rsidR="009F0F49">
              <w:rPr>
                <w:lang w:eastAsia="en-AU"/>
              </w:rPr>
              <w:noBreakHyphen/>
            </w:r>
            <w:r w:rsidRPr="007660C2">
              <w:rPr>
                <w:lang w:eastAsia="en-AU"/>
              </w:rPr>
              <w:t>15</w:t>
            </w:r>
          </w:p>
        </w:tc>
        <w:tc>
          <w:tcPr>
            <w:tcW w:w="810" w:type="dxa"/>
            <w:gridSpan w:val="5"/>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2015</w:t>
            </w:r>
            <w:r w:rsidR="009F0F49">
              <w:rPr>
                <w:lang w:eastAsia="en-AU"/>
              </w:rPr>
              <w:noBreakHyphen/>
            </w:r>
            <w:r w:rsidRPr="007660C2">
              <w:rPr>
                <w:lang w:eastAsia="en-AU"/>
              </w:rPr>
              <w:t>16</w:t>
            </w:r>
          </w:p>
        </w:tc>
        <w:tc>
          <w:tcPr>
            <w:tcW w:w="810" w:type="dxa"/>
            <w:gridSpan w:val="4"/>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2016</w:t>
            </w:r>
            <w:r w:rsidR="009F0F49">
              <w:rPr>
                <w:lang w:eastAsia="en-AU"/>
              </w:rPr>
              <w:noBreakHyphen/>
            </w:r>
            <w:r w:rsidRPr="007660C2">
              <w:rPr>
                <w:lang w:eastAsia="en-AU"/>
              </w:rPr>
              <w:t>17</w:t>
            </w:r>
          </w:p>
        </w:tc>
        <w:tc>
          <w:tcPr>
            <w:tcW w:w="1012" w:type="dxa"/>
            <w:gridSpan w:val="2"/>
            <w:tcBorders>
              <w:top w:val="single" w:sz="6" w:space="0" w:color="auto"/>
              <w:left w:val="nil"/>
              <w:bottom w:val="single" w:sz="4" w:space="0" w:color="auto"/>
              <w:right w:val="single" w:sz="4" w:space="0" w:color="auto"/>
            </w:tcBorders>
            <w:shd w:val="clear" w:color="auto" w:fill="000000"/>
          </w:tcPr>
          <w:p w:rsidR="00B958B1" w:rsidRPr="007660C2" w:rsidRDefault="00B958B1" w:rsidP="009F3B54">
            <w:pPr>
              <w:pStyle w:val="Tabletextheading"/>
              <w:rPr>
                <w:lang w:eastAsia="en-AU"/>
              </w:rPr>
            </w:pPr>
            <w:r w:rsidRPr="007660C2">
              <w:rPr>
                <w:lang w:eastAsia="en-AU"/>
              </w:rPr>
              <w:t>TEI</w:t>
            </w:r>
          </w:p>
        </w:tc>
      </w:tr>
      <w:tr w:rsidR="00B958B1" w:rsidRPr="007660C2" w:rsidTr="009F3B54">
        <w:tc>
          <w:tcPr>
            <w:tcW w:w="2714" w:type="dxa"/>
            <w:tcBorders>
              <w:top w:val="single" w:sz="4" w:space="0" w:color="auto"/>
              <w:left w:val="nil"/>
              <w:bottom w:val="nil"/>
              <w:right w:val="nil"/>
            </w:tcBorders>
          </w:tcPr>
          <w:p w:rsidR="00B958B1" w:rsidRPr="007660C2" w:rsidRDefault="00B958B1" w:rsidP="009F3B54">
            <w:pPr>
              <w:pStyle w:val="Tabletext"/>
              <w:rPr>
                <w:b/>
                <w:bCs/>
                <w:lang w:eastAsia="en-AU"/>
              </w:rPr>
            </w:pPr>
            <w:r w:rsidRPr="007660C2">
              <w:rPr>
                <w:b/>
                <w:bCs/>
                <w:lang w:eastAsia="en-AU"/>
              </w:rPr>
              <w:t>Investing in Local Infrastructure</w:t>
            </w:r>
          </w:p>
        </w:tc>
        <w:tc>
          <w:tcPr>
            <w:tcW w:w="810" w:type="dxa"/>
            <w:gridSpan w:val="6"/>
            <w:tcBorders>
              <w:top w:val="single" w:sz="4" w:space="0" w:color="auto"/>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810" w:type="dxa"/>
            <w:tcBorders>
              <w:top w:val="single" w:sz="4" w:space="0" w:color="auto"/>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810" w:type="dxa"/>
            <w:gridSpan w:val="4"/>
            <w:tcBorders>
              <w:top w:val="single" w:sz="4" w:space="0" w:color="auto"/>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810" w:type="dxa"/>
            <w:gridSpan w:val="5"/>
            <w:tcBorders>
              <w:top w:val="single" w:sz="4" w:space="0" w:color="auto"/>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810" w:type="dxa"/>
            <w:gridSpan w:val="4"/>
            <w:tcBorders>
              <w:top w:val="single" w:sz="4" w:space="0" w:color="auto"/>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1012" w:type="dxa"/>
            <w:gridSpan w:val="2"/>
            <w:tcBorders>
              <w:top w:val="single" w:sz="4" w:space="0" w:color="auto"/>
              <w:left w:val="nil"/>
              <w:bottom w:val="nil"/>
              <w:right w:val="nil"/>
            </w:tcBorders>
          </w:tcPr>
          <w:p w:rsidR="00B958B1" w:rsidRPr="007660C2" w:rsidRDefault="00B958B1" w:rsidP="009F3B54">
            <w:pPr>
              <w:pStyle w:val="TableofFigures"/>
              <w:rPr>
                <w:lang w:eastAsia="en-AU"/>
              </w:rPr>
            </w:pPr>
            <w:r w:rsidRPr="007660C2">
              <w:rPr>
                <w:lang w:eastAsia="en-AU"/>
              </w:rPr>
              <w:t xml:space="preserve"> </w:t>
            </w:r>
          </w:p>
        </w:tc>
      </w:tr>
      <w:tr w:rsidR="00B958B1" w:rsidRPr="007660C2" w:rsidTr="009F3B54">
        <w:tc>
          <w:tcPr>
            <w:tcW w:w="271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State Sport Centres trust</w:t>
            </w:r>
          </w:p>
        </w:tc>
        <w:tc>
          <w:tcPr>
            <w:tcW w:w="810" w:type="dxa"/>
            <w:gridSpan w:val="6"/>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6.4</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gridSpan w:val="5"/>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1012"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6.4</w:t>
            </w:r>
          </w:p>
        </w:tc>
      </w:tr>
      <w:tr w:rsidR="00B958B1" w:rsidRPr="007660C2" w:rsidTr="009F3B54">
        <w:tc>
          <w:tcPr>
            <w:tcW w:w="4694" w:type="dxa"/>
            <w:gridSpan w:val="10"/>
            <w:tcBorders>
              <w:top w:val="nil"/>
              <w:left w:val="nil"/>
              <w:bottom w:val="nil"/>
              <w:right w:val="nil"/>
            </w:tcBorders>
            <w:shd w:val="solid" w:color="FFFFFF" w:fill="auto"/>
          </w:tcPr>
          <w:p w:rsidR="00B958B1" w:rsidRPr="007660C2" w:rsidRDefault="00B958B1" w:rsidP="009F3B54">
            <w:pPr>
              <w:pStyle w:val="Tabletext"/>
              <w:rPr>
                <w:b/>
                <w:bCs/>
                <w:lang w:eastAsia="en-AU"/>
              </w:rPr>
            </w:pPr>
            <w:r w:rsidRPr="007660C2">
              <w:rPr>
                <w:b/>
                <w:bCs/>
                <w:lang w:eastAsia="en-AU"/>
              </w:rPr>
              <w:t>Metropolitan and Regional Planning and Development</w:t>
            </w:r>
          </w:p>
        </w:tc>
        <w:tc>
          <w:tcPr>
            <w:tcW w:w="493"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493"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493"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493"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493"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617"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r>
      <w:tr w:rsidR="00B958B1" w:rsidRPr="007660C2" w:rsidTr="009F3B54">
        <w:tc>
          <w:tcPr>
            <w:tcW w:w="271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East Werribee Employment Precinct preliminary infrastructure</w:t>
            </w:r>
          </w:p>
        </w:tc>
        <w:tc>
          <w:tcPr>
            <w:tcW w:w="810" w:type="dxa"/>
            <w:gridSpan w:val="6"/>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12.8</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19.9</w:t>
            </w:r>
          </w:p>
        </w:tc>
        <w:tc>
          <w:tcPr>
            <w:tcW w:w="810" w:type="dxa"/>
            <w:gridSpan w:val="5"/>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1012"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32.7</w:t>
            </w:r>
          </w:p>
        </w:tc>
      </w:tr>
      <w:tr w:rsidR="00B958B1" w:rsidRPr="007660C2" w:rsidTr="009F3B54">
        <w:tc>
          <w:tcPr>
            <w:tcW w:w="271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Frankston transit interchange improvement project</w:t>
            </w:r>
          </w:p>
        </w:tc>
        <w:tc>
          <w:tcPr>
            <w:tcW w:w="810" w:type="dxa"/>
            <w:gridSpan w:val="6"/>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0.7</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4.7</w:t>
            </w:r>
          </w:p>
        </w:tc>
        <w:tc>
          <w:tcPr>
            <w:tcW w:w="810" w:type="dxa"/>
            <w:gridSpan w:val="5"/>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5.8</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2.6</w:t>
            </w:r>
          </w:p>
        </w:tc>
        <w:tc>
          <w:tcPr>
            <w:tcW w:w="1012"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13.8</w:t>
            </w:r>
          </w:p>
        </w:tc>
      </w:tr>
      <w:tr w:rsidR="00B958B1" w:rsidRPr="007660C2" w:rsidTr="009F3B54">
        <w:tc>
          <w:tcPr>
            <w:tcW w:w="4424" w:type="dxa"/>
            <w:gridSpan w:val="9"/>
            <w:tcBorders>
              <w:top w:val="nil"/>
              <w:left w:val="nil"/>
              <w:bottom w:val="nil"/>
              <w:right w:val="nil"/>
            </w:tcBorders>
          </w:tcPr>
          <w:p w:rsidR="00B958B1" w:rsidRPr="007660C2" w:rsidRDefault="00B958B1" w:rsidP="009F3B54">
            <w:pPr>
              <w:pStyle w:val="Tabletext"/>
              <w:rPr>
                <w:b/>
                <w:bCs/>
                <w:lang w:eastAsia="en-AU"/>
              </w:rPr>
            </w:pPr>
            <w:r w:rsidRPr="007660C2">
              <w:rPr>
                <w:b/>
                <w:bCs/>
                <w:lang w:eastAsia="en-AU"/>
              </w:rPr>
              <w:t>Transport System Development and Maintenance</w:t>
            </w:r>
          </w:p>
        </w:tc>
        <w:tc>
          <w:tcPr>
            <w:tcW w:w="468"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468"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468"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468" w:type="dxa"/>
            <w:gridSpan w:val="3"/>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468"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1012"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p>
        </w:tc>
      </w:tr>
      <w:tr w:rsidR="00B958B1" w:rsidRPr="007660C2" w:rsidTr="009F3B54">
        <w:tc>
          <w:tcPr>
            <w:tcW w:w="271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Bayside rail improvements</w:t>
            </w:r>
          </w:p>
        </w:tc>
        <w:tc>
          <w:tcPr>
            <w:tcW w:w="810" w:type="dxa"/>
            <w:gridSpan w:val="6"/>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10.0</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65.0</w:t>
            </w:r>
          </w:p>
        </w:tc>
        <w:tc>
          <w:tcPr>
            <w:tcW w:w="810" w:type="dxa"/>
            <w:gridSpan w:val="5"/>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25.0</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1012"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100.0</w:t>
            </w:r>
          </w:p>
        </w:tc>
      </w:tr>
      <w:tr w:rsidR="00B958B1" w:rsidRPr="007660C2" w:rsidTr="009F3B54">
        <w:tc>
          <w:tcPr>
            <w:tcW w:w="271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Bicycle infrastructure program</w:t>
            </w:r>
          </w:p>
        </w:tc>
        <w:tc>
          <w:tcPr>
            <w:tcW w:w="810" w:type="dxa"/>
            <w:gridSpan w:val="6"/>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2.5</w:t>
            </w:r>
          </w:p>
        </w:tc>
        <w:tc>
          <w:tcPr>
            <w:tcW w:w="810"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2.5</w:t>
            </w:r>
          </w:p>
        </w:tc>
        <w:tc>
          <w:tcPr>
            <w:tcW w:w="810" w:type="dxa"/>
            <w:gridSpan w:val="5"/>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10"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1012"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5.0</w:t>
            </w:r>
          </w:p>
        </w:tc>
      </w:tr>
      <w:tr w:rsidR="00B958B1" w:rsidRPr="007660C2" w:rsidTr="009F3B54">
        <w:tc>
          <w:tcPr>
            <w:tcW w:w="2714" w:type="dxa"/>
            <w:tcBorders>
              <w:top w:val="nil"/>
              <w:left w:val="nil"/>
              <w:bottom w:val="nil"/>
              <w:right w:val="nil"/>
            </w:tcBorders>
          </w:tcPr>
          <w:p w:rsidR="00B958B1" w:rsidRPr="007660C2" w:rsidRDefault="00B958B1" w:rsidP="009F3B54">
            <w:pPr>
              <w:pStyle w:val="Tabletext"/>
              <w:rPr>
                <w:vertAlign w:val="superscript"/>
                <w:lang w:eastAsia="en-AU"/>
              </w:rPr>
            </w:pPr>
            <w:r w:rsidRPr="007660C2">
              <w:rPr>
                <w:lang w:eastAsia="en-AU"/>
              </w:rPr>
              <w:t>Box Hill to Ringwood Bikeway</w:t>
            </w:r>
            <w:r w:rsidRPr="007660C2">
              <w:rPr>
                <w:vertAlign w:val="superscript"/>
                <w:lang w:eastAsia="en-AU"/>
              </w:rPr>
              <w:t>(a)</w:t>
            </w:r>
          </w:p>
        </w:tc>
        <w:tc>
          <w:tcPr>
            <w:tcW w:w="810" w:type="dxa"/>
            <w:gridSpan w:val="6"/>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tbc</w:t>
            </w:r>
          </w:p>
        </w:tc>
        <w:tc>
          <w:tcPr>
            <w:tcW w:w="810"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tbc</w:t>
            </w:r>
          </w:p>
        </w:tc>
        <w:tc>
          <w:tcPr>
            <w:tcW w:w="810" w:type="dxa"/>
            <w:gridSpan w:val="5"/>
            <w:tcBorders>
              <w:top w:val="nil"/>
              <w:left w:val="nil"/>
              <w:bottom w:val="nil"/>
              <w:right w:val="nil"/>
            </w:tcBorders>
          </w:tcPr>
          <w:p w:rsidR="00B958B1" w:rsidRPr="007660C2" w:rsidRDefault="00B958B1" w:rsidP="009F3B54">
            <w:pPr>
              <w:pStyle w:val="TableofFigures"/>
              <w:rPr>
                <w:lang w:eastAsia="en-AU"/>
              </w:rPr>
            </w:pPr>
            <w:r w:rsidRPr="007660C2">
              <w:rPr>
                <w:lang w:eastAsia="en-AU"/>
              </w:rPr>
              <w:t>tbc</w:t>
            </w:r>
          </w:p>
        </w:tc>
        <w:tc>
          <w:tcPr>
            <w:tcW w:w="810"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tbc</w:t>
            </w:r>
          </w:p>
        </w:tc>
        <w:tc>
          <w:tcPr>
            <w:tcW w:w="1012"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tbc</w:t>
            </w:r>
          </w:p>
        </w:tc>
      </w:tr>
      <w:tr w:rsidR="00B958B1" w:rsidRPr="007660C2" w:rsidTr="009F3B54">
        <w:tc>
          <w:tcPr>
            <w:tcW w:w="271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Bus services improvements</w:t>
            </w:r>
          </w:p>
        </w:tc>
        <w:tc>
          <w:tcPr>
            <w:tcW w:w="810" w:type="dxa"/>
            <w:gridSpan w:val="6"/>
            <w:tcBorders>
              <w:top w:val="nil"/>
              <w:left w:val="nil"/>
              <w:bottom w:val="nil"/>
              <w:right w:val="nil"/>
            </w:tcBorders>
          </w:tcPr>
          <w:p w:rsidR="00B958B1" w:rsidRPr="007660C2" w:rsidRDefault="00B958B1" w:rsidP="009F3B54">
            <w:pPr>
              <w:pStyle w:val="TableofFigures"/>
              <w:rPr>
                <w:lang w:eastAsia="en-AU"/>
              </w:rPr>
            </w:pPr>
            <w:r w:rsidRPr="007660C2">
              <w:rPr>
                <w:lang w:eastAsia="en-AU"/>
              </w:rPr>
              <w:t>4.2</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1.0</w:t>
            </w:r>
          </w:p>
        </w:tc>
        <w:tc>
          <w:tcPr>
            <w:tcW w:w="810"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0.2</w:t>
            </w:r>
          </w:p>
        </w:tc>
        <w:tc>
          <w:tcPr>
            <w:tcW w:w="810" w:type="dxa"/>
            <w:gridSpan w:val="5"/>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10"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1012"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5.4</w:t>
            </w:r>
          </w:p>
        </w:tc>
      </w:tr>
      <w:tr w:rsidR="00B958B1" w:rsidRPr="007660C2" w:rsidTr="009F3B54">
        <w:tc>
          <w:tcPr>
            <w:tcW w:w="2714" w:type="dxa"/>
            <w:tcBorders>
              <w:top w:val="nil"/>
              <w:left w:val="nil"/>
              <w:bottom w:val="nil"/>
              <w:right w:val="nil"/>
            </w:tcBorders>
          </w:tcPr>
          <w:p w:rsidR="00B958B1" w:rsidRPr="007660C2" w:rsidRDefault="00B958B1" w:rsidP="009F3B54">
            <w:pPr>
              <w:pStyle w:val="Tabletext"/>
              <w:rPr>
                <w:vertAlign w:val="superscript"/>
                <w:lang w:eastAsia="en-AU"/>
              </w:rPr>
            </w:pPr>
            <w:r w:rsidRPr="007660C2">
              <w:rPr>
                <w:lang w:eastAsia="en-AU"/>
              </w:rPr>
              <w:t xml:space="preserve">Cardinia Road upgrade </w:t>
            </w:r>
            <w:r w:rsidRPr="007660C2">
              <w:rPr>
                <w:vertAlign w:val="superscript"/>
                <w:lang w:eastAsia="en-AU"/>
              </w:rPr>
              <w:t>(b)</w:t>
            </w:r>
          </w:p>
        </w:tc>
        <w:tc>
          <w:tcPr>
            <w:tcW w:w="810" w:type="dxa"/>
            <w:gridSpan w:val="6"/>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4.0</w:t>
            </w:r>
          </w:p>
        </w:tc>
        <w:tc>
          <w:tcPr>
            <w:tcW w:w="810"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4.7</w:t>
            </w:r>
          </w:p>
        </w:tc>
        <w:tc>
          <w:tcPr>
            <w:tcW w:w="810" w:type="dxa"/>
            <w:gridSpan w:val="5"/>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10"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1012"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8.7</w:t>
            </w:r>
          </w:p>
        </w:tc>
      </w:tr>
      <w:tr w:rsidR="00B958B1" w:rsidRPr="007660C2" w:rsidTr="009F3B54">
        <w:tc>
          <w:tcPr>
            <w:tcW w:w="271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Darebin Creek Bike Trail</w:t>
            </w:r>
          </w:p>
        </w:tc>
        <w:tc>
          <w:tcPr>
            <w:tcW w:w="810" w:type="dxa"/>
            <w:gridSpan w:val="6"/>
            <w:tcBorders>
              <w:top w:val="nil"/>
              <w:left w:val="nil"/>
              <w:bottom w:val="nil"/>
              <w:right w:val="nil"/>
            </w:tcBorders>
          </w:tcPr>
          <w:p w:rsidR="00B958B1" w:rsidRPr="007660C2" w:rsidRDefault="00B958B1" w:rsidP="009F3B54">
            <w:pPr>
              <w:pStyle w:val="TableofFigures"/>
              <w:rPr>
                <w:lang w:eastAsia="en-AU"/>
              </w:rPr>
            </w:pPr>
            <w:r w:rsidRPr="007660C2">
              <w:rPr>
                <w:lang w:eastAsia="en-AU"/>
              </w:rPr>
              <w:t>0.2</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5.0</w:t>
            </w:r>
          </w:p>
        </w:tc>
        <w:tc>
          <w:tcPr>
            <w:tcW w:w="810"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9.0</w:t>
            </w:r>
          </w:p>
        </w:tc>
        <w:tc>
          <w:tcPr>
            <w:tcW w:w="810" w:type="dxa"/>
            <w:gridSpan w:val="5"/>
            <w:tcBorders>
              <w:top w:val="nil"/>
              <w:left w:val="nil"/>
              <w:bottom w:val="nil"/>
              <w:right w:val="nil"/>
            </w:tcBorders>
          </w:tcPr>
          <w:p w:rsidR="00B958B1" w:rsidRPr="007660C2" w:rsidRDefault="00B958B1" w:rsidP="009F3B54">
            <w:pPr>
              <w:pStyle w:val="TableofFigures"/>
              <w:rPr>
                <w:lang w:eastAsia="en-AU"/>
              </w:rPr>
            </w:pPr>
            <w:r w:rsidRPr="007660C2">
              <w:rPr>
                <w:lang w:eastAsia="en-AU"/>
              </w:rPr>
              <w:t>3.9</w:t>
            </w:r>
          </w:p>
        </w:tc>
        <w:tc>
          <w:tcPr>
            <w:tcW w:w="810"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1012"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18.0</w:t>
            </w:r>
          </w:p>
        </w:tc>
      </w:tr>
      <w:tr w:rsidR="00B958B1" w:rsidRPr="007660C2" w:rsidTr="009F3B54">
        <w:tc>
          <w:tcPr>
            <w:tcW w:w="2714" w:type="dxa"/>
            <w:tcBorders>
              <w:top w:val="nil"/>
              <w:left w:val="nil"/>
              <w:bottom w:val="nil"/>
              <w:right w:val="nil"/>
            </w:tcBorders>
          </w:tcPr>
          <w:p w:rsidR="00B958B1" w:rsidRPr="007660C2" w:rsidRDefault="00B958B1" w:rsidP="009F3B54">
            <w:pPr>
              <w:pStyle w:val="Tabletext"/>
              <w:rPr>
                <w:vertAlign w:val="superscript"/>
                <w:lang w:eastAsia="en-AU"/>
              </w:rPr>
            </w:pPr>
            <w:r w:rsidRPr="007660C2">
              <w:rPr>
                <w:lang w:eastAsia="en-AU"/>
              </w:rPr>
              <w:t>East West Link</w:t>
            </w:r>
            <w:r>
              <w:rPr>
                <w:lang w:eastAsia="en-AU"/>
              </w:rPr>
              <w:t xml:space="preserve"> – </w:t>
            </w:r>
            <w:r w:rsidRPr="007660C2">
              <w:rPr>
                <w:lang w:eastAsia="en-AU"/>
              </w:rPr>
              <w:t xml:space="preserve">Stage 1 </w:t>
            </w:r>
            <w:r w:rsidRPr="007660C2">
              <w:rPr>
                <w:vertAlign w:val="superscript"/>
                <w:lang w:eastAsia="en-AU"/>
              </w:rPr>
              <w:t>(c)</w:t>
            </w:r>
          </w:p>
        </w:tc>
        <w:tc>
          <w:tcPr>
            <w:tcW w:w="810" w:type="dxa"/>
            <w:gridSpan w:val="6"/>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224.0</w:t>
            </w:r>
          </w:p>
        </w:tc>
        <w:tc>
          <w:tcPr>
            <w:tcW w:w="810"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70.0</w:t>
            </w:r>
          </w:p>
        </w:tc>
        <w:tc>
          <w:tcPr>
            <w:tcW w:w="810" w:type="dxa"/>
            <w:gridSpan w:val="5"/>
            <w:tcBorders>
              <w:top w:val="nil"/>
              <w:left w:val="nil"/>
              <w:bottom w:val="nil"/>
              <w:right w:val="nil"/>
            </w:tcBorders>
          </w:tcPr>
          <w:p w:rsidR="00B958B1" w:rsidRPr="007660C2" w:rsidRDefault="00B958B1" w:rsidP="009F3B54">
            <w:pPr>
              <w:pStyle w:val="TableofFigures"/>
              <w:rPr>
                <w:lang w:eastAsia="en-AU"/>
              </w:rPr>
            </w:pPr>
            <w:r w:rsidRPr="007660C2">
              <w:rPr>
                <w:lang w:eastAsia="en-AU"/>
              </w:rPr>
              <w:t>tbc</w:t>
            </w:r>
          </w:p>
        </w:tc>
        <w:tc>
          <w:tcPr>
            <w:tcW w:w="810"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tbc</w:t>
            </w:r>
          </w:p>
        </w:tc>
        <w:tc>
          <w:tcPr>
            <w:tcW w:w="1012"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6000</w:t>
            </w:r>
            <w:r w:rsidR="009F0F49">
              <w:rPr>
                <w:lang w:eastAsia="en-AU"/>
              </w:rPr>
              <w:noBreakHyphen/>
            </w:r>
            <w:r w:rsidRPr="007660C2">
              <w:rPr>
                <w:lang w:eastAsia="en-AU"/>
              </w:rPr>
              <w:t>8000</w:t>
            </w:r>
          </w:p>
        </w:tc>
      </w:tr>
      <w:tr w:rsidR="00B958B1" w:rsidRPr="007660C2" w:rsidTr="009F3B54">
        <w:tc>
          <w:tcPr>
            <w:tcW w:w="2930" w:type="dxa"/>
            <w:gridSpan w:val="4"/>
            <w:tcBorders>
              <w:top w:val="nil"/>
              <w:left w:val="nil"/>
              <w:bottom w:val="nil"/>
              <w:right w:val="nil"/>
            </w:tcBorders>
          </w:tcPr>
          <w:p w:rsidR="00B958B1" w:rsidRPr="007660C2" w:rsidRDefault="00B958B1" w:rsidP="009F3B54">
            <w:pPr>
              <w:pStyle w:val="Tabletext"/>
              <w:rPr>
                <w:lang w:eastAsia="en-AU"/>
              </w:rPr>
            </w:pPr>
            <w:r w:rsidRPr="007660C2">
              <w:rPr>
                <w:lang w:eastAsia="en-AU"/>
              </w:rPr>
              <w:t>Echuca to Toolamba rail upgrade</w:t>
            </w:r>
          </w:p>
        </w:tc>
        <w:tc>
          <w:tcPr>
            <w:tcW w:w="594" w:type="dxa"/>
            <w:gridSpan w:val="3"/>
            <w:tcBorders>
              <w:top w:val="nil"/>
              <w:left w:val="nil"/>
              <w:bottom w:val="nil"/>
              <w:right w:val="nil"/>
            </w:tcBorders>
          </w:tcPr>
          <w:p w:rsidR="00B958B1" w:rsidRPr="007660C2" w:rsidRDefault="00B958B1" w:rsidP="009F3B54">
            <w:pPr>
              <w:pStyle w:val="TableofFigures"/>
              <w:rPr>
                <w:lang w:eastAsia="en-AU"/>
              </w:rPr>
            </w:pPr>
            <w:r w:rsidRPr="007660C2">
              <w:rPr>
                <w:lang w:eastAsia="en-AU"/>
              </w:rPr>
              <w:t>3.9</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3.2</w:t>
            </w:r>
          </w:p>
        </w:tc>
        <w:tc>
          <w:tcPr>
            <w:tcW w:w="810"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10" w:type="dxa"/>
            <w:gridSpan w:val="5"/>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10"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1012"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7.1</w:t>
            </w:r>
          </w:p>
        </w:tc>
      </w:tr>
      <w:tr w:rsidR="00B958B1" w:rsidRPr="007660C2" w:rsidTr="009F3B54">
        <w:tc>
          <w:tcPr>
            <w:tcW w:w="2714" w:type="dxa"/>
            <w:tcBorders>
              <w:top w:val="nil"/>
              <w:left w:val="nil"/>
              <w:bottom w:val="nil"/>
              <w:right w:val="nil"/>
            </w:tcBorders>
          </w:tcPr>
          <w:p w:rsidR="00B958B1" w:rsidRPr="007660C2" w:rsidRDefault="00B958B1" w:rsidP="009F3B54">
            <w:pPr>
              <w:pStyle w:val="Tabletext"/>
              <w:rPr>
                <w:vertAlign w:val="superscript"/>
                <w:lang w:eastAsia="en-AU"/>
              </w:rPr>
            </w:pPr>
            <w:r w:rsidRPr="007660C2">
              <w:rPr>
                <w:lang w:eastAsia="en-AU"/>
              </w:rPr>
              <w:t xml:space="preserve">Epsom Eaglehawk rail improvement </w:t>
            </w:r>
            <w:r w:rsidRPr="007660C2">
              <w:rPr>
                <w:vertAlign w:val="superscript"/>
                <w:lang w:eastAsia="en-AU"/>
              </w:rPr>
              <w:t>(d)</w:t>
            </w:r>
          </w:p>
        </w:tc>
        <w:tc>
          <w:tcPr>
            <w:tcW w:w="810" w:type="dxa"/>
            <w:gridSpan w:val="6"/>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3.9</w:t>
            </w:r>
          </w:p>
        </w:tc>
        <w:tc>
          <w:tcPr>
            <w:tcW w:w="810"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3.4</w:t>
            </w:r>
          </w:p>
        </w:tc>
        <w:tc>
          <w:tcPr>
            <w:tcW w:w="810" w:type="dxa"/>
            <w:gridSpan w:val="5"/>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10"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1012"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7.3</w:t>
            </w:r>
          </w:p>
        </w:tc>
      </w:tr>
      <w:tr w:rsidR="00B958B1" w:rsidRPr="007660C2" w:rsidTr="009F3B54">
        <w:tc>
          <w:tcPr>
            <w:tcW w:w="2714" w:type="dxa"/>
            <w:tcBorders>
              <w:top w:val="nil"/>
              <w:left w:val="nil"/>
              <w:bottom w:val="nil"/>
              <w:right w:val="nil"/>
            </w:tcBorders>
          </w:tcPr>
          <w:p w:rsidR="00B958B1" w:rsidRPr="007660C2" w:rsidRDefault="00B958B1" w:rsidP="009F3B54">
            <w:pPr>
              <w:pStyle w:val="Tabletext"/>
              <w:rPr>
                <w:vertAlign w:val="superscript"/>
                <w:lang w:eastAsia="en-AU"/>
              </w:rPr>
            </w:pPr>
            <w:r w:rsidRPr="007660C2">
              <w:rPr>
                <w:lang w:eastAsia="en-AU"/>
              </w:rPr>
              <w:t xml:space="preserve">Grovedale Station </w:t>
            </w:r>
            <w:r w:rsidRPr="007660C2">
              <w:rPr>
                <w:vertAlign w:val="superscript"/>
                <w:lang w:eastAsia="en-AU"/>
              </w:rPr>
              <w:t>(e)</w:t>
            </w:r>
          </w:p>
        </w:tc>
        <w:tc>
          <w:tcPr>
            <w:tcW w:w="810" w:type="dxa"/>
            <w:gridSpan w:val="6"/>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7.3</w:t>
            </w:r>
          </w:p>
        </w:tc>
        <w:tc>
          <w:tcPr>
            <w:tcW w:w="810"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9.2</w:t>
            </w:r>
          </w:p>
        </w:tc>
        <w:tc>
          <w:tcPr>
            <w:tcW w:w="810" w:type="dxa"/>
            <w:gridSpan w:val="5"/>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10"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1012"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16.5</w:t>
            </w:r>
          </w:p>
        </w:tc>
      </w:tr>
      <w:tr w:rsidR="00B958B1" w:rsidRPr="007660C2" w:rsidTr="009F3B54">
        <w:tc>
          <w:tcPr>
            <w:tcW w:w="271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High capacity signalling</w:t>
            </w:r>
          </w:p>
        </w:tc>
        <w:tc>
          <w:tcPr>
            <w:tcW w:w="810" w:type="dxa"/>
            <w:gridSpan w:val="6"/>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3.0</w:t>
            </w:r>
          </w:p>
        </w:tc>
        <w:tc>
          <w:tcPr>
            <w:tcW w:w="810"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1.5</w:t>
            </w:r>
          </w:p>
        </w:tc>
        <w:tc>
          <w:tcPr>
            <w:tcW w:w="810" w:type="dxa"/>
            <w:gridSpan w:val="5"/>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10"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1012"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4.5</w:t>
            </w:r>
          </w:p>
        </w:tc>
      </w:tr>
      <w:tr w:rsidR="00B958B1" w:rsidRPr="007660C2" w:rsidTr="009F3B54">
        <w:tc>
          <w:tcPr>
            <w:tcW w:w="2714" w:type="dxa"/>
            <w:tcBorders>
              <w:top w:val="nil"/>
              <w:left w:val="nil"/>
              <w:bottom w:val="nil"/>
              <w:right w:val="nil"/>
            </w:tcBorders>
          </w:tcPr>
          <w:p w:rsidR="00B958B1" w:rsidRPr="007660C2" w:rsidRDefault="00B958B1" w:rsidP="009F3B54">
            <w:pPr>
              <w:pStyle w:val="Tabletext"/>
              <w:rPr>
                <w:vertAlign w:val="superscript"/>
                <w:lang w:eastAsia="en-AU"/>
              </w:rPr>
            </w:pPr>
            <w:r w:rsidRPr="007660C2">
              <w:rPr>
                <w:lang w:eastAsia="en-AU"/>
              </w:rPr>
              <w:t xml:space="preserve">High Street Road improvement project </w:t>
            </w:r>
            <w:r w:rsidRPr="007660C2">
              <w:rPr>
                <w:vertAlign w:val="superscript"/>
                <w:lang w:eastAsia="en-AU"/>
              </w:rPr>
              <w:t>(f)</w:t>
            </w:r>
          </w:p>
        </w:tc>
        <w:tc>
          <w:tcPr>
            <w:tcW w:w="810" w:type="dxa"/>
            <w:gridSpan w:val="6"/>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1.1</w:t>
            </w:r>
          </w:p>
        </w:tc>
        <w:tc>
          <w:tcPr>
            <w:tcW w:w="810"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8.7</w:t>
            </w:r>
          </w:p>
        </w:tc>
        <w:tc>
          <w:tcPr>
            <w:tcW w:w="810" w:type="dxa"/>
            <w:gridSpan w:val="5"/>
            <w:tcBorders>
              <w:top w:val="nil"/>
              <w:left w:val="nil"/>
              <w:bottom w:val="nil"/>
              <w:right w:val="nil"/>
            </w:tcBorders>
          </w:tcPr>
          <w:p w:rsidR="00B958B1" w:rsidRPr="007660C2" w:rsidRDefault="00B958B1" w:rsidP="009F3B54">
            <w:pPr>
              <w:pStyle w:val="TableofFigures"/>
              <w:rPr>
                <w:lang w:eastAsia="en-AU"/>
              </w:rPr>
            </w:pPr>
            <w:r w:rsidRPr="007660C2">
              <w:rPr>
                <w:lang w:eastAsia="en-AU"/>
              </w:rPr>
              <w:t>5.0</w:t>
            </w:r>
          </w:p>
        </w:tc>
        <w:tc>
          <w:tcPr>
            <w:tcW w:w="810"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0.4</w:t>
            </w:r>
          </w:p>
        </w:tc>
        <w:tc>
          <w:tcPr>
            <w:tcW w:w="1012"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15.3</w:t>
            </w:r>
          </w:p>
        </w:tc>
      </w:tr>
      <w:tr w:rsidR="00B958B1" w:rsidRPr="007660C2" w:rsidTr="009F3B54">
        <w:tc>
          <w:tcPr>
            <w:tcW w:w="2714" w:type="dxa"/>
            <w:tcBorders>
              <w:top w:val="nil"/>
              <w:left w:val="nil"/>
              <w:bottom w:val="nil"/>
              <w:right w:val="nil"/>
            </w:tcBorders>
            <w:shd w:val="solid" w:color="FFFFFF" w:fill="auto"/>
          </w:tcPr>
          <w:p w:rsidR="00B958B1" w:rsidRPr="007660C2" w:rsidRDefault="00B958B1" w:rsidP="009F3B54">
            <w:pPr>
              <w:pStyle w:val="Tabletext"/>
              <w:rPr>
                <w:vertAlign w:val="superscript"/>
                <w:lang w:eastAsia="en-AU"/>
              </w:rPr>
            </w:pPr>
            <w:r w:rsidRPr="007660C2">
              <w:rPr>
                <w:lang w:eastAsia="en-AU"/>
              </w:rPr>
              <w:t xml:space="preserve">Kilmore Wallan bypass </w:t>
            </w:r>
            <w:r w:rsidRPr="007660C2">
              <w:rPr>
                <w:vertAlign w:val="superscript"/>
                <w:lang w:eastAsia="en-AU"/>
              </w:rPr>
              <w:t>(g)</w:t>
            </w:r>
          </w:p>
        </w:tc>
        <w:tc>
          <w:tcPr>
            <w:tcW w:w="810" w:type="dxa"/>
            <w:gridSpan w:val="6"/>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10.0</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gridSpan w:val="5"/>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1012"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10.0</w:t>
            </w:r>
          </w:p>
        </w:tc>
      </w:tr>
      <w:tr w:rsidR="00B958B1" w:rsidRPr="007660C2" w:rsidTr="009F3B54">
        <w:tc>
          <w:tcPr>
            <w:tcW w:w="2714" w:type="dxa"/>
            <w:tcBorders>
              <w:top w:val="nil"/>
              <w:left w:val="nil"/>
              <w:bottom w:val="nil"/>
              <w:right w:val="nil"/>
            </w:tcBorders>
            <w:shd w:val="solid" w:color="FFFFFF" w:fill="auto"/>
          </w:tcPr>
          <w:p w:rsidR="00B958B1" w:rsidRPr="007660C2" w:rsidRDefault="00B958B1" w:rsidP="009F3B54">
            <w:pPr>
              <w:pStyle w:val="Tabletext"/>
              <w:rPr>
                <w:vertAlign w:val="superscript"/>
                <w:lang w:eastAsia="en-AU"/>
              </w:rPr>
            </w:pPr>
            <w:r w:rsidRPr="007660C2">
              <w:rPr>
                <w:lang w:eastAsia="en-AU"/>
              </w:rPr>
              <w:t>Local ports and marine safety</w:t>
            </w:r>
            <w:r w:rsidRPr="007660C2">
              <w:rPr>
                <w:vertAlign w:val="superscript"/>
                <w:lang w:eastAsia="en-AU"/>
              </w:rPr>
              <w:t xml:space="preserve"> </w:t>
            </w:r>
          </w:p>
        </w:tc>
        <w:tc>
          <w:tcPr>
            <w:tcW w:w="810" w:type="dxa"/>
            <w:gridSpan w:val="6"/>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5.0</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gridSpan w:val="5"/>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1012"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5.0</w:t>
            </w:r>
          </w:p>
        </w:tc>
      </w:tr>
      <w:tr w:rsidR="00B958B1" w:rsidRPr="007660C2" w:rsidTr="009F3B54">
        <w:tc>
          <w:tcPr>
            <w:tcW w:w="2957" w:type="dxa"/>
            <w:gridSpan w:val="5"/>
            <w:tcBorders>
              <w:top w:val="nil"/>
              <w:left w:val="nil"/>
              <w:bottom w:val="nil"/>
              <w:right w:val="nil"/>
            </w:tcBorders>
            <w:shd w:val="solid" w:color="FFFFFF" w:fill="auto"/>
          </w:tcPr>
          <w:p w:rsidR="00B958B1" w:rsidRPr="007660C2" w:rsidRDefault="00B958B1" w:rsidP="009F3B54">
            <w:pPr>
              <w:pStyle w:val="Tabletext"/>
              <w:rPr>
                <w:vertAlign w:val="superscript"/>
                <w:lang w:eastAsia="en-AU"/>
              </w:rPr>
            </w:pPr>
            <w:r w:rsidRPr="007660C2">
              <w:rPr>
                <w:lang w:eastAsia="en-AU"/>
              </w:rPr>
              <w:t>Managed motorway program</w:t>
            </w:r>
            <w:r>
              <w:rPr>
                <w:lang w:eastAsia="en-AU"/>
              </w:rPr>
              <w:t xml:space="preserve"> – </w:t>
            </w:r>
            <w:r w:rsidRPr="007660C2">
              <w:rPr>
                <w:lang w:eastAsia="en-AU"/>
              </w:rPr>
              <w:t xml:space="preserve">Monash Freeway between High Street and Warrigal Road </w:t>
            </w:r>
            <w:r w:rsidRPr="007660C2">
              <w:rPr>
                <w:vertAlign w:val="superscript"/>
                <w:lang w:eastAsia="en-AU"/>
              </w:rPr>
              <w:t>(h)</w:t>
            </w:r>
          </w:p>
        </w:tc>
        <w:tc>
          <w:tcPr>
            <w:tcW w:w="567"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1.5</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12.7</w:t>
            </w:r>
          </w:p>
        </w:tc>
        <w:tc>
          <w:tcPr>
            <w:tcW w:w="810" w:type="dxa"/>
            <w:gridSpan w:val="5"/>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6.1</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1012"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20.3</w:t>
            </w:r>
          </w:p>
        </w:tc>
      </w:tr>
      <w:tr w:rsidR="00B958B1" w:rsidRPr="007660C2" w:rsidTr="009F3B54">
        <w:tc>
          <w:tcPr>
            <w:tcW w:w="2966" w:type="dxa"/>
            <w:gridSpan w:val="6"/>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Metro level crossing blitz program</w:t>
            </w:r>
          </w:p>
        </w:tc>
        <w:tc>
          <w:tcPr>
            <w:tcW w:w="558"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23.1</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29.2</w:t>
            </w:r>
          </w:p>
        </w:tc>
        <w:tc>
          <w:tcPr>
            <w:tcW w:w="810" w:type="dxa"/>
            <w:gridSpan w:val="5"/>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1012"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52.3</w:t>
            </w:r>
          </w:p>
        </w:tc>
      </w:tr>
      <w:tr w:rsidR="00B958B1" w:rsidRPr="007660C2" w:rsidTr="009F3B54">
        <w:tc>
          <w:tcPr>
            <w:tcW w:w="271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 xml:space="preserve">New trains for Melbourne commuters </w:t>
            </w:r>
          </w:p>
        </w:tc>
        <w:tc>
          <w:tcPr>
            <w:tcW w:w="810" w:type="dxa"/>
            <w:gridSpan w:val="6"/>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34.8</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99.2</w:t>
            </w:r>
          </w:p>
        </w:tc>
        <w:tc>
          <w:tcPr>
            <w:tcW w:w="810" w:type="dxa"/>
            <w:gridSpan w:val="5"/>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44.1</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1012"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178.1</w:t>
            </w:r>
          </w:p>
        </w:tc>
      </w:tr>
      <w:tr w:rsidR="00B958B1" w:rsidRPr="007660C2" w:rsidTr="009F3B54">
        <w:tc>
          <w:tcPr>
            <w:tcW w:w="2912" w:type="dxa"/>
            <w:gridSpan w:val="2"/>
            <w:tcBorders>
              <w:top w:val="nil"/>
              <w:left w:val="nil"/>
              <w:bottom w:val="nil"/>
              <w:right w:val="nil"/>
            </w:tcBorders>
            <w:shd w:val="solid" w:color="FFFFFF" w:fill="auto"/>
          </w:tcPr>
          <w:p w:rsidR="00B958B1" w:rsidRPr="007660C2" w:rsidRDefault="00B958B1" w:rsidP="009F3B54">
            <w:pPr>
              <w:pStyle w:val="Tabletext"/>
              <w:rPr>
                <w:vertAlign w:val="superscript"/>
                <w:lang w:eastAsia="en-AU"/>
              </w:rPr>
            </w:pPr>
            <w:r w:rsidRPr="007660C2">
              <w:rPr>
                <w:lang w:eastAsia="en-AU"/>
              </w:rPr>
              <w:t>Non</w:t>
            </w:r>
            <w:r w:rsidR="009F0F49">
              <w:rPr>
                <w:lang w:eastAsia="en-AU"/>
              </w:rPr>
              <w:noBreakHyphen/>
            </w:r>
            <w:r w:rsidRPr="007660C2">
              <w:rPr>
                <w:lang w:eastAsia="en-AU"/>
              </w:rPr>
              <w:t xml:space="preserve">Urban Train Radio renewal </w:t>
            </w:r>
            <w:r w:rsidRPr="007660C2">
              <w:rPr>
                <w:vertAlign w:val="superscript"/>
                <w:lang w:eastAsia="en-AU"/>
              </w:rPr>
              <w:t>(i)</w:t>
            </w:r>
          </w:p>
        </w:tc>
        <w:tc>
          <w:tcPr>
            <w:tcW w:w="612" w:type="dxa"/>
            <w:gridSpan w:val="5"/>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7.5</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7.9</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6.8</w:t>
            </w:r>
          </w:p>
        </w:tc>
        <w:tc>
          <w:tcPr>
            <w:tcW w:w="810" w:type="dxa"/>
            <w:gridSpan w:val="5"/>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5.3</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5.2</w:t>
            </w:r>
          </w:p>
        </w:tc>
        <w:tc>
          <w:tcPr>
            <w:tcW w:w="1012"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43.9</w:t>
            </w:r>
          </w:p>
        </w:tc>
      </w:tr>
      <w:tr w:rsidR="00B958B1" w:rsidRPr="007660C2" w:rsidTr="009F3B54">
        <w:tc>
          <w:tcPr>
            <w:tcW w:w="2714" w:type="dxa"/>
            <w:tcBorders>
              <w:top w:val="nil"/>
              <w:left w:val="nil"/>
              <w:bottom w:val="nil"/>
              <w:right w:val="nil"/>
            </w:tcBorders>
            <w:shd w:val="solid" w:color="FFFFFF" w:fill="auto"/>
          </w:tcPr>
          <w:p w:rsidR="00B958B1" w:rsidRPr="007660C2" w:rsidRDefault="00B958B1" w:rsidP="009F3B54">
            <w:pPr>
              <w:pStyle w:val="Tabletext"/>
              <w:rPr>
                <w:vertAlign w:val="superscript"/>
                <w:lang w:eastAsia="en-AU"/>
              </w:rPr>
            </w:pPr>
            <w:r w:rsidRPr="007660C2">
              <w:rPr>
                <w:lang w:eastAsia="en-AU"/>
              </w:rPr>
              <w:t xml:space="preserve">Port of Hastings development </w:t>
            </w:r>
            <w:r w:rsidRPr="007660C2">
              <w:rPr>
                <w:vertAlign w:val="superscript"/>
                <w:lang w:eastAsia="en-AU"/>
              </w:rPr>
              <w:t>(j)</w:t>
            </w:r>
          </w:p>
        </w:tc>
        <w:tc>
          <w:tcPr>
            <w:tcW w:w="810" w:type="dxa"/>
            <w:gridSpan w:val="6"/>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20.0</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30.0</w:t>
            </w:r>
          </w:p>
        </w:tc>
        <w:tc>
          <w:tcPr>
            <w:tcW w:w="810" w:type="dxa"/>
            <w:gridSpan w:val="5"/>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35.0</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25.0</w:t>
            </w:r>
          </w:p>
        </w:tc>
        <w:tc>
          <w:tcPr>
            <w:tcW w:w="1012"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110.0</w:t>
            </w:r>
          </w:p>
        </w:tc>
      </w:tr>
      <w:tr w:rsidR="00B958B1" w:rsidRPr="007660C2" w:rsidTr="009F3B54">
        <w:tc>
          <w:tcPr>
            <w:tcW w:w="271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 xml:space="preserve">Protective Services Officers railway infrastructure </w:t>
            </w:r>
          </w:p>
        </w:tc>
        <w:tc>
          <w:tcPr>
            <w:tcW w:w="810" w:type="dxa"/>
            <w:gridSpan w:val="6"/>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0.9</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41.0</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25.8</w:t>
            </w:r>
          </w:p>
        </w:tc>
        <w:tc>
          <w:tcPr>
            <w:tcW w:w="810" w:type="dxa"/>
            <w:gridSpan w:val="5"/>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1012"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67.8</w:t>
            </w:r>
          </w:p>
        </w:tc>
      </w:tr>
      <w:tr w:rsidR="00B958B1" w:rsidRPr="007660C2" w:rsidTr="009F3B54">
        <w:tc>
          <w:tcPr>
            <w:tcW w:w="2966" w:type="dxa"/>
            <w:gridSpan w:val="6"/>
            <w:tcBorders>
              <w:top w:val="nil"/>
              <w:left w:val="nil"/>
              <w:bottom w:val="nil"/>
              <w:right w:val="nil"/>
            </w:tcBorders>
            <w:shd w:val="solid" w:color="FFFFFF" w:fill="auto"/>
          </w:tcPr>
          <w:p w:rsidR="00B958B1" w:rsidRPr="007660C2" w:rsidRDefault="00B958B1" w:rsidP="009F3B54">
            <w:pPr>
              <w:pStyle w:val="Tabletext"/>
              <w:rPr>
                <w:vertAlign w:val="superscript"/>
                <w:lang w:eastAsia="en-AU"/>
              </w:rPr>
            </w:pPr>
            <w:r w:rsidRPr="007660C2">
              <w:rPr>
                <w:lang w:eastAsia="en-AU"/>
              </w:rPr>
              <w:t xml:space="preserve">Ringwood Station and interchange upgrade </w:t>
            </w:r>
            <w:r w:rsidRPr="007660C2">
              <w:rPr>
                <w:vertAlign w:val="superscript"/>
                <w:lang w:eastAsia="en-AU"/>
              </w:rPr>
              <w:t>(k)</w:t>
            </w:r>
          </w:p>
        </w:tc>
        <w:tc>
          <w:tcPr>
            <w:tcW w:w="558"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10.5</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33.6</w:t>
            </w:r>
          </w:p>
        </w:tc>
        <w:tc>
          <w:tcPr>
            <w:tcW w:w="810" w:type="dxa"/>
            <w:gridSpan w:val="5"/>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19.9</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1012"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64.0</w:t>
            </w:r>
          </w:p>
        </w:tc>
      </w:tr>
      <w:tr w:rsidR="00B958B1" w:rsidRPr="007660C2" w:rsidTr="009F3B54">
        <w:tc>
          <w:tcPr>
            <w:tcW w:w="271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Sealing Omeo Highway</w:t>
            </w:r>
          </w:p>
        </w:tc>
        <w:tc>
          <w:tcPr>
            <w:tcW w:w="810" w:type="dxa"/>
            <w:gridSpan w:val="6"/>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5.9</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0.7</w:t>
            </w:r>
          </w:p>
        </w:tc>
        <w:tc>
          <w:tcPr>
            <w:tcW w:w="810" w:type="dxa"/>
            <w:gridSpan w:val="5"/>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1012"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6.6</w:t>
            </w:r>
          </w:p>
        </w:tc>
      </w:tr>
      <w:tr w:rsidR="00B958B1" w:rsidRPr="007660C2" w:rsidTr="009F3B54">
        <w:tc>
          <w:tcPr>
            <w:tcW w:w="2714" w:type="dxa"/>
            <w:tcBorders>
              <w:top w:val="nil"/>
              <w:left w:val="nil"/>
              <w:bottom w:val="nil"/>
              <w:right w:val="nil"/>
            </w:tcBorders>
            <w:shd w:val="solid" w:color="FFFFFF" w:fill="auto"/>
          </w:tcPr>
          <w:p w:rsidR="00B958B1" w:rsidRPr="007660C2" w:rsidRDefault="00B958B1" w:rsidP="009F3B54">
            <w:pPr>
              <w:pStyle w:val="Tabletext"/>
              <w:rPr>
                <w:vertAlign w:val="superscript"/>
                <w:lang w:eastAsia="en-AU"/>
              </w:rPr>
            </w:pPr>
            <w:r w:rsidRPr="007660C2">
              <w:rPr>
                <w:lang w:eastAsia="en-AU"/>
              </w:rPr>
              <w:t xml:space="preserve">Southland Station </w:t>
            </w:r>
            <w:r w:rsidRPr="007660C2">
              <w:rPr>
                <w:vertAlign w:val="superscript"/>
                <w:lang w:eastAsia="en-AU"/>
              </w:rPr>
              <w:t>(l)</w:t>
            </w:r>
          </w:p>
        </w:tc>
        <w:tc>
          <w:tcPr>
            <w:tcW w:w="810" w:type="dxa"/>
            <w:gridSpan w:val="6"/>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tbc</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tbc</w:t>
            </w:r>
          </w:p>
        </w:tc>
        <w:tc>
          <w:tcPr>
            <w:tcW w:w="810" w:type="dxa"/>
            <w:gridSpan w:val="5"/>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tbc</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tbc</w:t>
            </w:r>
          </w:p>
        </w:tc>
        <w:tc>
          <w:tcPr>
            <w:tcW w:w="1012"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tbc</w:t>
            </w:r>
          </w:p>
        </w:tc>
      </w:tr>
      <w:tr w:rsidR="00B958B1" w:rsidRPr="007660C2" w:rsidTr="009F3B54">
        <w:tc>
          <w:tcPr>
            <w:tcW w:w="2714" w:type="dxa"/>
            <w:tcBorders>
              <w:top w:val="nil"/>
              <w:left w:val="nil"/>
              <w:bottom w:val="nil"/>
              <w:right w:val="nil"/>
            </w:tcBorders>
            <w:shd w:val="solid" w:color="FFFFFF" w:fill="auto"/>
          </w:tcPr>
          <w:p w:rsidR="00B958B1" w:rsidRPr="007660C2" w:rsidRDefault="00B958B1" w:rsidP="009F3B54">
            <w:pPr>
              <w:pStyle w:val="Tabletext"/>
              <w:rPr>
                <w:vertAlign w:val="superscript"/>
                <w:lang w:eastAsia="en-AU"/>
              </w:rPr>
            </w:pPr>
            <w:r w:rsidRPr="007660C2">
              <w:rPr>
                <w:lang w:eastAsia="en-AU"/>
              </w:rPr>
              <w:t>Syndal Station multi</w:t>
            </w:r>
            <w:r w:rsidR="009F0F49">
              <w:rPr>
                <w:lang w:eastAsia="en-AU"/>
              </w:rPr>
              <w:noBreakHyphen/>
            </w:r>
            <w:r w:rsidRPr="007660C2">
              <w:rPr>
                <w:lang w:eastAsia="en-AU"/>
              </w:rPr>
              <w:t xml:space="preserve">deck car park project </w:t>
            </w:r>
            <w:r w:rsidRPr="007660C2">
              <w:rPr>
                <w:vertAlign w:val="superscript"/>
                <w:lang w:eastAsia="en-AU"/>
              </w:rPr>
              <w:t>(m)</w:t>
            </w:r>
          </w:p>
        </w:tc>
        <w:tc>
          <w:tcPr>
            <w:tcW w:w="810" w:type="dxa"/>
            <w:gridSpan w:val="6"/>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5.0</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5.2</w:t>
            </w:r>
          </w:p>
        </w:tc>
        <w:tc>
          <w:tcPr>
            <w:tcW w:w="810" w:type="dxa"/>
            <w:gridSpan w:val="5"/>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1012"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10.2</w:t>
            </w:r>
          </w:p>
        </w:tc>
      </w:tr>
      <w:tr w:rsidR="00B958B1" w:rsidRPr="007660C2" w:rsidTr="009F3B54">
        <w:tc>
          <w:tcPr>
            <w:tcW w:w="2714" w:type="dxa"/>
            <w:tcBorders>
              <w:top w:val="nil"/>
              <w:left w:val="nil"/>
              <w:bottom w:val="nil"/>
              <w:right w:val="nil"/>
            </w:tcBorders>
            <w:shd w:val="solid" w:color="FFFFFF" w:fill="auto"/>
          </w:tcPr>
          <w:p w:rsidR="00B958B1" w:rsidRPr="007660C2" w:rsidRDefault="00B958B1" w:rsidP="004643AA">
            <w:pPr>
              <w:pStyle w:val="Tabletext"/>
              <w:pageBreakBefore/>
              <w:ind w:left="187" w:hanging="187"/>
              <w:rPr>
                <w:lang w:eastAsia="en-AU"/>
              </w:rPr>
            </w:pPr>
            <w:r w:rsidRPr="007660C2">
              <w:rPr>
                <w:lang w:eastAsia="en-AU"/>
              </w:rPr>
              <w:t>Targeted road restoration</w:t>
            </w:r>
          </w:p>
        </w:tc>
        <w:tc>
          <w:tcPr>
            <w:tcW w:w="810" w:type="dxa"/>
            <w:gridSpan w:val="6"/>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30.0</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30.0</w:t>
            </w:r>
          </w:p>
        </w:tc>
        <w:tc>
          <w:tcPr>
            <w:tcW w:w="810" w:type="dxa"/>
            <w:gridSpan w:val="5"/>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30.0</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1012"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90.0</w:t>
            </w:r>
          </w:p>
        </w:tc>
      </w:tr>
      <w:tr w:rsidR="00B958B1" w:rsidRPr="007660C2" w:rsidTr="009F3B54">
        <w:tc>
          <w:tcPr>
            <w:tcW w:w="2714" w:type="dxa"/>
            <w:tcBorders>
              <w:top w:val="nil"/>
              <w:left w:val="nil"/>
              <w:bottom w:val="nil"/>
              <w:right w:val="nil"/>
            </w:tcBorders>
            <w:shd w:val="solid" w:color="FFFFFF" w:fill="auto"/>
          </w:tcPr>
          <w:p w:rsidR="00B958B1" w:rsidRPr="007660C2" w:rsidRDefault="00B958B1" w:rsidP="009F3B54">
            <w:pPr>
              <w:pStyle w:val="Tabletext"/>
              <w:rPr>
                <w:vertAlign w:val="superscript"/>
                <w:lang w:eastAsia="en-AU"/>
              </w:rPr>
            </w:pPr>
            <w:r w:rsidRPr="007660C2">
              <w:rPr>
                <w:lang w:eastAsia="en-AU"/>
              </w:rPr>
              <w:t xml:space="preserve">Transport Solutions </w:t>
            </w:r>
            <w:r w:rsidRPr="007660C2">
              <w:rPr>
                <w:vertAlign w:val="superscript"/>
                <w:lang w:eastAsia="en-AU"/>
              </w:rPr>
              <w:t>(n)</w:t>
            </w:r>
          </w:p>
        </w:tc>
        <w:tc>
          <w:tcPr>
            <w:tcW w:w="810" w:type="dxa"/>
            <w:gridSpan w:val="6"/>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1.0 </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13.5</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10.0</w:t>
            </w:r>
          </w:p>
        </w:tc>
        <w:tc>
          <w:tcPr>
            <w:tcW w:w="810" w:type="dxa"/>
            <w:gridSpan w:val="5"/>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1012"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24.5</w:t>
            </w:r>
          </w:p>
        </w:tc>
      </w:tr>
      <w:tr w:rsidR="00B958B1" w:rsidRPr="007660C2" w:rsidTr="009F3B54">
        <w:tc>
          <w:tcPr>
            <w:tcW w:w="2714" w:type="dxa"/>
            <w:tcBorders>
              <w:top w:val="nil"/>
              <w:left w:val="nil"/>
              <w:bottom w:val="nil"/>
              <w:right w:val="nil"/>
            </w:tcBorders>
            <w:shd w:val="solid" w:color="FFFFFF" w:fill="auto"/>
          </w:tcPr>
          <w:p w:rsidR="00B958B1" w:rsidRPr="007660C2" w:rsidRDefault="00B958B1" w:rsidP="009F3B54">
            <w:pPr>
              <w:pStyle w:val="Tabletext"/>
              <w:rPr>
                <w:b/>
                <w:bCs/>
                <w:lang w:eastAsia="en-AU"/>
              </w:rPr>
            </w:pPr>
            <w:r w:rsidRPr="007660C2">
              <w:rPr>
                <w:b/>
                <w:bCs/>
                <w:lang w:eastAsia="en-AU"/>
              </w:rPr>
              <w:t>Transport Safety and Security</w:t>
            </w:r>
          </w:p>
        </w:tc>
        <w:tc>
          <w:tcPr>
            <w:tcW w:w="810" w:type="dxa"/>
            <w:gridSpan w:val="6"/>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810" w:type="dxa"/>
            <w:gridSpan w:val="5"/>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c>
          <w:tcPr>
            <w:tcW w:w="1012"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 xml:space="preserve"> </w:t>
            </w:r>
          </w:p>
        </w:tc>
      </w:tr>
      <w:tr w:rsidR="00B958B1" w:rsidRPr="007660C2" w:rsidTr="009F3B54">
        <w:tc>
          <w:tcPr>
            <w:tcW w:w="2921" w:type="dxa"/>
            <w:gridSpan w:val="3"/>
            <w:tcBorders>
              <w:top w:val="nil"/>
              <w:left w:val="nil"/>
              <w:bottom w:val="nil"/>
              <w:right w:val="nil"/>
            </w:tcBorders>
            <w:shd w:val="solid" w:color="FFFFFF" w:fill="auto"/>
          </w:tcPr>
          <w:p w:rsidR="00B958B1" w:rsidRPr="007660C2" w:rsidRDefault="00B958B1" w:rsidP="009F3B54">
            <w:pPr>
              <w:pStyle w:val="Tabletext"/>
              <w:rPr>
                <w:vertAlign w:val="superscript"/>
                <w:lang w:eastAsia="en-AU"/>
              </w:rPr>
            </w:pPr>
            <w:r w:rsidRPr="007660C2">
              <w:rPr>
                <w:lang w:eastAsia="en-AU"/>
              </w:rPr>
              <w:t>Road Safety Strategy 2013</w:t>
            </w:r>
            <w:r w:rsidR="009F0F49">
              <w:rPr>
                <w:lang w:eastAsia="en-AU"/>
              </w:rPr>
              <w:noBreakHyphen/>
            </w:r>
            <w:r w:rsidRPr="007660C2">
              <w:rPr>
                <w:lang w:eastAsia="en-AU"/>
              </w:rPr>
              <w:t xml:space="preserve">2022 </w:t>
            </w:r>
            <w:r w:rsidRPr="007660C2">
              <w:rPr>
                <w:vertAlign w:val="superscript"/>
                <w:lang w:eastAsia="en-AU"/>
              </w:rPr>
              <w:t>(o)</w:t>
            </w:r>
          </w:p>
        </w:tc>
        <w:tc>
          <w:tcPr>
            <w:tcW w:w="603"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810"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5.8</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11.9</w:t>
            </w:r>
          </w:p>
        </w:tc>
        <w:tc>
          <w:tcPr>
            <w:tcW w:w="810" w:type="dxa"/>
            <w:gridSpan w:val="5"/>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0.7</w:t>
            </w:r>
          </w:p>
        </w:tc>
        <w:tc>
          <w:tcPr>
            <w:tcW w:w="810"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50.0</w:t>
            </w:r>
          </w:p>
        </w:tc>
        <w:tc>
          <w:tcPr>
            <w:tcW w:w="1012" w:type="dxa"/>
            <w:gridSpan w:val="2"/>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368.4</w:t>
            </w:r>
          </w:p>
        </w:tc>
      </w:tr>
      <w:tr w:rsidR="00B958B1" w:rsidRPr="007660C2" w:rsidTr="009F3B54">
        <w:tc>
          <w:tcPr>
            <w:tcW w:w="2714" w:type="dxa"/>
            <w:tcBorders>
              <w:top w:val="single" w:sz="6" w:space="0" w:color="auto"/>
              <w:left w:val="nil"/>
              <w:bottom w:val="single" w:sz="12" w:space="0" w:color="auto"/>
              <w:right w:val="nil"/>
            </w:tcBorders>
          </w:tcPr>
          <w:p w:rsidR="00B958B1" w:rsidRPr="007660C2" w:rsidRDefault="00B958B1" w:rsidP="009F3B54">
            <w:pPr>
              <w:pStyle w:val="Tabletext"/>
              <w:rPr>
                <w:b/>
                <w:bCs/>
                <w:lang w:eastAsia="en-AU"/>
              </w:rPr>
            </w:pPr>
            <w:r w:rsidRPr="007660C2">
              <w:rPr>
                <w:b/>
                <w:bCs/>
                <w:lang w:eastAsia="en-AU"/>
              </w:rPr>
              <w:t>Total asset initiatives</w:t>
            </w:r>
          </w:p>
        </w:tc>
        <w:tc>
          <w:tcPr>
            <w:tcW w:w="810" w:type="dxa"/>
            <w:gridSpan w:val="6"/>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17.6</w:t>
            </w:r>
          </w:p>
        </w:tc>
        <w:tc>
          <w:tcPr>
            <w:tcW w:w="810"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499.0</w:t>
            </w:r>
          </w:p>
        </w:tc>
        <w:tc>
          <w:tcPr>
            <w:tcW w:w="810" w:type="dxa"/>
            <w:gridSpan w:val="4"/>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493.7</w:t>
            </w:r>
          </w:p>
        </w:tc>
        <w:tc>
          <w:tcPr>
            <w:tcW w:w="810" w:type="dxa"/>
            <w:gridSpan w:val="5"/>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180.8</w:t>
            </w:r>
          </w:p>
        </w:tc>
        <w:tc>
          <w:tcPr>
            <w:tcW w:w="810" w:type="dxa"/>
            <w:gridSpan w:val="4"/>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83.2</w:t>
            </w:r>
          </w:p>
        </w:tc>
        <w:tc>
          <w:tcPr>
            <w:tcW w:w="1012" w:type="dxa"/>
            <w:gridSpan w:val="2"/>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7292</w:t>
            </w:r>
            <w:r w:rsidR="009F0F49">
              <w:rPr>
                <w:b/>
                <w:bCs/>
                <w:lang w:eastAsia="en-AU"/>
              </w:rPr>
              <w:noBreakHyphen/>
            </w:r>
            <w:r w:rsidRPr="007660C2">
              <w:rPr>
                <w:b/>
                <w:bCs/>
                <w:lang w:eastAsia="en-AU"/>
              </w:rPr>
              <w:t>9292</w:t>
            </w:r>
          </w:p>
        </w:tc>
      </w:tr>
    </w:tbl>
    <w:p w:rsidR="00B958B1" w:rsidRDefault="00B958B1" w:rsidP="009F3B54">
      <w:pPr>
        <w:pStyle w:val="Source"/>
      </w:pPr>
      <w:r w:rsidRPr="00A20936">
        <w:t>Source: Department of Treasury and Finance</w:t>
      </w:r>
    </w:p>
    <w:p w:rsidR="00B958B1" w:rsidRDefault="00B958B1" w:rsidP="009F3B54">
      <w:pPr>
        <w:pStyle w:val="Notes"/>
      </w:pPr>
      <w:r>
        <w:fldChar w:fldCharType="begin"/>
      </w:r>
      <w:r>
        <w:instrText xml:space="preserve"> XE "</w:instrText>
      </w:r>
      <w:r w:rsidRPr="001902E6">
        <w:instrText>Employment</w:instrText>
      </w:r>
      <w:r>
        <w:instrText xml:space="preserve">" </w:instrText>
      </w:r>
      <w:r>
        <w:fldChar w:fldCharType="end"/>
      </w:r>
      <w:r>
        <w:fldChar w:fldCharType="begin"/>
      </w:r>
      <w:r>
        <w:instrText xml:space="preserve"> XE "</w:instrText>
      </w:r>
      <w:r w:rsidRPr="001902E6">
        <w:instrText>Ports</w:instrText>
      </w:r>
      <w:r>
        <w:instrText xml:space="preserve">" </w:instrText>
      </w:r>
      <w:r>
        <w:fldChar w:fldCharType="end"/>
      </w:r>
      <w:r>
        <w:t>Notes:</w:t>
      </w:r>
    </w:p>
    <w:p w:rsidR="00B958B1" w:rsidRDefault="00B958B1" w:rsidP="009F3B54">
      <w:pPr>
        <w:pStyle w:val="Notes"/>
      </w:pPr>
      <w:r>
        <w:t>(a)</w:t>
      </w:r>
      <w:r>
        <w:tab/>
        <w:t>Funding level to be confirmed following final stakeholder consultation.</w:t>
      </w:r>
    </w:p>
    <w:p w:rsidR="00B958B1" w:rsidRDefault="00B958B1" w:rsidP="009F3B54">
      <w:pPr>
        <w:pStyle w:val="Notes"/>
      </w:pPr>
      <w:r>
        <w:t>(b)</w:t>
      </w:r>
      <w:r>
        <w:tab/>
        <w:t>This TEI does not include developer contributions or funding previously provided for planning purposes of $4 million.</w:t>
      </w:r>
    </w:p>
    <w:p w:rsidR="00B958B1" w:rsidRDefault="00B958B1" w:rsidP="009F3B54">
      <w:pPr>
        <w:pStyle w:val="Notes"/>
      </w:pPr>
      <w:r>
        <w:t>(c)</w:t>
      </w:r>
      <w:r>
        <w:tab/>
        <w:t>The capital cost of this project is estimated to be between $6 and $8 billion. Amounts shown in 2013</w:t>
      </w:r>
      <w:r w:rsidR="009F0F49">
        <w:noBreakHyphen/>
      </w:r>
      <w:r>
        <w:t>14 and 2014</w:t>
      </w:r>
      <w:r w:rsidR="009F0F49">
        <w:noBreakHyphen/>
      </w:r>
      <w:r>
        <w:t>15 have been allocated to the Department of Transport, Planning and Local Infrastructure to commence procurement and early works. The balance of the total estimated capital costs is held centrally subject to procurement processes.</w:t>
      </w:r>
    </w:p>
    <w:p w:rsidR="00B958B1" w:rsidRDefault="00B958B1" w:rsidP="009F3B54">
      <w:pPr>
        <w:pStyle w:val="Notes"/>
      </w:pPr>
      <w:r>
        <w:t>(d)</w:t>
      </w:r>
      <w:r>
        <w:tab/>
      </w:r>
      <w:r w:rsidRPr="008A1074">
        <w:t>This TEI does not include funding previously provided for planning purposes of $0.5</w:t>
      </w:r>
      <w:r>
        <w:t> million</w:t>
      </w:r>
      <w:r w:rsidRPr="008A1074">
        <w:t>.</w:t>
      </w:r>
    </w:p>
    <w:p w:rsidR="00B958B1" w:rsidRDefault="00B958B1" w:rsidP="009F3B54">
      <w:pPr>
        <w:pStyle w:val="Notes"/>
      </w:pPr>
      <w:r>
        <w:t>(e)</w:t>
      </w:r>
      <w:r>
        <w:tab/>
      </w:r>
      <w:r w:rsidRPr="008A1074">
        <w:t>This TEI does not include funding previously provided for planning purposes and land purchase of $9.4</w:t>
      </w:r>
      <w:r>
        <w:t> million</w:t>
      </w:r>
      <w:r w:rsidRPr="008A1074">
        <w:t>.</w:t>
      </w:r>
    </w:p>
    <w:p w:rsidR="00B958B1" w:rsidRDefault="00B958B1" w:rsidP="009F3B54">
      <w:pPr>
        <w:pStyle w:val="Notes"/>
      </w:pPr>
      <w:r>
        <w:t>(f)</w:t>
      </w:r>
      <w:r>
        <w:tab/>
      </w:r>
      <w:r w:rsidRPr="008A1074">
        <w:t>This TEI does not include funding previously provided for planning purposes of $0.9</w:t>
      </w:r>
      <w:r>
        <w:t> million</w:t>
      </w:r>
      <w:r w:rsidRPr="008A1074">
        <w:t>.</w:t>
      </w:r>
    </w:p>
    <w:p w:rsidR="00B958B1" w:rsidRDefault="00B958B1" w:rsidP="009F3B54">
      <w:pPr>
        <w:pStyle w:val="Notes"/>
      </w:pPr>
      <w:r>
        <w:t>(g)</w:t>
      </w:r>
      <w:r>
        <w:tab/>
      </w:r>
      <w:r w:rsidRPr="008A1074">
        <w:t>This TEI does not include funding previously provided for planning purposes of $3.4</w:t>
      </w:r>
      <w:r>
        <w:t> million</w:t>
      </w:r>
      <w:r w:rsidRPr="008A1074">
        <w:t>.</w:t>
      </w:r>
    </w:p>
    <w:p w:rsidR="00B958B1" w:rsidRDefault="00B958B1" w:rsidP="009F3B54">
      <w:pPr>
        <w:pStyle w:val="Notes"/>
      </w:pPr>
      <w:r>
        <w:t>(h)</w:t>
      </w:r>
      <w:r>
        <w:tab/>
      </w:r>
      <w:r w:rsidRPr="008A1074">
        <w:t>This TEI includes anticipat</w:t>
      </w:r>
      <w:r>
        <w:t>ed Commonwealth funding of $9.9 million</w:t>
      </w:r>
      <w:r w:rsidRPr="008A1074">
        <w:t>.</w:t>
      </w:r>
    </w:p>
    <w:p w:rsidR="00B958B1" w:rsidRDefault="00B958B1" w:rsidP="009F3B54">
      <w:pPr>
        <w:pStyle w:val="Notes"/>
      </w:pPr>
      <w:r>
        <w:t>(i)</w:t>
      </w:r>
      <w:r>
        <w:tab/>
      </w:r>
      <w:r w:rsidRPr="001964EC">
        <w:t>The TEI includes funding provided beyond 2016</w:t>
      </w:r>
      <w:r w:rsidR="009F0F49">
        <w:noBreakHyphen/>
      </w:r>
      <w:r w:rsidRPr="001964EC">
        <w:t>17.</w:t>
      </w:r>
    </w:p>
    <w:p w:rsidR="00B958B1" w:rsidRDefault="00B958B1" w:rsidP="009F3B54">
      <w:pPr>
        <w:pStyle w:val="Notes"/>
      </w:pPr>
      <w:r>
        <w:t>(j)</w:t>
      </w:r>
      <w:r>
        <w:tab/>
        <w:t>This TEI does not include funding previously provided in the 2012</w:t>
      </w:r>
      <w:r w:rsidR="009F0F49">
        <w:noBreakHyphen/>
      </w:r>
      <w:r>
        <w:t>13 Budget of $8 million.</w:t>
      </w:r>
    </w:p>
    <w:p w:rsidR="00B958B1" w:rsidRDefault="00B958B1" w:rsidP="009F3B54">
      <w:pPr>
        <w:pStyle w:val="Notes"/>
      </w:pPr>
      <w:r>
        <w:t>(k)</w:t>
      </w:r>
      <w:r>
        <w:tab/>
      </w:r>
      <w:r w:rsidRPr="001964EC">
        <w:t>This TEI does not include funding previously provided for planning purposes of $2</w:t>
      </w:r>
      <w:r>
        <w:t> million</w:t>
      </w:r>
      <w:r w:rsidRPr="001964EC">
        <w:t>.</w:t>
      </w:r>
    </w:p>
    <w:p w:rsidR="00B958B1" w:rsidRDefault="00B958B1" w:rsidP="009F3B54">
      <w:pPr>
        <w:pStyle w:val="Notes"/>
      </w:pPr>
      <w:r w:rsidRPr="00D118A0">
        <w:t>(</w:t>
      </w:r>
      <w:r>
        <w:t>l</w:t>
      </w:r>
      <w:r w:rsidRPr="00D118A0">
        <w:t>)</w:t>
      </w:r>
      <w:r w:rsidRPr="00D118A0">
        <w:tab/>
        <w:t>A TEI is not announced at this time due to commercial sensitivities.</w:t>
      </w:r>
    </w:p>
    <w:p w:rsidR="00B958B1" w:rsidRDefault="00B958B1" w:rsidP="009F3B54">
      <w:pPr>
        <w:pStyle w:val="Notes"/>
      </w:pPr>
      <w:r>
        <w:t>(m)</w:t>
      </w:r>
      <w:r>
        <w:tab/>
      </w:r>
      <w:r w:rsidRPr="001964EC">
        <w:t>This TEI does not include funding previously provided for planning purposes of $0.6</w:t>
      </w:r>
      <w:r>
        <w:t> million</w:t>
      </w:r>
      <w:r w:rsidRPr="001964EC">
        <w:t>.</w:t>
      </w:r>
    </w:p>
    <w:p w:rsidR="00B958B1" w:rsidRDefault="00B958B1" w:rsidP="009F3B54">
      <w:pPr>
        <w:pStyle w:val="Notes"/>
      </w:pPr>
      <w:r>
        <w:t>(n)</w:t>
      </w:r>
      <w:r>
        <w:tab/>
      </w:r>
      <w:r w:rsidRPr="001964EC">
        <w:t>This TEI includes anticipated Commonwealth and lo</w:t>
      </w:r>
      <w:r>
        <w:t>cal government funding of $4.5 million</w:t>
      </w:r>
      <w:r w:rsidRPr="001964EC">
        <w:t>.</w:t>
      </w:r>
    </w:p>
    <w:p w:rsidR="00B958B1" w:rsidRDefault="00B958B1" w:rsidP="009F3B54">
      <w:pPr>
        <w:pStyle w:val="Notes"/>
      </w:pPr>
      <w:r>
        <w:t>(o)</w:t>
      </w:r>
      <w:r>
        <w:tab/>
      </w:r>
      <w:r w:rsidRPr="001964EC">
        <w:t>New funding from the Transport Accident Commission. This is in addition to existing funding provided via the Safer Roads Infrastructure Program 3. The TEI includes funding provided beyond 2016</w:t>
      </w:r>
      <w:r w:rsidR="009F0F49">
        <w:noBreakHyphen/>
      </w:r>
      <w:r w:rsidRPr="001964EC">
        <w:t>17.</w:t>
      </w:r>
    </w:p>
    <w:p w:rsidR="00B958B1" w:rsidRDefault="00B958B1" w:rsidP="009F3B54">
      <w:pPr>
        <w:pStyle w:val="Notes"/>
      </w:pPr>
    </w:p>
    <w:p w:rsidR="00B958B1" w:rsidRPr="00DE65E7" w:rsidRDefault="00B958B1" w:rsidP="009F3B54">
      <w:pPr>
        <w:pStyle w:val="Heading4"/>
      </w:pPr>
      <w:r>
        <w:t>Investing in Local Infrastructure</w:t>
      </w:r>
    </w:p>
    <w:p w:rsidR="00B958B1" w:rsidRPr="008F0E46" w:rsidRDefault="00B958B1" w:rsidP="009F3B54">
      <w:pPr>
        <w:pStyle w:val="Heading5"/>
      </w:pPr>
      <w:r w:rsidRPr="008F0E46">
        <w:t>State Sport Centres trust</w:t>
      </w:r>
    </w:p>
    <w:p w:rsidR="00B958B1" w:rsidRPr="008F0E46" w:rsidRDefault="00B958B1" w:rsidP="009F3B54">
      <w:pPr>
        <w:rPr>
          <w:lang w:eastAsia="en-AU"/>
        </w:rPr>
      </w:pPr>
      <w:r>
        <w:rPr>
          <w:lang w:eastAsia="en-AU"/>
        </w:rPr>
        <w:fldChar w:fldCharType="begin"/>
      </w:r>
      <w:r>
        <w:instrText xml:space="preserve"> XE "</w:instrText>
      </w:r>
      <w:r w:rsidRPr="00612DED">
        <w:instrText xml:space="preserve">Department of Transport, Planning and Local Infrastructure:Investing in </w:instrText>
      </w:r>
      <w:r>
        <w:instrText>L</w:instrText>
      </w:r>
      <w:r w:rsidRPr="00612DED">
        <w:instrText xml:space="preserve">ocal </w:instrText>
      </w:r>
      <w:r>
        <w:instrText>I</w:instrText>
      </w:r>
      <w:r w:rsidRPr="00612DED">
        <w:instrText>nfrastructure</w:instrText>
      </w:r>
      <w:r>
        <w:instrText xml:space="preserve">" </w:instrText>
      </w:r>
      <w:r>
        <w:rPr>
          <w:lang w:eastAsia="en-AU"/>
        </w:rPr>
        <w:fldChar w:fldCharType="end"/>
      </w:r>
      <w:r>
        <w:rPr>
          <w:lang w:eastAsia="en-AU"/>
        </w:rPr>
        <w:fldChar w:fldCharType="begin"/>
      </w:r>
      <w:r>
        <w:instrText xml:space="preserve"> XE "</w:instrText>
      </w:r>
      <w:r w:rsidRPr="009E53A6">
        <w:instrText xml:space="preserve">Investing in </w:instrText>
      </w:r>
      <w:r>
        <w:instrText>L</w:instrText>
      </w:r>
      <w:r w:rsidRPr="009E53A6">
        <w:instrText xml:space="preserve">ocal </w:instrText>
      </w:r>
      <w:r>
        <w:instrText>I</w:instrText>
      </w:r>
      <w:r w:rsidRPr="009E53A6">
        <w:instrText>nfrastructure</w:instrText>
      </w:r>
      <w:r>
        <w:instrText xml:space="preserve">" </w:instrText>
      </w:r>
      <w:r>
        <w:rPr>
          <w:lang w:eastAsia="en-AU"/>
        </w:rPr>
        <w:fldChar w:fldCharType="end"/>
      </w:r>
      <w:r w:rsidRPr="008F0E46">
        <w:rPr>
          <w:lang w:eastAsia="en-AU"/>
        </w:rPr>
        <w:t>The State Sport Centres trust will receive additional funding to upgrade the Melbourne Sports and Aquatic Centre at Albert Park, the State Netball and Hockey Centre at Royal Park, and Lakeside Stadium. This initiative will ensure that these international standard facilities continue to provide quality sporting opportunities to the public.</w:t>
      </w:r>
    </w:p>
    <w:p w:rsidR="00B958B1" w:rsidRDefault="00B958B1" w:rsidP="009F3B54">
      <w:pPr>
        <w:rPr>
          <w:lang w:eastAsia="en-AU"/>
        </w:rPr>
      </w:pPr>
      <w:r w:rsidRPr="008F0E46">
        <w:rPr>
          <w:lang w:eastAsia="en-AU"/>
        </w:rPr>
        <w:t>This initiative contributes to the Department of Transport Planning and Local Infrastructure</w:t>
      </w:r>
      <w:r>
        <w:rPr>
          <w:lang w:eastAsia="en-AU"/>
        </w:rPr>
        <w:t>’</w:t>
      </w:r>
      <w:r w:rsidRPr="008F0E46">
        <w:rPr>
          <w:lang w:eastAsia="en-AU"/>
        </w:rPr>
        <w:t>s Sport and Recreation output.</w:t>
      </w:r>
    </w:p>
    <w:p w:rsidR="00B958B1" w:rsidRDefault="00B958B1" w:rsidP="009F3B54">
      <w:pPr>
        <w:pStyle w:val="Heading4"/>
      </w:pPr>
      <w:bookmarkStart w:id="72" w:name="BP3Ch1DTPLIMetroRegionDvpmt"/>
      <w:r w:rsidRPr="008F0E46">
        <w:t>Metropolitan and Regional Planning and Development</w:t>
      </w:r>
    </w:p>
    <w:p w:rsidR="00B958B1" w:rsidRDefault="00B958B1" w:rsidP="009F3B54">
      <w:pPr>
        <w:pStyle w:val="Heading5"/>
      </w:pPr>
      <w:r>
        <w:t>East Werribee Employment Precinct preliminary infrastructure</w:t>
      </w:r>
    </w:p>
    <w:p w:rsidR="00B958B1" w:rsidRDefault="00B958B1" w:rsidP="009F3B54">
      <w:r>
        <w:fldChar w:fldCharType="begin"/>
      </w:r>
      <w:r>
        <w:instrText xml:space="preserve"> XE "</w:instrText>
      </w:r>
      <w:r w:rsidRPr="001902E6">
        <w:instrText>Employment</w:instrText>
      </w:r>
      <w:r>
        <w:instrText xml:space="preserve">" </w:instrText>
      </w:r>
      <w:r>
        <w:fldChar w:fldCharType="end"/>
      </w:r>
      <w:r>
        <w:t>The East Werribee Employment Precinct will be developed for future investment by upgrading transport infrastructure to access regional and state transport networks, and conducting necessary environmental site assessments and implementation planning. This includes upgrades to Sneydes Road and the Princes Highway/Hoppers Lane intersection.</w:t>
      </w:r>
    </w:p>
    <w:p w:rsidR="00B958B1" w:rsidRDefault="00B958B1" w:rsidP="009F3B54">
      <w:r>
        <w:t>This initiative contributes to the Department of Transport, Planning and Local Infrastructure’s Planning, Building and Heritage output.</w:t>
      </w:r>
    </w:p>
    <w:p w:rsidR="00B958B1" w:rsidRDefault="00B958B1" w:rsidP="009F3B54">
      <w:pPr>
        <w:pStyle w:val="Heading5"/>
      </w:pPr>
      <w:r>
        <w:br w:type="page"/>
        <w:t>Frankston transit interchange improvement project</w:t>
      </w:r>
    </w:p>
    <w:p w:rsidR="00B958B1" w:rsidRDefault="00B958B1" w:rsidP="009F3B54">
      <w:r>
        <w:t xml:space="preserve">The transit interchange precinct in central Frankston will be refreshed. Enhancements to lighting, shelters, amenities and traffic flows will improve the linkages between the interchange and the core business precinct, as part of a staged revitalisation of central Frankston. </w:t>
      </w:r>
    </w:p>
    <w:p w:rsidR="00B958B1" w:rsidRDefault="00B958B1" w:rsidP="009F3B54">
      <w:r>
        <w:t xml:space="preserve">This initiative contributes to the Department of Transport, Planning and Local Infrastructure’s Planning, Building and Heritage output. </w:t>
      </w:r>
      <w:bookmarkEnd w:id="72"/>
      <w:r>
        <w:fldChar w:fldCharType="begin"/>
      </w:r>
      <w:r>
        <w:instrText xml:space="preserve"> XE "</w:instrText>
      </w:r>
      <w:r w:rsidRPr="0025552B">
        <w:instrText xml:space="preserve">Department of Transport, Planning and Local Infrastructure:Metropolitan and </w:instrText>
      </w:r>
      <w:r>
        <w:instrText>R</w:instrText>
      </w:r>
      <w:r w:rsidRPr="0025552B">
        <w:instrText xml:space="preserve">egional </w:instrText>
      </w:r>
      <w:r>
        <w:instrText>P</w:instrText>
      </w:r>
      <w:r w:rsidRPr="0025552B">
        <w:instrText xml:space="preserve">lanning and </w:instrText>
      </w:r>
      <w:r>
        <w:instrText>D</w:instrText>
      </w:r>
      <w:r w:rsidRPr="0025552B">
        <w:instrText>evelopment</w:instrText>
      </w:r>
      <w:r>
        <w:instrText xml:space="preserve">" \r "BP3Ch1DTPLIMetroRegionDvpmt" </w:instrText>
      </w:r>
      <w:r>
        <w:fldChar w:fldCharType="end"/>
      </w:r>
      <w:r>
        <w:fldChar w:fldCharType="begin"/>
      </w:r>
      <w:r>
        <w:instrText xml:space="preserve"> XE "</w:instrText>
      </w:r>
      <w:r w:rsidRPr="009E53A6">
        <w:instrText xml:space="preserve">Metropolitan and </w:instrText>
      </w:r>
      <w:r>
        <w:instrText>R</w:instrText>
      </w:r>
      <w:r w:rsidRPr="009E53A6">
        <w:instrText xml:space="preserve">egional </w:instrText>
      </w:r>
      <w:r>
        <w:instrText>P</w:instrText>
      </w:r>
      <w:r w:rsidRPr="009E53A6">
        <w:instrText xml:space="preserve">lanning and </w:instrText>
      </w:r>
      <w:r>
        <w:instrText>D</w:instrText>
      </w:r>
      <w:r w:rsidRPr="009E53A6">
        <w:instrText>evelopment</w:instrText>
      </w:r>
      <w:r>
        <w:instrText xml:space="preserve">" \r "BP3Ch1DTPLIMetroRegionDvpmt" </w:instrText>
      </w:r>
      <w:r>
        <w:fldChar w:fldCharType="end"/>
      </w:r>
    </w:p>
    <w:p w:rsidR="00B958B1" w:rsidRDefault="00B958B1" w:rsidP="009F3B54">
      <w:pPr>
        <w:pStyle w:val="Heading4"/>
      </w:pPr>
      <w:bookmarkStart w:id="73" w:name="BP3Ch1DTPLITransSystmDvpmnt"/>
      <w:r w:rsidRPr="008F0E46">
        <w:t>Transport System Development and Maintenance</w:t>
      </w:r>
    </w:p>
    <w:p w:rsidR="00B958B1" w:rsidRDefault="00B958B1" w:rsidP="009F3B54">
      <w:pPr>
        <w:pStyle w:val="Heading5"/>
      </w:pPr>
      <w:r>
        <w:t>Bayside rail improvements</w:t>
      </w:r>
    </w:p>
    <w:p w:rsidR="00B958B1" w:rsidRDefault="00B958B1" w:rsidP="009F3B54">
      <w:r>
        <w:t>A program of station upgrades, including improved shelters, enhanced passenger information and disability access, and infrastructure enhancements to improve passenger services on the Frankston rail line; and infrastructure upgrades to support the deployment of X’Trapolis trains on the Frankston, Werribee and Williamstown rail lines.</w:t>
      </w:r>
    </w:p>
    <w:p w:rsidR="00B958B1" w:rsidRDefault="00B958B1" w:rsidP="009F3B54">
      <w:r>
        <w:t xml:space="preserve">This initiative contributes to the Department of Transport, Planning and Local Infrastructure’s Public Transport Network Improvements and Maintenance output. </w:t>
      </w:r>
      <w:r>
        <w:fldChar w:fldCharType="begin"/>
      </w:r>
      <w:r>
        <w:instrText xml:space="preserve"> XE "</w:instrText>
      </w:r>
      <w:r w:rsidRPr="00685FCF">
        <w:instrText xml:space="preserve">Department of Transport, Planning and Local Infrastructure:Transport </w:instrText>
      </w:r>
      <w:r>
        <w:instrText>S</w:instrText>
      </w:r>
      <w:r w:rsidRPr="00685FCF">
        <w:instrText xml:space="preserve">ystem </w:instrText>
      </w:r>
      <w:r>
        <w:instrText>D</w:instrText>
      </w:r>
      <w:r w:rsidRPr="00685FCF">
        <w:instrText xml:space="preserve">evelopment and </w:instrText>
      </w:r>
      <w:r>
        <w:instrText>M</w:instrText>
      </w:r>
      <w:r w:rsidRPr="00685FCF">
        <w:instrText>aintenance</w:instrText>
      </w:r>
      <w:r>
        <w:instrText xml:space="preserve">" \r "BP3Ch1DTPLITransSystmDvpmnt" </w:instrText>
      </w:r>
      <w:r>
        <w:fldChar w:fldCharType="end"/>
      </w:r>
      <w:r>
        <w:fldChar w:fldCharType="begin"/>
      </w:r>
      <w:r>
        <w:instrText xml:space="preserve"> XE "Transport:</w:instrText>
      </w:r>
      <w:r w:rsidRPr="009E53A6">
        <w:instrText xml:space="preserve">Transport </w:instrText>
      </w:r>
      <w:r>
        <w:instrText>S</w:instrText>
      </w:r>
      <w:r w:rsidRPr="009E53A6">
        <w:instrText xml:space="preserve">ystem </w:instrText>
      </w:r>
      <w:r>
        <w:instrText>D</w:instrText>
      </w:r>
      <w:r w:rsidRPr="009E53A6">
        <w:instrText xml:space="preserve">evelopment and </w:instrText>
      </w:r>
      <w:r>
        <w:instrText>M</w:instrText>
      </w:r>
      <w:r w:rsidRPr="009E53A6">
        <w:instrText>aintenance</w:instrText>
      </w:r>
      <w:r>
        <w:instrText xml:space="preserve">" \r "BP3Ch1DTPLITransSystmDvpmnt" </w:instrText>
      </w:r>
      <w:r>
        <w:fldChar w:fldCharType="end"/>
      </w:r>
    </w:p>
    <w:p w:rsidR="00B958B1" w:rsidRDefault="00B958B1" w:rsidP="009F3B54">
      <w:pPr>
        <w:pStyle w:val="Heading5"/>
      </w:pPr>
      <w:r>
        <w:t>Bicycle infrastructure program</w:t>
      </w:r>
    </w:p>
    <w:p w:rsidR="00B958B1" w:rsidRDefault="00B958B1" w:rsidP="009F3B54">
      <w:r>
        <w:t>Planning and construction of key bicycle infrastructure projects as part of the Government’s Cycling Strategy.</w:t>
      </w:r>
    </w:p>
    <w:p w:rsidR="00B958B1" w:rsidRPr="009C3F1E" w:rsidRDefault="00B958B1" w:rsidP="009F3B54">
      <w:r>
        <w:t xml:space="preserve">This initiative contributes to the Department of Transport, Planning and Local </w:t>
      </w:r>
      <w:r w:rsidRPr="009C3F1E">
        <w:t>Infrastructure’s Road Network Improvement’s output.</w:t>
      </w:r>
    </w:p>
    <w:p w:rsidR="00B958B1" w:rsidRPr="009C3F1E" w:rsidRDefault="00B958B1" w:rsidP="009F3B54">
      <w:pPr>
        <w:pStyle w:val="Heading5"/>
      </w:pPr>
      <w:r w:rsidRPr="009C3F1E">
        <w:t>Box Hill to Ringwood Bikeway</w:t>
      </w:r>
    </w:p>
    <w:p w:rsidR="00B958B1" w:rsidRDefault="00B958B1" w:rsidP="009F3B54">
      <w:r w:rsidRPr="009C3F1E">
        <w:t>A bike path along the rail corridor between Box Hill and Ringwood will be constructed to upgrade access and safety for cyclists.</w:t>
      </w:r>
      <w:r>
        <w:t xml:space="preserve"> </w:t>
      </w:r>
    </w:p>
    <w:p w:rsidR="00B958B1" w:rsidRPr="009C3F1E" w:rsidRDefault="00B958B1" w:rsidP="009F3B54">
      <w:r>
        <w:t>This delivers the Government’s election commitment.</w:t>
      </w:r>
    </w:p>
    <w:p w:rsidR="00B958B1" w:rsidRPr="00175147" w:rsidRDefault="00B958B1" w:rsidP="009F3B54">
      <w:r w:rsidRPr="009C3F1E">
        <w:t>This initiative contributes to the Department of Transport, Planning and Local Infrastructure’s Road Network Improvements output.</w:t>
      </w:r>
    </w:p>
    <w:p w:rsidR="00B958B1" w:rsidRPr="009C3F1E" w:rsidRDefault="00B958B1" w:rsidP="009F3B54">
      <w:pPr>
        <w:pStyle w:val="Heading5"/>
      </w:pPr>
      <w:r w:rsidRPr="009C3F1E">
        <w:t>Bus services improvements</w:t>
      </w:r>
    </w:p>
    <w:p w:rsidR="00B958B1" w:rsidRPr="009C3F1E" w:rsidRDefault="00B958B1" w:rsidP="009F3B54">
      <w:r w:rsidRPr="009C3F1E">
        <w:t xml:space="preserve">Refer to the output initiative for a description of this initiative. </w:t>
      </w:r>
    </w:p>
    <w:p w:rsidR="00B958B1" w:rsidRPr="009C3F1E" w:rsidRDefault="00B958B1" w:rsidP="009F3B54">
      <w:pPr>
        <w:pStyle w:val="Heading5"/>
      </w:pPr>
      <w:r w:rsidRPr="009C3F1E">
        <w:t>Cardinia Road upgrade</w:t>
      </w:r>
    </w:p>
    <w:p w:rsidR="00B958B1" w:rsidRDefault="00B958B1" w:rsidP="009F3B54">
      <w:r w:rsidRPr="009C3F1E">
        <w:t xml:space="preserve">Duplication of Cardinia Road between Princes Highway and Shearwater Drive, including intersection upgrades at Shearwater Drive and Damon Street. The initiative will improve the capacity and safety of Cardinia Road and amenity for local residents. </w:t>
      </w:r>
    </w:p>
    <w:p w:rsidR="00B958B1" w:rsidRPr="009C3F1E" w:rsidRDefault="00B958B1" w:rsidP="009F3B54">
      <w:r w:rsidRPr="009C3F1E">
        <w:t>This delivers the Government’s election commitment.</w:t>
      </w:r>
    </w:p>
    <w:p w:rsidR="00B958B1" w:rsidRPr="009C3F1E" w:rsidRDefault="00B958B1" w:rsidP="009F3B54">
      <w:r w:rsidRPr="009C3F1E">
        <w:t>This initiative contributes to the Department of Transport, Planning and Local Infrastructure’s Road Network Improvement’s output.</w:t>
      </w:r>
    </w:p>
    <w:p w:rsidR="00B958B1" w:rsidRPr="009C3F1E" w:rsidRDefault="00B958B1" w:rsidP="009F3B54">
      <w:pPr>
        <w:pStyle w:val="Heading5"/>
      </w:pPr>
      <w:r>
        <w:br w:type="page"/>
      </w:r>
      <w:r w:rsidRPr="009C3F1E">
        <w:t>Darebin Creek Bike Trail</w:t>
      </w:r>
    </w:p>
    <w:p w:rsidR="00B958B1" w:rsidRPr="009C3F1E" w:rsidRDefault="00B958B1" w:rsidP="009F3B54">
      <w:r w:rsidRPr="009C3F1E">
        <w:t>Connect the Darebin Creek Cycling Trail to the Main Yarra Cycling Trail through the provision of sealed pathways and the construction of bridges.</w:t>
      </w:r>
    </w:p>
    <w:p w:rsidR="00B958B1" w:rsidRPr="009C3F1E" w:rsidRDefault="00B958B1" w:rsidP="009F3B54">
      <w:r w:rsidRPr="009C3F1E">
        <w:t>This initiative contributes to the Department of Transport, Planning and Local Infrastructure's Road Network Improvement's output.</w:t>
      </w:r>
    </w:p>
    <w:p w:rsidR="00B958B1" w:rsidRPr="00D32CB5" w:rsidRDefault="00B958B1" w:rsidP="009F3B54">
      <w:pPr>
        <w:pStyle w:val="Heading5"/>
      </w:pPr>
      <w:r w:rsidRPr="009C3F1E">
        <w:t>East West Link</w:t>
      </w:r>
      <w:r>
        <w:t xml:space="preserve"> – Stage 1 </w:t>
      </w:r>
    </w:p>
    <w:p w:rsidR="00B958B1" w:rsidRDefault="00B958B1" w:rsidP="009F3B54">
      <w:r>
        <w:t>Planning, procurement and delivery of the first stage of the East West Link, being the Eastern section from the Eastern Freeway at Hoddle Street to CityLink in Parkville.</w:t>
      </w:r>
    </w:p>
    <w:p w:rsidR="00B958B1" w:rsidRPr="009C3F1E" w:rsidRDefault="00B958B1" w:rsidP="009F3B54">
      <w:r w:rsidRPr="009C3F1E">
        <w:t>This initiative contributes to the Department of Transport, Planning and Local Infrastructure’s Road Network Improvements output.</w:t>
      </w:r>
    </w:p>
    <w:p w:rsidR="00B958B1" w:rsidRPr="009C3F1E" w:rsidRDefault="00B958B1" w:rsidP="009F3B54">
      <w:pPr>
        <w:pStyle w:val="Heading5"/>
      </w:pPr>
      <w:r w:rsidRPr="009C3F1E">
        <w:t>Echuca to Toolamba rail upgrade</w:t>
      </w:r>
    </w:p>
    <w:p w:rsidR="00B958B1" w:rsidRPr="009C3F1E" w:rsidRDefault="00B958B1" w:rsidP="009F3B54">
      <w:r w:rsidRPr="009C3F1E">
        <w:t>Upgrading the broad gauge rail track from Echuca to Toolamba and installing new signalling at Toolamba junction so this line can be reopened for freight</w:t>
      </w:r>
      <w:r>
        <w:fldChar w:fldCharType="begin"/>
      </w:r>
      <w:r>
        <w:instrText xml:space="preserve"> XE "</w:instrText>
      </w:r>
      <w:r w:rsidRPr="009E53A6">
        <w:instrText>Freight</w:instrText>
      </w:r>
      <w:r>
        <w:instrText xml:space="preserve">" </w:instrText>
      </w:r>
      <w:r>
        <w:fldChar w:fldCharType="end"/>
      </w:r>
      <w:r w:rsidRPr="009C3F1E">
        <w:t>. Reopening the branch line will provide a more efficient link to the Port of Melbourne for exporters moving freight from the Goulburn Valley and southern New South Wales.</w:t>
      </w:r>
    </w:p>
    <w:p w:rsidR="00B958B1" w:rsidRPr="009C3F1E" w:rsidRDefault="00B958B1" w:rsidP="009F3B54">
      <w:r w:rsidRPr="009C3F1E">
        <w:t>This initiative contributes to the Department of Transport, Planning and Local Infrastructure’s Ports and Freight Network Improvements and Maintenance output.</w:t>
      </w:r>
    </w:p>
    <w:p w:rsidR="00B958B1" w:rsidRPr="009C3F1E" w:rsidRDefault="00B958B1" w:rsidP="009F3B54">
      <w:pPr>
        <w:pStyle w:val="Heading5"/>
      </w:pPr>
      <w:r w:rsidRPr="009C3F1E">
        <w:t>Epsom Eaglehawk rail improvement</w:t>
      </w:r>
    </w:p>
    <w:p w:rsidR="00B958B1" w:rsidRDefault="00B958B1" w:rsidP="009F3B54">
      <w:r w:rsidRPr="009C3F1E">
        <w:t>A new train station at Epsom will be constructed that will support population growth and investment in outer Bendigo. The initiative will also provide works to improve public transport</w:t>
      </w:r>
      <w:r>
        <w:fldChar w:fldCharType="begin"/>
      </w:r>
      <w:r>
        <w:instrText xml:space="preserve"> XE "</w:instrText>
      </w:r>
      <w:r w:rsidRPr="009E53A6">
        <w:instrText>Public transport</w:instrText>
      </w:r>
      <w:r>
        <w:instrText xml:space="preserve">" </w:instrText>
      </w:r>
      <w:r>
        <w:fldChar w:fldCharType="end"/>
      </w:r>
      <w:r w:rsidRPr="009C3F1E">
        <w:t xml:space="preserve"> access in the northern areas of Bendigo.</w:t>
      </w:r>
      <w:r>
        <w:t xml:space="preserve"> </w:t>
      </w:r>
    </w:p>
    <w:p w:rsidR="00B958B1" w:rsidRDefault="00B958B1" w:rsidP="009F3B54">
      <w:r>
        <w:t>This delivers the Government’s election commitment.</w:t>
      </w:r>
    </w:p>
    <w:p w:rsidR="00B958B1" w:rsidRDefault="00B958B1" w:rsidP="009F3B54">
      <w:r>
        <w:t>This initiative contributes to the Department of Transport, Planning and Local Infrastructure’s Public Transport Network Improvements and Maintenance output.</w:t>
      </w:r>
    </w:p>
    <w:p w:rsidR="00B958B1" w:rsidRDefault="00B958B1" w:rsidP="009F3B54">
      <w:pPr>
        <w:pStyle w:val="Heading5"/>
      </w:pPr>
      <w:r>
        <w:t>Grovedale Station</w:t>
      </w:r>
    </w:p>
    <w:p w:rsidR="00B958B1" w:rsidRDefault="00B958B1" w:rsidP="009F3B54">
      <w:r>
        <w:t>A new station at Grovedale will be constructed incorporating a single platform with passenger amenities, on</w:t>
      </w:r>
      <w:r w:rsidR="009F0F49">
        <w:noBreakHyphen/>
      </w:r>
      <w:r>
        <w:t xml:space="preserve">road bus bays, bicycle storage and car parking. The project will also deliver track and signal upgrades to maximise the number of trains that operate to and from the new station. </w:t>
      </w:r>
    </w:p>
    <w:p w:rsidR="00B958B1" w:rsidRDefault="00B958B1" w:rsidP="009F3B54">
      <w:r>
        <w:t>This delivers the Government’s election commitment.</w:t>
      </w:r>
    </w:p>
    <w:p w:rsidR="00B958B1" w:rsidRDefault="00B958B1" w:rsidP="009F3B54">
      <w:r>
        <w:t>This initiative contributes to the Department of Transport, Planning and Local Infrastructure’s Public Transport Network Improvements and Maintenance output.</w:t>
      </w:r>
    </w:p>
    <w:p w:rsidR="00B958B1" w:rsidRDefault="00B958B1" w:rsidP="009F3B54">
      <w:pPr>
        <w:pStyle w:val="Heading5"/>
      </w:pPr>
      <w:r>
        <w:t>High capacity signalling</w:t>
      </w:r>
    </w:p>
    <w:p w:rsidR="00B958B1" w:rsidRDefault="00B958B1" w:rsidP="009F3B54">
      <w:r>
        <w:t>Planning funding for the introduction of high capacity signalling across the metropolitan rail network to allow more frequent train movements and improved network capacity.</w:t>
      </w:r>
    </w:p>
    <w:p w:rsidR="00B958B1" w:rsidRDefault="00B958B1" w:rsidP="009F3B54">
      <w:r>
        <w:t>This initiative contributes to the Department of Transport, Planning and Local Infrastructure’s Public Transport Network Improvements and Maintenance output.</w:t>
      </w:r>
    </w:p>
    <w:p w:rsidR="00B958B1" w:rsidRDefault="00B958B1" w:rsidP="009F3B54">
      <w:pPr>
        <w:pStyle w:val="Heading5"/>
      </w:pPr>
      <w:r>
        <w:t>High Street Road improvement project</w:t>
      </w:r>
    </w:p>
    <w:p w:rsidR="00B958B1" w:rsidRDefault="00B958B1" w:rsidP="009F3B54">
      <w:r>
        <w:t xml:space="preserve">Duplication of the 1.4 kilometre section of High Street Road between Burwood Highway and Stud Road including modification of intersections. </w:t>
      </w:r>
    </w:p>
    <w:p w:rsidR="00B958B1" w:rsidRDefault="00B958B1" w:rsidP="009F3B54">
      <w:r>
        <w:t>This delivers the Government’s election commitment.</w:t>
      </w:r>
    </w:p>
    <w:p w:rsidR="00B958B1" w:rsidRDefault="00B958B1" w:rsidP="009F3B54">
      <w:r>
        <w:t>This initiative contributes to the Department of Transport, Planning and Local Infrastructure’s Road Network Improvements output.</w:t>
      </w:r>
    </w:p>
    <w:p w:rsidR="00B958B1" w:rsidRDefault="00B958B1" w:rsidP="009F3B54">
      <w:pPr>
        <w:pStyle w:val="Heading5"/>
      </w:pPr>
      <w:r>
        <w:t>Kilmore Wallan bypass</w:t>
      </w:r>
    </w:p>
    <w:p w:rsidR="00B958B1" w:rsidRDefault="00B958B1" w:rsidP="009F3B54">
      <w:r>
        <w:t>Planning and preparatory work to deliver the bypass of the Kilmore and Wallan townships.</w:t>
      </w:r>
    </w:p>
    <w:p w:rsidR="00B958B1" w:rsidRDefault="00B958B1" w:rsidP="009F3B54">
      <w:r>
        <w:t>This will progress the Government’s election commitment.</w:t>
      </w:r>
    </w:p>
    <w:p w:rsidR="00B958B1" w:rsidRDefault="00B958B1" w:rsidP="009F3B54">
      <w:r>
        <w:t>This initiative contributes to the Department of Transport, Planning and Local Infrastructure’s Road Network improvements output.</w:t>
      </w:r>
    </w:p>
    <w:p w:rsidR="00B958B1" w:rsidRDefault="00B958B1" w:rsidP="009F3B54">
      <w:pPr>
        <w:pStyle w:val="Heading5"/>
      </w:pPr>
      <w:r>
        <w:t>Local ports and marine safety</w:t>
      </w:r>
    </w:p>
    <w:p w:rsidR="00B958B1" w:rsidRDefault="00B958B1" w:rsidP="009F3B54">
      <w:r>
        <w:fldChar w:fldCharType="begin"/>
      </w:r>
      <w:r>
        <w:instrText xml:space="preserve"> XE "</w:instrText>
      </w:r>
      <w:r w:rsidRPr="009E53A6">
        <w:instrText>Ports</w:instrText>
      </w:r>
      <w:r>
        <w:instrText xml:space="preserve">" </w:instrText>
      </w:r>
      <w:r>
        <w:fldChar w:fldCharType="end"/>
      </w:r>
      <w:r>
        <w:t>A</w:t>
      </w:r>
      <w:r w:rsidRPr="000B4BAB">
        <w:t>ccess to Victoria</w:t>
      </w:r>
      <w:r>
        <w:t>’</w:t>
      </w:r>
      <w:r w:rsidRPr="000B4BAB">
        <w:t xml:space="preserve">s coastal and inland waterways </w:t>
      </w:r>
      <w:r>
        <w:t>will be improved. This will include essential works</w:t>
      </w:r>
      <w:r w:rsidRPr="000B4BAB">
        <w:t xml:space="preserve"> </w:t>
      </w:r>
      <w:r>
        <w:t xml:space="preserve">to local </w:t>
      </w:r>
      <w:r w:rsidRPr="000B4BAB">
        <w:t xml:space="preserve">infrastructure </w:t>
      </w:r>
      <w:r>
        <w:t>to help</w:t>
      </w:r>
      <w:r w:rsidRPr="000B4BAB">
        <w:t xml:space="preserve"> maintain safe access to the marine environment</w:t>
      </w:r>
      <w:r>
        <w:fldChar w:fldCharType="begin"/>
      </w:r>
      <w:r>
        <w:instrText xml:space="preserve"> XE "</w:instrText>
      </w:r>
      <w:r w:rsidRPr="001902E6">
        <w:instrText>Environment</w:instrText>
      </w:r>
      <w:r>
        <w:instrText xml:space="preserve">" </w:instrText>
      </w:r>
      <w:r>
        <w:fldChar w:fldCharType="end"/>
      </w:r>
      <w:r w:rsidRPr="000B4BAB">
        <w:t>.</w:t>
      </w:r>
    </w:p>
    <w:p w:rsidR="00B958B1" w:rsidRDefault="00B958B1" w:rsidP="009F3B54">
      <w:r>
        <w:t>This initiative contributes to the Department of Transport, Planning and Local Infrastructure’s Ports and Freight Network Improvement and Maintenance output.</w:t>
      </w:r>
    </w:p>
    <w:p w:rsidR="00B958B1" w:rsidRPr="0052282D" w:rsidRDefault="00B958B1" w:rsidP="009F3B54">
      <w:pPr>
        <w:pStyle w:val="Heading5"/>
      </w:pPr>
      <w:r>
        <w:t>Managed m</w:t>
      </w:r>
      <w:r w:rsidRPr="0052282D">
        <w:t>otorway Program – Monash Freeway between High Street and Warrigal Road</w:t>
      </w:r>
    </w:p>
    <w:p w:rsidR="00B958B1" w:rsidRPr="0052282D" w:rsidRDefault="00B958B1" w:rsidP="009F3B54">
      <w:pPr>
        <w:rPr>
          <w:lang w:eastAsia="en-AU"/>
        </w:rPr>
      </w:pPr>
      <w:r>
        <w:rPr>
          <w:lang w:eastAsia="en-AU"/>
        </w:rPr>
        <w:t>T</w:t>
      </w:r>
      <w:r w:rsidRPr="0052282D">
        <w:rPr>
          <w:lang w:eastAsia="en-AU"/>
        </w:rPr>
        <w:t xml:space="preserve">he Monash Freeway between High Street and Warrigal Road </w:t>
      </w:r>
      <w:r>
        <w:rPr>
          <w:lang w:eastAsia="en-AU"/>
        </w:rPr>
        <w:t xml:space="preserve">will be upgraded </w:t>
      </w:r>
      <w:r w:rsidRPr="0052282D">
        <w:rPr>
          <w:lang w:eastAsia="en-AU"/>
        </w:rPr>
        <w:t xml:space="preserve">to a fully managed motorway system to improve traffic flow and congestion management. This will complement existing managed motorway systems on the M80, West Gate Bridge and CityLink. </w:t>
      </w:r>
    </w:p>
    <w:p w:rsidR="00B958B1" w:rsidRPr="0052282D" w:rsidRDefault="00B958B1" w:rsidP="009F3B54">
      <w:r w:rsidRPr="0052282D">
        <w:t xml:space="preserve">This initiative contributes to </w:t>
      </w:r>
      <w:r>
        <w:t>Department of Transport, Planning and Local Infrastructure’s</w:t>
      </w:r>
      <w:r w:rsidRPr="0052282D">
        <w:t xml:space="preserve"> </w:t>
      </w:r>
      <w:r>
        <w:t>Road Network I</w:t>
      </w:r>
      <w:r w:rsidRPr="0052282D">
        <w:t>mprovements output.</w:t>
      </w:r>
      <w:r w:rsidRPr="0052282D">
        <w:rPr>
          <w:highlight w:val="yellow"/>
          <w:lang w:eastAsia="en-AU"/>
        </w:rPr>
        <w:t xml:space="preserve"> </w:t>
      </w:r>
    </w:p>
    <w:p w:rsidR="00B958B1" w:rsidRDefault="00B958B1" w:rsidP="009F3B54">
      <w:pPr>
        <w:pStyle w:val="Heading5"/>
      </w:pPr>
      <w:r>
        <w:t>Metro level crossing blitz program</w:t>
      </w:r>
    </w:p>
    <w:p w:rsidR="00B958B1" w:rsidRDefault="00B958B1" w:rsidP="009F3B54">
      <w:r>
        <w:t>A package of early works will be delivered for the railway level crossing removal projects at Main Road (St Albans), North Road (Ormond), Blackburn Road (Blackburn), Mountain Highway and Scoresby Road (Bayswater). Funding is also provided for the development of a business case for the Murrumbeena Road (Murrumbeena) level crossing, and planning for Burke Road (Glen Iris).</w:t>
      </w:r>
    </w:p>
    <w:p w:rsidR="00B958B1" w:rsidRDefault="00B958B1" w:rsidP="009F3B54">
      <w:r>
        <w:t>This delivers the Government’s election commitment.</w:t>
      </w:r>
    </w:p>
    <w:p w:rsidR="00B958B1" w:rsidRDefault="00B958B1" w:rsidP="009F3B54">
      <w:r>
        <w:t>This initiative contributes to the Department of Transport, Planning and Local Infrastructure’s Public Transport Network Improvements and Maintenance and Road Network Improvements outputs.</w:t>
      </w:r>
    </w:p>
    <w:p w:rsidR="00B958B1" w:rsidRDefault="00B958B1" w:rsidP="009F3B54">
      <w:pPr>
        <w:pStyle w:val="Heading5"/>
      </w:pPr>
      <w:r>
        <w:t xml:space="preserve">New trains for Melbourne commuters </w:t>
      </w:r>
    </w:p>
    <w:p w:rsidR="00B958B1" w:rsidRDefault="00B958B1" w:rsidP="009F3B54">
      <w:r>
        <w:t>Additional X’Trapolis trains</w:t>
      </w:r>
      <w:r>
        <w:fldChar w:fldCharType="begin"/>
      </w:r>
      <w:r>
        <w:instrText xml:space="preserve"> XE "</w:instrText>
      </w:r>
      <w:r w:rsidRPr="007531AB">
        <w:instrText>Transport:Trains</w:instrText>
      </w:r>
      <w:r>
        <w:instrText xml:space="preserve">" </w:instrText>
      </w:r>
      <w:r>
        <w:fldChar w:fldCharType="end"/>
      </w:r>
      <w:r>
        <w:t xml:space="preserve"> and associated infrastructure will be procured to improve services on the metropolitan rail network. Funding is also provided for further development of the next generation train procurement strategy. </w:t>
      </w:r>
    </w:p>
    <w:p w:rsidR="00B958B1" w:rsidRDefault="00B958B1" w:rsidP="009F3B54">
      <w:r>
        <w:t>This will progress the Government’s election commitment.</w:t>
      </w:r>
    </w:p>
    <w:p w:rsidR="00B958B1" w:rsidRDefault="00B958B1" w:rsidP="009F3B54">
      <w:r>
        <w:t>This initiative contributes to the Department of Transport, Planning and Local Infrastructure’s Public Transport Network Improvements and Maintenance output.</w:t>
      </w:r>
    </w:p>
    <w:p w:rsidR="00B958B1" w:rsidRDefault="00B958B1" w:rsidP="009F3B54">
      <w:pPr>
        <w:pStyle w:val="Heading5"/>
      </w:pPr>
      <w:r>
        <w:t>Non</w:t>
      </w:r>
      <w:r w:rsidR="009F0F49">
        <w:noBreakHyphen/>
      </w:r>
      <w:r>
        <w:t>Urban Train Radio renewal</w:t>
      </w:r>
    </w:p>
    <w:p w:rsidR="00B958B1" w:rsidRDefault="00B958B1" w:rsidP="009F3B54">
      <w:r>
        <w:t>The existing V/Line Non</w:t>
      </w:r>
      <w:r w:rsidR="009F0F49">
        <w:noBreakHyphen/>
      </w:r>
      <w:r>
        <w:t>Urban Train Radio system will be replaced with a digital radio communications system. This will maintain and improve reliability of train services to regional Victoria, improve interoperability with metropolitan and national freight</w:t>
      </w:r>
      <w:r>
        <w:fldChar w:fldCharType="begin"/>
      </w:r>
      <w:r>
        <w:instrText xml:space="preserve"> XE "</w:instrText>
      </w:r>
      <w:r w:rsidRPr="009E53A6">
        <w:instrText>Freight</w:instrText>
      </w:r>
      <w:r>
        <w:instrText xml:space="preserve">" </w:instrText>
      </w:r>
      <w:r>
        <w:fldChar w:fldCharType="end"/>
      </w:r>
      <w:r>
        <w:t xml:space="preserve"> trains and enable the State to comply with national regulatory requirements.</w:t>
      </w:r>
    </w:p>
    <w:p w:rsidR="00B958B1" w:rsidRDefault="00B958B1" w:rsidP="009F3B54">
      <w:r>
        <w:t>This initiative contributes to the Department of Transport, Planning and Local Infrastructure’s Public Transport Network Improvements and Maintenance output.</w:t>
      </w:r>
    </w:p>
    <w:p w:rsidR="00B958B1" w:rsidRDefault="00B958B1" w:rsidP="009F3B54">
      <w:pPr>
        <w:pStyle w:val="Heading5"/>
      </w:pPr>
      <w:r>
        <w:t>Port of Hastings development</w:t>
      </w:r>
    </w:p>
    <w:p w:rsidR="00B958B1" w:rsidRDefault="00B958B1" w:rsidP="009F3B54">
      <w:r>
        <w:t>Investment for the Port of Hastings Development Authority to progress the development of a new container port.</w:t>
      </w:r>
    </w:p>
    <w:p w:rsidR="00B958B1" w:rsidRDefault="00B958B1" w:rsidP="009F3B54">
      <w:r>
        <w:t>This initiative contributes to the Department of Transport, Planning and Local Infrastructure’s Integrated Transport System Planning output.</w:t>
      </w:r>
    </w:p>
    <w:p w:rsidR="00B958B1" w:rsidRDefault="00B958B1" w:rsidP="009F3B54">
      <w:pPr>
        <w:pStyle w:val="Heading5"/>
      </w:pPr>
      <w:r>
        <w:t xml:space="preserve">Protective Services Officers railway infrastructure </w:t>
      </w:r>
    </w:p>
    <w:p w:rsidR="00B958B1" w:rsidRDefault="00B958B1" w:rsidP="009F3B54">
      <w:r>
        <w:t>Construction of the next tranche of station facilities for Protective Services Officers at remaining railway stations.</w:t>
      </w:r>
    </w:p>
    <w:p w:rsidR="00B958B1" w:rsidRDefault="00B958B1" w:rsidP="009F3B54">
      <w:r>
        <w:t>This delivers the Government’s election commitment.</w:t>
      </w:r>
    </w:p>
    <w:p w:rsidR="00B958B1" w:rsidRDefault="00B958B1" w:rsidP="009F3B54">
      <w:r>
        <w:t>This initiative contributes to the Department of Transport, Planning and Local Infrastructure’s Public Transport Network Improvements and Maintenance output.</w:t>
      </w:r>
    </w:p>
    <w:p w:rsidR="00B958B1" w:rsidRDefault="00B958B1" w:rsidP="009F3B54">
      <w:pPr>
        <w:pStyle w:val="Heading5"/>
      </w:pPr>
      <w:r>
        <w:t>Ringwood Station and interchange upgrade</w:t>
      </w:r>
    </w:p>
    <w:p w:rsidR="00B958B1" w:rsidRDefault="00B958B1" w:rsidP="009F3B54">
      <w:r>
        <w:t xml:space="preserve">Ringwood Station and bus interchange will be upgraded to improve station performance and amenity. </w:t>
      </w:r>
    </w:p>
    <w:p w:rsidR="00B958B1" w:rsidRDefault="00B958B1" w:rsidP="009F3B54">
      <w:r>
        <w:t>This delivers the Government’s election commitment.</w:t>
      </w:r>
    </w:p>
    <w:p w:rsidR="00B958B1" w:rsidRDefault="00B958B1" w:rsidP="009F3B54">
      <w:r>
        <w:t>This initiative contributes to the Department of Transport, Planning and Local Infrastructure’s Public Transport Network Improvements and Maintenance output.</w:t>
      </w:r>
    </w:p>
    <w:p w:rsidR="00B958B1" w:rsidRDefault="00B958B1" w:rsidP="009F3B54">
      <w:pPr>
        <w:pStyle w:val="Heading5"/>
      </w:pPr>
      <w:r>
        <w:t>Sealing Omeo Highway</w:t>
      </w:r>
    </w:p>
    <w:p w:rsidR="00B958B1" w:rsidRDefault="00B958B1" w:rsidP="009F3B54">
      <w:r>
        <w:t xml:space="preserve">The remaining unsealed section of the Omeo Highway will be sealed to improve road safety and travel times. </w:t>
      </w:r>
    </w:p>
    <w:p w:rsidR="00B958B1" w:rsidRDefault="00B958B1" w:rsidP="009F3B54">
      <w:r>
        <w:t>This delivers the Government’s election commitment.</w:t>
      </w:r>
    </w:p>
    <w:p w:rsidR="00B958B1" w:rsidRDefault="00B958B1" w:rsidP="009F3B54">
      <w:r>
        <w:t>This initiative contributes to the Department of Transport, Planning and Local Infrastructure’s Road Network Improvements output.</w:t>
      </w:r>
    </w:p>
    <w:p w:rsidR="00B958B1" w:rsidRPr="0052282D" w:rsidRDefault="00B958B1" w:rsidP="009F3B54">
      <w:pPr>
        <w:pStyle w:val="Heading5"/>
      </w:pPr>
      <w:r w:rsidRPr="0052282D">
        <w:t>Southland Station</w:t>
      </w:r>
    </w:p>
    <w:p w:rsidR="00B958B1" w:rsidRDefault="00B958B1" w:rsidP="009F3B54">
      <w:pPr>
        <w:rPr>
          <w:lang w:eastAsia="en-AU"/>
        </w:rPr>
      </w:pPr>
      <w:r w:rsidRPr="0052282D">
        <w:rPr>
          <w:lang w:eastAsia="en-AU"/>
        </w:rPr>
        <w:t>A new railway station at Southland Shopping Centre on the Frankston rail line will improve accessibility to the Southland Principal Activity Area for residents and shoppers and will facilitate further development of the area</w:t>
      </w:r>
      <w:r>
        <w:rPr>
          <w:lang w:eastAsia="en-AU"/>
        </w:rPr>
        <w:t xml:space="preserve">. </w:t>
      </w:r>
    </w:p>
    <w:p w:rsidR="00B958B1" w:rsidRPr="0052282D" w:rsidRDefault="00B958B1" w:rsidP="009F3B54">
      <w:pPr>
        <w:rPr>
          <w:lang w:eastAsia="en-AU"/>
        </w:rPr>
      </w:pPr>
      <w:r>
        <w:t>This delivers the Government’s election commitment.</w:t>
      </w:r>
    </w:p>
    <w:p w:rsidR="00B958B1" w:rsidRPr="0052282D" w:rsidRDefault="00B958B1" w:rsidP="009F3B54">
      <w:r w:rsidRPr="0052282D">
        <w:t xml:space="preserve">This initiative contributes to the </w:t>
      </w:r>
      <w:r>
        <w:rPr>
          <w:lang w:eastAsia="en-AU"/>
        </w:rPr>
        <w:t>Department of Transport Planning and Local Infrastructure’s</w:t>
      </w:r>
      <w:r w:rsidRPr="0052282D">
        <w:t xml:space="preserve"> Public Transport Network Improvements and Maintenance output.</w:t>
      </w:r>
    </w:p>
    <w:p w:rsidR="00B958B1" w:rsidRDefault="00B958B1" w:rsidP="009F3B54">
      <w:pPr>
        <w:pStyle w:val="Heading5"/>
      </w:pPr>
      <w:r>
        <w:t>Syndal Station multi</w:t>
      </w:r>
      <w:r w:rsidR="009F0F49">
        <w:noBreakHyphen/>
      </w:r>
      <w:r>
        <w:t>deck car park project</w:t>
      </w:r>
    </w:p>
    <w:p w:rsidR="00B958B1" w:rsidRDefault="00B958B1" w:rsidP="009F3B54">
      <w:r>
        <w:t xml:space="preserve">A new two storey car park will be constructed at Syndal Station to provide an additional 250 car spaces. The new car park will reduce parking congestion in surrounding areas and support access to the station for commuters. </w:t>
      </w:r>
    </w:p>
    <w:p w:rsidR="00B958B1" w:rsidRDefault="00B958B1" w:rsidP="009F3B54">
      <w:r>
        <w:t>This delivers the Government’s election commitment.</w:t>
      </w:r>
    </w:p>
    <w:p w:rsidR="00B958B1" w:rsidRDefault="00B958B1" w:rsidP="009F3B54">
      <w:r>
        <w:t>This initiative contributes to the Department of Transport, Planning and Local Infrastructure’s Public Transport Network Improvements and Maintenance output.</w:t>
      </w:r>
    </w:p>
    <w:p w:rsidR="00B958B1" w:rsidRDefault="00B958B1" w:rsidP="009F3B54">
      <w:pPr>
        <w:pStyle w:val="Heading5"/>
      </w:pPr>
      <w:r>
        <w:t>Targeted road restoration</w:t>
      </w:r>
    </w:p>
    <w:p w:rsidR="00B958B1" w:rsidRDefault="00B958B1" w:rsidP="009F3B54">
      <w:r>
        <w:t>High priority roads</w:t>
      </w:r>
      <w:r>
        <w:fldChar w:fldCharType="begin"/>
      </w:r>
      <w:r>
        <w:instrText xml:space="preserve"> XE "</w:instrText>
      </w:r>
      <w:r w:rsidRPr="009E53A6">
        <w:instrText>Roads</w:instrText>
      </w:r>
      <w:r>
        <w:instrText xml:space="preserve">" </w:instrText>
      </w:r>
      <w:r>
        <w:fldChar w:fldCharType="end"/>
      </w:r>
      <w:r>
        <w:t xml:space="preserve"> on strategic routes will be restored to reduce economic and social impacts, reduce safety risks and reduce ‘whole of life’ costs of maintaining the arterial road network.</w:t>
      </w:r>
    </w:p>
    <w:p w:rsidR="00B958B1" w:rsidRDefault="00B958B1" w:rsidP="009F3B54">
      <w:r>
        <w:t>This initiative contributes to the Department of Transport, Planning and Local Infrastructure’s Road Asset Management output.</w:t>
      </w:r>
    </w:p>
    <w:p w:rsidR="00B958B1" w:rsidRPr="0052282D" w:rsidRDefault="00B958B1" w:rsidP="009F3B54">
      <w:pPr>
        <w:pStyle w:val="Heading5"/>
      </w:pPr>
      <w:r w:rsidRPr="0052282D">
        <w:t>Transport Solutions</w:t>
      </w:r>
    </w:p>
    <w:p w:rsidR="00B958B1" w:rsidRDefault="00B958B1" w:rsidP="009F3B54">
      <w:r w:rsidRPr="0052282D">
        <w:t>A suite of infrastructure upgrade projects, mainly focused on road improvements that address transport bottlenecks in regional Victoria.</w:t>
      </w:r>
    </w:p>
    <w:p w:rsidR="00B958B1" w:rsidRPr="0052282D" w:rsidRDefault="00B958B1" w:rsidP="009F3B54">
      <w:r>
        <w:t>This delivers the Government’s election commitment.</w:t>
      </w:r>
    </w:p>
    <w:p w:rsidR="00B958B1" w:rsidRPr="0052282D" w:rsidRDefault="00B958B1" w:rsidP="009F3B54">
      <w:r w:rsidRPr="0052282D">
        <w:t xml:space="preserve">This initiative contributes to </w:t>
      </w:r>
      <w:r>
        <w:t>Department of Transport, Planning and Local Infrastructure’s</w:t>
      </w:r>
      <w:r w:rsidRPr="0052282D">
        <w:t xml:space="preserve"> Road Network Improvements and Ports and Freight</w:t>
      </w:r>
      <w:r>
        <w:fldChar w:fldCharType="begin"/>
      </w:r>
      <w:r>
        <w:instrText xml:space="preserve"> XE "</w:instrText>
      </w:r>
      <w:r w:rsidRPr="001902E6">
        <w:instrText>Freight</w:instrText>
      </w:r>
      <w:r>
        <w:instrText xml:space="preserve">" </w:instrText>
      </w:r>
      <w:r>
        <w:fldChar w:fldCharType="end"/>
      </w:r>
      <w:r w:rsidRPr="0052282D">
        <w:t xml:space="preserve"> Network Improvements and Maintenance outputs.</w:t>
      </w:r>
    </w:p>
    <w:bookmarkEnd w:id="73"/>
    <w:p w:rsidR="00B958B1" w:rsidRDefault="00B958B1" w:rsidP="009F3B54">
      <w:pPr>
        <w:pStyle w:val="Heading4"/>
      </w:pPr>
      <w:r w:rsidRPr="008F0E46">
        <w:t>Transport Safety and Security</w:t>
      </w:r>
    </w:p>
    <w:p w:rsidR="00B958B1" w:rsidRPr="0048326D" w:rsidRDefault="00B958B1" w:rsidP="009F3B54">
      <w:pPr>
        <w:pStyle w:val="Heading5"/>
      </w:pPr>
      <w:r w:rsidRPr="0048326D">
        <w:t>Road Safety Strategy 2013</w:t>
      </w:r>
      <w:r w:rsidR="009F0F49">
        <w:noBreakHyphen/>
      </w:r>
      <w:r w:rsidRPr="0048326D">
        <w:t>2022</w:t>
      </w:r>
    </w:p>
    <w:p w:rsidR="00B958B1" w:rsidRDefault="00B958B1" w:rsidP="009F3B54">
      <w:pPr>
        <w:autoSpaceDE w:val="0"/>
        <w:autoSpaceDN w:val="0"/>
        <w:adjustRightInd w:val="0"/>
      </w:pPr>
      <w:r>
        <w:t>Implementation of Victoria’s Road</w:t>
      </w:r>
      <w:r>
        <w:fldChar w:fldCharType="begin"/>
      </w:r>
      <w:r>
        <w:instrText xml:space="preserve"> XE "</w:instrText>
      </w:r>
      <w:r w:rsidRPr="001902E6">
        <w:instrText>Roads</w:instrText>
      </w:r>
      <w:r>
        <w:instrText xml:space="preserve">" </w:instrText>
      </w:r>
      <w:r>
        <w:fldChar w:fldCharType="end"/>
      </w:r>
      <w:r>
        <w:t xml:space="preserve"> Safety Strategy 2013</w:t>
      </w:r>
      <w:r w:rsidR="009F0F49">
        <w:noBreakHyphen/>
      </w:r>
      <w:r>
        <w:t xml:space="preserve">2022, </w:t>
      </w:r>
      <w:r>
        <w:rPr>
          <w:rFonts w:cs="Garamond"/>
          <w:szCs w:val="22"/>
          <w:lang w:eastAsia="en-AU"/>
        </w:rPr>
        <w:t>with funding of $1 billion over the next 10 years,</w:t>
      </w:r>
      <w:r>
        <w:t xml:space="preserve"> will enable upgrades of the State’s highest risk roads and intersections and other road safety initiatives. </w:t>
      </w:r>
    </w:p>
    <w:p w:rsidR="00B958B1" w:rsidRDefault="00B958B1" w:rsidP="009F3B54">
      <w:r w:rsidRPr="006220DB">
        <w:t>This initiative contributes to the Department of Transport Planning and Local Infrastructure</w:t>
      </w:r>
      <w:r>
        <w:t>’</w:t>
      </w:r>
      <w:r w:rsidRPr="006220DB">
        <w:t>s Transport Safety and Security Management output</w:t>
      </w:r>
      <w:r>
        <w:t xml:space="preserve">. </w:t>
      </w:r>
      <w:r>
        <w:fldChar w:fldCharType="begin"/>
      </w:r>
      <w:r>
        <w:instrText xml:space="preserve"> XE "</w:instrText>
      </w:r>
      <w:r w:rsidRPr="00DC1C0E">
        <w:instrText>Department of Transport, Planning and Local Infrastructure:Asset initiatives</w:instrText>
      </w:r>
      <w:r>
        <w:instrText xml:space="preserve">" \r "BP3Ch1DTPLIAssetInitves" </w:instrText>
      </w:r>
      <w:r>
        <w:fldChar w:fldCharType="end"/>
      </w:r>
    </w:p>
    <w:bookmarkEnd w:id="71"/>
    <w:p w:rsidR="00B958B1" w:rsidRDefault="00B958B1" w:rsidP="009F3B54">
      <w:pPr>
        <w:pStyle w:val="Heading1"/>
      </w:pPr>
      <w:r>
        <w:br w:type="page"/>
      </w:r>
      <w:bookmarkStart w:id="74" w:name="_Toc355248222"/>
      <w:bookmarkStart w:id="75" w:name="_Toc355362274"/>
      <w:r>
        <w:t>Department of Treasury and Finance</w:t>
      </w:r>
      <w:bookmarkEnd w:id="74"/>
      <w:bookmarkEnd w:id="75"/>
    </w:p>
    <w:p w:rsidR="00B958B1" w:rsidRDefault="00B958B1" w:rsidP="009F3B54">
      <w:pPr>
        <w:pStyle w:val="Tableheading"/>
      </w:pPr>
      <w:bookmarkStart w:id="76" w:name="BP3Ch1DTPFOutputInitves"/>
      <w:r>
        <w:t>Table </w:t>
      </w:r>
      <w:r w:rsidRPr="00B10059">
        <w:t>1.</w:t>
      </w:r>
      <w:r>
        <w:t>17</w:t>
      </w:r>
      <w:r w:rsidRPr="00B10059">
        <w:t>:</w:t>
      </w:r>
      <w:r w:rsidRPr="00B10059">
        <w:tab/>
        <w:t>Output initiatives – Treasury and Finance</w:t>
      </w:r>
    </w:p>
    <w:p w:rsidR="00B958B1" w:rsidRPr="009C06AA" w:rsidRDefault="00B958B1" w:rsidP="009F3B5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344"/>
        <w:gridCol w:w="886"/>
        <w:gridCol w:w="886"/>
        <w:gridCol w:w="887"/>
        <w:gridCol w:w="886"/>
        <w:gridCol w:w="887"/>
      </w:tblGrid>
      <w:tr w:rsidR="00B958B1" w:rsidRPr="009C06AA" w:rsidTr="009F3B54">
        <w:tc>
          <w:tcPr>
            <w:tcW w:w="3344" w:type="dxa"/>
            <w:tcBorders>
              <w:top w:val="single" w:sz="6" w:space="0" w:color="auto"/>
              <w:left w:val="single" w:sz="4" w:space="0" w:color="auto"/>
              <w:bottom w:val="single" w:sz="4" w:space="0" w:color="auto"/>
              <w:right w:val="nil"/>
            </w:tcBorders>
            <w:shd w:val="clear" w:color="auto" w:fill="000000"/>
          </w:tcPr>
          <w:p w:rsidR="00B958B1" w:rsidRPr="009C06AA" w:rsidRDefault="00B958B1" w:rsidP="009F3B54">
            <w:pPr>
              <w:pStyle w:val="Tabletext"/>
              <w:rPr>
                <w:lang w:eastAsia="en-AU"/>
              </w:rPr>
            </w:pPr>
          </w:p>
        </w:tc>
        <w:tc>
          <w:tcPr>
            <w:tcW w:w="886" w:type="dxa"/>
            <w:tcBorders>
              <w:top w:val="single" w:sz="6" w:space="0" w:color="auto"/>
              <w:left w:val="nil"/>
              <w:bottom w:val="single" w:sz="4" w:space="0" w:color="auto"/>
              <w:right w:val="nil"/>
            </w:tcBorders>
            <w:shd w:val="clear" w:color="auto" w:fill="000000"/>
          </w:tcPr>
          <w:p w:rsidR="00B958B1" w:rsidRPr="009C06AA" w:rsidRDefault="00B958B1" w:rsidP="009F3B54">
            <w:pPr>
              <w:pStyle w:val="Tabletextheading"/>
              <w:rPr>
                <w:lang w:eastAsia="en-AU"/>
              </w:rPr>
            </w:pPr>
            <w:r w:rsidRPr="009C06AA">
              <w:rPr>
                <w:lang w:eastAsia="en-AU"/>
              </w:rPr>
              <w:t>2012</w:t>
            </w:r>
            <w:r w:rsidR="009F0F49">
              <w:rPr>
                <w:lang w:eastAsia="en-AU"/>
              </w:rPr>
              <w:noBreakHyphen/>
            </w:r>
            <w:r w:rsidRPr="009C06AA">
              <w:rPr>
                <w:lang w:eastAsia="en-AU"/>
              </w:rPr>
              <w:t>13</w:t>
            </w:r>
          </w:p>
        </w:tc>
        <w:tc>
          <w:tcPr>
            <w:tcW w:w="886" w:type="dxa"/>
            <w:tcBorders>
              <w:top w:val="single" w:sz="6" w:space="0" w:color="auto"/>
              <w:left w:val="nil"/>
              <w:bottom w:val="single" w:sz="4" w:space="0" w:color="auto"/>
              <w:right w:val="nil"/>
            </w:tcBorders>
            <w:shd w:val="clear" w:color="auto" w:fill="000000"/>
          </w:tcPr>
          <w:p w:rsidR="00B958B1" w:rsidRPr="009C06AA" w:rsidRDefault="00B958B1" w:rsidP="009F3B54">
            <w:pPr>
              <w:pStyle w:val="Tabletextheading"/>
              <w:rPr>
                <w:lang w:eastAsia="en-AU"/>
              </w:rPr>
            </w:pPr>
            <w:r w:rsidRPr="009C06AA">
              <w:rPr>
                <w:lang w:eastAsia="en-AU"/>
              </w:rPr>
              <w:t>2013</w:t>
            </w:r>
            <w:r w:rsidR="009F0F49">
              <w:rPr>
                <w:lang w:eastAsia="en-AU"/>
              </w:rPr>
              <w:noBreakHyphen/>
            </w:r>
            <w:r w:rsidRPr="009C06AA">
              <w:rPr>
                <w:lang w:eastAsia="en-AU"/>
              </w:rPr>
              <w:t>14</w:t>
            </w:r>
          </w:p>
        </w:tc>
        <w:tc>
          <w:tcPr>
            <w:tcW w:w="887" w:type="dxa"/>
            <w:tcBorders>
              <w:top w:val="single" w:sz="6" w:space="0" w:color="auto"/>
              <w:left w:val="nil"/>
              <w:bottom w:val="single" w:sz="4" w:space="0" w:color="auto"/>
              <w:right w:val="nil"/>
            </w:tcBorders>
            <w:shd w:val="clear" w:color="auto" w:fill="000000"/>
          </w:tcPr>
          <w:p w:rsidR="00B958B1" w:rsidRPr="009C06AA" w:rsidRDefault="00B958B1" w:rsidP="009F3B54">
            <w:pPr>
              <w:pStyle w:val="Tabletextheading"/>
              <w:rPr>
                <w:lang w:eastAsia="en-AU"/>
              </w:rPr>
            </w:pPr>
            <w:r w:rsidRPr="009C06AA">
              <w:rPr>
                <w:lang w:eastAsia="en-AU"/>
              </w:rPr>
              <w:t>2014</w:t>
            </w:r>
            <w:r w:rsidR="009F0F49">
              <w:rPr>
                <w:lang w:eastAsia="en-AU"/>
              </w:rPr>
              <w:noBreakHyphen/>
            </w:r>
            <w:r w:rsidRPr="009C06AA">
              <w:rPr>
                <w:lang w:eastAsia="en-AU"/>
              </w:rPr>
              <w:t>15</w:t>
            </w:r>
          </w:p>
        </w:tc>
        <w:tc>
          <w:tcPr>
            <w:tcW w:w="886" w:type="dxa"/>
            <w:tcBorders>
              <w:top w:val="single" w:sz="6" w:space="0" w:color="auto"/>
              <w:left w:val="nil"/>
              <w:bottom w:val="single" w:sz="4" w:space="0" w:color="auto"/>
              <w:right w:val="nil"/>
            </w:tcBorders>
            <w:shd w:val="clear" w:color="auto" w:fill="000000"/>
          </w:tcPr>
          <w:p w:rsidR="00B958B1" w:rsidRPr="009C06AA" w:rsidRDefault="00B958B1" w:rsidP="009F3B54">
            <w:pPr>
              <w:pStyle w:val="Tabletextheading"/>
              <w:rPr>
                <w:lang w:eastAsia="en-AU"/>
              </w:rPr>
            </w:pPr>
            <w:r w:rsidRPr="009C06AA">
              <w:rPr>
                <w:lang w:eastAsia="en-AU"/>
              </w:rPr>
              <w:t>2015</w:t>
            </w:r>
            <w:r w:rsidR="009F0F49">
              <w:rPr>
                <w:lang w:eastAsia="en-AU"/>
              </w:rPr>
              <w:noBreakHyphen/>
            </w:r>
            <w:r w:rsidRPr="009C06AA">
              <w:rPr>
                <w:lang w:eastAsia="en-AU"/>
              </w:rPr>
              <w:t>16</w:t>
            </w:r>
          </w:p>
        </w:tc>
        <w:tc>
          <w:tcPr>
            <w:tcW w:w="887" w:type="dxa"/>
            <w:tcBorders>
              <w:top w:val="single" w:sz="6" w:space="0" w:color="auto"/>
              <w:left w:val="nil"/>
              <w:bottom w:val="single" w:sz="4" w:space="0" w:color="auto"/>
              <w:right w:val="single" w:sz="4" w:space="0" w:color="auto"/>
            </w:tcBorders>
            <w:shd w:val="clear" w:color="auto" w:fill="000000"/>
          </w:tcPr>
          <w:p w:rsidR="00B958B1" w:rsidRPr="009C06AA" w:rsidRDefault="00B958B1" w:rsidP="009F3B54">
            <w:pPr>
              <w:pStyle w:val="Tabletextheading"/>
              <w:rPr>
                <w:lang w:eastAsia="en-AU"/>
              </w:rPr>
            </w:pPr>
            <w:r w:rsidRPr="009C06AA">
              <w:rPr>
                <w:lang w:eastAsia="en-AU"/>
              </w:rPr>
              <w:t>2016</w:t>
            </w:r>
            <w:r w:rsidR="009F0F49">
              <w:rPr>
                <w:lang w:eastAsia="en-AU"/>
              </w:rPr>
              <w:noBreakHyphen/>
            </w:r>
            <w:r w:rsidRPr="009C06AA">
              <w:rPr>
                <w:lang w:eastAsia="en-AU"/>
              </w:rPr>
              <w:t>17</w:t>
            </w:r>
          </w:p>
        </w:tc>
      </w:tr>
      <w:tr w:rsidR="00B958B1" w:rsidRPr="009C06AA" w:rsidTr="009F3B54">
        <w:tc>
          <w:tcPr>
            <w:tcW w:w="3344" w:type="dxa"/>
            <w:tcBorders>
              <w:top w:val="single" w:sz="4" w:space="0" w:color="auto"/>
              <w:left w:val="nil"/>
              <w:bottom w:val="nil"/>
              <w:right w:val="nil"/>
            </w:tcBorders>
          </w:tcPr>
          <w:p w:rsidR="00B958B1" w:rsidRPr="009C06AA" w:rsidRDefault="00B958B1" w:rsidP="009F3B54">
            <w:pPr>
              <w:pStyle w:val="Tabletext"/>
              <w:rPr>
                <w:b/>
                <w:bCs/>
                <w:lang w:eastAsia="en-AU"/>
              </w:rPr>
            </w:pPr>
            <w:r w:rsidRPr="009C06AA">
              <w:rPr>
                <w:b/>
                <w:bCs/>
                <w:lang w:eastAsia="en-AU"/>
              </w:rPr>
              <w:t>Regulatory Services</w:t>
            </w:r>
          </w:p>
        </w:tc>
        <w:tc>
          <w:tcPr>
            <w:tcW w:w="886" w:type="dxa"/>
            <w:tcBorders>
              <w:top w:val="single" w:sz="4" w:space="0" w:color="auto"/>
              <w:left w:val="nil"/>
              <w:bottom w:val="nil"/>
              <w:right w:val="nil"/>
            </w:tcBorders>
            <w:shd w:val="solid" w:color="FFFFFF" w:fill="auto"/>
          </w:tcPr>
          <w:p w:rsidR="00B958B1" w:rsidRPr="009C06AA" w:rsidRDefault="00B958B1" w:rsidP="009F3B54">
            <w:pPr>
              <w:pStyle w:val="TableofFigures"/>
              <w:rPr>
                <w:lang w:eastAsia="en-AU"/>
              </w:rPr>
            </w:pPr>
          </w:p>
        </w:tc>
        <w:tc>
          <w:tcPr>
            <w:tcW w:w="886" w:type="dxa"/>
            <w:tcBorders>
              <w:top w:val="single" w:sz="4" w:space="0" w:color="auto"/>
              <w:left w:val="nil"/>
              <w:bottom w:val="nil"/>
              <w:right w:val="nil"/>
            </w:tcBorders>
          </w:tcPr>
          <w:p w:rsidR="00B958B1" w:rsidRPr="009C06AA" w:rsidRDefault="00B958B1" w:rsidP="009F3B54">
            <w:pPr>
              <w:pStyle w:val="TableofFigures"/>
              <w:rPr>
                <w:lang w:eastAsia="en-AU"/>
              </w:rPr>
            </w:pPr>
          </w:p>
        </w:tc>
        <w:tc>
          <w:tcPr>
            <w:tcW w:w="887" w:type="dxa"/>
            <w:tcBorders>
              <w:top w:val="single" w:sz="4" w:space="0" w:color="auto"/>
              <w:left w:val="nil"/>
              <w:bottom w:val="nil"/>
              <w:right w:val="nil"/>
            </w:tcBorders>
            <w:shd w:val="solid" w:color="FFFFFF" w:fill="auto"/>
          </w:tcPr>
          <w:p w:rsidR="00B958B1" w:rsidRPr="009C06AA" w:rsidRDefault="00B958B1" w:rsidP="009F3B54">
            <w:pPr>
              <w:pStyle w:val="TableofFigures"/>
              <w:rPr>
                <w:lang w:eastAsia="en-AU"/>
              </w:rPr>
            </w:pPr>
          </w:p>
        </w:tc>
        <w:tc>
          <w:tcPr>
            <w:tcW w:w="886" w:type="dxa"/>
            <w:tcBorders>
              <w:top w:val="single" w:sz="4" w:space="0" w:color="auto"/>
              <w:left w:val="nil"/>
              <w:bottom w:val="nil"/>
              <w:right w:val="nil"/>
            </w:tcBorders>
            <w:shd w:val="solid" w:color="FFFFFF" w:fill="auto"/>
          </w:tcPr>
          <w:p w:rsidR="00B958B1" w:rsidRPr="009C06AA" w:rsidRDefault="00B958B1" w:rsidP="009F3B54">
            <w:pPr>
              <w:pStyle w:val="TableofFigures"/>
              <w:rPr>
                <w:lang w:eastAsia="en-AU"/>
              </w:rPr>
            </w:pPr>
          </w:p>
        </w:tc>
        <w:tc>
          <w:tcPr>
            <w:tcW w:w="887" w:type="dxa"/>
            <w:tcBorders>
              <w:top w:val="single" w:sz="4" w:space="0" w:color="auto"/>
              <w:left w:val="nil"/>
              <w:bottom w:val="nil"/>
              <w:right w:val="nil"/>
            </w:tcBorders>
            <w:shd w:val="solid" w:color="FFFFFF" w:fill="auto"/>
          </w:tcPr>
          <w:p w:rsidR="00B958B1" w:rsidRPr="009C06AA" w:rsidRDefault="00B958B1" w:rsidP="009F3B54">
            <w:pPr>
              <w:pStyle w:val="TableofFigures"/>
              <w:rPr>
                <w:lang w:eastAsia="en-AU"/>
              </w:rPr>
            </w:pPr>
          </w:p>
        </w:tc>
      </w:tr>
      <w:tr w:rsidR="00B958B1" w:rsidRPr="009C06AA" w:rsidTr="009F3B54">
        <w:tc>
          <w:tcPr>
            <w:tcW w:w="3344" w:type="dxa"/>
            <w:tcBorders>
              <w:top w:val="nil"/>
              <w:left w:val="nil"/>
              <w:bottom w:val="nil"/>
              <w:right w:val="nil"/>
            </w:tcBorders>
          </w:tcPr>
          <w:p w:rsidR="00B958B1" w:rsidRPr="009C06AA" w:rsidRDefault="00B958B1" w:rsidP="009F3B54">
            <w:pPr>
              <w:pStyle w:val="Tabletext"/>
              <w:rPr>
                <w:lang w:eastAsia="en-AU"/>
              </w:rPr>
            </w:pPr>
            <w:r w:rsidRPr="009C06AA">
              <w:rPr>
                <w:lang w:eastAsia="en-AU"/>
              </w:rPr>
              <w:t>Es</w:t>
            </w:r>
            <w:r>
              <w:rPr>
                <w:lang w:eastAsia="en-AU"/>
              </w:rPr>
              <w:t>sential Services Commission non</w:t>
            </w:r>
            <w:r w:rsidR="009F0F49">
              <w:rPr>
                <w:lang w:eastAsia="en-AU"/>
              </w:rPr>
              <w:noBreakHyphen/>
            </w:r>
            <w:r w:rsidRPr="009C06AA">
              <w:rPr>
                <w:lang w:eastAsia="en-AU"/>
              </w:rPr>
              <w:t>transferred energy functions</w:t>
            </w:r>
          </w:p>
        </w:tc>
        <w:tc>
          <w:tcPr>
            <w:tcW w:w="886" w:type="dxa"/>
            <w:tcBorders>
              <w:top w:val="nil"/>
              <w:left w:val="nil"/>
              <w:bottom w:val="nil"/>
              <w:right w:val="nil"/>
            </w:tcBorders>
            <w:shd w:val="solid" w:color="FFFFFF" w:fill="auto"/>
          </w:tcPr>
          <w:p w:rsidR="00B958B1" w:rsidRPr="009C06AA" w:rsidRDefault="00B958B1" w:rsidP="009F3B54">
            <w:pPr>
              <w:pStyle w:val="TableofFigures"/>
              <w:rPr>
                <w:lang w:eastAsia="en-AU"/>
              </w:rPr>
            </w:pPr>
            <w:r w:rsidRPr="009C06AA">
              <w:rPr>
                <w:lang w:eastAsia="en-AU"/>
              </w:rPr>
              <w:t>1.4</w:t>
            </w:r>
          </w:p>
        </w:tc>
        <w:tc>
          <w:tcPr>
            <w:tcW w:w="886"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1.7</w:t>
            </w:r>
          </w:p>
        </w:tc>
        <w:tc>
          <w:tcPr>
            <w:tcW w:w="887" w:type="dxa"/>
            <w:tcBorders>
              <w:top w:val="nil"/>
              <w:left w:val="nil"/>
              <w:bottom w:val="nil"/>
              <w:right w:val="nil"/>
            </w:tcBorders>
            <w:shd w:val="solid" w:color="FFFFFF" w:fill="auto"/>
          </w:tcPr>
          <w:p w:rsidR="00B958B1" w:rsidRPr="009C06AA" w:rsidRDefault="00B958B1" w:rsidP="009F3B54">
            <w:pPr>
              <w:pStyle w:val="TableofFigures"/>
              <w:rPr>
                <w:lang w:eastAsia="en-AU"/>
              </w:rPr>
            </w:pPr>
            <w:r w:rsidRPr="009C06AA">
              <w:rPr>
                <w:lang w:eastAsia="en-AU"/>
              </w:rPr>
              <w:t>..</w:t>
            </w:r>
          </w:p>
        </w:tc>
        <w:tc>
          <w:tcPr>
            <w:tcW w:w="886" w:type="dxa"/>
            <w:tcBorders>
              <w:top w:val="nil"/>
              <w:left w:val="nil"/>
              <w:bottom w:val="nil"/>
              <w:right w:val="nil"/>
            </w:tcBorders>
            <w:shd w:val="solid" w:color="FFFFFF" w:fill="auto"/>
          </w:tcPr>
          <w:p w:rsidR="00B958B1" w:rsidRPr="009C06AA" w:rsidRDefault="00B958B1" w:rsidP="009F3B54">
            <w:pPr>
              <w:pStyle w:val="TableofFigures"/>
              <w:rPr>
                <w:lang w:eastAsia="en-AU"/>
              </w:rPr>
            </w:pPr>
            <w:r w:rsidRPr="009C06AA">
              <w:rPr>
                <w:lang w:eastAsia="en-AU"/>
              </w:rPr>
              <w:t>..</w:t>
            </w:r>
          </w:p>
        </w:tc>
        <w:tc>
          <w:tcPr>
            <w:tcW w:w="887" w:type="dxa"/>
            <w:tcBorders>
              <w:top w:val="nil"/>
              <w:left w:val="nil"/>
              <w:bottom w:val="nil"/>
              <w:right w:val="nil"/>
            </w:tcBorders>
            <w:shd w:val="solid" w:color="FFFFFF" w:fill="auto"/>
          </w:tcPr>
          <w:p w:rsidR="00B958B1" w:rsidRPr="009C06AA" w:rsidRDefault="00B958B1" w:rsidP="009F3B54">
            <w:pPr>
              <w:pStyle w:val="TableofFigures"/>
              <w:rPr>
                <w:lang w:eastAsia="en-AU"/>
              </w:rPr>
            </w:pPr>
            <w:r w:rsidRPr="009C06AA">
              <w:rPr>
                <w:lang w:eastAsia="en-AU"/>
              </w:rPr>
              <w:t>..</w:t>
            </w:r>
          </w:p>
        </w:tc>
      </w:tr>
      <w:tr w:rsidR="00B958B1" w:rsidRPr="009C06AA" w:rsidTr="009F3B54">
        <w:tc>
          <w:tcPr>
            <w:tcW w:w="3344" w:type="dxa"/>
            <w:tcBorders>
              <w:top w:val="nil"/>
              <w:left w:val="nil"/>
              <w:bottom w:val="nil"/>
              <w:right w:val="nil"/>
            </w:tcBorders>
          </w:tcPr>
          <w:p w:rsidR="00B958B1" w:rsidRPr="009C06AA" w:rsidRDefault="00B958B1" w:rsidP="009F3B54">
            <w:pPr>
              <w:pStyle w:val="Tabletext"/>
              <w:rPr>
                <w:b/>
                <w:bCs/>
                <w:lang w:eastAsia="en-AU"/>
              </w:rPr>
            </w:pPr>
            <w:r w:rsidRPr="009C06AA">
              <w:rPr>
                <w:b/>
                <w:bCs/>
                <w:lang w:eastAsia="en-AU"/>
              </w:rPr>
              <w:t>Revenue Management Services</w:t>
            </w:r>
          </w:p>
        </w:tc>
        <w:tc>
          <w:tcPr>
            <w:tcW w:w="886" w:type="dxa"/>
            <w:tcBorders>
              <w:top w:val="nil"/>
              <w:left w:val="nil"/>
              <w:bottom w:val="nil"/>
              <w:right w:val="nil"/>
            </w:tcBorders>
            <w:shd w:val="solid" w:color="FFFFFF" w:fill="auto"/>
          </w:tcPr>
          <w:p w:rsidR="00B958B1" w:rsidRPr="009C06AA" w:rsidRDefault="00B958B1" w:rsidP="009F3B54">
            <w:pPr>
              <w:pStyle w:val="TableofFigures"/>
              <w:rPr>
                <w:lang w:eastAsia="en-AU"/>
              </w:rPr>
            </w:pPr>
          </w:p>
        </w:tc>
        <w:tc>
          <w:tcPr>
            <w:tcW w:w="886" w:type="dxa"/>
            <w:tcBorders>
              <w:top w:val="nil"/>
              <w:left w:val="nil"/>
              <w:bottom w:val="nil"/>
              <w:right w:val="nil"/>
            </w:tcBorders>
          </w:tcPr>
          <w:p w:rsidR="00B958B1" w:rsidRPr="009C06AA" w:rsidRDefault="00B958B1" w:rsidP="009F3B54">
            <w:pPr>
              <w:pStyle w:val="TableofFigures"/>
              <w:rPr>
                <w:lang w:eastAsia="en-AU"/>
              </w:rPr>
            </w:pPr>
          </w:p>
        </w:tc>
        <w:tc>
          <w:tcPr>
            <w:tcW w:w="887" w:type="dxa"/>
            <w:tcBorders>
              <w:top w:val="nil"/>
              <w:left w:val="nil"/>
              <w:bottom w:val="nil"/>
              <w:right w:val="nil"/>
            </w:tcBorders>
            <w:shd w:val="solid" w:color="FFFFFF" w:fill="auto"/>
          </w:tcPr>
          <w:p w:rsidR="00B958B1" w:rsidRPr="009C06AA" w:rsidRDefault="00B958B1" w:rsidP="009F3B54">
            <w:pPr>
              <w:pStyle w:val="TableofFigures"/>
              <w:rPr>
                <w:lang w:eastAsia="en-AU"/>
              </w:rPr>
            </w:pPr>
          </w:p>
        </w:tc>
        <w:tc>
          <w:tcPr>
            <w:tcW w:w="886" w:type="dxa"/>
            <w:tcBorders>
              <w:top w:val="nil"/>
              <w:left w:val="nil"/>
              <w:bottom w:val="nil"/>
              <w:right w:val="nil"/>
            </w:tcBorders>
            <w:shd w:val="solid" w:color="FFFFFF" w:fill="auto"/>
          </w:tcPr>
          <w:p w:rsidR="00B958B1" w:rsidRPr="009C06AA" w:rsidRDefault="00B958B1" w:rsidP="009F3B54">
            <w:pPr>
              <w:pStyle w:val="TableofFigures"/>
              <w:rPr>
                <w:lang w:eastAsia="en-AU"/>
              </w:rPr>
            </w:pPr>
          </w:p>
        </w:tc>
        <w:tc>
          <w:tcPr>
            <w:tcW w:w="887" w:type="dxa"/>
            <w:tcBorders>
              <w:top w:val="nil"/>
              <w:left w:val="nil"/>
              <w:bottom w:val="nil"/>
              <w:right w:val="nil"/>
            </w:tcBorders>
            <w:shd w:val="solid" w:color="FFFFFF" w:fill="auto"/>
          </w:tcPr>
          <w:p w:rsidR="00B958B1" w:rsidRPr="009C06AA" w:rsidRDefault="00B958B1" w:rsidP="009F3B54">
            <w:pPr>
              <w:pStyle w:val="TableofFigures"/>
              <w:rPr>
                <w:lang w:eastAsia="en-AU"/>
              </w:rPr>
            </w:pPr>
          </w:p>
        </w:tc>
      </w:tr>
      <w:tr w:rsidR="00B958B1" w:rsidRPr="009C06AA" w:rsidTr="009F3B54">
        <w:tc>
          <w:tcPr>
            <w:tcW w:w="3344" w:type="dxa"/>
            <w:tcBorders>
              <w:top w:val="nil"/>
              <w:left w:val="nil"/>
              <w:bottom w:val="nil"/>
              <w:right w:val="nil"/>
            </w:tcBorders>
          </w:tcPr>
          <w:p w:rsidR="00B958B1" w:rsidRPr="009C06AA" w:rsidRDefault="00B958B1" w:rsidP="009F3B54">
            <w:pPr>
              <w:pStyle w:val="Tabletext"/>
              <w:rPr>
                <w:lang w:eastAsia="en-AU"/>
              </w:rPr>
            </w:pPr>
            <w:r w:rsidRPr="009C06AA">
              <w:rPr>
                <w:lang w:eastAsia="en-AU"/>
              </w:rPr>
              <w:t>Land tax compliance</w:t>
            </w:r>
          </w:p>
        </w:tc>
        <w:tc>
          <w:tcPr>
            <w:tcW w:w="886" w:type="dxa"/>
            <w:tcBorders>
              <w:top w:val="nil"/>
              <w:left w:val="nil"/>
              <w:bottom w:val="nil"/>
              <w:right w:val="nil"/>
            </w:tcBorders>
            <w:shd w:val="solid" w:color="FFFFFF" w:fill="auto"/>
          </w:tcPr>
          <w:p w:rsidR="00B958B1" w:rsidRPr="009C06AA" w:rsidRDefault="00B958B1" w:rsidP="009F3B54">
            <w:pPr>
              <w:pStyle w:val="TableofFigures"/>
              <w:rPr>
                <w:lang w:eastAsia="en-AU"/>
              </w:rPr>
            </w:pPr>
            <w:r w:rsidRPr="009C06AA">
              <w:rPr>
                <w:lang w:eastAsia="en-AU"/>
              </w:rPr>
              <w:t>..</w:t>
            </w:r>
          </w:p>
        </w:tc>
        <w:tc>
          <w:tcPr>
            <w:tcW w:w="886"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4.8</w:t>
            </w:r>
          </w:p>
        </w:tc>
        <w:tc>
          <w:tcPr>
            <w:tcW w:w="887"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2.8</w:t>
            </w:r>
          </w:p>
        </w:tc>
        <w:tc>
          <w:tcPr>
            <w:tcW w:w="886"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2.9</w:t>
            </w:r>
          </w:p>
        </w:tc>
        <w:tc>
          <w:tcPr>
            <w:tcW w:w="887" w:type="dxa"/>
            <w:tcBorders>
              <w:top w:val="nil"/>
              <w:left w:val="nil"/>
              <w:bottom w:val="nil"/>
              <w:right w:val="nil"/>
            </w:tcBorders>
            <w:shd w:val="solid" w:color="FFFFFF" w:fill="auto"/>
          </w:tcPr>
          <w:p w:rsidR="00B958B1" w:rsidRPr="009C06AA" w:rsidRDefault="00B958B1" w:rsidP="009F3B54">
            <w:pPr>
              <w:pStyle w:val="TableofFigures"/>
              <w:rPr>
                <w:lang w:eastAsia="en-AU"/>
              </w:rPr>
            </w:pPr>
            <w:r w:rsidRPr="009C06AA">
              <w:rPr>
                <w:lang w:eastAsia="en-AU"/>
              </w:rPr>
              <w:t>..</w:t>
            </w:r>
          </w:p>
        </w:tc>
      </w:tr>
      <w:tr w:rsidR="00B958B1" w:rsidRPr="009C06AA" w:rsidTr="009F3B54">
        <w:tc>
          <w:tcPr>
            <w:tcW w:w="3344" w:type="dxa"/>
            <w:tcBorders>
              <w:top w:val="single" w:sz="6" w:space="0" w:color="auto"/>
              <w:left w:val="nil"/>
              <w:bottom w:val="single" w:sz="6" w:space="0" w:color="auto"/>
              <w:right w:val="nil"/>
            </w:tcBorders>
          </w:tcPr>
          <w:p w:rsidR="00B958B1" w:rsidRPr="009C06AA" w:rsidRDefault="00B958B1" w:rsidP="009F3B54">
            <w:pPr>
              <w:pStyle w:val="Tabletext"/>
              <w:rPr>
                <w:b/>
                <w:bCs/>
                <w:lang w:eastAsia="en-AU"/>
              </w:rPr>
            </w:pPr>
            <w:r>
              <w:rPr>
                <w:b/>
                <w:bCs/>
                <w:lang w:eastAsia="en-AU"/>
              </w:rPr>
              <w:t>Sub total</w:t>
            </w:r>
            <w:r w:rsidRPr="009C06AA">
              <w:rPr>
                <w:b/>
                <w:bCs/>
                <w:lang w:eastAsia="en-AU"/>
              </w:rPr>
              <w:t xml:space="preserve"> output initiatives</w:t>
            </w:r>
          </w:p>
        </w:tc>
        <w:tc>
          <w:tcPr>
            <w:tcW w:w="886" w:type="dxa"/>
            <w:tcBorders>
              <w:top w:val="single" w:sz="6" w:space="0" w:color="auto"/>
              <w:left w:val="nil"/>
              <w:bottom w:val="single" w:sz="6" w:space="0" w:color="auto"/>
              <w:right w:val="nil"/>
            </w:tcBorders>
          </w:tcPr>
          <w:p w:rsidR="00B958B1" w:rsidRPr="009C06AA" w:rsidRDefault="00B958B1" w:rsidP="009F3B54">
            <w:pPr>
              <w:pStyle w:val="TableofFigures"/>
              <w:rPr>
                <w:b/>
                <w:bCs/>
                <w:lang w:eastAsia="en-AU"/>
              </w:rPr>
            </w:pPr>
            <w:r w:rsidRPr="009C06AA">
              <w:rPr>
                <w:b/>
                <w:bCs/>
                <w:lang w:eastAsia="en-AU"/>
              </w:rPr>
              <w:t>1.4</w:t>
            </w:r>
          </w:p>
        </w:tc>
        <w:tc>
          <w:tcPr>
            <w:tcW w:w="886" w:type="dxa"/>
            <w:tcBorders>
              <w:top w:val="single" w:sz="6" w:space="0" w:color="auto"/>
              <w:left w:val="nil"/>
              <w:bottom w:val="single" w:sz="6" w:space="0" w:color="auto"/>
              <w:right w:val="nil"/>
            </w:tcBorders>
          </w:tcPr>
          <w:p w:rsidR="00B958B1" w:rsidRPr="009C06AA" w:rsidRDefault="00B958B1" w:rsidP="009F3B54">
            <w:pPr>
              <w:pStyle w:val="TableofFigures"/>
              <w:rPr>
                <w:b/>
                <w:bCs/>
                <w:lang w:eastAsia="en-AU"/>
              </w:rPr>
            </w:pPr>
            <w:r w:rsidRPr="009C06AA">
              <w:rPr>
                <w:b/>
                <w:bCs/>
                <w:lang w:eastAsia="en-AU"/>
              </w:rPr>
              <w:t>6.5</w:t>
            </w:r>
          </w:p>
        </w:tc>
        <w:tc>
          <w:tcPr>
            <w:tcW w:w="887" w:type="dxa"/>
            <w:tcBorders>
              <w:top w:val="single" w:sz="6" w:space="0" w:color="auto"/>
              <w:left w:val="nil"/>
              <w:bottom w:val="single" w:sz="6" w:space="0" w:color="auto"/>
              <w:right w:val="nil"/>
            </w:tcBorders>
          </w:tcPr>
          <w:p w:rsidR="00B958B1" w:rsidRPr="009C06AA" w:rsidRDefault="00B958B1" w:rsidP="009F3B54">
            <w:pPr>
              <w:pStyle w:val="TableofFigures"/>
              <w:rPr>
                <w:b/>
                <w:bCs/>
                <w:lang w:eastAsia="en-AU"/>
              </w:rPr>
            </w:pPr>
            <w:r w:rsidRPr="009C06AA">
              <w:rPr>
                <w:b/>
                <w:bCs/>
                <w:lang w:eastAsia="en-AU"/>
              </w:rPr>
              <w:t>2.8</w:t>
            </w:r>
          </w:p>
        </w:tc>
        <w:tc>
          <w:tcPr>
            <w:tcW w:w="886" w:type="dxa"/>
            <w:tcBorders>
              <w:top w:val="single" w:sz="6" w:space="0" w:color="auto"/>
              <w:left w:val="nil"/>
              <w:bottom w:val="single" w:sz="6" w:space="0" w:color="auto"/>
              <w:right w:val="nil"/>
            </w:tcBorders>
          </w:tcPr>
          <w:p w:rsidR="00B958B1" w:rsidRPr="009C06AA" w:rsidRDefault="00B958B1" w:rsidP="009F3B54">
            <w:pPr>
              <w:pStyle w:val="TableofFigures"/>
              <w:rPr>
                <w:b/>
                <w:bCs/>
                <w:lang w:eastAsia="en-AU"/>
              </w:rPr>
            </w:pPr>
            <w:r w:rsidRPr="009C06AA">
              <w:rPr>
                <w:b/>
                <w:bCs/>
                <w:lang w:eastAsia="en-AU"/>
              </w:rPr>
              <w:t>2.9</w:t>
            </w:r>
          </w:p>
        </w:tc>
        <w:tc>
          <w:tcPr>
            <w:tcW w:w="887" w:type="dxa"/>
            <w:tcBorders>
              <w:top w:val="single" w:sz="6" w:space="0" w:color="auto"/>
              <w:left w:val="nil"/>
              <w:bottom w:val="single" w:sz="6" w:space="0" w:color="auto"/>
              <w:right w:val="nil"/>
            </w:tcBorders>
          </w:tcPr>
          <w:p w:rsidR="00B958B1" w:rsidRPr="009C06AA" w:rsidRDefault="00B958B1" w:rsidP="009F3B54">
            <w:pPr>
              <w:pStyle w:val="TableofFigures"/>
              <w:rPr>
                <w:b/>
                <w:bCs/>
                <w:lang w:eastAsia="en-AU"/>
              </w:rPr>
            </w:pPr>
            <w:r w:rsidRPr="009C06AA">
              <w:rPr>
                <w:b/>
                <w:bCs/>
                <w:lang w:eastAsia="en-AU"/>
              </w:rPr>
              <w:t>..</w:t>
            </w:r>
          </w:p>
        </w:tc>
      </w:tr>
      <w:tr w:rsidR="00B958B1" w:rsidRPr="009C06AA" w:rsidTr="009F3B54">
        <w:tc>
          <w:tcPr>
            <w:tcW w:w="3344" w:type="dxa"/>
            <w:tcBorders>
              <w:top w:val="single" w:sz="6" w:space="0" w:color="auto"/>
              <w:left w:val="nil"/>
              <w:bottom w:val="nil"/>
              <w:right w:val="nil"/>
            </w:tcBorders>
          </w:tcPr>
          <w:p w:rsidR="00B958B1" w:rsidRPr="009C06AA" w:rsidRDefault="00B958B1" w:rsidP="009F3B54">
            <w:pPr>
              <w:pStyle w:val="Tabletext"/>
              <w:rPr>
                <w:lang w:eastAsia="en-AU"/>
              </w:rPr>
            </w:pPr>
            <w:r w:rsidRPr="009C06AA">
              <w:rPr>
                <w:lang w:eastAsia="en-AU"/>
              </w:rPr>
              <w:t>Existing resources</w:t>
            </w:r>
          </w:p>
        </w:tc>
        <w:tc>
          <w:tcPr>
            <w:tcW w:w="886" w:type="dxa"/>
            <w:tcBorders>
              <w:top w:val="single" w:sz="6" w:space="0" w:color="auto"/>
              <w:left w:val="nil"/>
              <w:bottom w:val="single" w:sz="6" w:space="0" w:color="auto"/>
              <w:right w:val="nil"/>
            </w:tcBorders>
          </w:tcPr>
          <w:p w:rsidR="00B958B1" w:rsidRPr="009C06AA" w:rsidRDefault="00B958B1" w:rsidP="009F3B54">
            <w:pPr>
              <w:pStyle w:val="TableofFigures"/>
              <w:rPr>
                <w:lang w:eastAsia="en-AU"/>
              </w:rPr>
            </w:pPr>
            <w:r w:rsidRPr="009C06AA">
              <w:rPr>
                <w:lang w:eastAsia="en-AU"/>
              </w:rPr>
              <w:t>..</w:t>
            </w:r>
          </w:p>
        </w:tc>
        <w:tc>
          <w:tcPr>
            <w:tcW w:w="886" w:type="dxa"/>
            <w:tcBorders>
              <w:top w:val="single" w:sz="6" w:space="0" w:color="auto"/>
              <w:left w:val="nil"/>
              <w:bottom w:val="single" w:sz="6" w:space="0" w:color="auto"/>
              <w:right w:val="nil"/>
            </w:tcBorders>
          </w:tcPr>
          <w:p w:rsidR="00B958B1" w:rsidRPr="009C06AA" w:rsidRDefault="00B958B1" w:rsidP="009F3B54">
            <w:pPr>
              <w:pStyle w:val="TableofFigures"/>
              <w:rPr>
                <w:lang w:eastAsia="en-AU"/>
              </w:rPr>
            </w:pPr>
            <w:r w:rsidRPr="009C06AA">
              <w:rPr>
                <w:lang w:eastAsia="en-AU"/>
              </w:rPr>
              <w:t>..</w:t>
            </w:r>
          </w:p>
        </w:tc>
        <w:tc>
          <w:tcPr>
            <w:tcW w:w="887" w:type="dxa"/>
            <w:tcBorders>
              <w:top w:val="single" w:sz="6" w:space="0" w:color="auto"/>
              <w:left w:val="nil"/>
              <w:bottom w:val="single" w:sz="6" w:space="0" w:color="auto"/>
              <w:right w:val="nil"/>
            </w:tcBorders>
          </w:tcPr>
          <w:p w:rsidR="00B958B1" w:rsidRPr="009C06AA" w:rsidRDefault="00B958B1" w:rsidP="009F3B54">
            <w:pPr>
              <w:pStyle w:val="TableofFigures"/>
              <w:rPr>
                <w:lang w:eastAsia="en-AU"/>
              </w:rPr>
            </w:pPr>
            <w:r w:rsidRPr="009C06AA">
              <w:rPr>
                <w:lang w:eastAsia="en-AU"/>
              </w:rPr>
              <w:t>..</w:t>
            </w:r>
          </w:p>
        </w:tc>
        <w:tc>
          <w:tcPr>
            <w:tcW w:w="886" w:type="dxa"/>
            <w:tcBorders>
              <w:top w:val="single" w:sz="6" w:space="0" w:color="auto"/>
              <w:left w:val="nil"/>
              <w:bottom w:val="single" w:sz="6" w:space="0" w:color="auto"/>
              <w:right w:val="nil"/>
            </w:tcBorders>
          </w:tcPr>
          <w:p w:rsidR="00B958B1" w:rsidRPr="009C06AA" w:rsidRDefault="00B958B1" w:rsidP="009F3B54">
            <w:pPr>
              <w:pStyle w:val="TableofFigures"/>
              <w:rPr>
                <w:lang w:eastAsia="en-AU"/>
              </w:rPr>
            </w:pPr>
            <w:r w:rsidRPr="009C06AA">
              <w:rPr>
                <w:lang w:eastAsia="en-AU"/>
              </w:rPr>
              <w:t>..</w:t>
            </w:r>
          </w:p>
        </w:tc>
        <w:tc>
          <w:tcPr>
            <w:tcW w:w="887" w:type="dxa"/>
            <w:tcBorders>
              <w:top w:val="single" w:sz="6" w:space="0" w:color="auto"/>
              <w:left w:val="nil"/>
              <w:bottom w:val="single" w:sz="6" w:space="0" w:color="auto"/>
              <w:right w:val="nil"/>
            </w:tcBorders>
          </w:tcPr>
          <w:p w:rsidR="00B958B1" w:rsidRPr="009C06AA" w:rsidRDefault="00B958B1" w:rsidP="009F3B54">
            <w:pPr>
              <w:pStyle w:val="TableofFigures"/>
              <w:rPr>
                <w:lang w:eastAsia="en-AU"/>
              </w:rPr>
            </w:pPr>
            <w:r w:rsidRPr="009C06AA">
              <w:rPr>
                <w:lang w:eastAsia="en-AU"/>
              </w:rPr>
              <w:t>..</w:t>
            </w:r>
          </w:p>
        </w:tc>
      </w:tr>
      <w:tr w:rsidR="00B958B1" w:rsidRPr="009C06AA" w:rsidTr="009F3B54">
        <w:tc>
          <w:tcPr>
            <w:tcW w:w="3344" w:type="dxa"/>
            <w:tcBorders>
              <w:top w:val="single" w:sz="6" w:space="0" w:color="auto"/>
              <w:left w:val="nil"/>
              <w:bottom w:val="single" w:sz="12" w:space="0" w:color="auto"/>
              <w:right w:val="nil"/>
            </w:tcBorders>
          </w:tcPr>
          <w:p w:rsidR="00B958B1" w:rsidRPr="009C06AA" w:rsidRDefault="00B958B1" w:rsidP="009F3B54">
            <w:pPr>
              <w:pStyle w:val="Tabletext"/>
              <w:rPr>
                <w:b/>
                <w:bCs/>
                <w:lang w:eastAsia="en-AU"/>
              </w:rPr>
            </w:pPr>
            <w:r w:rsidRPr="009C06AA">
              <w:rPr>
                <w:b/>
                <w:bCs/>
                <w:lang w:eastAsia="en-AU"/>
              </w:rPr>
              <w:t>Total output initiatives</w:t>
            </w:r>
          </w:p>
        </w:tc>
        <w:tc>
          <w:tcPr>
            <w:tcW w:w="886" w:type="dxa"/>
            <w:tcBorders>
              <w:top w:val="single" w:sz="6" w:space="0" w:color="auto"/>
              <w:left w:val="nil"/>
              <w:bottom w:val="single" w:sz="12" w:space="0" w:color="auto"/>
              <w:right w:val="nil"/>
            </w:tcBorders>
          </w:tcPr>
          <w:p w:rsidR="00B958B1" w:rsidRPr="009C06AA" w:rsidRDefault="00B958B1" w:rsidP="009F3B54">
            <w:pPr>
              <w:pStyle w:val="TableofFigures"/>
              <w:rPr>
                <w:b/>
                <w:bCs/>
                <w:lang w:eastAsia="en-AU"/>
              </w:rPr>
            </w:pPr>
            <w:r w:rsidRPr="009C06AA">
              <w:rPr>
                <w:b/>
                <w:bCs/>
                <w:lang w:eastAsia="en-AU"/>
              </w:rPr>
              <w:t>1.4</w:t>
            </w:r>
          </w:p>
        </w:tc>
        <w:tc>
          <w:tcPr>
            <w:tcW w:w="886" w:type="dxa"/>
            <w:tcBorders>
              <w:top w:val="single" w:sz="6" w:space="0" w:color="auto"/>
              <w:left w:val="nil"/>
              <w:bottom w:val="single" w:sz="12" w:space="0" w:color="auto"/>
              <w:right w:val="nil"/>
            </w:tcBorders>
          </w:tcPr>
          <w:p w:rsidR="00B958B1" w:rsidRPr="009C06AA" w:rsidRDefault="00B958B1" w:rsidP="009F3B54">
            <w:pPr>
              <w:pStyle w:val="TableofFigures"/>
              <w:rPr>
                <w:b/>
                <w:bCs/>
                <w:lang w:eastAsia="en-AU"/>
              </w:rPr>
            </w:pPr>
            <w:r w:rsidRPr="009C06AA">
              <w:rPr>
                <w:b/>
                <w:bCs/>
                <w:lang w:eastAsia="en-AU"/>
              </w:rPr>
              <w:t>6.5</w:t>
            </w:r>
          </w:p>
        </w:tc>
        <w:tc>
          <w:tcPr>
            <w:tcW w:w="887" w:type="dxa"/>
            <w:tcBorders>
              <w:top w:val="single" w:sz="6" w:space="0" w:color="auto"/>
              <w:left w:val="nil"/>
              <w:bottom w:val="single" w:sz="12" w:space="0" w:color="auto"/>
              <w:right w:val="nil"/>
            </w:tcBorders>
          </w:tcPr>
          <w:p w:rsidR="00B958B1" w:rsidRPr="009C06AA" w:rsidRDefault="00B958B1" w:rsidP="009F3B54">
            <w:pPr>
              <w:pStyle w:val="TableofFigures"/>
              <w:rPr>
                <w:b/>
                <w:bCs/>
                <w:lang w:eastAsia="en-AU"/>
              </w:rPr>
            </w:pPr>
            <w:r w:rsidRPr="009C06AA">
              <w:rPr>
                <w:b/>
                <w:bCs/>
                <w:lang w:eastAsia="en-AU"/>
              </w:rPr>
              <w:t>2.8</w:t>
            </w:r>
          </w:p>
        </w:tc>
        <w:tc>
          <w:tcPr>
            <w:tcW w:w="886" w:type="dxa"/>
            <w:tcBorders>
              <w:top w:val="single" w:sz="6" w:space="0" w:color="auto"/>
              <w:left w:val="nil"/>
              <w:bottom w:val="single" w:sz="12" w:space="0" w:color="auto"/>
              <w:right w:val="nil"/>
            </w:tcBorders>
          </w:tcPr>
          <w:p w:rsidR="00B958B1" w:rsidRPr="009C06AA" w:rsidRDefault="00B958B1" w:rsidP="009F3B54">
            <w:pPr>
              <w:pStyle w:val="TableofFigures"/>
              <w:rPr>
                <w:b/>
                <w:bCs/>
                <w:lang w:eastAsia="en-AU"/>
              </w:rPr>
            </w:pPr>
            <w:r w:rsidRPr="009C06AA">
              <w:rPr>
                <w:b/>
                <w:bCs/>
                <w:lang w:eastAsia="en-AU"/>
              </w:rPr>
              <w:t>2.9</w:t>
            </w:r>
          </w:p>
        </w:tc>
        <w:tc>
          <w:tcPr>
            <w:tcW w:w="887" w:type="dxa"/>
            <w:tcBorders>
              <w:top w:val="single" w:sz="6" w:space="0" w:color="auto"/>
              <w:left w:val="nil"/>
              <w:bottom w:val="single" w:sz="12" w:space="0" w:color="auto"/>
              <w:right w:val="nil"/>
            </w:tcBorders>
          </w:tcPr>
          <w:p w:rsidR="00B958B1" w:rsidRPr="009C06AA" w:rsidRDefault="00B958B1" w:rsidP="009F3B54">
            <w:pPr>
              <w:pStyle w:val="TableofFigures"/>
              <w:rPr>
                <w:b/>
                <w:bCs/>
                <w:lang w:eastAsia="en-AU"/>
              </w:rPr>
            </w:pPr>
            <w:r w:rsidRPr="009C06AA">
              <w:rPr>
                <w:b/>
                <w:bCs/>
                <w:lang w:eastAsia="en-AU"/>
              </w:rPr>
              <w:t>..</w:t>
            </w:r>
          </w:p>
        </w:tc>
      </w:tr>
    </w:tbl>
    <w:p w:rsidR="00B958B1" w:rsidRDefault="00B958B1" w:rsidP="009F3B54">
      <w:pPr>
        <w:pStyle w:val="Source"/>
      </w:pPr>
      <w:r w:rsidRPr="00A20936">
        <w:t>Source: Department of Treasury and Finance</w:t>
      </w:r>
      <w:r>
        <w:t xml:space="preserve"> </w:t>
      </w:r>
      <w:r>
        <w:fldChar w:fldCharType="begin"/>
      </w:r>
      <w:r>
        <w:instrText xml:space="preserve"> XE "</w:instrText>
      </w:r>
      <w:r w:rsidRPr="001902E6">
        <w:instrText xml:space="preserve">Land </w:instrText>
      </w:r>
      <w:r>
        <w:instrText>T</w:instrText>
      </w:r>
      <w:r w:rsidRPr="001902E6">
        <w:instrText>ax</w:instrText>
      </w:r>
      <w:r>
        <w:instrText xml:space="preserve">" </w:instrText>
      </w:r>
      <w:r>
        <w:fldChar w:fldCharType="end"/>
      </w:r>
    </w:p>
    <w:p w:rsidR="00B958B1" w:rsidRPr="007A5D01" w:rsidRDefault="00B958B1" w:rsidP="009F3B54">
      <w:pPr>
        <w:pStyle w:val="Notes"/>
      </w:pPr>
    </w:p>
    <w:p w:rsidR="00B958B1" w:rsidRPr="00DE65E7" w:rsidRDefault="00B958B1" w:rsidP="009F3B54">
      <w:pPr>
        <w:pStyle w:val="Heading4"/>
      </w:pPr>
      <w:r>
        <w:t>Regulatory Services</w:t>
      </w:r>
    </w:p>
    <w:p w:rsidR="00B958B1" w:rsidRDefault="00B958B1" w:rsidP="009F3B54">
      <w:pPr>
        <w:pStyle w:val="Heading5"/>
      </w:pPr>
      <w:r>
        <w:t>Essential Services Commission non</w:t>
      </w:r>
      <w:r w:rsidR="009F0F49">
        <w:noBreakHyphen/>
      </w:r>
      <w:r>
        <w:t>transferred energy functions</w:t>
      </w:r>
    </w:p>
    <w:p w:rsidR="00B958B1" w:rsidRDefault="00B958B1" w:rsidP="009F3B54">
      <w:r>
        <w:fldChar w:fldCharType="begin"/>
      </w:r>
      <w:r>
        <w:instrText xml:space="preserve"> XE "</w:instrText>
      </w:r>
      <w:r w:rsidRPr="0024616F">
        <w:instrText xml:space="preserve">Department of Treasury and Finance:Regulatory </w:instrText>
      </w:r>
      <w:r>
        <w:instrText>S</w:instrText>
      </w:r>
      <w:r w:rsidRPr="0024616F">
        <w:instrText>ervices</w:instrText>
      </w:r>
      <w:r>
        <w:instrText xml:space="preserve">" </w:instrText>
      </w:r>
      <w:r>
        <w:fldChar w:fldCharType="end"/>
      </w:r>
      <w:r>
        <w:fldChar w:fldCharType="begin"/>
      </w:r>
      <w:r>
        <w:instrText xml:space="preserve"> XE "</w:instrText>
      </w:r>
      <w:r w:rsidRPr="009E53A6">
        <w:instrText xml:space="preserve">Regulatory </w:instrText>
      </w:r>
      <w:r>
        <w:instrText>S</w:instrText>
      </w:r>
      <w:r w:rsidRPr="009E53A6">
        <w:instrText>ervices</w:instrText>
      </w:r>
      <w:r>
        <w:instrText xml:space="preserve">" </w:instrText>
      </w:r>
      <w:r>
        <w:fldChar w:fldCharType="end"/>
      </w:r>
      <w:r>
        <w:t>The Essential Services Commission will be conducting non</w:t>
      </w:r>
      <w:r w:rsidR="009F0F49">
        <w:noBreakHyphen/>
      </w:r>
      <w:r>
        <w:t>economic regulation of energy distribution businesses and harmonising codes and guidelines of the National Energy Customer Framework to enable future transition to the Australian Energy Regulator.</w:t>
      </w:r>
    </w:p>
    <w:p w:rsidR="00B958B1" w:rsidRDefault="00B958B1" w:rsidP="009F3B54">
      <w:r>
        <w:t xml:space="preserve">This initiative contributes to the Department of Treasury and Finance’s Economic Regulatory Services output. </w:t>
      </w:r>
    </w:p>
    <w:p w:rsidR="00B958B1" w:rsidRPr="009C3F1E" w:rsidRDefault="00B958B1" w:rsidP="009F3B54">
      <w:pPr>
        <w:pStyle w:val="Heading4"/>
      </w:pPr>
      <w:r w:rsidRPr="009C3F1E">
        <w:t>Revenue Management Services</w:t>
      </w:r>
    </w:p>
    <w:p w:rsidR="00B958B1" w:rsidRPr="009C3F1E" w:rsidRDefault="00B958B1" w:rsidP="009F3B54">
      <w:pPr>
        <w:pStyle w:val="Heading5"/>
      </w:pPr>
      <w:r w:rsidRPr="009C3F1E">
        <w:t>Land Tax Compliance</w:t>
      </w:r>
    </w:p>
    <w:p w:rsidR="00B958B1" w:rsidRPr="009C3F1E" w:rsidRDefault="00B958B1" w:rsidP="009F3B54">
      <w:r>
        <w:fldChar w:fldCharType="begin"/>
      </w:r>
      <w:r>
        <w:instrText xml:space="preserve"> XE "</w:instrText>
      </w:r>
      <w:r w:rsidRPr="00937F92">
        <w:instrText xml:space="preserve">Department of Treasury and Finance:Revenue </w:instrText>
      </w:r>
      <w:r>
        <w:instrText>M</w:instrText>
      </w:r>
      <w:r w:rsidRPr="00937F92">
        <w:instrText xml:space="preserve">anagement </w:instrText>
      </w:r>
      <w:r>
        <w:instrText>S</w:instrText>
      </w:r>
      <w:r w:rsidRPr="00937F92">
        <w:instrText>ervices</w:instrText>
      </w:r>
      <w:r>
        <w:instrText xml:space="preserve">" </w:instrText>
      </w:r>
      <w:r>
        <w:fldChar w:fldCharType="end"/>
      </w:r>
      <w:r>
        <w:fldChar w:fldCharType="begin"/>
      </w:r>
      <w:r>
        <w:instrText xml:space="preserve"> XE "</w:instrText>
      </w:r>
      <w:r w:rsidRPr="009E53A6">
        <w:instrText xml:space="preserve">Revenue </w:instrText>
      </w:r>
      <w:r>
        <w:instrText>M</w:instrText>
      </w:r>
      <w:r w:rsidRPr="009E53A6">
        <w:instrText xml:space="preserve">anagement </w:instrText>
      </w:r>
      <w:r>
        <w:instrText>S</w:instrText>
      </w:r>
      <w:r w:rsidRPr="009E53A6">
        <w:instrText>ervices</w:instrText>
      </w:r>
      <w:r>
        <w:instrText xml:space="preserve">" </w:instrText>
      </w:r>
      <w:r>
        <w:fldChar w:fldCharType="end"/>
      </w:r>
      <w:r w:rsidRPr="009C3F1E">
        <w:t>Funding is provided to enable the State Revenue Office to hire and train additional staff to undertake further compliance work on Land Tax</w:t>
      </w:r>
      <w:r>
        <w:fldChar w:fldCharType="begin"/>
      </w:r>
      <w:r>
        <w:instrText xml:space="preserve"> XE "</w:instrText>
      </w:r>
      <w:r w:rsidRPr="00451516">
        <w:instrText>Land Tax</w:instrText>
      </w:r>
      <w:r>
        <w:instrText xml:space="preserve">" </w:instrText>
      </w:r>
      <w:r>
        <w:fldChar w:fldCharType="end"/>
      </w:r>
      <w:r w:rsidRPr="009C3F1E">
        <w:t xml:space="preserve"> Principal Place of Residence exemptions. To support this work, computer</w:t>
      </w:r>
      <w:r w:rsidR="009F0F49">
        <w:noBreakHyphen/>
      </w:r>
      <w:r w:rsidRPr="009C3F1E">
        <w:t xml:space="preserve">based solutions will be developed to assist in the investigation process and the timely issue of assessments. </w:t>
      </w:r>
    </w:p>
    <w:p w:rsidR="00B958B1" w:rsidRDefault="00B958B1" w:rsidP="009F3B54">
      <w:r w:rsidRPr="009C3F1E">
        <w:t>This initiative contributes to the Department of Treasury and Finance’s Revenue Management Services to Government output.</w:t>
      </w:r>
      <w:r>
        <w:fldChar w:fldCharType="begin"/>
      </w:r>
      <w:r>
        <w:instrText xml:space="preserve"> XE "</w:instrText>
      </w:r>
      <w:r w:rsidRPr="00380CB4">
        <w:instrText>Department of Treasury and Finance:Output intitiatives</w:instrText>
      </w:r>
      <w:r>
        <w:instrText xml:space="preserve">" \r "BP3Ch1DTPFOutputInitves" </w:instrText>
      </w:r>
      <w:r>
        <w:fldChar w:fldCharType="end"/>
      </w:r>
    </w:p>
    <w:bookmarkEnd w:id="76"/>
    <w:p w:rsidR="00B958B1" w:rsidRDefault="00B958B1" w:rsidP="009F3B54">
      <w:pPr>
        <w:pStyle w:val="Heading1"/>
      </w:pPr>
      <w:r>
        <w:br w:type="page"/>
      </w:r>
      <w:bookmarkStart w:id="77" w:name="_Toc355248223"/>
      <w:bookmarkStart w:id="78" w:name="_Toc355362275"/>
      <w:r>
        <w:t>Parliament</w:t>
      </w:r>
      <w:bookmarkEnd w:id="77"/>
      <w:bookmarkEnd w:id="78"/>
    </w:p>
    <w:p w:rsidR="00B958B1" w:rsidRDefault="00B958B1" w:rsidP="009F3B54">
      <w:pPr>
        <w:pStyle w:val="Tableheading"/>
      </w:pPr>
      <w:bookmarkStart w:id="79" w:name="BP3Ch1ParlOutputInitves"/>
      <w:r>
        <w:t>Table </w:t>
      </w:r>
      <w:r w:rsidRPr="00B10059">
        <w:t>1.</w:t>
      </w:r>
      <w:r>
        <w:t>18</w:t>
      </w:r>
      <w:r w:rsidRPr="00B10059">
        <w:t>:</w:t>
      </w:r>
      <w:r w:rsidRPr="00B10059">
        <w:tab/>
        <w:t>Output initiatives – Parliament</w:t>
      </w:r>
    </w:p>
    <w:p w:rsidR="00B958B1" w:rsidRDefault="00B958B1" w:rsidP="009F3B54">
      <w:pPr>
        <w:pStyle w:val="million"/>
        <w:rPr>
          <w:rFonts w:ascii="Times New Roman" w:hAnsi="Times New Roman"/>
          <w:i w:val="0"/>
          <w:sz w:val="20"/>
          <w:szCs w:val="20"/>
          <w:lang w:eastAsia="en-AU"/>
        </w:rPr>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344"/>
        <w:gridCol w:w="135"/>
        <w:gridCol w:w="495"/>
        <w:gridCol w:w="256"/>
        <w:gridCol w:w="886"/>
        <w:gridCol w:w="887"/>
        <w:gridCol w:w="886"/>
        <w:gridCol w:w="887"/>
      </w:tblGrid>
      <w:tr w:rsidR="00B958B1" w:rsidRPr="009C06AA" w:rsidTr="009F3B54">
        <w:trPr>
          <w:cantSplit/>
        </w:trPr>
        <w:tc>
          <w:tcPr>
            <w:tcW w:w="3344" w:type="dxa"/>
            <w:tcBorders>
              <w:top w:val="single" w:sz="4" w:space="0" w:color="auto"/>
              <w:left w:val="single" w:sz="4" w:space="0" w:color="auto"/>
              <w:bottom w:val="single" w:sz="6" w:space="0" w:color="auto"/>
              <w:right w:val="nil"/>
            </w:tcBorders>
            <w:shd w:val="clear" w:color="auto" w:fill="000000"/>
          </w:tcPr>
          <w:p w:rsidR="00B958B1" w:rsidRPr="009C06AA" w:rsidRDefault="00B958B1" w:rsidP="009F3B54">
            <w:pPr>
              <w:pStyle w:val="Tabletext"/>
              <w:rPr>
                <w:lang w:eastAsia="en-AU"/>
              </w:rPr>
            </w:pPr>
          </w:p>
        </w:tc>
        <w:tc>
          <w:tcPr>
            <w:tcW w:w="886" w:type="dxa"/>
            <w:gridSpan w:val="3"/>
            <w:tcBorders>
              <w:top w:val="single" w:sz="4" w:space="0" w:color="auto"/>
              <w:left w:val="nil"/>
              <w:bottom w:val="single" w:sz="6" w:space="0" w:color="auto"/>
              <w:right w:val="nil"/>
            </w:tcBorders>
            <w:shd w:val="clear" w:color="auto" w:fill="000000"/>
          </w:tcPr>
          <w:p w:rsidR="00B958B1" w:rsidRPr="009C06AA" w:rsidRDefault="00B958B1" w:rsidP="009F3B54">
            <w:pPr>
              <w:pStyle w:val="Tabletextheading"/>
              <w:rPr>
                <w:lang w:eastAsia="en-AU"/>
              </w:rPr>
            </w:pPr>
            <w:r w:rsidRPr="009C06AA">
              <w:rPr>
                <w:lang w:eastAsia="en-AU"/>
              </w:rPr>
              <w:t>2012</w:t>
            </w:r>
            <w:r w:rsidR="009F0F49">
              <w:rPr>
                <w:lang w:eastAsia="en-AU"/>
              </w:rPr>
              <w:noBreakHyphen/>
            </w:r>
            <w:r w:rsidRPr="009C06AA">
              <w:rPr>
                <w:lang w:eastAsia="en-AU"/>
              </w:rPr>
              <w:t>13</w:t>
            </w:r>
          </w:p>
        </w:tc>
        <w:tc>
          <w:tcPr>
            <w:tcW w:w="886" w:type="dxa"/>
            <w:tcBorders>
              <w:top w:val="single" w:sz="4" w:space="0" w:color="auto"/>
              <w:left w:val="nil"/>
              <w:bottom w:val="single" w:sz="6" w:space="0" w:color="auto"/>
              <w:right w:val="nil"/>
            </w:tcBorders>
            <w:shd w:val="clear" w:color="auto" w:fill="000000"/>
          </w:tcPr>
          <w:p w:rsidR="00B958B1" w:rsidRPr="009C06AA" w:rsidRDefault="00B958B1" w:rsidP="009F3B54">
            <w:pPr>
              <w:pStyle w:val="Tabletextheading"/>
              <w:rPr>
                <w:lang w:eastAsia="en-AU"/>
              </w:rPr>
            </w:pPr>
            <w:r w:rsidRPr="009C06AA">
              <w:rPr>
                <w:lang w:eastAsia="en-AU"/>
              </w:rPr>
              <w:t>2013</w:t>
            </w:r>
            <w:r w:rsidR="009F0F49">
              <w:rPr>
                <w:lang w:eastAsia="en-AU"/>
              </w:rPr>
              <w:noBreakHyphen/>
            </w:r>
            <w:r w:rsidRPr="009C06AA">
              <w:rPr>
                <w:lang w:eastAsia="en-AU"/>
              </w:rPr>
              <w:t>14</w:t>
            </w:r>
          </w:p>
        </w:tc>
        <w:tc>
          <w:tcPr>
            <w:tcW w:w="887" w:type="dxa"/>
            <w:tcBorders>
              <w:top w:val="single" w:sz="4" w:space="0" w:color="auto"/>
              <w:left w:val="nil"/>
              <w:bottom w:val="single" w:sz="6" w:space="0" w:color="auto"/>
              <w:right w:val="nil"/>
            </w:tcBorders>
            <w:shd w:val="clear" w:color="auto" w:fill="000000"/>
          </w:tcPr>
          <w:p w:rsidR="00B958B1" w:rsidRPr="009C06AA" w:rsidRDefault="00B958B1" w:rsidP="009F3B54">
            <w:pPr>
              <w:pStyle w:val="Tabletextheading"/>
              <w:rPr>
                <w:lang w:eastAsia="en-AU"/>
              </w:rPr>
            </w:pPr>
            <w:r w:rsidRPr="009C06AA">
              <w:rPr>
                <w:lang w:eastAsia="en-AU"/>
              </w:rPr>
              <w:t>2014</w:t>
            </w:r>
            <w:r w:rsidR="009F0F49">
              <w:rPr>
                <w:lang w:eastAsia="en-AU"/>
              </w:rPr>
              <w:noBreakHyphen/>
            </w:r>
            <w:r w:rsidRPr="009C06AA">
              <w:rPr>
                <w:lang w:eastAsia="en-AU"/>
              </w:rPr>
              <w:t>15</w:t>
            </w:r>
          </w:p>
        </w:tc>
        <w:tc>
          <w:tcPr>
            <w:tcW w:w="886" w:type="dxa"/>
            <w:tcBorders>
              <w:top w:val="single" w:sz="4" w:space="0" w:color="auto"/>
              <w:left w:val="nil"/>
              <w:bottom w:val="single" w:sz="6" w:space="0" w:color="auto"/>
              <w:right w:val="nil"/>
            </w:tcBorders>
            <w:shd w:val="clear" w:color="auto" w:fill="000000"/>
          </w:tcPr>
          <w:p w:rsidR="00B958B1" w:rsidRPr="009C06AA" w:rsidRDefault="00B958B1" w:rsidP="009F3B54">
            <w:pPr>
              <w:pStyle w:val="Tabletextheading"/>
              <w:rPr>
                <w:lang w:eastAsia="en-AU"/>
              </w:rPr>
            </w:pPr>
            <w:r w:rsidRPr="009C06AA">
              <w:rPr>
                <w:lang w:eastAsia="en-AU"/>
              </w:rPr>
              <w:t>2015</w:t>
            </w:r>
            <w:r w:rsidR="009F0F49">
              <w:rPr>
                <w:lang w:eastAsia="en-AU"/>
              </w:rPr>
              <w:noBreakHyphen/>
            </w:r>
            <w:r w:rsidRPr="009C06AA">
              <w:rPr>
                <w:lang w:eastAsia="en-AU"/>
              </w:rPr>
              <w:t>16</w:t>
            </w:r>
          </w:p>
        </w:tc>
        <w:tc>
          <w:tcPr>
            <w:tcW w:w="887" w:type="dxa"/>
            <w:tcBorders>
              <w:top w:val="single" w:sz="4" w:space="0" w:color="auto"/>
              <w:left w:val="nil"/>
              <w:bottom w:val="single" w:sz="6" w:space="0" w:color="auto"/>
              <w:right w:val="single" w:sz="4" w:space="0" w:color="auto"/>
            </w:tcBorders>
            <w:shd w:val="clear" w:color="auto" w:fill="000000"/>
          </w:tcPr>
          <w:p w:rsidR="00B958B1" w:rsidRPr="009C06AA" w:rsidRDefault="00B958B1" w:rsidP="009F3B54">
            <w:pPr>
              <w:pStyle w:val="Tabletextheading"/>
              <w:rPr>
                <w:lang w:eastAsia="en-AU"/>
              </w:rPr>
            </w:pPr>
            <w:r w:rsidRPr="009C06AA">
              <w:rPr>
                <w:lang w:eastAsia="en-AU"/>
              </w:rPr>
              <w:t>2016</w:t>
            </w:r>
            <w:r w:rsidR="009F0F49">
              <w:rPr>
                <w:lang w:eastAsia="en-AU"/>
              </w:rPr>
              <w:noBreakHyphen/>
            </w:r>
            <w:r w:rsidRPr="009C06AA">
              <w:rPr>
                <w:lang w:eastAsia="en-AU"/>
              </w:rPr>
              <w:t>17</w:t>
            </w:r>
          </w:p>
        </w:tc>
      </w:tr>
      <w:tr w:rsidR="00B958B1" w:rsidRPr="009C06AA" w:rsidTr="009F3B54">
        <w:trPr>
          <w:cantSplit/>
        </w:trPr>
        <w:tc>
          <w:tcPr>
            <w:tcW w:w="3974" w:type="dxa"/>
            <w:gridSpan w:val="3"/>
            <w:tcBorders>
              <w:top w:val="single" w:sz="4" w:space="0" w:color="auto"/>
              <w:left w:val="nil"/>
              <w:bottom w:val="nil"/>
              <w:right w:val="nil"/>
            </w:tcBorders>
          </w:tcPr>
          <w:p w:rsidR="00B958B1" w:rsidRPr="009C06AA" w:rsidRDefault="00B958B1" w:rsidP="009F3B54">
            <w:pPr>
              <w:pStyle w:val="Tabletext"/>
              <w:rPr>
                <w:b/>
                <w:bCs/>
                <w:lang w:eastAsia="en-AU"/>
              </w:rPr>
            </w:pPr>
            <w:r w:rsidRPr="009C06AA">
              <w:rPr>
                <w:b/>
                <w:bCs/>
                <w:lang w:eastAsia="en-AU"/>
              </w:rPr>
              <w:t>Parliamentary Investigatory Committees</w:t>
            </w:r>
          </w:p>
        </w:tc>
        <w:tc>
          <w:tcPr>
            <w:tcW w:w="256" w:type="dxa"/>
            <w:tcBorders>
              <w:top w:val="single" w:sz="4" w:space="0" w:color="auto"/>
              <w:left w:val="nil"/>
              <w:bottom w:val="nil"/>
              <w:right w:val="nil"/>
            </w:tcBorders>
            <w:shd w:val="solid" w:color="FFFFFF" w:fill="auto"/>
          </w:tcPr>
          <w:p w:rsidR="00B958B1" w:rsidRPr="009C06AA" w:rsidRDefault="00B958B1" w:rsidP="009F3B54">
            <w:pPr>
              <w:pStyle w:val="TableofFigures"/>
              <w:rPr>
                <w:lang w:eastAsia="en-AU"/>
              </w:rPr>
            </w:pPr>
            <w:r w:rsidRPr="009C06AA">
              <w:rPr>
                <w:lang w:eastAsia="en-AU"/>
              </w:rPr>
              <w:t xml:space="preserve"> </w:t>
            </w:r>
          </w:p>
        </w:tc>
        <w:tc>
          <w:tcPr>
            <w:tcW w:w="886" w:type="dxa"/>
            <w:tcBorders>
              <w:top w:val="single" w:sz="4" w:space="0" w:color="auto"/>
              <w:left w:val="nil"/>
              <w:bottom w:val="nil"/>
              <w:right w:val="nil"/>
            </w:tcBorders>
          </w:tcPr>
          <w:p w:rsidR="00B958B1" w:rsidRPr="009C06AA" w:rsidRDefault="00B958B1" w:rsidP="009F3B54">
            <w:pPr>
              <w:pStyle w:val="TableofFigures"/>
              <w:rPr>
                <w:lang w:eastAsia="en-AU"/>
              </w:rPr>
            </w:pPr>
            <w:r w:rsidRPr="009C06AA">
              <w:rPr>
                <w:lang w:eastAsia="en-AU"/>
              </w:rPr>
              <w:t xml:space="preserve"> </w:t>
            </w:r>
          </w:p>
        </w:tc>
        <w:tc>
          <w:tcPr>
            <w:tcW w:w="887" w:type="dxa"/>
            <w:tcBorders>
              <w:top w:val="single" w:sz="4" w:space="0" w:color="auto"/>
              <w:left w:val="nil"/>
              <w:bottom w:val="nil"/>
              <w:right w:val="nil"/>
            </w:tcBorders>
          </w:tcPr>
          <w:p w:rsidR="00B958B1" w:rsidRPr="009C06AA" w:rsidRDefault="00B958B1" w:rsidP="009F3B54">
            <w:pPr>
              <w:pStyle w:val="TableofFigures"/>
              <w:rPr>
                <w:lang w:eastAsia="en-AU"/>
              </w:rPr>
            </w:pPr>
            <w:r w:rsidRPr="009C06AA">
              <w:rPr>
                <w:lang w:eastAsia="en-AU"/>
              </w:rPr>
              <w:t xml:space="preserve"> </w:t>
            </w:r>
          </w:p>
        </w:tc>
        <w:tc>
          <w:tcPr>
            <w:tcW w:w="886" w:type="dxa"/>
            <w:tcBorders>
              <w:top w:val="single" w:sz="4" w:space="0" w:color="auto"/>
              <w:left w:val="nil"/>
              <w:bottom w:val="nil"/>
              <w:right w:val="nil"/>
            </w:tcBorders>
            <w:shd w:val="solid" w:color="FFFFFF" w:fill="auto"/>
          </w:tcPr>
          <w:p w:rsidR="00B958B1" w:rsidRPr="009C06AA" w:rsidRDefault="00B958B1" w:rsidP="009F3B54">
            <w:pPr>
              <w:pStyle w:val="TableofFigures"/>
              <w:rPr>
                <w:lang w:eastAsia="en-AU"/>
              </w:rPr>
            </w:pPr>
            <w:r w:rsidRPr="009C06AA">
              <w:rPr>
                <w:lang w:eastAsia="en-AU"/>
              </w:rPr>
              <w:t xml:space="preserve"> </w:t>
            </w:r>
          </w:p>
        </w:tc>
        <w:tc>
          <w:tcPr>
            <w:tcW w:w="887" w:type="dxa"/>
            <w:tcBorders>
              <w:top w:val="single" w:sz="4" w:space="0" w:color="auto"/>
              <w:left w:val="nil"/>
              <w:bottom w:val="nil"/>
              <w:right w:val="nil"/>
            </w:tcBorders>
            <w:shd w:val="solid" w:color="FFFFFF" w:fill="auto"/>
          </w:tcPr>
          <w:p w:rsidR="00B958B1" w:rsidRPr="009C06AA" w:rsidRDefault="00B958B1" w:rsidP="009F3B54">
            <w:pPr>
              <w:pStyle w:val="TableofFigures"/>
              <w:rPr>
                <w:lang w:eastAsia="en-AU"/>
              </w:rPr>
            </w:pPr>
            <w:r w:rsidRPr="009C06AA">
              <w:rPr>
                <w:lang w:eastAsia="en-AU"/>
              </w:rPr>
              <w:t xml:space="preserve"> </w:t>
            </w:r>
          </w:p>
        </w:tc>
      </w:tr>
      <w:tr w:rsidR="00B958B1" w:rsidRPr="009C06AA" w:rsidTr="009F3B54">
        <w:trPr>
          <w:cantSplit/>
        </w:trPr>
        <w:tc>
          <w:tcPr>
            <w:tcW w:w="3479" w:type="dxa"/>
            <w:gridSpan w:val="2"/>
            <w:tcBorders>
              <w:top w:val="nil"/>
              <w:left w:val="nil"/>
              <w:bottom w:val="nil"/>
              <w:right w:val="nil"/>
            </w:tcBorders>
          </w:tcPr>
          <w:p w:rsidR="00B958B1" w:rsidRPr="009C06AA" w:rsidRDefault="00B958B1" w:rsidP="009F3B54">
            <w:pPr>
              <w:pStyle w:val="Tabletext"/>
              <w:rPr>
                <w:lang w:eastAsia="en-AU"/>
              </w:rPr>
            </w:pPr>
            <w:r w:rsidRPr="009C06AA">
              <w:rPr>
                <w:lang w:eastAsia="en-AU"/>
              </w:rPr>
              <w:t>Accountability and Oversight and Independent Broad</w:t>
            </w:r>
            <w:r w:rsidR="009F0F49">
              <w:rPr>
                <w:lang w:eastAsia="en-AU"/>
              </w:rPr>
              <w:noBreakHyphen/>
            </w:r>
            <w:r w:rsidRPr="009C06AA">
              <w:rPr>
                <w:lang w:eastAsia="en-AU"/>
              </w:rPr>
              <w:t>based Anti</w:t>
            </w:r>
            <w:r w:rsidR="009F0F49">
              <w:rPr>
                <w:lang w:eastAsia="en-AU"/>
              </w:rPr>
              <w:noBreakHyphen/>
            </w:r>
            <w:r w:rsidRPr="009C06AA">
              <w:rPr>
                <w:lang w:eastAsia="en-AU"/>
              </w:rPr>
              <w:t>corruption Commission Joint Investigatory Committees</w:t>
            </w:r>
          </w:p>
        </w:tc>
        <w:tc>
          <w:tcPr>
            <w:tcW w:w="751" w:type="dxa"/>
            <w:gridSpan w:val="2"/>
            <w:tcBorders>
              <w:top w:val="nil"/>
              <w:left w:val="nil"/>
              <w:bottom w:val="nil"/>
              <w:right w:val="nil"/>
            </w:tcBorders>
            <w:shd w:val="solid" w:color="FFFFFF" w:fill="auto"/>
          </w:tcPr>
          <w:p w:rsidR="00B958B1" w:rsidRPr="009C06AA" w:rsidRDefault="00B958B1" w:rsidP="009F3B54">
            <w:pPr>
              <w:pStyle w:val="TableofFigures"/>
              <w:rPr>
                <w:lang w:eastAsia="en-AU"/>
              </w:rPr>
            </w:pPr>
            <w:r w:rsidRPr="009C06AA">
              <w:rPr>
                <w:lang w:eastAsia="en-AU"/>
              </w:rPr>
              <w:t>..</w:t>
            </w:r>
          </w:p>
        </w:tc>
        <w:tc>
          <w:tcPr>
            <w:tcW w:w="886"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0.2</w:t>
            </w:r>
          </w:p>
        </w:tc>
        <w:tc>
          <w:tcPr>
            <w:tcW w:w="887"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0.3</w:t>
            </w:r>
          </w:p>
        </w:tc>
        <w:tc>
          <w:tcPr>
            <w:tcW w:w="886" w:type="dxa"/>
            <w:tcBorders>
              <w:top w:val="nil"/>
              <w:left w:val="nil"/>
              <w:bottom w:val="nil"/>
              <w:right w:val="nil"/>
            </w:tcBorders>
            <w:shd w:val="solid" w:color="FFFFFF" w:fill="auto"/>
          </w:tcPr>
          <w:p w:rsidR="00B958B1" w:rsidRPr="009C06AA" w:rsidRDefault="00B958B1" w:rsidP="009F3B54">
            <w:pPr>
              <w:pStyle w:val="TableofFigures"/>
              <w:rPr>
                <w:lang w:eastAsia="en-AU"/>
              </w:rPr>
            </w:pPr>
            <w:r w:rsidRPr="009C06AA">
              <w:rPr>
                <w:lang w:eastAsia="en-AU"/>
              </w:rPr>
              <w:t>..</w:t>
            </w:r>
          </w:p>
        </w:tc>
        <w:tc>
          <w:tcPr>
            <w:tcW w:w="887" w:type="dxa"/>
            <w:tcBorders>
              <w:top w:val="nil"/>
              <w:left w:val="nil"/>
              <w:bottom w:val="nil"/>
              <w:right w:val="nil"/>
            </w:tcBorders>
            <w:shd w:val="solid" w:color="FFFFFF" w:fill="auto"/>
          </w:tcPr>
          <w:p w:rsidR="00B958B1" w:rsidRPr="009C06AA" w:rsidRDefault="00B958B1" w:rsidP="009F3B54">
            <w:pPr>
              <w:pStyle w:val="TableofFigures"/>
              <w:rPr>
                <w:lang w:eastAsia="en-AU"/>
              </w:rPr>
            </w:pPr>
            <w:r w:rsidRPr="009C06AA">
              <w:rPr>
                <w:lang w:eastAsia="en-AU"/>
              </w:rPr>
              <w:t>..</w:t>
            </w:r>
          </w:p>
        </w:tc>
      </w:tr>
      <w:tr w:rsidR="00B958B1" w:rsidRPr="009C06AA" w:rsidTr="009F3B54">
        <w:trPr>
          <w:cantSplit/>
        </w:trPr>
        <w:tc>
          <w:tcPr>
            <w:tcW w:w="3344" w:type="dxa"/>
            <w:tcBorders>
              <w:top w:val="nil"/>
              <w:left w:val="nil"/>
              <w:bottom w:val="nil"/>
              <w:right w:val="nil"/>
            </w:tcBorders>
          </w:tcPr>
          <w:p w:rsidR="00B958B1" w:rsidRPr="009C06AA" w:rsidRDefault="00B958B1" w:rsidP="009F3B54">
            <w:pPr>
              <w:pStyle w:val="Tabletext"/>
              <w:rPr>
                <w:lang w:eastAsia="en-AU"/>
              </w:rPr>
            </w:pPr>
            <w:r w:rsidRPr="009C06AA">
              <w:rPr>
                <w:lang w:eastAsia="en-AU"/>
              </w:rPr>
              <w:t>Legislative Council Standing Committees</w:t>
            </w:r>
          </w:p>
        </w:tc>
        <w:tc>
          <w:tcPr>
            <w:tcW w:w="886" w:type="dxa"/>
            <w:gridSpan w:val="3"/>
            <w:tcBorders>
              <w:top w:val="nil"/>
              <w:left w:val="nil"/>
              <w:bottom w:val="nil"/>
              <w:right w:val="nil"/>
            </w:tcBorders>
            <w:shd w:val="solid" w:color="FFFFFF" w:fill="auto"/>
          </w:tcPr>
          <w:p w:rsidR="00B958B1" w:rsidRPr="009C06AA" w:rsidRDefault="00B958B1" w:rsidP="009F3B54">
            <w:pPr>
              <w:pStyle w:val="TableofFigures"/>
              <w:rPr>
                <w:lang w:eastAsia="en-AU"/>
              </w:rPr>
            </w:pPr>
            <w:r w:rsidRPr="009C06AA">
              <w:rPr>
                <w:lang w:eastAsia="en-AU"/>
              </w:rPr>
              <w:t>..</w:t>
            </w:r>
          </w:p>
        </w:tc>
        <w:tc>
          <w:tcPr>
            <w:tcW w:w="886"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0.2</w:t>
            </w:r>
          </w:p>
        </w:tc>
        <w:tc>
          <w:tcPr>
            <w:tcW w:w="887"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0.3</w:t>
            </w:r>
          </w:p>
        </w:tc>
        <w:tc>
          <w:tcPr>
            <w:tcW w:w="886" w:type="dxa"/>
            <w:tcBorders>
              <w:top w:val="nil"/>
              <w:left w:val="nil"/>
              <w:bottom w:val="nil"/>
              <w:right w:val="nil"/>
            </w:tcBorders>
            <w:shd w:val="solid" w:color="FFFFFF" w:fill="auto"/>
          </w:tcPr>
          <w:p w:rsidR="00B958B1" w:rsidRPr="009C06AA" w:rsidRDefault="00B958B1" w:rsidP="009F3B54">
            <w:pPr>
              <w:pStyle w:val="TableofFigures"/>
              <w:rPr>
                <w:lang w:eastAsia="en-AU"/>
              </w:rPr>
            </w:pPr>
            <w:r w:rsidRPr="009C06AA">
              <w:rPr>
                <w:lang w:eastAsia="en-AU"/>
              </w:rPr>
              <w:t>..</w:t>
            </w:r>
          </w:p>
        </w:tc>
        <w:tc>
          <w:tcPr>
            <w:tcW w:w="887" w:type="dxa"/>
            <w:tcBorders>
              <w:top w:val="nil"/>
              <w:left w:val="nil"/>
              <w:bottom w:val="nil"/>
              <w:right w:val="nil"/>
            </w:tcBorders>
            <w:shd w:val="solid" w:color="FFFFFF" w:fill="auto"/>
          </w:tcPr>
          <w:p w:rsidR="00B958B1" w:rsidRPr="009C06AA" w:rsidRDefault="00B958B1" w:rsidP="009F3B54">
            <w:pPr>
              <w:pStyle w:val="TableofFigures"/>
              <w:rPr>
                <w:lang w:eastAsia="en-AU"/>
              </w:rPr>
            </w:pPr>
            <w:r w:rsidRPr="009C06AA">
              <w:rPr>
                <w:lang w:eastAsia="en-AU"/>
              </w:rPr>
              <w:t>..</w:t>
            </w:r>
          </w:p>
        </w:tc>
      </w:tr>
      <w:tr w:rsidR="00B958B1" w:rsidRPr="009C06AA" w:rsidTr="009F3B54">
        <w:trPr>
          <w:cantSplit/>
        </w:trPr>
        <w:tc>
          <w:tcPr>
            <w:tcW w:w="3344" w:type="dxa"/>
            <w:tcBorders>
              <w:top w:val="nil"/>
              <w:left w:val="nil"/>
              <w:bottom w:val="nil"/>
              <w:right w:val="nil"/>
            </w:tcBorders>
          </w:tcPr>
          <w:p w:rsidR="00B958B1" w:rsidRPr="009C06AA" w:rsidRDefault="00B958B1" w:rsidP="009F3B54">
            <w:pPr>
              <w:pStyle w:val="Tabletext"/>
              <w:rPr>
                <w:lang w:eastAsia="en-AU"/>
              </w:rPr>
            </w:pPr>
            <w:r w:rsidRPr="009C06AA">
              <w:rPr>
                <w:lang w:eastAsia="en-AU"/>
              </w:rPr>
              <w:t>Performance audit of the Victorian Auditor</w:t>
            </w:r>
            <w:r w:rsidR="009F0F49">
              <w:rPr>
                <w:lang w:eastAsia="en-AU"/>
              </w:rPr>
              <w:noBreakHyphen/>
            </w:r>
            <w:r w:rsidRPr="009C06AA">
              <w:rPr>
                <w:lang w:eastAsia="en-AU"/>
              </w:rPr>
              <w:t>General's Office</w:t>
            </w:r>
          </w:p>
        </w:tc>
        <w:tc>
          <w:tcPr>
            <w:tcW w:w="886" w:type="dxa"/>
            <w:gridSpan w:val="3"/>
            <w:tcBorders>
              <w:top w:val="nil"/>
              <w:left w:val="nil"/>
              <w:bottom w:val="nil"/>
              <w:right w:val="nil"/>
            </w:tcBorders>
            <w:shd w:val="solid" w:color="FFFFFF" w:fill="auto"/>
          </w:tcPr>
          <w:p w:rsidR="00B958B1" w:rsidRPr="009C06AA" w:rsidRDefault="00B958B1" w:rsidP="009F3B54">
            <w:pPr>
              <w:pStyle w:val="TableofFigures"/>
              <w:rPr>
                <w:lang w:eastAsia="en-AU"/>
              </w:rPr>
            </w:pPr>
            <w:r w:rsidRPr="009C06AA">
              <w:rPr>
                <w:lang w:eastAsia="en-AU"/>
              </w:rPr>
              <w:t>..</w:t>
            </w:r>
          </w:p>
        </w:tc>
        <w:tc>
          <w:tcPr>
            <w:tcW w:w="886" w:type="dxa"/>
            <w:tcBorders>
              <w:top w:val="nil"/>
              <w:left w:val="nil"/>
              <w:bottom w:val="nil"/>
              <w:right w:val="nil"/>
            </w:tcBorders>
          </w:tcPr>
          <w:p w:rsidR="00B958B1" w:rsidRPr="009C06AA" w:rsidRDefault="00B958B1" w:rsidP="009F3B54">
            <w:pPr>
              <w:pStyle w:val="TableofFigures"/>
              <w:rPr>
                <w:lang w:eastAsia="en-AU"/>
              </w:rPr>
            </w:pPr>
            <w:r w:rsidRPr="009C06AA">
              <w:rPr>
                <w:lang w:eastAsia="en-AU"/>
              </w:rPr>
              <w:t>0.2</w:t>
            </w:r>
          </w:p>
        </w:tc>
        <w:tc>
          <w:tcPr>
            <w:tcW w:w="887" w:type="dxa"/>
            <w:tcBorders>
              <w:top w:val="nil"/>
              <w:left w:val="nil"/>
              <w:bottom w:val="nil"/>
              <w:right w:val="nil"/>
            </w:tcBorders>
            <w:shd w:val="solid" w:color="FFFFFF" w:fill="auto"/>
          </w:tcPr>
          <w:p w:rsidR="00B958B1" w:rsidRPr="009C06AA" w:rsidRDefault="00B958B1" w:rsidP="009F3B54">
            <w:pPr>
              <w:pStyle w:val="TableofFigures"/>
              <w:rPr>
                <w:lang w:eastAsia="en-AU"/>
              </w:rPr>
            </w:pPr>
            <w:r w:rsidRPr="009C06AA">
              <w:rPr>
                <w:lang w:eastAsia="en-AU"/>
              </w:rPr>
              <w:t>..</w:t>
            </w:r>
          </w:p>
        </w:tc>
        <w:tc>
          <w:tcPr>
            <w:tcW w:w="886" w:type="dxa"/>
            <w:tcBorders>
              <w:top w:val="nil"/>
              <w:left w:val="nil"/>
              <w:bottom w:val="nil"/>
              <w:right w:val="nil"/>
            </w:tcBorders>
            <w:shd w:val="solid" w:color="FFFFFF" w:fill="auto"/>
          </w:tcPr>
          <w:p w:rsidR="00B958B1" w:rsidRPr="009C06AA" w:rsidRDefault="00B958B1" w:rsidP="009F3B54">
            <w:pPr>
              <w:pStyle w:val="TableofFigures"/>
              <w:rPr>
                <w:lang w:eastAsia="en-AU"/>
              </w:rPr>
            </w:pPr>
            <w:r w:rsidRPr="009C06AA">
              <w:rPr>
                <w:lang w:eastAsia="en-AU"/>
              </w:rPr>
              <w:t>..</w:t>
            </w:r>
          </w:p>
        </w:tc>
        <w:tc>
          <w:tcPr>
            <w:tcW w:w="887" w:type="dxa"/>
            <w:tcBorders>
              <w:top w:val="nil"/>
              <w:left w:val="nil"/>
              <w:bottom w:val="nil"/>
              <w:right w:val="nil"/>
            </w:tcBorders>
            <w:shd w:val="solid" w:color="FFFFFF" w:fill="auto"/>
          </w:tcPr>
          <w:p w:rsidR="00B958B1" w:rsidRPr="009C06AA" w:rsidRDefault="00B958B1" w:rsidP="009F3B54">
            <w:pPr>
              <w:pStyle w:val="TableofFigures"/>
              <w:rPr>
                <w:lang w:eastAsia="en-AU"/>
              </w:rPr>
            </w:pPr>
            <w:r w:rsidRPr="009C06AA">
              <w:rPr>
                <w:lang w:eastAsia="en-AU"/>
              </w:rPr>
              <w:t>..</w:t>
            </w:r>
          </w:p>
        </w:tc>
      </w:tr>
      <w:tr w:rsidR="00B958B1" w:rsidRPr="009C06AA" w:rsidTr="009F3B54">
        <w:trPr>
          <w:cantSplit/>
        </w:trPr>
        <w:tc>
          <w:tcPr>
            <w:tcW w:w="3344" w:type="dxa"/>
            <w:tcBorders>
              <w:top w:val="single" w:sz="6" w:space="0" w:color="auto"/>
              <w:left w:val="nil"/>
              <w:bottom w:val="single" w:sz="6" w:space="0" w:color="auto"/>
              <w:right w:val="nil"/>
            </w:tcBorders>
          </w:tcPr>
          <w:p w:rsidR="00B958B1" w:rsidRPr="009C06AA" w:rsidRDefault="00B958B1" w:rsidP="009F3B54">
            <w:pPr>
              <w:pStyle w:val="Tabletext"/>
              <w:rPr>
                <w:b/>
                <w:bCs/>
                <w:lang w:eastAsia="en-AU"/>
              </w:rPr>
            </w:pPr>
            <w:r>
              <w:rPr>
                <w:b/>
                <w:bCs/>
                <w:lang w:eastAsia="en-AU"/>
              </w:rPr>
              <w:t>Sub total</w:t>
            </w:r>
            <w:r w:rsidRPr="009C06AA">
              <w:rPr>
                <w:b/>
                <w:bCs/>
                <w:lang w:eastAsia="en-AU"/>
              </w:rPr>
              <w:t xml:space="preserve"> output initiatives</w:t>
            </w:r>
          </w:p>
        </w:tc>
        <w:tc>
          <w:tcPr>
            <w:tcW w:w="886" w:type="dxa"/>
            <w:gridSpan w:val="3"/>
            <w:tcBorders>
              <w:top w:val="single" w:sz="6" w:space="0" w:color="auto"/>
              <w:left w:val="nil"/>
              <w:bottom w:val="single" w:sz="6" w:space="0" w:color="auto"/>
              <w:right w:val="nil"/>
            </w:tcBorders>
          </w:tcPr>
          <w:p w:rsidR="00B958B1" w:rsidRPr="009C06AA" w:rsidRDefault="00B958B1" w:rsidP="009F3B54">
            <w:pPr>
              <w:pStyle w:val="TableofFigures"/>
              <w:rPr>
                <w:b/>
                <w:bCs/>
                <w:lang w:eastAsia="en-AU"/>
              </w:rPr>
            </w:pPr>
            <w:r w:rsidRPr="009C06AA">
              <w:rPr>
                <w:b/>
                <w:bCs/>
                <w:lang w:eastAsia="en-AU"/>
              </w:rPr>
              <w:t>..</w:t>
            </w:r>
          </w:p>
        </w:tc>
        <w:tc>
          <w:tcPr>
            <w:tcW w:w="886" w:type="dxa"/>
            <w:tcBorders>
              <w:top w:val="single" w:sz="6" w:space="0" w:color="auto"/>
              <w:left w:val="nil"/>
              <w:bottom w:val="single" w:sz="6" w:space="0" w:color="auto"/>
              <w:right w:val="nil"/>
            </w:tcBorders>
          </w:tcPr>
          <w:p w:rsidR="00B958B1" w:rsidRPr="009C06AA" w:rsidRDefault="00B958B1" w:rsidP="009F3B54">
            <w:pPr>
              <w:pStyle w:val="TableofFigures"/>
              <w:rPr>
                <w:b/>
                <w:bCs/>
                <w:lang w:eastAsia="en-AU"/>
              </w:rPr>
            </w:pPr>
            <w:r w:rsidRPr="009C06AA">
              <w:rPr>
                <w:b/>
                <w:bCs/>
                <w:lang w:eastAsia="en-AU"/>
              </w:rPr>
              <w:t>0.5</w:t>
            </w:r>
          </w:p>
        </w:tc>
        <w:tc>
          <w:tcPr>
            <w:tcW w:w="887" w:type="dxa"/>
            <w:tcBorders>
              <w:top w:val="single" w:sz="6" w:space="0" w:color="auto"/>
              <w:left w:val="nil"/>
              <w:bottom w:val="single" w:sz="6" w:space="0" w:color="auto"/>
              <w:right w:val="nil"/>
            </w:tcBorders>
          </w:tcPr>
          <w:p w:rsidR="00B958B1" w:rsidRPr="009C06AA" w:rsidRDefault="00B958B1" w:rsidP="009F3B54">
            <w:pPr>
              <w:pStyle w:val="TableofFigures"/>
              <w:rPr>
                <w:b/>
                <w:bCs/>
                <w:lang w:eastAsia="en-AU"/>
              </w:rPr>
            </w:pPr>
            <w:r w:rsidRPr="009C06AA">
              <w:rPr>
                <w:b/>
                <w:bCs/>
                <w:lang w:eastAsia="en-AU"/>
              </w:rPr>
              <w:t>0.5</w:t>
            </w:r>
          </w:p>
        </w:tc>
        <w:tc>
          <w:tcPr>
            <w:tcW w:w="886" w:type="dxa"/>
            <w:tcBorders>
              <w:top w:val="single" w:sz="6" w:space="0" w:color="auto"/>
              <w:left w:val="nil"/>
              <w:bottom w:val="single" w:sz="6" w:space="0" w:color="auto"/>
              <w:right w:val="nil"/>
            </w:tcBorders>
          </w:tcPr>
          <w:p w:rsidR="00B958B1" w:rsidRPr="009C06AA" w:rsidRDefault="00B958B1" w:rsidP="009F3B54">
            <w:pPr>
              <w:pStyle w:val="TableofFigures"/>
              <w:rPr>
                <w:b/>
                <w:bCs/>
                <w:lang w:eastAsia="en-AU"/>
              </w:rPr>
            </w:pPr>
            <w:r w:rsidRPr="009C06AA">
              <w:rPr>
                <w:b/>
                <w:bCs/>
                <w:lang w:eastAsia="en-AU"/>
              </w:rPr>
              <w:t>..</w:t>
            </w:r>
          </w:p>
        </w:tc>
        <w:tc>
          <w:tcPr>
            <w:tcW w:w="887" w:type="dxa"/>
            <w:tcBorders>
              <w:top w:val="single" w:sz="6" w:space="0" w:color="auto"/>
              <w:left w:val="nil"/>
              <w:bottom w:val="single" w:sz="6" w:space="0" w:color="auto"/>
              <w:right w:val="nil"/>
            </w:tcBorders>
          </w:tcPr>
          <w:p w:rsidR="00B958B1" w:rsidRPr="009C06AA" w:rsidRDefault="00B958B1" w:rsidP="009F3B54">
            <w:pPr>
              <w:pStyle w:val="TableofFigures"/>
              <w:rPr>
                <w:b/>
                <w:bCs/>
                <w:lang w:eastAsia="en-AU"/>
              </w:rPr>
            </w:pPr>
            <w:r w:rsidRPr="009C06AA">
              <w:rPr>
                <w:b/>
                <w:bCs/>
                <w:lang w:eastAsia="en-AU"/>
              </w:rPr>
              <w:t>..</w:t>
            </w:r>
          </w:p>
        </w:tc>
      </w:tr>
      <w:tr w:rsidR="00B958B1" w:rsidRPr="009C06AA" w:rsidTr="009F3B54">
        <w:trPr>
          <w:cantSplit/>
        </w:trPr>
        <w:tc>
          <w:tcPr>
            <w:tcW w:w="3344" w:type="dxa"/>
            <w:tcBorders>
              <w:top w:val="single" w:sz="6" w:space="0" w:color="auto"/>
              <w:left w:val="nil"/>
              <w:bottom w:val="nil"/>
              <w:right w:val="nil"/>
            </w:tcBorders>
          </w:tcPr>
          <w:p w:rsidR="00B958B1" w:rsidRPr="009C06AA" w:rsidRDefault="00B958B1" w:rsidP="009F3B54">
            <w:pPr>
              <w:pStyle w:val="Tabletext"/>
              <w:rPr>
                <w:lang w:eastAsia="en-AU"/>
              </w:rPr>
            </w:pPr>
            <w:r w:rsidRPr="009C06AA">
              <w:rPr>
                <w:lang w:eastAsia="en-AU"/>
              </w:rPr>
              <w:t>Existing resources</w:t>
            </w:r>
          </w:p>
        </w:tc>
        <w:tc>
          <w:tcPr>
            <w:tcW w:w="886" w:type="dxa"/>
            <w:gridSpan w:val="3"/>
            <w:tcBorders>
              <w:top w:val="single" w:sz="6" w:space="0" w:color="auto"/>
              <w:left w:val="nil"/>
              <w:bottom w:val="single" w:sz="6" w:space="0" w:color="auto"/>
              <w:right w:val="nil"/>
            </w:tcBorders>
          </w:tcPr>
          <w:p w:rsidR="00B958B1" w:rsidRPr="009C06AA" w:rsidRDefault="00B958B1" w:rsidP="009F3B54">
            <w:pPr>
              <w:pStyle w:val="TableofFigures"/>
              <w:rPr>
                <w:lang w:eastAsia="en-AU"/>
              </w:rPr>
            </w:pPr>
            <w:r w:rsidRPr="009C06AA">
              <w:rPr>
                <w:lang w:eastAsia="en-AU"/>
              </w:rPr>
              <w:t>..</w:t>
            </w:r>
          </w:p>
        </w:tc>
        <w:tc>
          <w:tcPr>
            <w:tcW w:w="886" w:type="dxa"/>
            <w:tcBorders>
              <w:top w:val="single" w:sz="6" w:space="0" w:color="auto"/>
              <w:left w:val="nil"/>
              <w:bottom w:val="single" w:sz="6" w:space="0" w:color="auto"/>
              <w:right w:val="nil"/>
            </w:tcBorders>
          </w:tcPr>
          <w:p w:rsidR="00B958B1" w:rsidRPr="009C06AA" w:rsidRDefault="00B958B1" w:rsidP="009F3B54">
            <w:pPr>
              <w:pStyle w:val="TableofFigures"/>
              <w:rPr>
                <w:lang w:eastAsia="en-AU"/>
              </w:rPr>
            </w:pPr>
            <w:r w:rsidRPr="009C06AA">
              <w:rPr>
                <w:lang w:eastAsia="en-AU"/>
              </w:rPr>
              <w:t>..</w:t>
            </w:r>
          </w:p>
        </w:tc>
        <w:tc>
          <w:tcPr>
            <w:tcW w:w="887" w:type="dxa"/>
            <w:tcBorders>
              <w:top w:val="single" w:sz="6" w:space="0" w:color="auto"/>
              <w:left w:val="nil"/>
              <w:bottom w:val="single" w:sz="6" w:space="0" w:color="auto"/>
              <w:right w:val="nil"/>
            </w:tcBorders>
          </w:tcPr>
          <w:p w:rsidR="00B958B1" w:rsidRPr="009C06AA" w:rsidRDefault="00B958B1" w:rsidP="009F3B54">
            <w:pPr>
              <w:pStyle w:val="TableofFigures"/>
              <w:rPr>
                <w:lang w:eastAsia="en-AU"/>
              </w:rPr>
            </w:pPr>
            <w:r w:rsidRPr="009C06AA">
              <w:rPr>
                <w:lang w:eastAsia="en-AU"/>
              </w:rPr>
              <w:t>..</w:t>
            </w:r>
          </w:p>
        </w:tc>
        <w:tc>
          <w:tcPr>
            <w:tcW w:w="886" w:type="dxa"/>
            <w:tcBorders>
              <w:top w:val="single" w:sz="6" w:space="0" w:color="auto"/>
              <w:left w:val="nil"/>
              <w:bottom w:val="single" w:sz="6" w:space="0" w:color="auto"/>
              <w:right w:val="nil"/>
            </w:tcBorders>
          </w:tcPr>
          <w:p w:rsidR="00B958B1" w:rsidRPr="009C06AA" w:rsidRDefault="00B958B1" w:rsidP="009F3B54">
            <w:pPr>
              <w:pStyle w:val="TableofFigures"/>
              <w:rPr>
                <w:lang w:eastAsia="en-AU"/>
              </w:rPr>
            </w:pPr>
            <w:r w:rsidRPr="009C06AA">
              <w:rPr>
                <w:lang w:eastAsia="en-AU"/>
              </w:rPr>
              <w:t>..</w:t>
            </w:r>
          </w:p>
        </w:tc>
        <w:tc>
          <w:tcPr>
            <w:tcW w:w="887" w:type="dxa"/>
            <w:tcBorders>
              <w:top w:val="single" w:sz="6" w:space="0" w:color="auto"/>
              <w:left w:val="nil"/>
              <w:bottom w:val="single" w:sz="6" w:space="0" w:color="auto"/>
              <w:right w:val="nil"/>
            </w:tcBorders>
          </w:tcPr>
          <w:p w:rsidR="00B958B1" w:rsidRPr="009C06AA" w:rsidRDefault="00B958B1" w:rsidP="009F3B54">
            <w:pPr>
              <w:pStyle w:val="TableofFigures"/>
              <w:rPr>
                <w:lang w:eastAsia="en-AU"/>
              </w:rPr>
            </w:pPr>
            <w:r w:rsidRPr="009C06AA">
              <w:rPr>
                <w:lang w:eastAsia="en-AU"/>
              </w:rPr>
              <w:t>..</w:t>
            </w:r>
          </w:p>
        </w:tc>
      </w:tr>
      <w:tr w:rsidR="00B958B1" w:rsidRPr="009C06AA" w:rsidTr="009F3B54">
        <w:trPr>
          <w:cantSplit/>
        </w:trPr>
        <w:tc>
          <w:tcPr>
            <w:tcW w:w="3344" w:type="dxa"/>
            <w:tcBorders>
              <w:top w:val="single" w:sz="6" w:space="0" w:color="auto"/>
              <w:left w:val="nil"/>
              <w:bottom w:val="single" w:sz="12" w:space="0" w:color="auto"/>
              <w:right w:val="nil"/>
            </w:tcBorders>
          </w:tcPr>
          <w:p w:rsidR="00B958B1" w:rsidRPr="009C06AA" w:rsidRDefault="00B958B1" w:rsidP="009F3B54">
            <w:pPr>
              <w:pStyle w:val="Tabletext"/>
              <w:rPr>
                <w:b/>
                <w:bCs/>
                <w:lang w:eastAsia="en-AU"/>
              </w:rPr>
            </w:pPr>
            <w:r w:rsidRPr="009C06AA">
              <w:rPr>
                <w:b/>
                <w:bCs/>
                <w:lang w:eastAsia="en-AU"/>
              </w:rPr>
              <w:t>Total output initiatives</w:t>
            </w:r>
          </w:p>
        </w:tc>
        <w:tc>
          <w:tcPr>
            <w:tcW w:w="886" w:type="dxa"/>
            <w:gridSpan w:val="3"/>
            <w:tcBorders>
              <w:top w:val="single" w:sz="6" w:space="0" w:color="auto"/>
              <w:left w:val="nil"/>
              <w:bottom w:val="single" w:sz="12" w:space="0" w:color="auto"/>
              <w:right w:val="nil"/>
            </w:tcBorders>
          </w:tcPr>
          <w:p w:rsidR="00B958B1" w:rsidRPr="009C06AA" w:rsidRDefault="00B958B1" w:rsidP="009F3B54">
            <w:pPr>
              <w:pStyle w:val="TableofFigures"/>
              <w:rPr>
                <w:lang w:eastAsia="en-AU"/>
              </w:rPr>
            </w:pPr>
            <w:r w:rsidRPr="009C06AA">
              <w:rPr>
                <w:lang w:eastAsia="en-AU"/>
              </w:rPr>
              <w:t>..</w:t>
            </w:r>
          </w:p>
        </w:tc>
        <w:tc>
          <w:tcPr>
            <w:tcW w:w="886" w:type="dxa"/>
            <w:tcBorders>
              <w:top w:val="single" w:sz="6" w:space="0" w:color="auto"/>
              <w:left w:val="nil"/>
              <w:bottom w:val="single" w:sz="12" w:space="0" w:color="auto"/>
              <w:right w:val="nil"/>
            </w:tcBorders>
          </w:tcPr>
          <w:p w:rsidR="00B958B1" w:rsidRPr="009C06AA" w:rsidRDefault="00B958B1" w:rsidP="009F3B54">
            <w:pPr>
              <w:pStyle w:val="TableofFigures"/>
              <w:rPr>
                <w:b/>
                <w:bCs/>
                <w:lang w:eastAsia="en-AU"/>
              </w:rPr>
            </w:pPr>
            <w:r w:rsidRPr="009C06AA">
              <w:rPr>
                <w:b/>
                <w:bCs/>
                <w:lang w:eastAsia="en-AU"/>
              </w:rPr>
              <w:t>0.5</w:t>
            </w:r>
          </w:p>
        </w:tc>
        <w:tc>
          <w:tcPr>
            <w:tcW w:w="887" w:type="dxa"/>
            <w:tcBorders>
              <w:top w:val="single" w:sz="6" w:space="0" w:color="auto"/>
              <w:left w:val="nil"/>
              <w:bottom w:val="single" w:sz="12" w:space="0" w:color="auto"/>
              <w:right w:val="nil"/>
            </w:tcBorders>
          </w:tcPr>
          <w:p w:rsidR="00B958B1" w:rsidRPr="009C06AA" w:rsidRDefault="00B958B1" w:rsidP="009F3B54">
            <w:pPr>
              <w:pStyle w:val="TableofFigures"/>
              <w:rPr>
                <w:b/>
                <w:bCs/>
                <w:lang w:eastAsia="en-AU"/>
              </w:rPr>
            </w:pPr>
            <w:r w:rsidRPr="009C06AA">
              <w:rPr>
                <w:b/>
                <w:bCs/>
                <w:lang w:eastAsia="en-AU"/>
              </w:rPr>
              <w:t>0.5</w:t>
            </w:r>
          </w:p>
        </w:tc>
        <w:tc>
          <w:tcPr>
            <w:tcW w:w="886" w:type="dxa"/>
            <w:tcBorders>
              <w:top w:val="single" w:sz="6" w:space="0" w:color="auto"/>
              <w:left w:val="nil"/>
              <w:bottom w:val="single" w:sz="12" w:space="0" w:color="auto"/>
              <w:right w:val="nil"/>
            </w:tcBorders>
          </w:tcPr>
          <w:p w:rsidR="00B958B1" w:rsidRPr="009C06AA" w:rsidRDefault="00B958B1" w:rsidP="009F3B54">
            <w:pPr>
              <w:pStyle w:val="TableofFigures"/>
              <w:rPr>
                <w:lang w:eastAsia="en-AU"/>
              </w:rPr>
            </w:pPr>
            <w:r w:rsidRPr="009C06AA">
              <w:rPr>
                <w:lang w:eastAsia="en-AU"/>
              </w:rPr>
              <w:t>..</w:t>
            </w:r>
          </w:p>
        </w:tc>
        <w:tc>
          <w:tcPr>
            <w:tcW w:w="887" w:type="dxa"/>
            <w:tcBorders>
              <w:top w:val="single" w:sz="6" w:space="0" w:color="auto"/>
              <w:left w:val="nil"/>
              <w:bottom w:val="single" w:sz="12" w:space="0" w:color="auto"/>
              <w:right w:val="nil"/>
            </w:tcBorders>
          </w:tcPr>
          <w:p w:rsidR="00B958B1" w:rsidRPr="009C06AA" w:rsidRDefault="00B958B1" w:rsidP="009F3B54">
            <w:pPr>
              <w:pStyle w:val="TableofFigures"/>
              <w:rPr>
                <w:lang w:eastAsia="en-AU"/>
              </w:rPr>
            </w:pPr>
            <w:r w:rsidRPr="009C06AA">
              <w:rPr>
                <w:lang w:eastAsia="en-AU"/>
              </w:rPr>
              <w:t>..</w:t>
            </w:r>
          </w:p>
        </w:tc>
      </w:tr>
    </w:tbl>
    <w:p w:rsidR="00B958B1" w:rsidRDefault="00B958B1" w:rsidP="009F3B54">
      <w:pPr>
        <w:pStyle w:val="Source"/>
      </w:pPr>
      <w:r w:rsidRPr="00A20936">
        <w:t>Source: Department of Treasury and Finance</w:t>
      </w:r>
    </w:p>
    <w:p w:rsidR="00B958B1" w:rsidRPr="007A5D01" w:rsidRDefault="00B958B1" w:rsidP="009F3B54">
      <w:pPr>
        <w:pStyle w:val="Notes"/>
      </w:pPr>
    </w:p>
    <w:p w:rsidR="00B958B1" w:rsidRPr="00DE65E7" w:rsidRDefault="00B958B1" w:rsidP="009F3B54">
      <w:pPr>
        <w:pStyle w:val="Heading4"/>
      </w:pPr>
      <w:r>
        <w:t>Parliamentary Investigatory Committees</w:t>
      </w:r>
    </w:p>
    <w:p w:rsidR="00B958B1" w:rsidRDefault="00B958B1" w:rsidP="009F3B54">
      <w:pPr>
        <w:pStyle w:val="Heading5"/>
      </w:pPr>
      <w:r>
        <w:t>Accountability and Oversight and Independent Broad</w:t>
      </w:r>
      <w:r w:rsidR="009F0F49">
        <w:noBreakHyphen/>
      </w:r>
      <w:r>
        <w:t>based Anti</w:t>
      </w:r>
      <w:r w:rsidR="009F0F49">
        <w:noBreakHyphen/>
      </w:r>
      <w:r>
        <w:t>corruption Commission Joint Investigatory Committees</w:t>
      </w:r>
    </w:p>
    <w:p w:rsidR="00B958B1" w:rsidRDefault="00B958B1" w:rsidP="009F3B54">
      <w:r>
        <w:fldChar w:fldCharType="begin"/>
      </w:r>
      <w:r>
        <w:instrText xml:space="preserve"> XE "</w:instrText>
      </w:r>
      <w:r w:rsidRPr="00710FC8">
        <w:instrText>Parliament:Parliamentary Investigatory Committees</w:instrText>
      </w:r>
      <w:r>
        <w:instrText xml:space="preserve">" </w:instrText>
      </w:r>
      <w:r>
        <w:fldChar w:fldCharType="end"/>
      </w:r>
      <w:r>
        <w:fldChar w:fldCharType="begin"/>
      </w:r>
      <w:r>
        <w:instrText xml:space="preserve"> XE "</w:instrText>
      </w:r>
      <w:r w:rsidRPr="009E53A6">
        <w:instrText>Parliamentary Investigatory Committees</w:instrText>
      </w:r>
      <w:r>
        <w:instrText xml:space="preserve">" </w:instrText>
      </w:r>
      <w:r>
        <w:fldChar w:fldCharType="end"/>
      </w:r>
      <w:r>
        <w:t>To enable effective operation of the Parliamentary Investigatory Committees that oversee the Freedom of Information Commissioner and the Independent Broad</w:t>
      </w:r>
      <w:r w:rsidR="009F0F49">
        <w:noBreakHyphen/>
      </w:r>
      <w:r>
        <w:t>based Anti</w:t>
      </w:r>
      <w:r w:rsidR="009F0F49">
        <w:noBreakHyphen/>
      </w:r>
      <w:r>
        <w:t xml:space="preserve">corruption Commission. </w:t>
      </w:r>
    </w:p>
    <w:p w:rsidR="00B958B1" w:rsidRDefault="00B958B1" w:rsidP="009F3B54">
      <w:r>
        <w:t>This initiative contributes to Parliament’s Reports Tabled and Papers Published output.</w:t>
      </w:r>
    </w:p>
    <w:p w:rsidR="00B958B1" w:rsidRDefault="00B958B1" w:rsidP="009F3B54">
      <w:pPr>
        <w:pStyle w:val="Heading5"/>
      </w:pPr>
      <w:r>
        <w:t>Legislative Council Standing Committees</w:t>
      </w:r>
    </w:p>
    <w:p w:rsidR="00B958B1" w:rsidRDefault="00B958B1" w:rsidP="009F3B54">
      <w:r>
        <w:t>To enable the increased inquiry activity anticipated under the Standing Committee system established by the Legislative Council.</w:t>
      </w:r>
    </w:p>
    <w:p w:rsidR="00B958B1" w:rsidRDefault="00B958B1" w:rsidP="009F3B54">
      <w:r>
        <w:t>This initiative contributes to Parliament’s Procedural Support, Documentation Preparation and Provision of Information for Council output.</w:t>
      </w:r>
    </w:p>
    <w:p w:rsidR="00B958B1" w:rsidRDefault="00B958B1" w:rsidP="009F3B54">
      <w:pPr>
        <w:pStyle w:val="Heading5"/>
      </w:pPr>
      <w:r>
        <w:t>Performance audit of the Victorian Auditor</w:t>
      </w:r>
      <w:r w:rsidR="009F0F49">
        <w:noBreakHyphen/>
      </w:r>
      <w:r>
        <w:t>General’s Office</w:t>
      </w:r>
    </w:p>
    <w:p w:rsidR="00B958B1" w:rsidRDefault="00B958B1" w:rsidP="009F3B54">
      <w:r>
        <w:t>To undertake an independent performance audit of the Victorian</w:t>
      </w:r>
      <w:r w:rsidR="009F0F49">
        <w:noBreakHyphen/>
      </w:r>
      <w:r>
        <w:t>Auditor General’s Office.</w:t>
      </w:r>
    </w:p>
    <w:p w:rsidR="00B958B1" w:rsidRDefault="00B958B1" w:rsidP="009F3B54">
      <w:r>
        <w:t xml:space="preserve">This initiative contributes to Parliament’s Reports Tabled and Papers Published output. </w:t>
      </w:r>
      <w:r>
        <w:fldChar w:fldCharType="begin"/>
      </w:r>
      <w:r>
        <w:instrText xml:space="preserve"> XE "</w:instrText>
      </w:r>
      <w:r w:rsidRPr="002521F7">
        <w:instrText>Parliament:Output initiatives</w:instrText>
      </w:r>
      <w:r>
        <w:instrText xml:space="preserve">" \r "BP3Ch1ParlOutputInitves" </w:instrText>
      </w:r>
      <w:r>
        <w:fldChar w:fldCharType="end"/>
      </w:r>
    </w:p>
    <w:bookmarkEnd w:id="79"/>
    <w:p w:rsidR="00B958B1" w:rsidRDefault="00B958B1" w:rsidP="009F3B54">
      <w:pPr>
        <w:pStyle w:val="Heading1"/>
      </w:pPr>
      <w:r>
        <w:br w:type="page"/>
      </w:r>
      <w:bookmarkStart w:id="80" w:name="_Toc355248224"/>
      <w:bookmarkStart w:id="81" w:name="_Toc355362276"/>
      <w:bookmarkStart w:id="82" w:name="BP3Ch1ParlRevenueInitves"/>
      <w:r w:rsidRPr="00500361">
        <w:t>Revenue initiatives</w:t>
      </w:r>
      <w:bookmarkEnd w:id="80"/>
      <w:bookmarkEnd w:id="81"/>
    </w:p>
    <w:p w:rsidR="00B958B1" w:rsidRDefault="00B958B1" w:rsidP="009F3B54">
      <w:pPr>
        <w:pStyle w:val="Tableheading"/>
      </w:pPr>
      <w:r w:rsidRPr="00500361">
        <w:t>Table 1.</w:t>
      </w:r>
      <w:r>
        <w:t>19</w:t>
      </w:r>
      <w:r w:rsidRPr="00500361">
        <w:t>:</w:t>
      </w:r>
      <w:r w:rsidRPr="00500361">
        <w:tab/>
        <w:t>Revenue initiatives</w:t>
      </w:r>
    </w:p>
    <w:p w:rsidR="00B958B1" w:rsidRDefault="00B958B1" w:rsidP="009F3B54">
      <w:pPr>
        <w:pStyle w:val="million"/>
        <w:rPr>
          <w:rFonts w:ascii="Times New Roman" w:hAnsi="Times New Roman"/>
          <w:i w:val="0"/>
          <w:sz w:val="20"/>
          <w:szCs w:val="20"/>
          <w:lang w:eastAsia="en-AU"/>
        </w:rPr>
      </w:pPr>
      <w:r>
        <w:fldChar w:fldCharType="begin"/>
      </w:r>
      <w:r>
        <w:instrText xml:space="preserve"> XE "</w:instrText>
      </w:r>
      <w:r w:rsidRPr="001902E6">
        <w:instrText>Concessions</w:instrText>
      </w:r>
      <w:r>
        <w:instrText xml:space="preserve">" </w:instrText>
      </w:r>
      <w:r>
        <w:fldChar w:fldCharType="end"/>
      </w:r>
      <w:r>
        <w:fldChar w:fldCharType="begin"/>
      </w:r>
      <w:r>
        <w:instrText xml:space="preserve"> XE "</w:instrText>
      </w:r>
      <w:r w:rsidRPr="001902E6">
        <w:instrText xml:space="preserve">Land </w:instrText>
      </w:r>
      <w:r>
        <w:instrText>T</w:instrText>
      </w:r>
      <w:r w:rsidRPr="001902E6">
        <w:instrText>ax</w:instrText>
      </w:r>
      <w:r>
        <w:instrText xml:space="preserve">" </w:instrText>
      </w:r>
      <w:r>
        <w:fldChar w:fldCharType="end"/>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524"/>
        <w:gridCol w:w="850"/>
        <w:gridCol w:w="850"/>
        <w:gridCol w:w="851"/>
        <w:gridCol w:w="850"/>
        <w:gridCol w:w="851"/>
      </w:tblGrid>
      <w:tr w:rsidR="00B958B1" w:rsidRPr="00EE657F" w:rsidTr="009F3B54">
        <w:tc>
          <w:tcPr>
            <w:tcW w:w="3524" w:type="dxa"/>
            <w:tcBorders>
              <w:top w:val="single" w:sz="4" w:space="0" w:color="auto"/>
              <w:left w:val="single" w:sz="4" w:space="0" w:color="auto"/>
              <w:bottom w:val="single" w:sz="6" w:space="0" w:color="auto"/>
              <w:right w:val="nil"/>
            </w:tcBorders>
            <w:shd w:val="clear" w:color="auto" w:fill="000000"/>
          </w:tcPr>
          <w:p w:rsidR="00B958B1" w:rsidRPr="00EE657F" w:rsidRDefault="00B958B1" w:rsidP="009F3B54">
            <w:pPr>
              <w:pStyle w:val="Tabletext"/>
              <w:rPr>
                <w:lang w:eastAsia="en-AU"/>
              </w:rPr>
            </w:pPr>
          </w:p>
        </w:tc>
        <w:tc>
          <w:tcPr>
            <w:tcW w:w="850" w:type="dxa"/>
            <w:tcBorders>
              <w:top w:val="single" w:sz="4" w:space="0" w:color="auto"/>
              <w:left w:val="nil"/>
              <w:bottom w:val="single" w:sz="6" w:space="0" w:color="auto"/>
              <w:right w:val="nil"/>
            </w:tcBorders>
            <w:shd w:val="clear" w:color="auto" w:fill="000000"/>
          </w:tcPr>
          <w:p w:rsidR="00B958B1" w:rsidRPr="00EE657F" w:rsidRDefault="00B958B1" w:rsidP="009F3B54">
            <w:pPr>
              <w:pStyle w:val="Tabletextheading"/>
              <w:rPr>
                <w:lang w:eastAsia="en-AU"/>
              </w:rPr>
            </w:pPr>
            <w:r w:rsidRPr="00EE657F">
              <w:rPr>
                <w:lang w:eastAsia="en-AU"/>
              </w:rPr>
              <w:t>2012</w:t>
            </w:r>
            <w:r w:rsidR="009F0F49">
              <w:rPr>
                <w:lang w:eastAsia="en-AU"/>
              </w:rPr>
              <w:noBreakHyphen/>
            </w:r>
            <w:r w:rsidRPr="00EE657F">
              <w:rPr>
                <w:lang w:eastAsia="en-AU"/>
              </w:rPr>
              <w:t>13</w:t>
            </w:r>
          </w:p>
        </w:tc>
        <w:tc>
          <w:tcPr>
            <w:tcW w:w="850" w:type="dxa"/>
            <w:tcBorders>
              <w:top w:val="single" w:sz="4" w:space="0" w:color="auto"/>
              <w:left w:val="nil"/>
              <w:bottom w:val="single" w:sz="6" w:space="0" w:color="auto"/>
              <w:right w:val="nil"/>
            </w:tcBorders>
            <w:shd w:val="clear" w:color="auto" w:fill="000000"/>
          </w:tcPr>
          <w:p w:rsidR="00B958B1" w:rsidRPr="00EE657F" w:rsidRDefault="00B958B1" w:rsidP="009F3B54">
            <w:pPr>
              <w:pStyle w:val="Tabletextheading"/>
              <w:rPr>
                <w:lang w:eastAsia="en-AU"/>
              </w:rPr>
            </w:pPr>
            <w:r w:rsidRPr="00EE657F">
              <w:rPr>
                <w:lang w:eastAsia="en-AU"/>
              </w:rPr>
              <w:t>2013</w:t>
            </w:r>
            <w:r w:rsidR="009F0F49">
              <w:rPr>
                <w:lang w:eastAsia="en-AU"/>
              </w:rPr>
              <w:noBreakHyphen/>
            </w:r>
            <w:r w:rsidRPr="00EE657F">
              <w:rPr>
                <w:lang w:eastAsia="en-AU"/>
              </w:rPr>
              <w:t>14</w:t>
            </w:r>
          </w:p>
        </w:tc>
        <w:tc>
          <w:tcPr>
            <w:tcW w:w="851" w:type="dxa"/>
            <w:tcBorders>
              <w:top w:val="single" w:sz="4" w:space="0" w:color="auto"/>
              <w:left w:val="nil"/>
              <w:bottom w:val="single" w:sz="6" w:space="0" w:color="auto"/>
              <w:right w:val="nil"/>
            </w:tcBorders>
            <w:shd w:val="clear" w:color="auto" w:fill="000000"/>
          </w:tcPr>
          <w:p w:rsidR="00B958B1" w:rsidRPr="00EE657F" w:rsidRDefault="00B958B1" w:rsidP="009F3B54">
            <w:pPr>
              <w:pStyle w:val="Tabletextheading"/>
              <w:rPr>
                <w:lang w:eastAsia="en-AU"/>
              </w:rPr>
            </w:pPr>
            <w:r w:rsidRPr="00EE657F">
              <w:rPr>
                <w:lang w:eastAsia="en-AU"/>
              </w:rPr>
              <w:t>2014</w:t>
            </w:r>
            <w:r w:rsidR="009F0F49">
              <w:rPr>
                <w:lang w:eastAsia="en-AU"/>
              </w:rPr>
              <w:noBreakHyphen/>
            </w:r>
            <w:r w:rsidRPr="00EE657F">
              <w:rPr>
                <w:lang w:eastAsia="en-AU"/>
              </w:rPr>
              <w:t>15</w:t>
            </w:r>
          </w:p>
        </w:tc>
        <w:tc>
          <w:tcPr>
            <w:tcW w:w="850" w:type="dxa"/>
            <w:tcBorders>
              <w:top w:val="single" w:sz="4" w:space="0" w:color="auto"/>
              <w:left w:val="nil"/>
              <w:bottom w:val="single" w:sz="6" w:space="0" w:color="auto"/>
              <w:right w:val="nil"/>
            </w:tcBorders>
            <w:shd w:val="clear" w:color="auto" w:fill="000000"/>
          </w:tcPr>
          <w:p w:rsidR="00B958B1" w:rsidRPr="00EE657F" w:rsidRDefault="00B958B1" w:rsidP="009F3B54">
            <w:pPr>
              <w:pStyle w:val="Tabletextheading"/>
              <w:rPr>
                <w:lang w:eastAsia="en-AU"/>
              </w:rPr>
            </w:pPr>
            <w:r w:rsidRPr="00EE657F">
              <w:rPr>
                <w:lang w:eastAsia="en-AU"/>
              </w:rPr>
              <w:t>2015</w:t>
            </w:r>
            <w:r w:rsidR="009F0F49">
              <w:rPr>
                <w:lang w:eastAsia="en-AU"/>
              </w:rPr>
              <w:noBreakHyphen/>
            </w:r>
            <w:r w:rsidRPr="00EE657F">
              <w:rPr>
                <w:lang w:eastAsia="en-AU"/>
              </w:rPr>
              <w:t>16</w:t>
            </w:r>
          </w:p>
        </w:tc>
        <w:tc>
          <w:tcPr>
            <w:tcW w:w="851" w:type="dxa"/>
            <w:tcBorders>
              <w:top w:val="single" w:sz="4" w:space="0" w:color="auto"/>
              <w:left w:val="nil"/>
              <w:bottom w:val="single" w:sz="6" w:space="0" w:color="auto"/>
              <w:right w:val="single" w:sz="4" w:space="0" w:color="auto"/>
            </w:tcBorders>
            <w:shd w:val="clear" w:color="auto" w:fill="000000"/>
          </w:tcPr>
          <w:p w:rsidR="00B958B1" w:rsidRPr="00EE657F" w:rsidRDefault="00B958B1" w:rsidP="009F3B54">
            <w:pPr>
              <w:pStyle w:val="Tabletextheading"/>
              <w:rPr>
                <w:lang w:eastAsia="en-AU"/>
              </w:rPr>
            </w:pPr>
            <w:r w:rsidRPr="00EE657F">
              <w:rPr>
                <w:lang w:eastAsia="en-AU"/>
              </w:rPr>
              <w:t>2016</w:t>
            </w:r>
            <w:r w:rsidR="009F0F49">
              <w:rPr>
                <w:lang w:eastAsia="en-AU"/>
              </w:rPr>
              <w:noBreakHyphen/>
            </w:r>
            <w:r w:rsidRPr="00EE657F">
              <w:rPr>
                <w:lang w:eastAsia="en-AU"/>
              </w:rPr>
              <w:t>17</w:t>
            </w:r>
          </w:p>
        </w:tc>
      </w:tr>
      <w:tr w:rsidR="00B958B1" w:rsidRPr="00EE657F" w:rsidTr="009F3B54">
        <w:tc>
          <w:tcPr>
            <w:tcW w:w="3524" w:type="dxa"/>
            <w:tcBorders>
              <w:top w:val="single" w:sz="4" w:space="0" w:color="auto"/>
              <w:left w:val="nil"/>
              <w:bottom w:val="nil"/>
              <w:right w:val="nil"/>
            </w:tcBorders>
          </w:tcPr>
          <w:p w:rsidR="00B958B1" w:rsidRPr="00EE657F" w:rsidRDefault="00B958B1" w:rsidP="009F3B54">
            <w:pPr>
              <w:pStyle w:val="Tabletext"/>
              <w:rPr>
                <w:lang w:eastAsia="en-AU"/>
              </w:rPr>
            </w:pPr>
            <w:r w:rsidRPr="00EE657F">
              <w:rPr>
                <w:lang w:eastAsia="en-AU"/>
              </w:rPr>
              <w:t>Accelerating First Home Buyer stamp duty concessions</w:t>
            </w:r>
          </w:p>
        </w:tc>
        <w:tc>
          <w:tcPr>
            <w:tcW w:w="850" w:type="dxa"/>
            <w:tcBorders>
              <w:top w:val="single" w:sz="4" w:space="0" w:color="auto"/>
              <w:left w:val="nil"/>
              <w:bottom w:val="nil"/>
              <w:right w:val="nil"/>
            </w:tcBorders>
          </w:tcPr>
          <w:p w:rsidR="00B958B1" w:rsidRPr="00EE657F" w:rsidRDefault="00B958B1" w:rsidP="009F3B54">
            <w:pPr>
              <w:pStyle w:val="TableofFigures"/>
              <w:rPr>
                <w:lang w:eastAsia="en-AU"/>
              </w:rPr>
            </w:pPr>
            <w:r w:rsidRPr="00EE657F">
              <w:rPr>
                <w:lang w:eastAsia="en-AU"/>
              </w:rPr>
              <w:t>..</w:t>
            </w:r>
          </w:p>
        </w:tc>
        <w:tc>
          <w:tcPr>
            <w:tcW w:w="850" w:type="dxa"/>
            <w:tcBorders>
              <w:top w:val="single" w:sz="4" w:space="0" w:color="auto"/>
              <w:left w:val="nil"/>
              <w:bottom w:val="nil"/>
              <w:right w:val="nil"/>
            </w:tcBorders>
          </w:tcPr>
          <w:p w:rsidR="00B958B1" w:rsidRPr="00EE657F" w:rsidRDefault="009F0F49" w:rsidP="009F3B54">
            <w:pPr>
              <w:pStyle w:val="TableofFigures"/>
              <w:rPr>
                <w:lang w:eastAsia="en-AU"/>
              </w:rPr>
            </w:pPr>
            <w:r>
              <w:rPr>
                <w:lang w:eastAsia="en-AU"/>
              </w:rPr>
              <w:noBreakHyphen/>
            </w:r>
            <w:r w:rsidR="00B958B1" w:rsidRPr="00EE657F">
              <w:rPr>
                <w:lang w:eastAsia="en-AU"/>
              </w:rPr>
              <w:t>10.8</w:t>
            </w:r>
          </w:p>
        </w:tc>
        <w:tc>
          <w:tcPr>
            <w:tcW w:w="851" w:type="dxa"/>
            <w:tcBorders>
              <w:top w:val="single" w:sz="4" w:space="0" w:color="auto"/>
              <w:left w:val="nil"/>
              <w:bottom w:val="nil"/>
              <w:right w:val="nil"/>
            </w:tcBorders>
          </w:tcPr>
          <w:p w:rsidR="00B958B1" w:rsidRPr="00EE657F" w:rsidRDefault="00B958B1" w:rsidP="009F3B54">
            <w:pPr>
              <w:pStyle w:val="TableofFigures"/>
              <w:rPr>
                <w:lang w:eastAsia="en-AU"/>
              </w:rPr>
            </w:pPr>
            <w:r w:rsidRPr="00EE657F">
              <w:rPr>
                <w:lang w:eastAsia="en-AU"/>
              </w:rPr>
              <w:t>..</w:t>
            </w:r>
          </w:p>
        </w:tc>
        <w:tc>
          <w:tcPr>
            <w:tcW w:w="850" w:type="dxa"/>
            <w:tcBorders>
              <w:top w:val="single" w:sz="4" w:space="0" w:color="auto"/>
              <w:left w:val="nil"/>
              <w:bottom w:val="nil"/>
              <w:right w:val="nil"/>
            </w:tcBorders>
          </w:tcPr>
          <w:p w:rsidR="00B958B1" w:rsidRPr="00EE657F" w:rsidRDefault="00B958B1" w:rsidP="009F3B54">
            <w:pPr>
              <w:pStyle w:val="TableofFigures"/>
              <w:rPr>
                <w:lang w:eastAsia="en-AU"/>
              </w:rPr>
            </w:pPr>
            <w:r w:rsidRPr="00EE657F">
              <w:rPr>
                <w:lang w:eastAsia="en-AU"/>
              </w:rPr>
              <w:t>..</w:t>
            </w:r>
          </w:p>
        </w:tc>
        <w:tc>
          <w:tcPr>
            <w:tcW w:w="851" w:type="dxa"/>
            <w:tcBorders>
              <w:top w:val="single" w:sz="4" w:space="0" w:color="auto"/>
              <w:left w:val="nil"/>
              <w:bottom w:val="nil"/>
              <w:right w:val="nil"/>
            </w:tcBorders>
          </w:tcPr>
          <w:p w:rsidR="00B958B1" w:rsidRPr="00EE657F" w:rsidRDefault="00B958B1" w:rsidP="009F3B54">
            <w:pPr>
              <w:pStyle w:val="TableofFigures"/>
              <w:rPr>
                <w:lang w:eastAsia="en-AU"/>
              </w:rPr>
            </w:pPr>
            <w:r w:rsidRPr="00EE657F">
              <w:rPr>
                <w:lang w:eastAsia="en-AU"/>
              </w:rPr>
              <w:t>..</w:t>
            </w:r>
          </w:p>
        </w:tc>
      </w:tr>
      <w:tr w:rsidR="00B958B1" w:rsidRPr="00EE657F" w:rsidTr="009F3B54">
        <w:tc>
          <w:tcPr>
            <w:tcW w:w="3524" w:type="dxa"/>
            <w:tcBorders>
              <w:top w:val="nil"/>
              <w:left w:val="nil"/>
              <w:bottom w:val="nil"/>
              <w:right w:val="nil"/>
            </w:tcBorders>
          </w:tcPr>
          <w:p w:rsidR="00B958B1" w:rsidRPr="00EE657F" w:rsidRDefault="00B958B1" w:rsidP="009F3B54">
            <w:pPr>
              <w:pStyle w:val="Tabletext"/>
              <w:rPr>
                <w:lang w:eastAsia="en-AU"/>
              </w:rPr>
            </w:pPr>
            <w:r w:rsidRPr="00EE657F">
              <w:rPr>
                <w:lang w:eastAsia="en-AU"/>
              </w:rPr>
              <w:t>Introducing standard board and lodging fees for disability accommodation</w:t>
            </w:r>
          </w:p>
        </w:tc>
        <w:tc>
          <w:tcPr>
            <w:tcW w:w="850" w:type="dxa"/>
            <w:tcBorders>
              <w:top w:val="nil"/>
              <w:left w:val="nil"/>
              <w:bottom w:val="nil"/>
              <w:right w:val="nil"/>
            </w:tcBorders>
          </w:tcPr>
          <w:p w:rsidR="00B958B1" w:rsidRPr="00EE657F" w:rsidRDefault="00B958B1" w:rsidP="009F3B54">
            <w:pPr>
              <w:pStyle w:val="TableofFigures"/>
              <w:rPr>
                <w:lang w:eastAsia="en-AU"/>
              </w:rPr>
            </w:pPr>
            <w:r w:rsidRPr="00EE657F">
              <w:rPr>
                <w:lang w:eastAsia="en-AU"/>
              </w:rPr>
              <w:t>..</w:t>
            </w:r>
          </w:p>
        </w:tc>
        <w:tc>
          <w:tcPr>
            <w:tcW w:w="850" w:type="dxa"/>
            <w:tcBorders>
              <w:top w:val="nil"/>
              <w:left w:val="nil"/>
              <w:bottom w:val="nil"/>
              <w:right w:val="nil"/>
            </w:tcBorders>
            <w:shd w:val="solid" w:color="FFFFFF" w:fill="auto"/>
          </w:tcPr>
          <w:p w:rsidR="00B958B1" w:rsidRPr="00EE657F" w:rsidRDefault="00B958B1" w:rsidP="009F3B54">
            <w:pPr>
              <w:pStyle w:val="TableofFigures"/>
              <w:rPr>
                <w:lang w:eastAsia="en-AU"/>
              </w:rPr>
            </w:pPr>
            <w:r w:rsidRPr="00EE657F">
              <w:rPr>
                <w:lang w:eastAsia="en-AU"/>
              </w:rPr>
              <w:t>11.0</w:t>
            </w:r>
          </w:p>
        </w:tc>
        <w:tc>
          <w:tcPr>
            <w:tcW w:w="851" w:type="dxa"/>
            <w:tcBorders>
              <w:top w:val="nil"/>
              <w:left w:val="nil"/>
              <w:bottom w:val="nil"/>
              <w:right w:val="nil"/>
            </w:tcBorders>
            <w:shd w:val="solid" w:color="FFFFFF" w:fill="auto"/>
          </w:tcPr>
          <w:p w:rsidR="00B958B1" w:rsidRPr="00EE657F" w:rsidRDefault="00B958B1" w:rsidP="009F3B54">
            <w:pPr>
              <w:pStyle w:val="TableofFigures"/>
              <w:rPr>
                <w:lang w:eastAsia="en-AU"/>
              </w:rPr>
            </w:pPr>
            <w:r w:rsidRPr="00EE657F">
              <w:rPr>
                <w:lang w:eastAsia="en-AU"/>
              </w:rPr>
              <w:t>11.0</w:t>
            </w:r>
          </w:p>
        </w:tc>
        <w:tc>
          <w:tcPr>
            <w:tcW w:w="850" w:type="dxa"/>
            <w:tcBorders>
              <w:top w:val="nil"/>
              <w:left w:val="nil"/>
              <w:bottom w:val="nil"/>
              <w:right w:val="nil"/>
            </w:tcBorders>
            <w:shd w:val="solid" w:color="FFFFFF" w:fill="auto"/>
          </w:tcPr>
          <w:p w:rsidR="00B958B1" w:rsidRPr="00EE657F" w:rsidRDefault="00B958B1" w:rsidP="009F3B54">
            <w:pPr>
              <w:pStyle w:val="TableofFigures"/>
              <w:rPr>
                <w:lang w:eastAsia="en-AU"/>
              </w:rPr>
            </w:pPr>
            <w:r w:rsidRPr="00EE657F">
              <w:rPr>
                <w:lang w:eastAsia="en-AU"/>
              </w:rPr>
              <w:t>11.0</w:t>
            </w:r>
          </w:p>
        </w:tc>
        <w:tc>
          <w:tcPr>
            <w:tcW w:w="851" w:type="dxa"/>
            <w:tcBorders>
              <w:top w:val="nil"/>
              <w:left w:val="nil"/>
              <w:bottom w:val="nil"/>
              <w:right w:val="nil"/>
            </w:tcBorders>
            <w:shd w:val="solid" w:color="FFFFFF" w:fill="auto"/>
          </w:tcPr>
          <w:p w:rsidR="00B958B1" w:rsidRPr="00EE657F" w:rsidRDefault="00B958B1" w:rsidP="009F3B54">
            <w:pPr>
              <w:pStyle w:val="TableofFigures"/>
              <w:rPr>
                <w:lang w:eastAsia="en-AU"/>
              </w:rPr>
            </w:pPr>
            <w:r w:rsidRPr="00EE657F">
              <w:rPr>
                <w:lang w:eastAsia="en-AU"/>
              </w:rPr>
              <w:t>11.0</w:t>
            </w:r>
          </w:p>
        </w:tc>
      </w:tr>
      <w:tr w:rsidR="00B958B1" w:rsidRPr="00EE657F" w:rsidTr="009F3B54">
        <w:tc>
          <w:tcPr>
            <w:tcW w:w="3524" w:type="dxa"/>
            <w:tcBorders>
              <w:top w:val="nil"/>
              <w:left w:val="nil"/>
              <w:bottom w:val="nil"/>
              <w:right w:val="nil"/>
            </w:tcBorders>
            <w:shd w:val="solid" w:color="FFFFFF" w:fill="auto"/>
          </w:tcPr>
          <w:p w:rsidR="00B958B1" w:rsidRPr="00EE657F" w:rsidRDefault="00B958B1" w:rsidP="009F3B54">
            <w:pPr>
              <w:pStyle w:val="Tabletext"/>
              <w:rPr>
                <w:lang w:eastAsia="en-AU"/>
              </w:rPr>
            </w:pPr>
            <w:r w:rsidRPr="00EE657F">
              <w:rPr>
                <w:lang w:eastAsia="en-AU"/>
              </w:rPr>
              <w:t>Enhancing the asset confiscation scheme</w:t>
            </w:r>
          </w:p>
        </w:tc>
        <w:tc>
          <w:tcPr>
            <w:tcW w:w="850" w:type="dxa"/>
            <w:tcBorders>
              <w:top w:val="nil"/>
              <w:left w:val="nil"/>
              <w:bottom w:val="nil"/>
              <w:right w:val="nil"/>
            </w:tcBorders>
            <w:shd w:val="solid" w:color="FFFFFF" w:fill="auto"/>
          </w:tcPr>
          <w:p w:rsidR="00B958B1" w:rsidRPr="00EE657F" w:rsidRDefault="00B958B1" w:rsidP="009F3B54">
            <w:pPr>
              <w:pStyle w:val="TableofFigures"/>
              <w:rPr>
                <w:lang w:eastAsia="en-AU"/>
              </w:rPr>
            </w:pPr>
            <w:r w:rsidRPr="00EE657F">
              <w:rPr>
                <w:lang w:eastAsia="en-AU"/>
              </w:rPr>
              <w:t>..</w:t>
            </w:r>
          </w:p>
        </w:tc>
        <w:tc>
          <w:tcPr>
            <w:tcW w:w="850" w:type="dxa"/>
            <w:tcBorders>
              <w:top w:val="nil"/>
              <w:left w:val="nil"/>
              <w:bottom w:val="nil"/>
              <w:right w:val="nil"/>
            </w:tcBorders>
            <w:shd w:val="solid" w:color="FFFFFF" w:fill="auto"/>
          </w:tcPr>
          <w:p w:rsidR="00B958B1" w:rsidRPr="00EE657F" w:rsidRDefault="00B958B1" w:rsidP="009F3B54">
            <w:pPr>
              <w:pStyle w:val="TableofFigures"/>
              <w:rPr>
                <w:lang w:eastAsia="en-AU"/>
              </w:rPr>
            </w:pPr>
            <w:r w:rsidRPr="00EE657F">
              <w:rPr>
                <w:lang w:eastAsia="en-AU"/>
              </w:rPr>
              <w:t>16.3</w:t>
            </w:r>
          </w:p>
        </w:tc>
        <w:tc>
          <w:tcPr>
            <w:tcW w:w="851" w:type="dxa"/>
            <w:tcBorders>
              <w:top w:val="nil"/>
              <w:left w:val="nil"/>
              <w:bottom w:val="nil"/>
              <w:right w:val="nil"/>
            </w:tcBorders>
            <w:shd w:val="solid" w:color="FFFFFF" w:fill="auto"/>
          </w:tcPr>
          <w:p w:rsidR="00B958B1" w:rsidRPr="00EE657F" w:rsidRDefault="00B958B1" w:rsidP="009F3B54">
            <w:pPr>
              <w:pStyle w:val="TableofFigures"/>
              <w:rPr>
                <w:lang w:eastAsia="en-AU"/>
              </w:rPr>
            </w:pPr>
            <w:r w:rsidRPr="00EE657F">
              <w:rPr>
                <w:lang w:eastAsia="en-AU"/>
              </w:rPr>
              <w:t>13.5</w:t>
            </w:r>
          </w:p>
        </w:tc>
        <w:tc>
          <w:tcPr>
            <w:tcW w:w="850" w:type="dxa"/>
            <w:tcBorders>
              <w:top w:val="nil"/>
              <w:left w:val="nil"/>
              <w:bottom w:val="nil"/>
              <w:right w:val="nil"/>
            </w:tcBorders>
            <w:shd w:val="solid" w:color="FFFFFF" w:fill="auto"/>
          </w:tcPr>
          <w:p w:rsidR="00B958B1" w:rsidRPr="00EE657F" w:rsidRDefault="00B958B1" w:rsidP="009F3B54">
            <w:pPr>
              <w:pStyle w:val="TableofFigures"/>
              <w:rPr>
                <w:lang w:eastAsia="en-AU"/>
              </w:rPr>
            </w:pPr>
            <w:r w:rsidRPr="00EE657F">
              <w:rPr>
                <w:lang w:eastAsia="en-AU"/>
              </w:rPr>
              <w:t>25.8</w:t>
            </w:r>
          </w:p>
        </w:tc>
        <w:tc>
          <w:tcPr>
            <w:tcW w:w="851" w:type="dxa"/>
            <w:tcBorders>
              <w:top w:val="nil"/>
              <w:left w:val="nil"/>
              <w:bottom w:val="nil"/>
              <w:right w:val="nil"/>
            </w:tcBorders>
            <w:shd w:val="solid" w:color="FFFFFF" w:fill="auto"/>
          </w:tcPr>
          <w:p w:rsidR="00B958B1" w:rsidRPr="00EE657F" w:rsidRDefault="00B958B1" w:rsidP="009F3B54">
            <w:pPr>
              <w:pStyle w:val="TableofFigures"/>
              <w:rPr>
                <w:lang w:eastAsia="en-AU"/>
              </w:rPr>
            </w:pPr>
            <w:r w:rsidRPr="00EE657F">
              <w:rPr>
                <w:lang w:eastAsia="en-AU"/>
              </w:rPr>
              <w:t>27.8</w:t>
            </w:r>
          </w:p>
        </w:tc>
      </w:tr>
      <w:tr w:rsidR="00B958B1" w:rsidRPr="00EE657F" w:rsidTr="009F3B54">
        <w:tc>
          <w:tcPr>
            <w:tcW w:w="3524" w:type="dxa"/>
            <w:tcBorders>
              <w:top w:val="nil"/>
              <w:left w:val="nil"/>
              <w:bottom w:val="nil"/>
              <w:right w:val="nil"/>
            </w:tcBorders>
            <w:shd w:val="solid" w:color="FFFFFF" w:fill="auto"/>
          </w:tcPr>
          <w:p w:rsidR="00B958B1" w:rsidRPr="00EE657F" w:rsidRDefault="00B958B1" w:rsidP="009F3B54">
            <w:pPr>
              <w:pStyle w:val="Tabletext"/>
              <w:rPr>
                <w:lang w:eastAsia="en-AU"/>
              </w:rPr>
            </w:pPr>
            <w:r w:rsidRPr="00EE657F">
              <w:rPr>
                <w:lang w:eastAsia="en-AU"/>
              </w:rPr>
              <w:t>Land tax compliance</w:t>
            </w:r>
          </w:p>
        </w:tc>
        <w:tc>
          <w:tcPr>
            <w:tcW w:w="850" w:type="dxa"/>
            <w:tcBorders>
              <w:top w:val="nil"/>
              <w:left w:val="nil"/>
              <w:bottom w:val="nil"/>
              <w:right w:val="nil"/>
            </w:tcBorders>
            <w:shd w:val="solid" w:color="FFFFFF" w:fill="auto"/>
          </w:tcPr>
          <w:p w:rsidR="00B958B1" w:rsidRPr="00EE657F" w:rsidRDefault="00B958B1" w:rsidP="009F3B54">
            <w:pPr>
              <w:pStyle w:val="TableofFigures"/>
              <w:rPr>
                <w:lang w:eastAsia="en-AU"/>
              </w:rPr>
            </w:pPr>
            <w:r w:rsidRPr="00EE657F">
              <w:rPr>
                <w:lang w:eastAsia="en-AU"/>
              </w:rPr>
              <w:t>..</w:t>
            </w:r>
          </w:p>
        </w:tc>
        <w:tc>
          <w:tcPr>
            <w:tcW w:w="850" w:type="dxa"/>
            <w:tcBorders>
              <w:top w:val="nil"/>
              <w:left w:val="nil"/>
              <w:bottom w:val="nil"/>
              <w:right w:val="nil"/>
            </w:tcBorders>
            <w:shd w:val="solid" w:color="FFFFFF" w:fill="auto"/>
          </w:tcPr>
          <w:p w:rsidR="00B958B1" w:rsidRPr="00EE657F" w:rsidRDefault="00B958B1" w:rsidP="009F3B54">
            <w:pPr>
              <w:pStyle w:val="TableofFigures"/>
              <w:rPr>
                <w:lang w:eastAsia="en-AU"/>
              </w:rPr>
            </w:pPr>
            <w:r w:rsidRPr="00EE657F">
              <w:rPr>
                <w:lang w:eastAsia="en-AU"/>
              </w:rPr>
              <w:t>18.8</w:t>
            </w:r>
          </w:p>
        </w:tc>
        <w:tc>
          <w:tcPr>
            <w:tcW w:w="851" w:type="dxa"/>
            <w:tcBorders>
              <w:top w:val="nil"/>
              <w:left w:val="nil"/>
              <w:bottom w:val="nil"/>
              <w:right w:val="nil"/>
            </w:tcBorders>
            <w:shd w:val="solid" w:color="FFFFFF" w:fill="auto"/>
          </w:tcPr>
          <w:p w:rsidR="00B958B1" w:rsidRPr="00EE657F" w:rsidRDefault="00B958B1" w:rsidP="009F3B54">
            <w:pPr>
              <w:pStyle w:val="TableofFigures"/>
              <w:rPr>
                <w:lang w:eastAsia="en-AU"/>
              </w:rPr>
            </w:pPr>
            <w:r w:rsidRPr="00EE657F">
              <w:rPr>
                <w:lang w:eastAsia="en-AU"/>
              </w:rPr>
              <w:t>32.5</w:t>
            </w:r>
          </w:p>
        </w:tc>
        <w:tc>
          <w:tcPr>
            <w:tcW w:w="850" w:type="dxa"/>
            <w:tcBorders>
              <w:top w:val="nil"/>
              <w:left w:val="nil"/>
              <w:bottom w:val="nil"/>
              <w:right w:val="nil"/>
            </w:tcBorders>
            <w:shd w:val="solid" w:color="FFFFFF" w:fill="auto"/>
          </w:tcPr>
          <w:p w:rsidR="00B958B1" w:rsidRPr="00EE657F" w:rsidRDefault="00B958B1" w:rsidP="009F3B54">
            <w:pPr>
              <w:pStyle w:val="TableofFigures"/>
              <w:rPr>
                <w:lang w:eastAsia="en-AU"/>
              </w:rPr>
            </w:pPr>
            <w:r w:rsidRPr="00EE657F">
              <w:rPr>
                <w:lang w:eastAsia="en-AU"/>
              </w:rPr>
              <w:t>33.3</w:t>
            </w:r>
          </w:p>
        </w:tc>
        <w:tc>
          <w:tcPr>
            <w:tcW w:w="851" w:type="dxa"/>
            <w:tcBorders>
              <w:top w:val="nil"/>
              <w:left w:val="nil"/>
              <w:bottom w:val="nil"/>
              <w:right w:val="nil"/>
            </w:tcBorders>
            <w:shd w:val="solid" w:color="FFFFFF" w:fill="auto"/>
          </w:tcPr>
          <w:p w:rsidR="00B958B1" w:rsidRPr="00EE657F" w:rsidRDefault="00B958B1" w:rsidP="009F3B54">
            <w:pPr>
              <w:pStyle w:val="TableofFigures"/>
              <w:rPr>
                <w:lang w:eastAsia="en-AU"/>
              </w:rPr>
            </w:pPr>
            <w:r w:rsidRPr="00EE657F">
              <w:rPr>
                <w:lang w:eastAsia="en-AU"/>
              </w:rPr>
              <w:t>5.5</w:t>
            </w:r>
          </w:p>
        </w:tc>
      </w:tr>
      <w:tr w:rsidR="00B958B1" w:rsidRPr="00EE657F" w:rsidTr="009F3B54">
        <w:tc>
          <w:tcPr>
            <w:tcW w:w="3524" w:type="dxa"/>
            <w:tcBorders>
              <w:top w:val="nil"/>
              <w:left w:val="nil"/>
              <w:bottom w:val="nil"/>
              <w:right w:val="nil"/>
            </w:tcBorders>
          </w:tcPr>
          <w:p w:rsidR="00B958B1" w:rsidRPr="00EE657F" w:rsidRDefault="00B958B1" w:rsidP="009F3B54">
            <w:pPr>
              <w:pStyle w:val="Tabletext"/>
              <w:rPr>
                <w:rFonts w:cs="Calibri"/>
                <w:color w:val="000000"/>
                <w:lang w:eastAsia="en-AU"/>
              </w:rPr>
            </w:pPr>
            <w:r w:rsidRPr="00EE657F">
              <w:rPr>
                <w:lang w:eastAsia="en-AU"/>
              </w:rPr>
              <w:t xml:space="preserve">Recasting the Congestion </w:t>
            </w:r>
            <w:r w:rsidRPr="00EE657F">
              <w:rPr>
                <w:rFonts w:cs="Calibri"/>
                <w:color w:val="000000"/>
                <w:lang w:eastAsia="en-AU"/>
              </w:rPr>
              <w:t>Levy</w:t>
            </w:r>
          </w:p>
        </w:tc>
        <w:tc>
          <w:tcPr>
            <w:tcW w:w="850" w:type="dxa"/>
            <w:tcBorders>
              <w:top w:val="nil"/>
              <w:left w:val="nil"/>
              <w:bottom w:val="nil"/>
              <w:right w:val="nil"/>
            </w:tcBorders>
          </w:tcPr>
          <w:p w:rsidR="00B958B1" w:rsidRPr="00EE657F" w:rsidRDefault="00B958B1" w:rsidP="009F3B54">
            <w:pPr>
              <w:pStyle w:val="TableofFigures"/>
              <w:rPr>
                <w:lang w:eastAsia="en-AU"/>
              </w:rPr>
            </w:pPr>
            <w:r w:rsidRPr="00EE657F">
              <w:rPr>
                <w:lang w:eastAsia="en-AU"/>
              </w:rPr>
              <w:t>..</w:t>
            </w:r>
          </w:p>
        </w:tc>
        <w:tc>
          <w:tcPr>
            <w:tcW w:w="850" w:type="dxa"/>
            <w:tcBorders>
              <w:top w:val="nil"/>
              <w:left w:val="nil"/>
              <w:bottom w:val="nil"/>
              <w:right w:val="nil"/>
            </w:tcBorders>
          </w:tcPr>
          <w:p w:rsidR="00B958B1" w:rsidRPr="00EE657F" w:rsidRDefault="00B958B1" w:rsidP="009F3B54">
            <w:pPr>
              <w:pStyle w:val="TableofFigures"/>
              <w:rPr>
                <w:lang w:eastAsia="en-AU"/>
              </w:rPr>
            </w:pPr>
            <w:r w:rsidRPr="00EE657F">
              <w:rPr>
                <w:lang w:eastAsia="en-AU"/>
              </w:rPr>
              <w:t>44.2</w:t>
            </w:r>
          </w:p>
        </w:tc>
        <w:tc>
          <w:tcPr>
            <w:tcW w:w="851" w:type="dxa"/>
            <w:tcBorders>
              <w:top w:val="nil"/>
              <w:left w:val="nil"/>
              <w:bottom w:val="nil"/>
              <w:right w:val="nil"/>
            </w:tcBorders>
          </w:tcPr>
          <w:p w:rsidR="00B958B1" w:rsidRPr="00EE657F" w:rsidRDefault="00B958B1" w:rsidP="009F3B54">
            <w:pPr>
              <w:pStyle w:val="TableofFigures"/>
              <w:rPr>
                <w:lang w:eastAsia="en-AU"/>
              </w:rPr>
            </w:pPr>
            <w:r w:rsidRPr="00EE657F">
              <w:rPr>
                <w:lang w:eastAsia="en-AU"/>
              </w:rPr>
              <w:t>45.3</w:t>
            </w:r>
          </w:p>
        </w:tc>
        <w:tc>
          <w:tcPr>
            <w:tcW w:w="850" w:type="dxa"/>
            <w:tcBorders>
              <w:top w:val="nil"/>
              <w:left w:val="nil"/>
              <w:bottom w:val="nil"/>
              <w:right w:val="nil"/>
            </w:tcBorders>
          </w:tcPr>
          <w:p w:rsidR="00B958B1" w:rsidRPr="00EE657F" w:rsidRDefault="00B958B1" w:rsidP="009F3B54">
            <w:pPr>
              <w:pStyle w:val="TableofFigures"/>
              <w:rPr>
                <w:lang w:eastAsia="en-AU"/>
              </w:rPr>
            </w:pPr>
            <w:r w:rsidRPr="00EE657F">
              <w:rPr>
                <w:lang w:eastAsia="en-AU"/>
              </w:rPr>
              <w:t>46.4</w:t>
            </w:r>
          </w:p>
        </w:tc>
        <w:tc>
          <w:tcPr>
            <w:tcW w:w="851" w:type="dxa"/>
            <w:tcBorders>
              <w:top w:val="nil"/>
              <w:left w:val="nil"/>
              <w:bottom w:val="nil"/>
              <w:right w:val="nil"/>
            </w:tcBorders>
          </w:tcPr>
          <w:p w:rsidR="00B958B1" w:rsidRPr="00EE657F" w:rsidRDefault="00B958B1" w:rsidP="009F3B54">
            <w:pPr>
              <w:pStyle w:val="TableofFigures"/>
              <w:rPr>
                <w:lang w:eastAsia="en-AU"/>
              </w:rPr>
            </w:pPr>
            <w:r w:rsidRPr="00EE657F">
              <w:rPr>
                <w:lang w:eastAsia="en-AU"/>
              </w:rPr>
              <w:t>47.5</w:t>
            </w:r>
          </w:p>
        </w:tc>
      </w:tr>
      <w:tr w:rsidR="00B958B1" w:rsidRPr="00EE657F" w:rsidTr="009F3B54">
        <w:tc>
          <w:tcPr>
            <w:tcW w:w="3524" w:type="dxa"/>
            <w:tcBorders>
              <w:top w:val="nil"/>
              <w:left w:val="nil"/>
              <w:bottom w:val="nil"/>
              <w:right w:val="nil"/>
            </w:tcBorders>
          </w:tcPr>
          <w:p w:rsidR="00B958B1" w:rsidRPr="00EE657F" w:rsidRDefault="00B958B1" w:rsidP="009F3B54">
            <w:pPr>
              <w:pStyle w:val="Tabletext"/>
              <w:rPr>
                <w:lang w:eastAsia="en-AU"/>
              </w:rPr>
            </w:pPr>
            <w:r w:rsidRPr="00EE657F">
              <w:rPr>
                <w:lang w:eastAsia="en-AU"/>
              </w:rPr>
              <w:t xml:space="preserve">Retargeting the Driver Reward scheme </w:t>
            </w:r>
          </w:p>
        </w:tc>
        <w:tc>
          <w:tcPr>
            <w:tcW w:w="850" w:type="dxa"/>
            <w:tcBorders>
              <w:top w:val="nil"/>
              <w:left w:val="nil"/>
              <w:bottom w:val="nil"/>
              <w:right w:val="nil"/>
            </w:tcBorders>
          </w:tcPr>
          <w:p w:rsidR="00B958B1" w:rsidRPr="00EE657F" w:rsidRDefault="00B958B1" w:rsidP="009F3B54">
            <w:pPr>
              <w:pStyle w:val="TableofFigures"/>
              <w:rPr>
                <w:lang w:eastAsia="en-AU"/>
              </w:rPr>
            </w:pPr>
            <w:r w:rsidRPr="00EE657F">
              <w:rPr>
                <w:lang w:eastAsia="en-AU"/>
              </w:rPr>
              <w:t>..</w:t>
            </w:r>
          </w:p>
        </w:tc>
        <w:tc>
          <w:tcPr>
            <w:tcW w:w="850" w:type="dxa"/>
            <w:tcBorders>
              <w:top w:val="nil"/>
              <w:left w:val="nil"/>
              <w:bottom w:val="nil"/>
              <w:right w:val="nil"/>
            </w:tcBorders>
          </w:tcPr>
          <w:p w:rsidR="00B958B1" w:rsidRPr="00EE657F" w:rsidRDefault="00B958B1" w:rsidP="009F3B54">
            <w:pPr>
              <w:pStyle w:val="TableofFigures"/>
              <w:rPr>
                <w:lang w:eastAsia="en-AU"/>
              </w:rPr>
            </w:pPr>
            <w:r w:rsidRPr="00EE657F">
              <w:rPr>
                <w:lang w:eastAsia="en-AU"/>
              </w:rPr>
              <w:t>14.8</w:t>
            </w:r>
          </w:p>
        </w:tc>
        <w:tc>
          <w:tcPr>
            <w:tcW w:w="851" w:type="dxa"/>
            <w:tcBorders>
              <w:top w:val="nil"/>
              <w:left w:val="nil"/>
              <w:bottom w:val="nil"/>
              <w:right w:val="nil"/>
            </w:tcBorders>
          </w:tcPr>
          <w:p w:rsidR="00B958B1" w:rsidRPr="00EE657F" w:rsidRDefault="00B958B1" w:rsidP="009F3B54">
            <w:pPr>
              <w:pStyle w:val="TableofFigures"/>
              <w:rPr>
                <w:lang w:eastAsia="en-AU"/>
              </w:rPr>
            </w:pPr>
            <w:r w:rsidRPr="00EE657F">
              <w:rPr>
                <w:lang w:eastAsia="en-AU"/>
              </w:rPr>
              <w:t>12.8</w:t>
            </w:r>
          </w:p>
        </w:tc>
        <w:tc>
          <w:tcPr>
            <w:tcW w:w="850" w:type="dxa"/>
            <w:tcBorders>
              <w:top w:val="nil"/>
              <w:left w:val="nil"/>
              <w:bottom w:val="nil"/>
              <w:right w:val="nil"/>
            </w:tcBorders>
          </w:tcPr>
          <w:p w:rsidR="00B958B1" w:rsidRPr="00EE657F" w:rsidRDefault="00B958B1" w:rsidP="009F3B54">
            <w:pPr>
              <w:pStyle w:val="TableofFigures"/>
              <w:rPr>
                <w:lang w:eastAsia="en-AU"/>
              </w:rPr>
            </w:pPr>
            <w:r w:rsidRPr="00EE657F">
              <w:rPr>
                <w:lang w:eastAsia="en-AU"/>
              </w:rPr>
              <w:t>12.0</w:t>
            </w:r>
          </w:p>
        </w:tc>
        <w:tc>
          <w:tcPr>
            <w:tcW w:w="851" w:type="dxa"/>
            <w:tcBorders>
              <w:top w:val="nil"/>
              <w:left w:val="nil"/>
              <w:bottom w:val="nil"/>
              <w:right w:val="nil"/>
            </w:tcBorders>
          </w:tcPr>
          <w:p w:rsidR="00B958B1" w:rsidRPr="00EE657F" w:rsidRDefault="00B958B1" w:rsidP="009F3B54">
            <w:pPr>
              <w:pStyle w:val="TableofFigures"/>
              <w:rPr>
                <w:lang w:eastAsia="en-AU"/>
              </w:rPr>
            </w:pPr>
            <w:r w:rsidRPr="00EE657F">
              <w:rPr>
                <w:lang w:eastAsia="en-AU"/>
              </w:rPr>
              <w:t>9.1</w:t>
            </w:r>
          </w:p>
        </w:tc>
      </w:tr>
      <w:tr w:rsidR="00B958B1" w:rsidRPr="00EE657F" w:rsidTr="009F3B54">
        <w:tc>
          <w:tcPr>
            <w:tcW w:w="3524" w:type="dxa"/>
            <w:tcBorders>
              <w:top w:val="nil"/>
              <w:left w:val="nil"/>
              <w:bottom w:val="nil"/>
              <w:right w:val="nil"/>
            </w:tcBorders>
            <w:shd w:val="solid" w:color="FFFFFF" w:fill="auto"/>
          </w:tcPr>
          <w:p w:rsidR="00B958B1" w:rsidRPr="00EE657F" w:rsidRDefault="00B958B1" w:rsidP="009F3B54">
            <w:pPr>
              <w:pStyle w:val="Tabletext"/>
              <w:rPr>
                <w:lang w:eastAsia="en-AU"/>
              </w:rPr>
            </w:pPr>
            <w:r w:rsidRPr="00EE657F">
              <w:rPr>
                <w:lang w:eastAsia="en-AU"/>
              </w:rPr>
              <w:t>TAC revenue to fund Road Safety Strategy 2013</w:t>
            </w:r>
            <w:r w:rsidR="009F0F49">
              <w:rPr>
                <w:lang w:eastAsia="en-AU"/>
              </w:rPr>
              <w:noBreakHyphen/>
            </w:r>
            <w:r w:rsidRPr="00EE657F">
              <w:rPr>
                <w:lang w:eastAsia="en-AU"/>
              </w:rPr>
              <w:t>22</w:t>
            </w:r>
          </w:p>
        </w:tc>
        <w:tc>
          <w:tcPr>
            <w:tcW w:w="850" w:type="dxa"/>
            <w:tcBorders>
              <w:top w:val="nil"/>
              <w:left w:val="nil"/>
              <w:bottom w:val="nil"/>
              <w:right w:val="nil"/>
            </w:tcBorders>
            <w:shd w:val="solid" w:color="FFFFFF" w:fill="auto"/>
          </w:tcPr>
          <w:p w:rsidR="00B958B1" w:rsidRPr="00EE657F" w:rsidRDefault="00B958B1" w:rsidP="009F3B54">
            <w:pPr>
              <w:pStyle w:val="TableofFigures"/>
              <w:rPr>
                <w:lang w:eastAsia="en-AU"/>
              </w:rPr>
            </w:pPr>
            <w:r w:rsidRPr="00EE657F">
              <w:rPr>
                <w:lang w:eastAsia="en-AU"/>
              </w:rPr>
              <w:t>..</w:t>
            </w:r>
          </w:p>
        </w:tc>
        <w:tc>
          <w:tcPr>
            <w:tcW w:w="850" w:type="dxa"/>
            <w:tcBorders>
              <w:top w:val="nil"/>
              <w:left w:val="nil"/>
              <w:bottom w:val="nil"/>
              <w:right w:val="nil"/>
            </w:tcBorders>
            <w:shd w:val="solid" w:color="FFFFFF" w:fill="auto"/>
          </w:tcPr>
          <w:p w:rsidR="00B958B1" w:rsidRPr="00EE657F" w:rsidRDefault="00B958B1" w:rsidP="009F3B54">
            <w:pPr>
              <w:pStyle w:val="TableofFigures"/>
              <w:rPr>
                <w:lang w:eastAsia="en-AU"/>
              </w:rPr>
            </w:pPr>
            <w:r w:rsidRPr="00EE657F">
              <w:rPr>
                <w:lang w:eastAsia="en-AU"/>
              </w:rPr>
              <w:t>25.7</w:t>
            </w:r>
          </w:p>
        </w:tc>
        <w:tc>
          <w:tcPr>
            <w:tcW w:w="851" w:type="dxa"/>
            <w:tcBorders>
              <w:top w:val="nil"/>
              <w:left w:val="nil"/>
              <w:bottom w:val="nil"/>
              <w:right w:val="nil"/>
            </w:tcBorders>
            <w:shd w:val="solid" w:color="FFFFFF" w:fill="auto"/>
          </w:tcPr>
          <w:p w:rsidR="00B958B1" w:rsidRPr="00EE657F" w:rsidRDefault="00B958B1" w:rsidP="009F3B54">
            <w:pPr>
              <w:pStyle w:val="TableofFigures"/>
              <w:rPr>
                <w:lang w:eastAsia="en-AU"/>
              </w:rPr>
            </w:pPr>
            <w:r w:rsidRPr="00EE657F">
              <w:rPr>
                <w:lang w:eastAsia="en-AU"/>
              </w:rPr>
              <w:t>22.8</w:t>
            </w:r>
          </w:p>
        </w:tc>
        <w:tc>
          <w:tcPr>
            <w:tcW w:w="850" w:type="dxa"/>
            <w:tcBorders>
              <w:top w:val="nil"/>
              <w:left w:val="nil"/>
              <w:bottom w:val="nil"/>
              <w:right w:val="nil"/>
            </w:tcBorders>
            <w:shd w:val="solid" w:color="FFFFFF" w:fill="auto"/>
          </w:tcPr>
          <w:p w:rsidR="00B958B1" w:rsidRPr="00EE657F" w:rsidRDefault="00B958B1" w:rsidP="009F3B54">
            <w:pPr>
              <w:pStyle w:val="TableofFigures"/>
              <w:rPr>
                <w:lang w:eastAsia="en-AU"/>
              </w:rPr>
            </w:pPr>
            <w:r w:rsidRPr="00EE657F">
              <w:rPr>
                <w:lang w:eastAsia="en-AU"/>
              </w:rPr>
              <w:t>29.2</w:t>
            </w:r>
          </w:p>
        </w:tc>
        <w:tc>
          <w:tcPr>
            <w:tcW w:w="851" w:type="dxa"/>
            <w:tcBorders>
              <w:top w:val="nil"/>
              <w:left w:val="nil"/>
              <w:bottom w:val="nil"/>
              <w:right w:val="nil"/>
            </w:tcBorders>
            <w:shd w:val="solid" w:color="FFFFFF" w:fill="auto"/>
          </w:tcPr>
          <w:p w:rsidR="00B958B1" w:rsidRPr="00EE657F" w:rsidRDefault="00B958B1" w:rsidP="009F3B54">
            <w:pPr>
              <w:pStyle w:val="TableofFigures"/>
              <w:rPr>
                <w:lang w:eastAsia="en-AU"/>
              </w:rPr>
            </w:pPr>
            <w:r w:rsidRPr="00EE657F">
              <w:rPr>
                <w:lang w:eastAsia="en-AU"/>
              </w:rPr>
              <w:t>100.0</w:t>
            </w:r>
          </w:p>
        </w:tc>
      </w:tr>
      <w:tr w:rsidR="00B958B1" w:rsidRPr="00EE657F" w:rsidTr="009F3B54">
        <w:tc>
          <w:tcPr>
            <w:tcW w:w="3524" w:type="dxa"/>
            <w:tcBorders>
              <w:top w:val="single" w:sz="6" w:space="0" w:color="auto"/>
              <w:left w:val="nil"/>
              <w:bottom w:val="single" w:sz="12" w:space="0" w:color="auto"/>
              <w:right w:val="nil"/>
            </w:tcBorders>
          </w:tcPr>
          <w:p w:rsidR="00B958B1" w:rsidRPr="00EE657F" w:rsidRDefault="00B958B1" w:rsidP="009F3B54">
            <w:pPr>
              <w:pStyle w:val="Tabletext"/>
              <w:rPr>
                <w:b/>
                <w:bCs/>
                <w:lang w:eastAsia="en-AU"/>
              </w:rPr>
            </w:pPr>
            <w:r w:rsidRPr="00EE657F">
              <w:rPr>
                <w:b/>
                <w:bCs/>
                <w:lang w:eastAsia="en-AU"/>
              </w:rPr>
              <w:t>Total revenue initiatives</w:t>
            </w:r>
          </w:p>
        </w:tc>
        <w:tc>
          <w:tcPr>
            <w:tcW w:w="850" w:type="dxa"/>
            <w:tcBorders>
              <w:top w:val="single" w:sz="6" w:space="0" w:color="auto"/>
              <w:left w:val="nil"/>
              <w:bottom w:val="single" w:sz="12" w:space="0" w:color="auto"/>
              <w:right w:val="nil"/>
            </w:tcBorders>
          </w:tcPr>
          <w:p w:rsidR="00B958B1" w:rsidRPr="00EE657F" w:rsidRDefault="00B958B1" w:rsidP="009F3B54">
            <w:pPr>
              <w:pStyle w:val="TableofFigures"/>
              <w:rPr>
                <w:b/>
                <w:bCs/>
                <w:lang w:eastAsia="en-AU"/>
              </w:rPr>
            </w:pPr>
            <w:r w:rsidRPr="00EE657F">
              <w:rPr>
                <w:b/>
                <w:bCs/>
                <w:lang w:eastAsia="en-AU"/>
              </w:rPr>
              <w:t>..</w:t>
            </w:r>
          </w:p>
        </w:tc>
        <w:tc>
          <w:tcPr>
            <w:tcW w:w="850" w:type="dxa"/>
            <w:tcBorders>
              <w:top w:val="single" w:sz="6" w:space="0" w:color="auto"/>
              <w:left w:val="nil"/>
              <w:bottom w:val="single" w:sz="12" w:space="0" w:color="auto"/>
              <w:right w:val="nil"/>
            </w:tcBorders>
          </w:tcPr>
          <w:p w:rsidR="00B958B1" w:rsidRPr="00EE657F" w:rsidRDefault="00B958B1" w:rsidP="009F3B54">
            <w:pPr>
              <w:pStyle w:val="TableofFigures"/>
              <w:rPr>
                <w:b/>
                <w:bCs/>
                <w:lang w:eastAsia="en-AU"/>
              </w:rPr>
            </w:pPr>
            <w:r w:rsidRPr="00EE657F">
              <w:rPr>
                <w:b/>
                <w:bCs/>
                <w:lang w:eastAsia="en-AU"/>
              </w:rPr>
              <w:t>119.9</w:t>
            </w:r>
          </w:p>
        </w:tc>
        <w:tc>
          <w:tcPr>
            <w:tcW w:w="851" w:type="dxa"/>
            <w:tcBorders>
              <w:top w:val="single" w:sz="6" w:space="0" w:color="auto"/>
              <w:left w:val="nil"/>
              <w:bottom w:val="single" w:sz="12" w:space="0" w:color="auto"/>
              <w:right w:val="nil"/>
            </w:tcBorders>
          </w:tcPr>
          <w:p w:rsidR="00B958B1" w:rsidRPr="00EE657F" w:rsidRDefault="00B958B1" w:rsidP="009F3B54">
            <w:pPr>
              <w:pStyle w:val="TableofFigures"/>
              <w:rPr>
                <w:b/>
                <w:bCs/>
                <w:lang w:eastAsia="en-AU"/>
              </w:rPr>
            </w:pPr>
            <w:r w:rsidRPr="00EE657F">
              <w:rPr>
                <w:b/>
                <w:bCs/>
                <w:lang w:eastAsia="en-AU"/>
              </w:rPr>
              <w:t>137.8</w:t>
            </w:r>
          </w:p>
        </w:tc>
        <w:tc>
          <w:tcPr>
            <w:tcW w:w="850" w:type="dxa"/>
            <w:tcBorders>
              <w:top w:val="single" w:sz="6" w:space="0" w:color="auto"/>
              <w:left w:val="nil"/>
              <w:bottom w:val="single" w:sz="12" w:space="0" w:color="auto"/>
              <w:right w:val="nil"/>
            </w:tcBorders>
          </w:tcPr>
          <w:p w:rsidR="00B958B1" w:rsidRPr="00EE657F" w:rsidRDefault="00B958B1" w:rsidP="009F3B54">
            <w:pPr>
              <w:pStyle w:val="TableofFigures"/>
              <w:rPr>
                <w:b/>
                <w:bCs/>
                <w:lang w:eastAsia="en-AU"/>
              </w:rPr>
            </w:pPr>
            <w:r w:rsidRPr="00EE657F">
              <w:rPr>
                <w:b/>
                <w:bCs/>
                <w:lang w:eastAsia="en-AU"/>
              </w:rPr>
              <w:t>157.7</w:t>
            </w:r>
          </w:p>
        </w:tc>
        <w:tc>
          <w:tcPr>
            <w:tcW w:w="851" w:type="dxa"/>
            <w:tcBorders>
              <w:top w:val="single" w:sz="6" w:space="0" w:color="auto"/>
              <w:left w:val="nil"/>
              <w:bottom w:val="single" w:sz="12" w:space="0" w:color="auto"/>
              <w:right w:val="nil"/>
            </w:tcBorders>
          </w:tcPr>
          <w:p w:rsidR="00B958B1" w:rsidRPr="00EE657F" w:rsidRDefault="00B958B1" w:rsidP="009F3B54">
            <w:pPr>
              <w:pStyle w:val="TableofFigures"/>
              <w:rPr>
                <w:b/>
                <w:bCs/>
                <w:lang w:eastAsia="en-AU"/>
              </w:rPr>
            </w:pPr>
            <w:r w:rsidRPr="00EE657F">
              <w:rPr>
                <w:b/>
                <w:bCs/>
                <w:lang w:eastAsia="en-AU"/>
              </w:rPr>
              <w:t>200.9</w:t>
            </w:r>
          </w:p>
        </w:tc>
      </w:tr>
    </w:tbl>
    <w:p w:rsidR="00B958B1" w:rsidRDefault="00B958B1" w:rsidP="009F3B54">
      <w:pPr>
        <w:pStyle w:val="Source"/>
      </w:pPr>
      <w:r w:rsidRPr="00A20936">
        <w:t>Source: Department of Treasury and Finance</w:t>
      </w:r>
    </w:p>
    <w:p w:rsidR="00B958B1" w:rsidRPr="007A5D01" w:rsidRDefault="00B958B1" w:rsidP="009F3B54">
      <w:pPr>
        <w:pStyle w:val="Source"/>
      </w:pPr>
    </w:p>
    <w:p w:rsidR="00B958B1" w:rsidRDefault="00B958B1" w:rsidP="009F3B54">
      <w:pPr>
        <w:pStyle w:val="Heading5"/>
      </w:pPr>
      <w:r>
        <w:t>Accelerating First Home Buyer stamp duty concessions</w:t>
      </w:r>
    </w:p>
    <w:p w:rsidR="00B958B1" w:rsidRDefault="00B958B1" w:rsidP="009F3B54">
      <w:r>
        <w:t>The Government’s election promise to increase the stamp duty concession for first home buyers, whether purchasing newly constructed or established properties, to 40 per cent from 1 January 2014 will be brought forward by six months to 1 July 2013.</w:t>
      </w:r>
    </w:p>
    <w:p w:rsidR="00B958B1" w:rsidRPr="0059732E" w:rsidRDefault="00B958B1" w:rsidP="009F3B54">
      <w:pPr>
        <w:pStyle w:val="Heading5"/>
      </w:pPr>
      <w:r>
        <w:t>Introducing standard board and lodging fees for disability accommodation</w:t>
      </w:r>
    </w:p>
    <w:p w:rsidR="00B958B1" w:rsidRPr="00A13D98" w:rsidRDefault="00B958B1" w:rsidP="009F3B54">
      <w:r w:rsidRPr="00A13D98">
        <w:t>To help prepare for the National Disability Insurance Scheme</w:t>
      </w:r>
      <w:r>
        <w:fldChar w:fldCharType="begin"/>
      </w:r>
      <w:r>
        <w:instrText xml:space="preserve"> XE "</w:instrText>
      </w:r>
      <w:r w:rsidRPr="008A6EBC">
        <w:instrText>Disability:National Disability Insurance Scheme</w:instrText>
      </w:r>
      <w:r>
        <w:instrText xml:space="preserve">" </w:instrText>
      </w:r>
      <w:r>
        <w:fldChar w:fldCharType="end"/>
      </w:r>
      <w:r w:rsidRPr="00A13D98">
        <w:t>, the Government will standardise the board and lodging fee structure for Department of Human Services’ managed disability accommodation services. This will result in fee arrangements for disability residential services provided by Government being consistent across services, and aligning more closely with those already operating in the non</w:t>
      </w:r>
      <w:r w:rsidR="009F0F49">
        <w:noBreakHyphen/>
      </w:r>
      <w:r w:rsidRPr="00A13D98">
        <w:t>government sector.</w:t>
      </w:r>
    </w:p>
    <w:p w:rsidR="00B958B1" w:rsidRPr="009C3F1E" w:rsidRDefault="00B958B1" w:rsidP="009F3B54">
      <w:pPr>
        <w:rPr>
          <w:b/>
        </w:rPr>
      </w:pPr>
      <w:r w:rsidRPr="009C3F1E">
        <w:t>Fee income from this measure will be invested into additional individual support packages to provide essential support for people living with disability.</w:t>
      </w:r>
    </w:p>
    <w:p w:rsidR="00B958B1" w:rsidRPr="009C3F1E" w:rsidRDefault="00B958B1" w:rsidP="009F3B54">
      <w:pPr>
        <w:pStyle w:val="Heading5"/>
      </w:pPr>
      <w:r w:rsidRPr="009C3F1E">
        <w:t>Enhancing the asset confiscation scheme</w:t>
      </w:r>
    </w:p>
    <w:p w:rsidR="00B958B1" w:rsidRPr="009C3F1E" w:rsidRDefault="00B958B1" w:rsidP="009F3B54">
      <w:pPr>
        <w:rPr>
          <w:b/>
        </w:rPr>
      </w:pPr>
      <w:r w:rsidRPr="009C3F1E">
        <w:t>The Asset Confiscation Scheme will be enhanced to increase the identification and confiscations of the proceeds of crime, consistent with the Government's law and order</w:t>
      </w:r>
      <w:r>
        <w:fldChar w:fldCharType="begin"/>
      </w:r>
      <w:r>
        <w:instrText xml:space="preserve"> XE "</w:instrText>
      </w:r>
      <w:r w:rsidRPr="001902E6">
        <w:instrText>Law and Order</w:instrText>
      </w:r>
      <w:r>
        <w:instrText xml:space="preserve">" </w:instrText>
      </w:r>
      <w:r>
        <w:fldChar w:fldCharType="end"/>
      </w:r>
      <w:r w:rsidRPr="009C3F1E">
        <w:t xml:space="preserve"> agenda. The identification of additional confiscated assets will generate revenue, whic</w:t>
      </w:r>
      <w:r>
        <w:t>h in part will assist in providing</w:t>
      </w:r>
      <w:r w:rsidRPr="009C3F1E">
        <w:t xml:space="preserve"> additional support for victims of crime.</w:t>
      </w:r>
    </w:p>
    <w:p w:rsidR="00B958B1" w:rsidRPr="009C3F1E" w:rsidRDefault="00B958B1" w:rsidP="009F3B54">
      <w:pPr>
        <w:pStyle w:val="Heading5"/>
      </w:pPr>
      <w:r w:rsidRPr="009C3F1E">
        <w:t>Land tax compliance</w:t>
      </w:r>
    </w:p>
    <w:p w:rsidR="00B958B1" w:rsidRDefault="00B958B1" w:rsidP="009F3B54">
      <w:pPr>
        <w:rPr>
          <w:lang w:eastAsia="en-AU"/>
        </w:rPr>
      </w:pPr>
      <w:r>
        <w:rPr>
          <w:lang w:eastAsia="en-AU"/>
        </w:rPr>
        <w:t>The State Revenue Office is</w:t>
      </w:r>
      <w:r w:rsidRPr="009C3F1E">
        <w:rPr>
          <w:lang w:eastAsia="en-AU"/>
        </w:rPr>
        <w:t xml:space="preserve"> undertak</w:t>
      </w:r>
      <w:r>
        <w:rPr>
          <w:lang w:eastAsia="en-AU"/>
        </w:rPr>
        <w:t>ing</w:t>
      </w:r>
      <w:r w:rsidRPr="009C3F1E">
        <w:rPr>
          <w:lang w:eastAsia="en-AU"/>
        </w:rPr>
        <w:t xml:space="preserve"> data matching with external agencies on Land Tax</w:t>
      </w:r>
      <w:r>
        <w:rPr>
          <w:lang w:eastAsia="en-AU"/>
        </w:rPr>
        <w:fldChar w:fldCharType="begin"/>
      </w:r>
      <w:r>
        <w:instrText xml:space="preserve"> XE "</w:instrText>
      </w:r>
      <w:r w:rsidRPr="009E53A6">
        <w:rPr>
          <w:lang w:eastAsia="en-AU"/>
        </w:rPr>
        <w:instrText>Land Tax</w:instrText>
      </w:r>
      <w:r>
        <w:instrText xml:space="preserve">" </w:instrText>
      </w:r>
      <w:r>
        <w:rPr>
          <w:lang w:eastAsia="en-AU"/>
        </w:rPr>
        <w:fldChar w:fldCharType="end"/>
      </w:r>
      <w:r w:rsidRPr="009C3F1E">
        <w:rPr>
          <w:lang w:eastAsia="en-AU"/>
        </w:rPr>
        <w:t xml:space="preserve"> Principal Place of Residence exemptions. Anomalies identified will be further investigated by the State Revenue Office and taxpayers will</w:t>
      </w:r>
      <w:r>
        <w:rPr>
          <w:lang w:eastAsia="en-AU"/>
        </w:rPr>
        <w:t xml:space="preserve"> be assisted to improve </w:t>
      </w:r>
      <w:r w:rsidRPr="009C3F1E">
        <w:rPr>
          <w:lang w:eastAsia="en-AU"/>
        </w:rPr>
        <w:t xml:space="preserve">compliance. </w:t>
      </w:r>
    </w:p>
    <w:p w:rsidR="00B958B1" w:rsidRPr="009C3F1E" w:rsidRDefault="00B958B1" w:rsidP="009F3B54">
      <w:pPr>
        <w:pStyle w:val="Heading5"/>
      </w:pPr>
      <w:r>
        <w:t>Recasting</w:t>
      </w:r>
      <w:r w:rsidRPr="009C3F1E">
        <w:t xml:space="preserve"> the Congestion Levy</w:t>
      </w:r>
    </w:p>
    <w:p w:rsidR="00B958B1" w:rsidRPr="009C3F1E" w:rsidRDefault="00B958B1" w:rsidP="009F3B54">
      <w:r w:rsidRPr="009C3F1E">
        <w:t xml:space="preserve">The Government will broaden the scope of the Congestion Levy in the inner Melbourne area by </w:t>
      </w:r>
      <w:r>
        <w:t>adjusting</w:t>
      </w:r>
      <w:r w:rsidRPr="009C3F1E">
        <w:t xml:space="preserve"> the Levy to</w:t>
      </w:r>
      <w:r>
        <w:t xml:space="preserve"> incorporate</w:t>
      </w:r>
      <w:r w:rsidRPr="009C3F1E">
        <w:t xml:space="preserve"> short stay car parking spaces. The rate of the Congestion Levy will be </w:t>
      </w:r>
      <w:r>
        <w:t xml:space="preserve">amended </w:t>
      </w:r>
      <w:r w:rsidRPr="009C3F1E">
        <w:t>t</w:t>
      </w:r>
      <w:r>
        <w:t>o $1 300 per year from 2014. Revenue from the</w:t>
      </w:r>
      <w:r w:rsidRPr="009C3F1E">
        <w:t xml:space="preserve"> Levy </w:t>
      </w:r>
      <w:r>
        <w:t>will support the Government’s public transport and road infrastructure initiatives.</w:t>
      </w:r>
    </w:p>
    <w:p w:rsidR="00B958B1" w:rsidRPr="009C3F1E" w:rsidRDefault="00B958B1" w:rsidP="009F3B54">
      <w:pPr>
        <w:pStyle w:val="Heading5"/>
      </w:pPr>
      <w:r w:rsidRPr="009C3F1E">
        <w:t>Retargeting the Driver Reward scheme</w:t>
      </w:r>
    </w:p>
    <w:p w:rsidR="00B958B1" w:rsidRPr="009C3F1E" w:rsidRDefault="00B958B1" w:rsidP="009F3B54">
      <w:r w:rsidRPr="009C3F1E">
        <w:t>The Driver Reward scheme, which provides Victorian motorists with good driving records with a discounted licence renewal fee has been revised with the</w:t>
      </w:r>
      <w:r>
        <w:t xml:space="preserve"> aim of targeting the scheme to drivers</w:t>
      </w:r>
      <w:r w:rsidRPr="009C3F1E">
        <w:t xml:space="preserve"> under the age of 26. </w:t>
      </w:r>
    </w:p>
    <w:p w:rsidR="00B958B1" w:rsidRPr="00755611" w:rsidRDefault="00B958B1" w:rsidP="009F3B54">
      <w:pPr>
        <w:pStyle w:val="Heading5"/>
      </w:pPr>
      <w:r w:rsidRPr="009C3F1E">
        <w:t>TAC revenue to fund</w:t>
      </w:r>
      <w:r w:rsidRPr="00755611">
        <w:t xml:space="preserve"> Road Safety Strategy 2013</w:t>
      </w:r>
      <w:r w:rsidR="009F0F49">
        <w:noBreakHyphen/>
      </w:r>
      <w:r w:rsidRPr="00755611">
        <w:t>22</w:t>
      </w:r>
    </w:p>
    <w:p w:rsidR="00B958B1" w:rsidRDefault="00B958B1" w:rsidP="009F3B54">
      <w:r>
        <w:t>Revenue from the Transport Accident Commission will fund implementation of the Road</w:t>
      </w:r>
      <w:r>
        <w:fldChar w:fldCharType="begin"/>
      </w:r>
      <w:r>
        <w:instrText xml:space="preserve"> XE "</w:instrText>
      </w:r>
      <w:r w:rsidRPr="001902E6">
        <w:instrText>Roads</w:instrText>
      </w:r>
      <w:r>
        <w:instrText xml:space="preserve">" </w:instrText>
      </w:r>
      <w:r>
        <w:fldChar w:fldCharType="end"/>
      </w:r>
      <w:r>
        <w:t xml:space="preserve"> Safety Strategy 2013</w:t>
      </w:r>
      <w:r w:rsidR="009F0F49">
        <w:noBreakHyphen/>
      </w:r>
      <w:r>
        <w:t>22 which will enable the upgrade of the State’s most dangerous roads and intersections and other road safety initiatives. This revenue is in addition to the existing Safer Roads Infrastructure Program.</w:t>
      </w:r>
    </w:p>
    <w:p w:rsidR="00B958B1" w:rsidRPr="005A4F4F" w:rsidRDefault="00B958B1" w:rsidP="009F3B54">
      <w:pPr>
        <w:pStyle w:val="Heading5"/>
      </w:pPr>
      <w:r w:rsidRPr="005A4F4F">
        <w:t>Additional financial management measure: Maximising efficiency of land and property assets</w:t>
      </w:r>
    </w:p>
    <w:p w:rsidR="00B958B1" w:rsidRPr="005B08FC" w:rsidRDefault="00B958B1" w:rsidP="009F3B54">
      <w:pPr>
        <w:rPr>
          <w:rFonts w:ascii="Calibri" w:hAnsi="Calibri"/>
          <w:b/>
        </w:rPr>
      </w:pPr>
      <w:r w:rsidRPr="005A4F4F">
        <w:t>In addition to these revenue initiatives, the Government will consolidate its land holdings by bringing surplus land to market for sale. This will stimulate economic growth and facilitate appropriate development of public land, as well as maximise the economic value of Victoria’s land assets.</w:t>
      </w:r>
      <w:r>
        <w:t xml:space="preserve"> </w:t>
      </w:r>
      <w:r>
        <w:fldChar w:fldCharType="begin"/>
      </w:r>
      <w:r>
        <w:instrText xml:space="preserve"> XE "</w:instrText>
      </w:r>
      <w:r w:rsidRPr="00DC6256">
        <w:instrText xml:space="preserve">Parliament:Revenue </w:instrText>
      </w:r>
      <w:r>
        <w:instrText>I</w:instrText>
      </w:r>
      <w:r w:rsidRPr="00DC6256">
        <w:instrText>nitiatives</w:instrText>
      </w:r>
      <w:r>
        <w:instrText xml:space="preserve">" \r "BP3Ch1ParlRevenueInitves" </w:instrText>
      </w:r>
      <w:r>
        <w:fldChar w:fldCharType="end"/>
      </w:r>
    </w:p>
    <w:p w:rsidR="00B958B1" w:rsidRPr="00DA3827" w:rsidRDefault="00B958B1" w:rsidP="009F3B54">
      <w:pPr>
        <w:pStyle w:val="Heading1"/>
      </w:pPr>
      <w:bookmarkStart w:id="83" w:name="_Toc355248225"/>
      <w:bookmarkStart w:id="84" w:name="_Toc355362277"/>
      <w:bookmarkStart w:id="85" w:name="BP3Ch1ParlEfficReducMeasures"/>
      <w:bookmarkEnd w:id="82"/>
      <w:r w:rsidRPr="00DA3827">
        <w:t>Efficiency and expenditure reduction measures</w:t>
      </w:r>
      <w:bookmarkEnd w:id="83"/>
      <w:bookmarkEnd w:id="84"/>
    </w:p>
    <w:p w:rsidR="00B958B1" w:rsidRDefault="00B958B1" w:rsidP="009F3B54">
      <w:pPr>
        <w:pStyle w:val="Tableheading"/>
      </w:pPr>
      <w:r w:rsidRPr="00DA3827">
        <w:t>Table 1.</w:t>
      </w:r>
      <w:r>
        <w:t>20</w:t>
      </w:r>
      <w:r w:rsidRPr="00DA3827">
        <w:t>:</w:t>
      </w:r>
      <w:r w:rsidRPr="00DA3827">
        <w:tab/>
        <w:t>Efficiency and expenditure reduction measures</w:t>
      </w:r>
    </w:p>
    <w:p w:rsidR="00B958B1" w:rsidRDefault="00B958B1" w:rsidP="009F3B54">
      <w:pPr>
        <w:pStyle w:val="million"/>
        <w:rPr>
          <w:rFonts w:ascii="Times New Roman" w:hAnsi="Times New Roman"/>
          <w:sz w:val="20"/>
          <w:lang w:eastAsia="en-AU"/>
        </w:rPr>
      </w:pPr>
      <w:r>
        <w:fldChar w:fldCharType="begin"/>
      </w:r>
      <w:r>
        <w:instrText xml:space="preserve"> XE "</w:instrText>
      </w:r>
      <w:r w:rsidRPr="001902E6">
        <w:instrText>Concessions</w:instrText>
      </w:r>
      <w:r>
        <w:instrText xml:space="preserve">" </w:instrText>
      </w:r>
      <w:r>
        <w:fldChar w:fldCharType="end"/>
      </w:r>
      <w:r>
        <w:fldChar w:fldCharType="begin"/>
      </w:r>
      <w:r>
        <w:instrText xml:space="preserve"> XE "</w:instrText>
      </w:r>
      <w:r w:rsidRPr="00A52979">
        <w:instrText xml:space="preserve">Parliament:Efficiency and </w:instrText>
      </w:r>
      <w:r>
        <w:instrText>E</w:instrText>
      </w:r>
      <w:r w:rsidRPr="00A52979">
        <w:instrText xml:space="preserve">xpenditure </w:instrText>
      </w:r>
      <w:r>
        <w:instrText>R</w:instrText>
      </w:r>
      <w:r w:rsidRPr="00A52979">
        <w:instrText xml:space="preserve">eduction </w:instrText>
      </w:r>
      <w:r>
        <w:instrText>M</w:instrText>
      </w:r>
      <w:r w:rsidRPr="00A52979">
        <w:instrText>easures</w:instrText>
      </w:r>
      <w:r>
        <w:instrText xml:space="preserve">" \r "BP3Ch1ParlEfficReducMeasures" </w:instrText>
      </w:r>
      <w:r>
        <w:fldChar w:fldCharType="end"/>
      </w:r>
      <w:r>
        <w:fldChar w:fldCharType="begin"/>
      </w:r>
      <w:r>
        <w:instrText xml:space="preserve"> XE "E</w:instrText>
      </w:r>
      <w:r w:rsidRPr="009E53A6">
        <w:instrText xml:space="preserve">fficiency and </w:instrText>
      </w:r>
      <w:r>
        <w:instrText>E</w:instrText>
      </w:r>
      <w:r w:rsidRPr="009E53A6">
        <w:instrText xml:space="preserve">xpenditure </w:instrText>
      </w:r>
      <w:r>
        <w:instrText>R</w:instrText>
      </w:r>
      <w:r w:rsidRPr="009E53A6">
        <w:instrText xml:space="preserve">eduction </w:instrText>
      </w:r>
      <w:r>
        <w:instrText>M</w:instrText>
      </w:r>
      <w:r w:rsidRPr="009E53A6">
        <w:instrText>easures</w:instrText>
      </w:r>
      <w:r>
        <w:instrText xml:space="preserve">" \r "BP3Ch1ParlEfficReducMeasures" </w:instrText>
      </w:r>
      <w:r>
        <w:fldChar w:fldCharType="end"/>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254"/>
        <w:gridCol w:w="162"/>
        <w:gridCol w:w="45"/>
        <w:gridCol w:w="36"/>
        <w:gridCol w:w="661"/>
        <w:gridCol w:w="904"/>
        <w:gridCol w:w="905"/>
        <w:gridCol w:w="904"/>
        <w:gridCol w:w="905"/>
      </w:tblGrid>
      <w:tr w:rsidR="00B958B1" w:rsidRPr="007660C2" w:rsidTr="009F3B54">
        <w:trPr>
          <w:cantSplit/>
        </w:trPr>
        <w:tc>
          <w:tcPr>
            <w:tcW w:w="3254" w:type="dxa"/>
            <w:tcBorders>
              <w:top w:val="single" w:sz="6" w:space="0" w:color="auto"/>
              <w:left w:val="single" w:sz="4" w:space="0" w:color="auto"/>
              <w:bottom w:val="single" w:sz="4" w:space="0" w:color="auto"/>
              <w:right w:val="nil"/>
            </w:tcBorders>
            <w:shd w:val="clear" w:color="auto" w:fill="000000"/>
          </w:tcPr>
          <w:p w:rsidR="00B958B1" w:rsidRPr="007660C2" w:rsidRDefault="00B958B1" w:rsidP="009F3B54">
            <w:pPr>
              <w:pStyle w:val="Tabletext"/>
              <w:rPr>
                <w:lang w:eastAsia="en-AU"/>
              </w:rPr>
            </w:pPr>
          </w:p>
        </w:tc>
        <w:tc>
          <w:tcPr>
            <w:tcW w:w="904" w:type="dxa"/>
            <w:gridSpan w:val="4"/>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2012</w:t>
            </w:r>
            <w:r w:rsidR="009F0F49">
              <w:rPr>
                <w:lang w:eastAsia="en-AU"/>
              </w:rPr>
              <w:noBreakHyphen/>
            </w:r>
            <w:r w:rsidRPr="007660C2">
              <w:rPr>
                <w:lang w:eastAsia="en-AU"/>
              </w:rPr>
              <w:t>13</w:t>
            </w:r>
          </w:p>
        </w:tc>
        <w:tc>
          <w:tcPr>
            <w:tcW w:w="904" w:type="dxa"/>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2013</w:t>
            </w:r>
            <w:r w:rsidR="009F0F49">
              <w:rPr>
                <w:lang w:eastAsia="en-AU"/>
              </w:rPr>
              <w:noBreakHyphen/>
            </w:r>
            <w:r w:rsidRPr="007660C2">
              <w:rPr>
                <w:lang w:eastAsia="en-AU"/>
              </w:rPr>
              <w:t>14</w:t>
            </w:r>
          </w:p>
        </w:tc>
        <w:tc>
          <w:tcPr>
            <w:tcW w:w="905" w:type="dxa"/>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2014</w:t>
            </w:r>
            <w:r w:rsidR="009F0F49">
              <w:rPr>
                <w:lang w:eastAsia="en-AU"/>
              </w:rPr>
              <w:noBreakHyphen/>
            </w:r>
            <w:r w:rsidRPr="007660C2">
              <w:rPr>
                <w:lang w:eastAsia="en-AU"/>
              </w:rPr>
              <w:t>15</w:t>
            </w:r>
          </w:p>
        </w:tc>
        <w:tc>
          <w:tcPr>
            <w:tcW w:w="904" w:type="dxa"/>
            <w:tcBorders>
              <w:top w:val="single" w:sz="6" w:space="0" w:color="auto"/>
              <w:left w:val="nil"/>
              <w:bottom w:val="single" w:sz="4" w:space="0" w:color="auto"/>
              <w:right w:val="nil"/>
            </w:tcBorders>
            <w:shd w:val="clear" w:color="auto" w:fill="000000"/>
          </w:tcPr>
          <w:p w:rsidR="00B958B1" w:rsidRPr="007660C2" w:rsidRDefault="00B958B1" w:rsidP="009F3B54">
            <w:pPr>
              <w:pStyle w:val="Tabletextheading"/>
              <w:rPr>
                <w:lang w:eastAsia="en-AU"/>
              </w:rPr>
            </w:pPr>
            <w:r w:rsidRPr="007660C2">
              <w:rPr>
                <w:lang w:eastAsia="en-AU"/>
              </w:rPr>
              <w:t>2015</w:t>
            </w:r>
            <w:r w:rsidR="009F0F49">
              <w:rPr>
                <w:lang w:eastAsia="en-AU"/>
              </w:rPr>
              <w:noBreakHyphen/>
            </w:r>
            <w:r w:rsidRPr="007660C2">
              <w:rPr>
                <w:lang w:eastAsia="en-AU"/>
              </w:rPr>
              <w:t>16</w:t>
            </w:r>
          </w:p>
        </w:tc>
        <w:tc>
          <w:tcPr>
            <w:tcW w:w="905" w:type="dxa"/>
            <w:tcBorders>
              <w:top w:val="single" w:sz="6" w:space="0" w:color="auto"/>
              <w:left w:val="nil"/>
              <w:bottom w:val="single" w:sz="4" w:space="0" w:color="auto"/>
              <w:right w:val="single" w:sz="4" w:space="0" w:color="auto"/>
            </w:tcBorders>
            <w:shd w:val="clear" w:color="auto" w:fill="000000"/>
          </w:tcPr>
          <w:p w:rsidR="00B958B1" w:rsidRPr="007660C2" w:rsidRDefault="00B958B1" w:rsidP="009F3B54">
            <w:pPr>
              <w:pStyle w:val="Tabletextheading"/>
              <w:rPr>
                <w:lang w:eastAsia="en-AU"/>
              </w:rPr>
            </w:pPr>
            <w:r w:rsidRPr="007660C2">
              <w:rPr>
                <w:lang w:eastAsia="en-AU"/>
              </w:rPr>
              <w:t>2016</w:t>
            </w:r>
            <w:r w:rsidR="009F0F49">
              <w:rPr>
                <w:lang w:eastAsia="en-AU"/>
              </w:rPr>
              <w:noBreakHyphen/>
            </w:r>
            <w:r w:rsidRPr="007660C2">
              <w:rPr>
                <w:lang w:eastAsia="en-AU"/>
              </w:rPr>
              <w:t>17</w:t>
            </w:r>
          </w:p>
        </w:tc>
      </w:tr>
      <w:tr w:rsidR="00B958B1" w:rsidRPr="007660C2" w:rsidTr="009F3B54">
        <w:trPr>
          <w:cantSplit/>
        </w:trPr>
        <w:tc>
          <w:tcPr>
            <w:tcW w:w="3416" w:type="dxa"/>
            <w:gridSpan w:val="2"/>
            <w:tcBorders>
              <w:top w:val="single" w:sz="4" w:space="0" w:color="auto"/>
              <w:left w:val="nil"/>
              <w:bottom w:val="nil"/>
              <w:right w:val="nil"/>
            </w:tcBorders>
          </w:tcPr>
          <w:p w:rsidR="00B958B1" w:rsidRPr="007660C2" w:rsidRDefault="00B958B1" w:rsidP="009F3B54">
            <w:pPr>
              <w:pStyle w:val="Tabletext"/>
              <w:rPr>
                <w:lang w:eastAsia="en-AU"/>
              </w:rPr>
            </w:pPr>
            <w:r w:rsidRPr="007660C2">
              <w:rPr>
                <w:lang w:eastAsia="en-AU"/>
              </w:rPr>
              <w:t>Adjusting the efficiency dividend to non</w:t>
            </w:r>
            <w:r w:rsidR="009F0F49">
              <w:rPr>
                <w:lang w:eastAsia="en-AU"/>
              </w:rPr>
              <w:noBreakHyphen/>
            </w:r>
            <w:r w:rsidRPr="007660C2">
              <w:rPr>
                <w:lang w:eastAsia="en-AU"/>
              </w:rPr>
              <w:t>frontline departmental expenditure</w:t>
            </w:r>
          </w:p>
        </w:tc>
        <w:tc>
          <w:tcPr>
            <w:tcW w:w="742" w:type="dxa"/>
            <w:gridSpan w:val="3"/>
            <w:tcBorders>
              <w:top w:val="single" w:sz="4" w:space="0" w:color="auto"/>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904" w:type="dxa"/>
            <w:tcBorders>
              <w:top w:val="single" w:sz="4" w:space="0" w:color="auto"/>
              <w:left w:val="nil"/>
              <w:bottom w:val="nil"/>
              <w:right w:val="nil"/>
            </w:tcBorders>
          </w:tcPr>
          <w:p w:rsidR="00B958B1" w:rsidRPr="007660C2" w:rsidRDefault="00B958B1" w:rsidP="009F3B54">
            <w:pPr>
              <w:pStyle w:val="TableofFigures"/>
              <w:rPr>
                <w:lang w:eastAsia="en-AU"/>
              </w:rPr>
            </w:pPr>
            <w:r w:rsidRPr="007660C2">
              <w:rPr>
                <w:lang w:eastAsia="en-AU"/>
              </w:rPr>
              <w:t>25.0</w:t>
            </w:r>
          </w:p>
        </w:tc>
        <w:tc>
          <w:tcPr>
            <w:tcW w:w="905" w:type="dxa"/>
            <w:tcBorders>
              <w:top w:val="single" w:sz="4" w:space="0" w:color="auto"/>
              <w:left w:val="nil"/>
              <w:bottom w:val="nil"/>
              <w:right w:val="nil"/>
            </w:tcBorders>
          </w:tcPr>
          <w:p w:rsidR="00B958B1" w:rsidRPr="007660C2" w:rsidRDefault="00B958B1" w:rsidP="009F3B54">
            <w:pPr>
              <w:pStyle w:val="TableofFigures"/>
              <w:rPr>
                <w:lang w:eastAsia="en-AU"/>
              </w:rPr>
            </w:pPr>
            <w:r w:rsidRPr="007660C2">
              <w:rPr>
                <w:lang w:eastAsia="en-AU"/>
              </w:rPr>
              <w:t>75.0</w:t>
            </w:r>
          </w:p>
        </w:tc>
        <w:tc>
          <w:tcPr>
            <w:tcW w:w="904" w:type="dxa"/>
            <w:tcBorders>
              <w:top w:val="single" w:sz="4" w:space="0" w:color="auto"/>
              <w:left w:val="nil"/>
              <w:bottom w:val="nil"/>
              <w:right w:val="nil"/>
            </w:tcBorders>
          </w:tcPr>
          <w:p w:rsidR="00B958B1" w:rsidRPr="007660C2" w:rsidRDefault="00B958B1" w:rsidP="009F3B54">
            <w:pPr>
              <w:pStyle w:val="TableofFigures"/>
              <w:rPr>
                <w:lang w:eastAsia="en-AU"/>
              </w:rPr>
            </w:pPr>
            <w:r w:rsidRPr="007660C2">
              <w:rPr>
                <w:lang w:eastAsia="en-AU"/>
              </w:rPr>
              <w:t>125.0</w:t>
            </w:r>
          </w:p>
        </w:tc>
        <w:tc>
          <w:tcPr>
            <w:tcW w:w="905" w:type="dxa"/>
            <w:tcBorders>
              <w:top w:val="single" w:sz="4" w:space="0" w:color="auto"/>
              <w:left w:val="nil"/>
              <w:bottom w:val="nil"/>
              <w:right w:val="nil"/>
            </w:tcBorders>
          </w:tcPr>
          <w:p w:rsidR="00B958B1" w:rsidRPr="007660C2" w:rsidRDefault="00B958B1" w:rsidP="009F3B54">
            <w:pPr>
              <w:pStyle w:val="TableofFigures"/>
              <w:rPr>
                <w:lang w:eastAsia="en-AU"/>
              </w:rPr>
            </w:pPr>
            <w:r w:rsidRPr="007660C2">
              <w:rPr>
                <w:lang w:eastAsia="en-AU"/>
              </w:rPr>
              <w:t>175.0</w:t>
            </w:r>
          </w:p>
        </w:tc>
      </w:tr>
      <w:tr w:rsidR="00B958B1" w:rsidRPr="007660C2" w:rsidTr="009F3B54">
        <w:trPr>
          <w:cantSplit/>
        </w:trPr>
        <w:tc>
          <w:tcPr>
            <w:tcW w:w="3254" w:type="dxa"/>
            <w:tcBorders>
              <w:top w:val="nil"/>
              <w:left w:val="nil"/>
              <w:bottom w:val="nil"/>
              <w:right w:val="nil"/>
            </w:tcBorders>
          </w:tcPr>
          <w:p w:rsidR="00B958B1" w:rsidRPr="007660C2" w:rsidRDefault="00B958B1" w:rsidP="009F3B54">
            <w:pPr>
              <w:pStyle w:val="Tabletext"/>
              <w:rPr>
                <w:lang w:eastAsia="en-AU"/>
              </w:rPr>
            </w:pPr>
            <w:r w:rsidRPr="007660C2">
              <w:rPr>
                <w:lang w:eastAsia="en-AU"/>
              </w:rPr>
              <w:t>Ceasing the Trade Bonus</w:t>
            </w:r>
          </w:p>
        </w:tc>
        <w:tc>
          <w:tcPr>
            <w:tcW w:w="904" w:type="dxa"/>
            <w:gridSpan w:val="4"/>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904"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3.0</w:t>
            </w:r>
          </w:p>
        </w:tc>
        <w:tc>
          <w:tcPr>
            <w:tcW w:w="905"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5.0</w:t>
            </w:r>
          </w:p>
        </w:tc>
        <w:tc>
          <w:tcPr>
            <w:tcW w:w="904"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6.0</w:t>
            </w:r>
          </w:p>
        </w:tc>
        <w:tc>
          <w:tcPr>
            <w:tcW w:w="905"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6.0</w:t>
            </w:r>
          </w:p>
        </w:tc>
      </w:tr>
      <w:tr w:rsidR="00B958B1" w:rsidRPr="007660C2" w:rsidTr="009F3B54">
        <w:trPr>
          <w:cantSplit/>
        </w:trPr>
        <w:tc>
          <w:tcPr>
            <w:tcW w:w="325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Electricity and gas concession changes</w:t>
            </w:r>
          </w:p>
        </w:tc>
        <w:tc>
          <w:tcPr>
            <w:tcW w:w="904"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904"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9.0</w:t>
            </w:r>
          </w:p>
        </w:tc>
        <w:tc>
          <w:tcPr>
            <w:tcW w:w="905"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10.3</w:t>
            </w:r>
          </w:p>
        </w:tc>
        <w:tc>
          <w:tcPr>
            <w:tcW w:w="904"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11.7</w:t>
            </w:r>
          </w:p>
        </w:tc>
        <w:tc>
          <w:tcPr>
            <w:tcW w:w="905"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13.3</w:t>
            </w:r>
          </w:p>
        </w:tc>
      </w:tr>
      <w:tr w:rsidR="00B958B1" w:rsidRPr="007660C2" w:rsidTr="009F3B54">
        <w:trPr>
          <w:cantSplit/>
        </w:trPr>
        <w:tc>
          <w:tcPr>
            <w:tcW w:w="3254" w:type="dxa"/>
            <w:tcBorders>
              <w:top w:val="nil"/>
              <w:left w:val="nil"/>
              <w:bottom w:val="nil"/>
              <w:right w:val="nil"/>
            </w:tcBorders>
            <w:shd w:val="solid" w:color="FFFFFF" w:fill="auto"/>
          </w:tcPr>
          <w:p w:rsidR="00B958B1" w:rsidRPr="007660C2" w:rsidRDefault="00B958B1" w:rsidP="009F3B54">
            <w:pPr>
              <w:pStyle w:val="Tabletext"/>
              <w:rPr>
                <w:lang w:eastAsia="en-AU"/>
              </w:rPr>
            </w:pPr>
            <w:r w:rsidRPr="007660C2">
              <w:rPr>
                <w:lang w:eastAsia="en-AU"/>
              </w:rPr>
              <w:t>Refocusing the public service</w:t>
            </w:r>
          </w:p>
        </w:tc>
        <w:tc>
          <w:tcPr>
            <w:tcW w:w="904" w:type="dxa"/>
            <w:gridSpan w:val="4"/>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w:t>
            </w:r>
          </w:p>
        </w:tc>
        <w:tc>
          <w:tcPr>
            <w:tcW w:w="904"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14.0</w:t>
            </w:r>
          </w:p>
        </w:tc>
        <w:tc>
          <w:tcPr>
            <w:tcW w:w="905"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24.1</w:t>
            </w:r>
          </w:p>
        </w:tc>
        <w:tc>
          <w:tcPr>
            <w:tcW w:w="904"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24.2</w:t>
            </w:r>
          </w:p>
        </w:tc>
        <w:tc>
          <w:tcPr>
            <w:tcW w:w="905"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24.3</w:t>
            </w:r>
          </w:p>
        </w:tc>
      </w:tr>
      <w:tr w:rsidR="00B958B1" w:rsidRPr="007660C2" w:rsidTr="009F3B54">
        <w:trPr>
          <w:cantSplit/>
        </w:trPr>
        <w:tc>
          <w:tcPr>
            <w:tcW w:w="3461" w:type="dxa"/>
            <w:gridSpan w:val="3"/>
            <w:tcBorders>
              <w:top w:val="nil"/>
              <w:left w:val="nil"/>
              <w:bottom w:val="nil"/>
              <w:right w:val="nil"/>
            </w:tcBorders>
          </w:tcPr>
          <w:p w:rsidR="00B958B1" w:rsidRPr="007660C2" w:rsidRDefault="00B958B1" w:rsidP="009F3B54">
            <w:pPr>
              <w:pStyle w:val="Tabletext"/>
              <w:rPr>
                <w:lang w:eastAsia="en-AU"/>
              </w:rPr>
            </w:pPr>
            <w:r w:rsidRPr="007660C2">
              <w:rPr>
                <w:lang w:eastAsia="en-AU"/>
              </w:rPr>
              <w:t>Retargeting the First Home Owner Grant</w:t>
            </w:r>
          </w:p>
        </w:tc>
        <w:tc>
          <w:tcPr>
            <w:tcW w:w="697" w:type="dxa"/>
            <w:gridSpan w:val="2"/>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904"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74.6</w:t>
            </w:r>
          </w:p>
        </w:tc>
        <w:tc>
          <w:tcPr>
            <w:tcW w:w="905"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111.9</w:t>
            </w:r>
          </w:p>
        </w:tc>
        <w:tc>
          <w:tcPr>
            <w:tcW w:w="904"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114.8</w:t>
            </w:r>
          </w:p>
        </w:tc>
        <w:tc>
          <w:tcPr>
            <w:tcW w:w="905"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111.9</w:t>
            </w:r>
          </w:p>
        </w:tc>
      </w:tr>
      <w:tr w:rsidR="00B958B1" w:rsidRPr="007660C2" w:rsidTr="009F3B54">
        <w:trPr>
          <w:cantSplit/>
        </w:trPr>
        <w:tc>
          <w:tcPr>
            <w:tcW w:w="3497" w:type="dxa"/>
            <w:gridSpan w:val="4"/>
            <w:tcBorders>
              <w:top w:val="nil"/>
              <w:left w:val="nil"/>
              <w:bottom w:val="nil"/>
              <w:right w:val="nil"/>
            </w:tcBorders>
          </w:tcPr>
          <w:p w:rsidR="00B958B1" w:rsidRPr="007660C2" w:rsidRDefault="00B958B1" w:rsidP="009F3B54">
            <w:pPr>
              <w:pStyle w:val="Tabletext"/>
              <w:rPr>
                <w:lang w:eastAsia="en-AU"/>
              </w:rPr>
            </w:pPr>
            <w:r w:rsidRPr="007660C2">
              <w:rPr>
                <w:lang w:eastAsia="en-AU"/>
              </w:rPr>
              <w:t>Retrospective eligibility for concessions</w:t>
            </w:r>
          </w:p>
        </w:tc>
        <w:tc>
          <w:tcPr>
            <w:tcW w:w="661" w:type="dxa"/>
            <w:tcBorders>
              <w:top w:val="nil"/>
              <w:left w:val="nil"/>
              <w:bottom w:val="nil"/>
              <w:right w:val="nil"/>
            </w:tcBorders>
          </w:tcPr>
          <w:p w:rsidR="00B958B1" w:rsidRPr="007660C2" w:rsidRDefault="00B958B1" w:rsidP="009F3B54">
            <w:pPr>
              <w:pStyle w:val="TableofFigures"/>
              <w:rPr>
                <w:lang w:eastAsia="en-AU"/>
              </w:rPr>
            </w:pPr>
            <w:r w:rsidRPr="007660C2">
              <w:rPr>
                <w:lang w:eastAsia="en-AU"/>
              </w:rPr>
              <w:t>..</w:t>
            </w:r>
          </w:p>
        </w:tc>
        <w:tc>
          <w:tcPr>
            <w:tcW w:w="904"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12.4</w:t>
            </w:r>
          </w:p>
        </w:tc>
        <w:tc>
          <w:tcPr>
            <w:tcW w:w="905"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13.3</w:t>
            </w:r>
          </w:p>
        </w:tc>
        <w:tc>
          <w:tcPr>
            <w:tcW w:w="904"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14.2</w:t>
            </w:r>
          </w:p>
        </w:tc>
        <w:tc>
          <w:tcPr>
            <w:tcW w:w="905" w:type="dxa"/>
            <w:tcBorders>
              <w:top w:val="nil"/>
              <w:left w:val="nil"/>
              <w:bottom w:val="nil"/>
              <w:right w:val="nil"/>
            </w:tcBorders>
            <w:shd w:val="solid" w:color="FFFFFF" w:fill="auto"/>
          </w:tcPr>
          <w:p w:rsidR="00B958B1" w:rsidRPr="007660C2" w:rsidRDefault="00B958B1" w:rsidP="009F3B54">
            <w:pPr>
              <w:pStyle w:val="TableofFigures"/>
              <w:rPr>
                <w:lang w:eastAsia="en-AU"/>
              </w:rPr>
            </w:pPr>
            <w:r w:rsidRPr="007660C2">
              <w:rPr>
                <w:lang w:eastAsia="en-AU"/>
              </w:rPr>
              <w:t>15.1</w:t>
            </w:r>
          </w:p>
        </w:tc>
      </w:tr>
      <w:tr w:rsidR="00B958B1" w:rsidRPr="007660C2" w:rsidTr="009F3B54">
        <w:trPr>
          <w:cantSplit/>
        </w:trPr>
        <w:tc>
          <w:tcPr>
            <w:tcW w:w="3254" w:type="dxa"/>
            <w:tcBorders>
              <w:top w:val="single" w:sz="6" w:space="0" w:color="auto"/>
              <w:left w:val="nil"/>
              <w:bottom w:val="single" w:sz="12" w:space="0" w:color="auto"/>
              <w:right w:val="nil"/>
            </w:tcBorders>
          </w:tcPr>
          <w:p w:rsidR="00B958B1" w:rsidRPr="007660C2" w:rsidRDefault="00B958B1" w:rsidP="009F3B54">
            <w:pPr>
              <w:pStyle w:val="Tabletext"/>
              <w:rPr>
                <w:b/>
                <w:bCs/>
                <w:lang w:eastAsia="en-AU"/>
              </w:rPr>
            </w:pPr>
            <w:r w:rsidRPr="007660C2">
              <w:rPr>
                <w:b/>
                <w:bCs/>
                <w:lang w:eastAsia="en-AU"/>
              </w:rPr>
              <w:t>Total efficiency and expenditure reduction measures</w:t>
            </w:r>
          </w:p>
        </w:tc>
        <w:tc>
          <w:tcPr>
            <w:tcW w:w="904" w:type="dxa"/>
            <w:gridSpan w:val="4"/>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w:t>
            </w:r>
          </w:p>
        </w:tc>
        <w:tc>
          <w:tcPr>
            <w:tcW w:w="904"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138.1</w:t>
            </w:r>
          </w:p>
        </w:tc>
        <w:tc>
          <w:tcPr>
            <w:tcW w:w="905"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239.6</w:t>
            </w:r>
          </w:p>
        </w:tc>
        <w:tc>
          <w:tcPr>
            <w:tcW w:w="904"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295.9</w:t>
            </w:r>
          </w:p>
        </w:tc>
        <w:tc>
          <w:tcPr>
            <w:tcW w:w="905" w:type="dxa"/>
            <w:tcBorders>
              <w:top w:val="single" w:sz="6" w:space="0" w:color="auto"/>
              <w:left w:val="nil"/>
              <w:bottom w:val="single" w:sz="12" w:space="0" w:color="auto"/>
              <w:right w:val="nil"/>
            </w:tcBorders>
          </w:tcPr>
          <w:p w:rsidR="00B958B1" w:rsidRPr="007660C2" w:rsidRDefault="00B958B1" w:rsidP="009F3B54">
            <w:pPr>
              <w:pStyle w:val="TableofFigures"/>
              <w:rPr>
                <w:b/>
                <w:bCs/>
                <w:lang w:eastAsia="en-AU"/>
              </w:rPr>
            </w:pPr>
            <w:r w:rsidRPr="007660C2">
              <w:rPr>
                <w:b/>
                <w:bCs/>
                <w:lang w:eastAsia="en-AU"/>
              </w:rPr>
              <w:t>345.6</w:t>
            </w:r>
          </w:p>
        </w:tc>
      </w:tr>
    </w:tbl>
    <w:p w:rsidR="00B958B1" w:rsidRDefault="00B958B1" w:rsidP="009F3B54">
      <w:pPr>
        <w:pStyle w:val="Source"/>
      </w:pPr>
      <w:r w:rsidRPr="00A20936">
        <w:t xml:space="preserve">Source: </w:t>
      </w:r>
      <w:r w:rsidRPr="00B40A4B">
        <w:t>Department</w:t>
      </w:r>
      <w:r w:rsidRPr="00A20936">
        <w:t xml:space="preserve"> of Treasury and Finance</w:t>
      </w:r>
    </w:p>
    <w:p w:rsidR="00B958B1" w:rsidRDefault="00B958B1" w:rsidP="009F3B54">
      <w:pPr>
        <w:pStyle w:val="Heading5"/>
      </w:pPr>
      <w:r>
        <w:br w:type="page"/>
      </w:r>
      <w:r w:rsidRPr="003A6942">
        <w:t>Adjusting the efficiency dividend to non</w:t>
      </w:r>
      <w:r w:rsidR="009F0F49">
        <w:noBreakHyphen/>
      </w:r>
      <w:r w:rsidRPr="003A6942">
        <w:t xml:space="preserve">frontline departmental expenditure </w:t>
      </w:r>
    </w:p>
    <w:p w:rsidR="00B958B1" w:rsidRPr="009C3F1E" w:rsidRDefault="00B958B1" w:rsidP="009F3B54">
      <w:r w:rsidRPr="003A6942">
        <w:t>The Government efficiency dividend announced at Budget Update 2012</w:t>
      </w:r>
      <w:r w:rsidR="009F0F49">
        <w:noBreakHyphen/>
      </w:r>
      <w:r w:rsidRPr="003A6942">
        <w:t>13 will be adjusted from 2</w:t>
      </w:r>
      <w:r>
        <w:t> per cent</w:t>
      </w:r>
      <w:r w:rsidRPr="003A6942">
        <w:t xml:space="preserve"> to 2.5</w:t>
      </w:r>
      <w:r>
        <w:t> per cent</w:t>
      </w:r>
      <w:r w:rsidRPr="003A6942">
        <w:t>. It will continue to apply only to non</w:t>
      </w:r>
      <w:r w:rsidR="009F0F49">
        <w:noBreakHyphen/>
      </w:r>
      <w:r w:rsidRPr="003A6942">
        <w:t>frontline wages and non</w:t>
      </w:r>
      <w:r w:rsidR="009F0F49">
        <w:noBreakHyphen/>
      </w:r>
      <w:r w:rsidRPr="003A6942">
        <w:t xml:space="preserve">wage costs. This adjustment will create further incentives to drive </w:t>
      </w:r>
      <w:r w:rsidRPr="009C3F1E">
        <w:t>efficiency improvements and will be effective from 1 January 2014.</w:t>
      </w:r>
    </w:p>
    <w:p w:rsidR="00B958B1" w:rsidRPr="009C3F1E" w:rsidRDefault="00B958B1" w:rsidP="009F3B54">
      <w:pPr>
        <w:pStyle w:val="Heading5"/>
      </w:pPr>
      <w:r>
        <w:t>Ceasing the Trade B</w:t>
      </w:r>
      <w:r w:rsidRPr="009C3F1E">
        <w:t>onus</w:t>
      </w:r>
    </w:p>
    <w:p w:rsidR="00B958B1" w:rsidRPr="009C3F1E" w:rsidRDefault="00B958B1" w:rsidP="009F3B54">
      <w:r w:rsidRPr="009C3F1E">
        <w:t>Savings will be delivered through ceasing the Trade Bonus paid to eligible apprentices. The Trade Bonus will no longer be paid to apprentices commencing their apprenticeship after 30 June 2013. The paymen</w:t>
      </w:r>
      <w:r>
        <w:t>t of $250 at the 6 month and 12 </w:t>
      </w:r>
      <w:r w:rsidRPr="009C3F1E">
        <w:t>month stages of an apprenticeship will continue be paid to those apprentices who began their apprenticeship prior to this date.</w:t>
      </w:r>
    </w:p>
    <w:p w:rsidR="00B958B1" w:rsidRPr="009C3F1E" w:rsidRDefault="00B958B1" w:rsidP="009F3B54">
      <w:pPr>
        <w:pStyle w:val="Heading5"/>
      </w:pPr>
      <w:r w:rsidRPr="009C3F1E">
        <w:t>Electricity and gas concession changes</w:t>
      </w:r>
    </w:p>
    <w:p w:rsidR="00B958B1" w:rsidRPr="007C63B4" w:rsidRDefault="00B958B1" w:rsidP="009F3B54">
      <w:r w:rsidRPr="007C63B4">
        <w:t>The Government is reforming concessions to ensure they are better targeted to those most in need of assistance a</w:t>
      </w:r>
      <w:r>
        <w:t>nd to address fraud and misuse.</w:t>
      </w:r>
    </w:p>
    <w:p w:rsidR="00B958B1" w:rsidRPr="007C63B4" w:rsidRDefault="00B958B1" w:rsidP="009F3B54">
      <w:r w:rsidRPr="007C63B4">
        <w:t>The Government will introduce a maximum to the amount of concessions automatically provided</w:t>
      </w:r>
      <w:r>
        <w:t xml:space="preserve"> on gas and electricity bills. The new </w:t>
      </w:r>
      <w:r w:rsidRPr="007C63B4">
        <w:t>trigger point will apply to bills that are above $2 763 for annual</w:t>
      </w:r>
      <w:r>
        <w:t xml:space="preserve"> electricity bills and above $1 462 for gas bills (over six </w:t>
      </w:r>
      <w:r w:rsidRPr="007C63B4">
        <w:t>months) which are approximately double the average family electricity and gas bills. There will be no changes to other energy concessions with the Life Support and Medical Cooling concessions for people with high medical needs, and the Off Peak concessions remaining un</w:t>
      </w:r>
      <w:r>
        <w:t>changed.</w:t>
      </w:r>
    </w:p>
    <w:p w:rsidR="00B958B1" w:rsidRPr="007C63B4" w:rsidRDefault="00B958B1" w:rsidP="009F3B54">
      <w:r w:rsidRPr="007C63B4">
        <w:t>Concession households will be provided with education</w:t>
      </w:r>
      <w:r>
        <w:fldChar w:fldCharType="begin"/>
      </w:r>
      <w:r>
        <w:instrText xml:space="preserve"> XE "</w:instrText>
      </w:r>
      <w:r w:rsidRPr="009E53A6">
        <w:instrText>Education</w:instrText>
      </w:r>
      <w:r>
        <w:instrText xml:space="preserve">" </w:instrText>
      </w:r>
      <w:r>
        <w:fldChar w:fldCharType="end"/>
      </w:r>
      <w:r w:rsidRPr="007C63B4">
        <w:t xml:space="preserve"> materials to help reduce their power bills.</w:t>
      </w:r>
    </w:p>
    <w:p w:rsidR="00B958B1" w:rsidRPr="009C3F1E" w:rsidRDefault="00B958B1" w:rsidP="009F3B54">
      <w:pPr>
        <w:pStyle w:val="Heading5"/>
      </w:pPr>
      <w:r w:rsidRPr="009C3F1E">
        <w:t>Refocusing the public service</w:t>
      </w:r>
    </w:p>
    <w:p w:rsidR="00B958B1" w:rsidRPr="009C3F1E" w:rsidRDefault="00B958B1" w:rsidP="009F3B54">
      <w:pPr>
        <w:rPr>
          <w:lang w:eastAsia="en-AU"/>
        </w:rPr>
      </w:pPr>
      <w:r w:rsidRPr="009C3F1E">
        <w:rPr>
          <w:lang w:eastAsia="en-AU"/>
        </w:rPr>
        <w:t xml:space="preserve">Victoria has restructured the public service to ensure a stronger focus on securing investment and more effectively delivering frontline services. In order to </w:t>
      </w:r>
      <w:r>
        <w:rPr>
          <w:lang w:eastAsia="en-AU"/>
        </w:rPr>
        <w:t>meet this objective key changes include:</w:t>
      </w:r>
    </w:p>
    <w:p w:rsidR="00B958B1" w:rsidRPr="009C3F1E" w:rsidRDefault="00B958B1" w:rsidP="009F3B54">
      <w:pPr>
        <w:pStyle w:val="BulletText"/>
        <w:rPr>
          <w:lang w:eastAsia="en-AU"/>
        </w:rPr>
      </w:pPr>
      <w:r w:rsidRPr="009C3F1E">
        <w:rPr>
          <w:lang w:eastAsia="en-AU"/>
        </w:rPr>
        <w:t>State development policy and whole</w:t>
      </w:r>
      <w:r w:rsidR="009F0F49">
        <w:rPr>
          <w:lang w:eastAsia="en-AU"/>
        </w:rPr>
        <w:noBreakHyphen/>
      </w:r>
      <w:r w:rsidRPr="009C3F1E">
        <w:rPr>
          <w:lang w:eastAsia="en-AU"/>
        </w:rPr>
        <w:t>of</w:t>
      </w:r>
      <w:r w:rsidR="009F0F49">
        <w:rPr>
          <w:lang w:eastAsia="en-AU"/>
        </w:rPr>
        <w:noBreakHyphen/>
      </w:r>
      <w:r w:rsidRPr="009C3F1E">
        <w:rPr>
          <w:lang w:eastAsia="en-AU"/>
        </w:rPr>
        <w:t>government co</w:t>
      </w:r>
      <w:r w:rsidR="009F0F49">
        <w:rPr>
          <w:lang w:eastAsia="en-AU"/>
        </w:rPr>
        <w:noBreakHyphen/>
      </w:r>
      <w:r w:rsidRPr="009C3F1E">
        <w:rPr>
          <w:lang w:eastAsia="en-AU"/>
        </w:rPr>
        <w:t>ordination of strategic investment policy will be undertaken by the Department of State Development, Business and Innovation.</w:t>
      </w:r>
    </w:p>
    <w:p w:rsidR="00B958B1" w:rsidRPr="009C3F1E" w:rsidRDefault="00B958B1" w:rsidP="009F3B54">
      <w:pPr>
        <w:pStyle w:val="BulletText"/>
        <w:rPr>
          <w:lang w:eastAsia="en-AU"/>
        </w:rPr>
      </w:pPr>
      <w:r w:rsidRPr="009C3F1E">
        <w:rPr>
          <w:lang w:eastAsia="en-AU"/>
        </w:rPr>
        <w:t>Local transport and infrastructure projects will be integrated within the Department of Transport, Planning and Local Infrastructure.</w:t>
      </w:r>
    </w:p>
    <w:p w:rsidR="00B958B1" w:rsidRPr="009C3F1E" w:rsidRDefault="00B958B1" w:rsidP="009F3B54">
      <w:pPr>
        <w:pStyle w:val="BulletText"/>
        <w:rPr>
          <w:lang w:eastAsia="en-AU"/>
        </w:rPr>
      </w:pPr>
      <w:r w:rsidRPr="009C3F1E">
        <w:rPr>
          <w:lang w:eastAsia="en-AU"/>
        </w:rPr>
        <w:t>Environmental</w:t>
      </w:r>
      <w:r>
        <w:rPr>
          <w:lang w:eastAsia="en-AU"/>
        </w:rPr>
        <w:fldChar w:fldCharType="begin"/>
      </w:r>
      <w:r>
        <w:instrText xml:space="preserve"> XE "</w:instrText>
      </w:r>
      <w:r w:rsidRPr="009E53A6">
        <w:rPr>
          <w:lang w:eastAsia="en-AU"/>
        </w:rPr>
        <w:instrText>Environment</w:instrText>
      </w:r>
      <w:r>
        <w:instrText xml:space="preserve">" </w:instrText>
      </w:r>
      <w:r>
        <w:rPr>
          <w:lang w:eastAsia="en-AU"/>
        </w:rPr>
        <w:fldChar w:fldCharType="end"/>
      </w:r>
      <w:r w:rsidRPr="009C3F1E">
        <w:rPr>
          <w:lang w:eastAsia="en-AU"/>
        </w:rPr>
        <w:t xml:space="preserve"> protection and the management of natural resources will be integrated within the Department of Environment and Primary Industries.</w:t>
      </w:r>
    </w:p>
    <w:p w:rsidR="00B958B1" w:rsidRPr="009C3F1E" w:rsidRDefault="00B958B1" w:rsidP="009F3B54">
      <w:r w:rsidRPr="009C3F1E">
        <w:t>In addition to this, the Department of Treasury and Finance will be assuming private sector industrial relations functions, building on the existing public sector industrial relations role of the department, and the Department of Premier and Cabinet will be assuming responsibility for Aboriginal</w:t>
      </w:r>
      <w:r>
        <w:fldChar w:fldCharType="begin"/>
      </w:r>
      <w:r>
        <w:instrText xml:space="preserve"> XE "</w:instrText>
      </w:r>
      <w:r w:rsidRPr="009E53A6">
        <w:instrText>Aboriginal</w:instrText>
      </w:r>
      <w:r>
        <w:instrText xml:space="preserve">" </w:instrText>
      </w:r>
      <w:r>
        <w:fldChar w:fldCharType="end"/>
      </w:r>
      <w:r w:rsidRPr="009C3F1E">
        <w:t xml:space="preserve"> affairs and Veterans’ affairs to ensure it is given central agency policy priority</w:t>
      </w:r>
      <w:r>
        <w:t>.</w:t>
      </w:r>
    </w:p>
    <w:p w:rsidR="00B958B1" w:rsidRPr="009C3F1E" w:rsidRDefault="00B958B1" w:rsidP="009F3B54">
      <w:pPr>
        <w:pStyle w:val="Heading5"/>
      </w:pPr>
      <w:r w:rsidRPr="009C3F1E">
        <w:t xml:space="preserve">Retargeting the First Home Owners Grant </w:t>
      </w:r>
    </w:p>
    <w:p w:rsidR="00B958B1" w:rsidRPr="009C3F1E" w:rsidRDefault="00B958B1" w:rsidP="009F3B54">
      <w:r w:rsidRPr="009C3F1E">
        <w:t>The First Home Owners Grant will apply to new homes only for contracts signed on or after 1 July 2013, and the new</w:t>
      </w:r>
      <w:r w:rsidR="009F0F49">
        <w:noBreakHyphen/>
      </w:r>
      <w:r w:rsidRPr="009C3F1E">
        <w:t>home grant will be increased</w:t>
      </w:r>
      <w:r>
        <w:t xml:space="preserve"> to $10 </w:t>
      </w:r>
      <w:r w:rsidRPr="009C3F1E">
        <w:t>000.</w:t>
      </w:r>
    </w:p>
    <w:p w:rsidR="00B958B1" w:rsidRPr="009C3F1E" w:rsidRDefault="00B958B1" w:rsidP="009F3B54">
      <w:pPr>
        <w:pStyle w:val="Heading5"/>
      </w:pPr>
      <w:r w:rsidRPr="009C3F1E">
        <w:t>Retrospective eligibility for concessions</w:t>
      </w:r>
    </w:p>
    <w:p w:rsidR="00B958B1" w:rsidRPr="009C3F1E" w:rsidRDefault="00B958B1" w:rsidP="009F3B54">
      <w:r w:rsidRPr="009C3F1E">
        <w:t>The current period for retrospective eligibility for concessions</w:t>
      </w:r>
      <w:r>
        <w:fldChar w:fldCharType="begin"/>
      </w:r>
      <w:r>
        <w:instrText xml:space="preserve"> XE "</w:instrText>
      </w:r>
      <w:r w:rsidRPr="009E53A6">
        <w:instrText>Concessions</w:instrText>
      </w:r>
      <w:r>
        <w:instrText xml:space="preserve">" </w:instrText>
      </w:r>
      <w:r>
        <w:fldChar w:fldCharType="end"/>
      </w:r>
      <w:r w:rsidRPr="009C3F1E">
        <w:t xml:space="preserve"> is to be made standard at one year. Government will continue to offer concessions to eligible households for gas, electricity, water and property rates for bills incurred up to 12 months prior to the claim. </w:t>
      </w:r>
    </w:p>
    <w:p w:rsidR="00B958B1" w:rsidRPr="00EC4006" w:rsidRDefault="00B958B1" w:rsidP="009F3B54">
      <w:pPr>
        <w:pStyle w:val="Heading1"/>
      </w:pPr>
      <w:bookmarkStart w:id="86" w:name="_Toc355248226"/>
      <w:bookmarkStart w:id="87" w:name="_Toc355362278"/>
      <w:bookmarkStart w:id="88" w:name="BP3Ch1ParlElectCommitRpt"/>
      <w:bookmarkEnd w:id="85"/>
      <w:r>
        <w:t>Election commitments summary report</w:t>
      </w:r>
      <w:bookmarkEnd w:id="86"/>
      <w:bookmarkEnd w:id="87"/>
    </w:p>
    <w:p w:rsidR="00B958B1" w:rsidRPr="00F20D9C" w:rsidRDefault="00B958B1" w:rsidP="009F3B54">
      <w:r>
        <w:fldChar w:fldCharType="begin"/>
      </w:r>
      <w:r>
        <w:instrText xml:space="preserve"> XE "</w:instrText>
      </w:r>
      <w:r w:rsidRPr="00B86896">
        <w:instrText xml:space="preserve">Parliament:Election </w:instrText>
      </w:r>
      <w:r>
        <w:instrText>C</w:instrText>
      </w:r>
      <w:r w:rsidRPr="00B86896">
        <w:instrText>ommitments</w:instrText>
      </w:r>
      <w:r>
        <w:instrText xml:space="preserve">" \r "BP3Ch1ParlElectCommitRpt" </w:instrText>
      </w:r>
      <w:r>
        <w:fldChar w:fldCharType="end"/>
      </w:r>
      <w:r>
        <w:fldChar w:fldCharType="begin"/>
      </w:r>
      <w:r>
        <w:instrText xml:space="preserve"> XE "</w:instrText>
      </w:r>
      <w:r w:rsidRPr="009E53A6">
        <w:instrText xml:space="preserve">Election </w:instrText>
      </w:r>
      <w:r>
        <w:instrText>C</w:instrText>
      </w:r>
      <w:r w:rsidRPr="009E53A6">
        <w:instrText>ommitments</w:instrText>
      </w:r>
      <w:r>
        <w:instrText>:S</w:instrText>
      </w:r>
      <w:r w:rsidRPr="009E53A6">
        <w:instrText xml:space="preserve">ummary </w:instrText>
      </w:r>
      <w:r>
        <w:instrText>R</w:instrText>
      </w:r>
      <w:r w:rsidRPr="009E53A6">
        <w:instrText>eport</w:instrText>
      </w:r>
      <w:r>
        <w:instrText xml:space="preserve">" \r "BP3Ch1ParlElectCommitRpt" </w:instrText>
      </w:r>
      <w:r>
        <w:fldChar w:fldCharType="end"/>
      </w:r>
      <w:r w:rsidRPr="00C03860">
        <w:t xml:space="preserve">The </w:t>
      </w:r>
      <w:r w:rsidRPr="00F20D9C">
        <w:t>Government’s election commitments represent a detailed program to strengthen all Victorians’ quality of life across the full range of portfolio areas. The election commitments comprised output and revenue initiatives that totalled $5.2</w:t>
      </w:r>
      <w:r>
        <w:t> billion</w:t>
      </w:r>
      <w:r w:rsidRPr="00F20D9C">
        <w:t>, and capital investments totalling $2.4</w:t>
      </w:r>
      <w:r>
        <w:t> billion</w:t>
      </w:r>
      <w:r w:rsidRPr="00F20D9C">
        <w:t xml:space="preserve"> over four years. </w:t>
      </w:r>
    </w:p>
    <w:p w:rsidR="00B958B1" w:rsidRPr="00F20D9C" w:rsidRDefault="00B958B1" w:rsidP="009F3B54">
      <w:r w:rsidRPr="00F20D9C">
        <w:t>In its first two</w:t>
      </w:r>
      <w:r>
        <w:t xml:space="preserve"> years, the Government approved</w:t>
      </w:r>
      <w:r w:rsidRPr="00F20D9C">
        <w:t xml:space="preserve"> </w:t>
      </w:r>
      <w:r w:rsidRPr="00EA330A">
        <w:t>$5.2</w:t>
      </w:r>
      <w:r>
        <w:t> billion</w:t>
      </w:r>
      <w:r w:rsidRPr="00EA330A">
        <w:t xml:space="preserve"> to deliver the majority of the output and revenue election commitments, as well as $2.5</w:t>
      </w:r>
      <w:r>
        <w:t> billion</w:t>
      </w:r>
      <w:r w:rsidRPr="00F20D9C">
        <w:t xml:space="preserve"> for capital investments. To date, investment has been made in a range of areas including in the critical service d</w:t>
      </w:r>
      <w:r>
        <w:t xml:space="preserve">elivery areas of </w:t>
      </w:r>
      <w:r w:rsidRPr="00F20D9C">
        <w:t>transport, health</w:t>
      </w:r>
      <w:r>
        <w:fldChar w:fldCharType="begin"/>
      </w:r>
      <w:r>
        <w:instrText xml:space="preserve"> XE "</w:instrText>
      </w:r>
      <w:r w:rsidRPr="009E53A6">
        <w:instrText>Health</w:instrText>
      </w:r>
      <w:r>
        <w:instrText xml:space="preserve">" </w:instrText>
      </w:r>
      <w:r>
        <w:fldChar w:fldCharType="end"/>
      </w:r>
      <w:r w:rsidRPr="00F20D9C">
        <w:t>, education</w:t>
      </w:r>
      <w:r>
        <w:fldChar w:fldCharType="begin"/>
      </w:r>
      <w:r>
        <w:instrText xml:space="preserve"> XE "</w:instrText>
      </w:r>
      <w:r w:rsidRPr="009E53A6">
        <w:instrText>Education</w:instrText>
      </w:r>
      <w:r>
        <w:instrText xml:space="preserve">" </w:instrText>
      </w:r>
      <w:r>
        <w:fldChar w:fldCharType="end"/>
      </w:r>
      <w:r w:rsidRPr="00F20D9C">
        <w:t xml:space="preserve"> and community safety. </w:t>
      </w:r>
    </w:p>
    <w:p w:rsidR="00B958B1" w:rsidRPr="009C3F1E" w:rsidRDefault="00B958B1" w:rsidP="009F3B54">
      <w:r w:rsidRPr="00F20D9C">
        <w:t xml:space="preserve">The </w:t>
      </w:r>
      <w:r w:rsidRPr="00F20D9C">
        <w:rPr>
          <w:i/>
        </w:rPr>
        <w:t>2013</w:t>
      </w:r>
      <w:r w:rsidR="009F0F49">
        <w:rPr>
          <w:i/>
        </w:rPr>
        <w:noBreakHyphen/>
      </w:r>
      <w:r w:rsidRPr="00F20D9C">
        <w:rPr>
          <w:i/>
        </w:rPr>
        <w:t>14 Budget</w:t>
      </w:r>
      <w:r w:rsidRPr="00F20D9C">
        <w:t xml:space="preserve"> provides a</w:t>
      </w:r>
      <w:r>
        <w:t>n</w:t>
      </w:r>
      <w:r w:rsidRPr="00F20D9C">
        <w:t xml:space="preserve"> </w:t>
      </w:r>
      <w:r>
        <w:t>additional</w:t>
      </w:r>
      <w:r w:rsidRPr="00F20D9C">
        <w:t xml:space="preserve"> $35.</w:t>
      </w:r>
      <w:r>
        <w:t>7 million</w:t>
      </w:r>
      <w:r w:rsidRPr="00F20D9C">
        <w:t xml:space="preserve"> over the f</w:t>
      </w:r>
      <w:r>
        <w:t>orward estimates to deliver further</w:t>
      </w:r>
      <w:r w:rsidRPr="00F20D9C">
        <w:t xml:space="preserve"> output election commitment initiatives, </w:t>
      </w:r>
      <w:r w:rsidRPr="00AD75CA">
        <w:t>and $</w:t>
      </w:r>
      <w:r>
        <w:t>728.8 million</w:t>
      </w:r>
      <w:r w:rsidRPr="00F20D9C">
        <w:t xml:space="preserve"> to deliver asset election commitments.</w:t>
      </w:r>
      <w:r>
        <w:t xml:space="preserve"> </w:t>
      </w:r>
      <w:r w:rsidRPr="008C6E86">
        <w:t>This brings total investment to date to more than $5.2</w:t>
      </w:r>
      <w:r>
        <w:t> billion</w:t>
      </w:r>
      <w:r w:rsidRPr="008C6E86">
        <w:t xml:space="preserve"> in output expenditure and $3.3</w:t>
      </w:r>
      <w:r>
        <w:t> billion</w:t>
      </w:r>
      <w:r w:rsidRPr="008C6E86">
        <w:t xml:space="preserve"> in capital funding, demonstrating that the Government continues to give priority to delivering against the commitments made in the 2010 election, to improve services, and to ensure the future economic capacity of Victoria.</w:t>
      </w:r>
      <w:r>
        <w:t xml:space="preserve"> </w:t>
      </w:r>
      <w:r w:rsidRPr="00C03860">
        <w:t xml:space="preserve">This further investment includes school </w:t>
      </w:r>
      <w:r w:rsidRPr="009C3F1E">
        <w:t>capital, hospitals</w:t>
      </w:r>
      <w:r>
        <w:fldChar w:fldCharType="begin"/>
      </w:r>
      <w:r>
        <w:instrText xml:space="preserve"> XE "</w:instrText>
      </w:r>
      <w:r w:rsidRPr="009E53A6">
        <w:instrText>Hospitals</w:instrText>
      </w:r>
      <w:r>
        <w:instrText xml:space="preserve">" </w:instrText>
      </w:r>
      <w:r>
        <w:fldChar w:fldCharType="end"/>
      </w:r>
      <w:r w:rsidRPr="009C3F1E">
        <w:t>, public transport</w:t>
      </w:r>
      <w:r>
        <w:fldChar w:fldCharType="begin"/>
      </w:r>
      <w:r>
        <w:instrText xml:space="preserve"> XE "</w:instrText>
      </w:r>
      <w:r w:rsidRPr="009E53A6">
        <w:instrText>Public transport</w:instrText>
      </w:r>
      <w:r>
        <w:instrText xml:space="preserve">" </w:instrText>
      </w:r>
      <w:r>
        <w:fldChar w:fldCharType="end"/>
      </w:r>
      <w:r w:rsidRPr="009C3F1E">
        <w:t xml:space="preserve"> and road infrastructure.</w:t>
      </w:r>
    </w:p>
    <w:p w:rsidR="00B958B1" w:rsidRPr="004E41EB" w:rsidRDefault="00B958B1" w:rsidP="009F3B54">
      <w:r w:rsidRPr="009C3F1E">
        <w:t>The total funding provided by the Government to deliver its election commitments exceeds the amount originally committed. Careful management of the State’s budget has allowed the Government to upgrade and expand the scope of some projects and programs and to bring forward the delivery of others.</w:t>
      </w:r>
    </w:p>
    <w:p w:rsidR="00B958B1" w:rsidRDefault="00B958B1" w:rsidP="009F3B54">
      <w:pPr>
        <w:pStyle w:val="Tableheading"/>
      </w:pPr>
      <w:r>
        <w:br w:type="page"/>
      </w:r>
      <w:r w:rsidRPr="009F52A1">
        <w:t>Table 1.21:</w:t>
      </w:r>
      <w:r w:rsidRPr="009F52A1">
        <w:tab/>
        <w:t>Summary of progress against Government Election Commitments</w:t>
      </w:r>
    </w:p>
    <w:p w:rsidR="00B958B1" w:rsidRPr="009A600E" w:rsidRDefault="00B958B1" w:rsidP="009F3B5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2174"/>
        <w:gridCol w:w="216"/>
        <w:gridCol w:w="1206"/>
        <w:gridCol w:w="1575"/>
        <w:gridCol w:w="1566"/>
        <w:gridCol w:w="1039"/>
      </w:tblGrid>
      <w:tr w:rsidR="00B958B1" w:rsidRPr="009A600E" w:rsidTr="009F3B54">
        <w:tc>
          <w:tcPr>
            <w:tcW w:w="2174" w:type="dxa"/>
            <w:tcBorders>
              <w:top w:val="single" w:sz="6" w:space="0" w:color="000000"/>
              <w:left w:val="single" w:sz="4" w:space="0" w:color="auto"/>
              <w:bottom w:val="single" w:sz="4" w:space="0" w:color="auto"/>
              <w:right w:val="nil"/>
            </w:tcBorders>
            <w:shd w:val="clear" w:color="auto" w:fill="000000"/>
          </w:tcPr>
          <w:p w:rsidR="00B958B1" w:rsidRPr="009A600E" w:rsidRDefault="00B958B1" w:rsidP="009F3B54">
            <w:pPr>
              <w:pStyle w:val="Tabletext"/>
              <w:rPr>
                <w:sz w:val="19"/>
                <w:szCs w:val="19"/>
                <w:lang w:eastAsia="en-AU"/>
              </w:rPr>
            </w:pPr>
          </w:p>
        </w:tc>
        <w:tc>
          <w:tcPr>
            <w:tcW w:w="1422" w:type="dxa"/>
            <w:gridSpan w:val="2"/>
            <w:tcBorders>
              <w:top w:val="single" w:sz="6" w:space="0" w:color="000000"/>
              <w:left w:val="single" w:sz="6" w:space="0" w:color="000000"/>
              <w:bottom w:val="single" w:sz="4" w:space="0" w:color="auto"/>
              <w:right w:val="nil"/>
            </w:tcBorders>
            <w:shd w:val="clear" w:color="auto" w:fill="000000"/>
          </w:tcPr>
          <w:p w:rsidR="00B958B1" w:rsidRPr="009A600E" w:rsidRDefault="00B958B1" w:rsidP="009F3B54">
            <w:pPr>
              <w:pStyle w:val="Tabletextheading"/>
              <w:rPr>
                <w:sz w:val="19"/>
                <w:szCs w:val="19"/>
                <w:lang w:eastAsia="en-AU"/>
              </w:rPr>
            </w:pPr>
            <w:r w:rsidRPr="009A600E">
              <w:rPr>
                <w:sz w:val="19"/>
                <w:szCs w:val="19"/>
                <w:lang w:eastAsia="en-AU"/>
              </w:rPr>
              <w:t>Government</w:t>
            </w:r>
          </w:p>
          <w:p w:rsidR="00B958B1" w:rsidRPr="009A600E" w:rsidRDefault="00B958B1" w:rsidP="009F3B54">
            <w:pPr>
              <w:pStyle w:val="Tabletextheading"/>
              <w:rPr>
                <w:sz w:val="19"/>
                <w:szCs w:val="19"/>
                <w:vertAlign w:val="superscript"/>
                <w:lang w:eastAsia="en-AU"/>
              </w:rPr>
            </w:pPr>
            <w:r w:rsidRPr="009A600E">
              <w:rPr>
                <w:sz w:val="19"/>
                <w:szCs w:val="19"/>
                <w:lang w:eastAsia="en-AU"/>
              </w:rPr>
              <w:t xml:space="preserve">Election Commitments </w:t>
            </w:r>
            <w:r w:rsidRPr="009A600E">
              <w:rPr>
                <w:sz w:val="19"/>
                <w:szCs w:val="19"/>
                <w:vertAlign w:val="superscript"/>
                <w:lang w:eastAsia="en-AU"/>
              </w:rPr>
              <w:t>(a)</w:t>
            </w:r>
          </w:p>
        </w:tc>
        <w:tc>
          <w:tcPr>
            <w:tcW w:w="1575" w:type="dxa"/>
            <w:tcBorders>
              <w:top w:val="single" w:sz="6" w:space="0" w:color="000000"/>
              <w:left w:val="single" w:sz="6" w:space="0" w:color="000000"/>
              <w:bottom w:val="single" w:sz="4" w:space="0" w:color="auto"/>
              <w:right w:val="nil"/>
            </w:tcBorders>
            <w:shd w:val="clear" w:color="auto" w:fill="000000"/>
          </w:tcPr>
          <w:p w:rsidR="00B958B1" w:rsidRPr="009A600E" w:rsidRDefault="00B958B1" w:rsidP="009F3B54">
            <w:pPr>
              <w:pStyle w:val="Tabletextheading"/>
              <w:rPr>
                <w:sz w:val="19"/>
                <w:szCs w:val="19"/>
                <w:lang w:eastAsia="en-AU"/>
              </w:rPr>
            </w:pPr>
            <w:r w:rsidRPr="009A600E">
              <w:rPr>
                <w:sz w:val="19"/>
                <w:szCs w:val="19"/>
                <w:lang w:eastAsia="en-AU"/>
              </w:rPr>
              <w:t xml:space="preserve">Funding </w:t>
            </w:r>
          </w:p>
          <w:p w:rsidR="00B958B1" w:rsidRPr="009A600E" w:rsidRDefault="00B958B1" w:rsidP="009F3B54">
            <w:pPr>
              <w:pStyle w:val="Tabletextheading"/>
              <w:rPr>
                <w:sz w:val="19"/>
                <w:szCs w:val="19"/>
                <w:vertAlign w:val="superscript"/>
                <w:lang w:eastAsia="en-AU"/>
              </w:rPr>
            </w:pPr>
            <w:r w:rsidRPr="009A600E">
              <w:rPr>
                <w:sz w:val="19"/>
                <w:szCs w:val="19"/>
                <w:lang w:eastAsia="en-AU"/>
              </w:rPr>
              <w:t>provided up to 2013</w:t>
            </w:r>
            <w:r w:rsidR="009F0F49">
              <w:rPr>
                <w:sz w:val="19"/>
                <w:szCs w:val="19"/>
                <w:lang w:eastAsia="en-AU"/>
              </w:rPr>
              <w:noBreakHyphen/>
            </w:r>
            <w:r w:rsidRPr="009A600E">
              <w:rPr>
                <w:sz w:val="19"/>
                <w:szCs w:val="19"/>
                <w:lang w:eastAsia="en-AU"/>
              </w:rPr>
              <w:t xml:space="preserve">14 Budget </w:t>
            </w:r>
            <w:r w:rsidRPr="009A600E">
              <w:rPr>
                <w:sz w:val="19"/>
                <w:szCs w:val="19"/>
                <w:vertAlign w:val="superscript"/>
                <w:lang w:eastAsia="en-AU"/>
              </w:rPr>
              <w:t>(b)</w:t>
            </w:r>
          </w:p>
        </w:tc>
        <w:tc>
          <w:tcPr>
            <w:tcW w:w="1566" w:type="dxa"/>
            <w:tcBorders>
              <w:top w:val="single" w:sz="6" w:space="0" w:color="000000"/>
              <w:left w:val="nil"/>
              <w:bottom w:val="single" w:sz="4" w:space="0" w:color="auto"/>
              <w:right w:val="nil"/>
            </w:tcBorders>
            <w:shd w:val="clear" w:color="auto" w:fill="000000"/>
          </w:tcPr>
          <w:p w:rsidR="00B958B1" w:rsidRPr="009A600E" w:rsidRDefault="00B958B1" w:rsidP="009F3B54">
            <w:pPr>
              <w:pStyle w:val="Tabletextheading"/>
              <w:rPr>
                <w:rFonts w:cs="Calibri"/>
                <w:iCs/>
                <w:color w:val="FFFFFF"/>
                <w:sz w:val="19"/>
                <w:szCs w:val="19"/>
                <w:vertAlign w:val="superscript"/>
                <w:lang w:eastAsia="en-AU"/>
              </w:rPr>
            </w:pPr>
            <w:r w:rsidRPr="009A600E">
              <w:rPr>
                <w:sz w:val="19"/>
                <w:szCs w:val="19"/>
                <w:lang w:eastAsia="en-AU"/>
              </w:rPr>
              <w:t>Funding p</w:t>
            </w:r>
            <w:r>
              <w:rPr>
                <w:sz w:val="19"/>
                <w:szCs w:val="19"/>
                <w:lang w:eastAsia="en-AU"/>
              </w:rPr>
              <w:t>rovided </w:t>
            </w:r>
            <w:r w:rsidRPr="009A600E">
              <w:rPr>
                <w:sz w:val="19"/>
                <w:szCs w:val="19"/>
                <w:lang w:eastAsia="en-AU"/>
              </w:rPr>
              <w:t>in 2013</w:t>
            </w:r>
            <w:r w:rsidR="009F0F49">
              <w:rPr>
                <w:sz w:val="19"/>
                <w:szCs w:val="19"/>
                <w:lang w:eastAsia="en-AU"/>
              </w:rPr>
              <w:noBreakHyphen/>
            </w:r>
            <w:r>
              <w:rPr>
                <w:sz w:val="19"/>
                <w:szCs w:val="19"/>
                <w:lang w:eastAsia="en-AU"/>
              </w:rPr>
              <w:t>14 Budget </w:t>
            </w:r>
            <w:r w:rsidRPr="009A600E">
              <w:rPr>
                <w:rFonts w:cs="Calibri"/>
                <w:iCs/>
                <w:color w:val="FFFFFF"/>
                <w:sz w:val="19"/>
                <w:szCs w:val="19"/>
                <w:vertAlign w:val="superscript"/>
                <w:lang w:eastAsia="en-AU"/>
              </w:rPr>
              <w:t>(c)</w:t>
            </w:r>
          </w:p>
        </w:tc>
        <w:tc>
          <w:tcPr>
            <w:tcW w:w="1039" w:type="dxa"/>
            <w:tcBorders>
              <w:top w:val="single" w:sz="6" w:space="0" w:color="000000"/>
              <w:left w:val="nil"/>
              <w:bottom w:val="single" w:sz="4" w:space="0" w:color="auto"/>
              <w:right w:val="single" w:sz="4" w:space="0" w:color="auto"/>
            </w:tcBorders>
            <w:shd w:val="clear" w:color="auto" w:fill="000000"/>
          </w:tcPr>
          <w:p w:rsidR="00B958B1" w:rsidRPr="009A600E" w:rsidRDefault="00B958B1" w:rsidP="009F3B54">
            <w:pPr>
              <w:pStyle w:val="Tabletextheading"/>
              <w:rPr>
                <w:sz w:val="19"/>
                <w:szCs w:val="19"/>
                <w:lang w:eastAsia="en-AU"/>
              </w:rPr>
            </w:pPr>
            <w:r w:rsidRPr="009A600E">
              <w:rPr>
                <w:sz w:val="19"/>
                <w:szCs w:val="19"/>
                <w:lang w:eastAsia="en-AU"/>
              </w:rPr>
              <w:t>Progress as at 2013</w:t>
            </w:r>
            <w:r w:rsidR="009F0F49">
              <w:rPr>
                <w:sz w:val="19"/>
                <w:szCs w:val="19"/>
                <w:lang w:eastAsia="en-AU"/>
              </w:rPr>
              <w:noBreakHyphen/>
            </w:r>
            <w:r w:rsidRPr="009A600E">
              <w:rPr>
                <w:sz w:val="19"/>
                <w:szCs w:val="19"/>
                <w:lang w:eastAsia="en-AU"/>
              </w:rPr>
              <w:t>14</w:t>
            </w:r>
          </w:p>
          <w:p w:rsidR="00B958B1" w:rsidRPr="009A600E" w:rsidRDefault="00B958B1" w:rsidP="009F3B54">
            <w:pPr>
              <w:pStyle w:val="Tabletextheading"/>
              <w:rPr>
                <w:sz w:val="19"/>
                <w:szCs w:val="19"/>
                <w:vertAlign w:val="superscript"/>
                <w:lang w:eastAsia="en-AU"/>
              </w:rPr>
            </w:pPr>
            <w:r w:rsidRPr="009A600E">
              <w:rPr>
                <w:sz w:val="19"/>
                <w:szCs w:val="19"/>
                <w:lang w:eastAsia="en-AU"/>
              </w:rPr>
              <w:t xml:space="preserve">Budget </w:t>
            </w:r>
            <w:r w:rsidRPr="009A600E">
              <w:rPr>
                <w:sz w:val="19"/>
                <w:szCs w:val="19"/>
                <w:vertAlign w:val="superscript"/>
                <w:lang w:eastAsia="en-AU"/>
              </w:rPr>
              <w:t>(d)</w:t>
            </w:r>
          </w:p>
        </w:tc>
      </w:tr>
      <w:tr w:rsidR="00B958B1" w:rsidRPr="009A600E" w:rsidTr="009F3B54">
        <w:tc>
          <w:tcPr>
            <w:tcW w:w="2174" w:type="dxa"/>
            <w:tcBorders>
              <w:top w:val="single" w:sz="4" w:space="0" w:color="auto"/>
              <w:left w:val="nil"/>
              <w:bottom w:val="nil"/>
              <w:right w:val="nil"/>
            </w:tcBorders>
          </w:tcPr>
          <w:p w:rsidR="00B958B1" w:rsidRPr="009A600E" w:rsidRDefault="00B958B1" w:rsidP="009F3B54">
            <w:pPr>
              <w:pStyle w:val="Tabletext"/>
              <w:rPr>
                <w:rFonts w:cs="Calibri"/>
                <w:b/>
                <w:bCs/>
                <w:sz w:val="19"/>
                <w:szCs w:val="19"/>
                <w:lang w:eastAsia="en-AU"/>
              </w:rPr>
            </w:pPr>
            <w:r w:rsidRPr="009A600E">
              <w:rPr>
                <w:rFonts w:cs="Calibri"/>
                <w:b/>
                <w:bCs/>
                <w:sz w:val="19"/>
                <w:szCs w:val="19"/>
                <w:lang w:eastAsia="en-AU"/>
              </w:rPr>
              <w:t>Outputs</w:t>
            </w:r>
          </w:p>
        </w:tc>
        <w:tc>
          <w:tcPr>
            <w:tcW w:w="1422" w:type="dxa"/>
            <w:gridSpan w:val="2"/>
            <w:tcBorders>
              <w:top w:val="single" w:sz="4" w:space="0" w:color="auto"/>
              <w:left w:val="nil"/>
              <w:bottom w:val="nil"/>
              <w:right w:val="nil"/>
            </w:tcBorders>
          </w:tcPr>
          <w:p w:rsidR="00B958B1" w:rsidRPr="009A600E" w:rsidRDefault="00B958B1" w:rsidP="009F3B54">
            <w:pPr>
              <w:pStyle w:val="TableofFigures"/>
              <w:rPr>
                <w:b/>
                <w:bCs/>
                <w:color w:val="000000"/>
                <w:sz w:val="19"/>
                <w:szCs w:val="19"/>
                <w:lang w:eastAsia="en-AU"/>
              </w:rPr>
            </w:pPr>
          </w:p>
        </w:tc>
        <w:tc>
          <w:tcPr>
            <w:tcW w:w="1575" w:type="dxa"/>
            <w:tcBorders>
              <w:top w:val="single" w:sz="4" w:space="0" w:color="auto"/>
              <w:left w:val="single" w:sz="6" w:space="0" w:color="000000"/>
              <w:bottom w:val="nil"/>
              <w:right w:val="nil"/>
            </w:tcBorders>
          </w:tcPr>
          <w:p w:rsidR="00B958B1" w:rsidRPr="009A600E" w:rsidRDefault="00B958B1" w:rsidP="009F3B54">
            <w:pPr>
              <w:pStyle w:val="TableofFigures"/>
              <w:rPr>
                <w:b/>
                <w:bCs/>
                <w:color w:val="000000"/>
                <w:sz w:val="19"/>
                <w:szCs w:val="19"/>
                <w:lang w:eastAsia="en-AU"/>
              </w:rPr>
            </w:pPr>
          </w:p>
        </w:tc>
        <w:tc>
          <w:tcPr>
            <w:tcW w:w="1566" w:type="dxa"/>
            <w:tcBorders>
              <w:top w:val="single" w:sz="4" w:space="0" w:color="auto"/>
              <w:left w:val="nil"/>
              <w:bottom w:val="nil"/>
              <w:right w:val="nil"/>
            </w:tcBorders>
          </w:tcPr>
          <w:p w:rsidR="00B958B1" w:rsidRPr="009A600E" w:rsidRDefault="00B958B1" w:rsidP="009F3B54">
            <w:pPr>
              <w:pStyle w:val="TableofFigures"/>
              <w:rPr>
                <w:b/>
                <w:bCs/>
                <w:color w:val="000000"/>
                <w:sz w:val="19"/>
                <w:szCs w:val="19"/>
                <w:lang w:eastAsia="en-AU"/>
              </w:rPr>
            </w:pPr>
          </w:p>
        </w:tc>
        <w:tc>
          <w:tcPr>
            <w:tcW w:w="1039" w:type="dxa"/>
            <w:tcBorders>
              <w:top w:val="single" w:sz="4" w:space="0" w:color="auto"/>
              <w:left w:val="nil"/>
              <w:bottom w:val="nil"/>
              <w:right w:val="nil"/>
            </w:tcBorders>
          </w:tcPr>
          <w:p w:rsidR="00B958B1" w:rsidRPr="009A600E" w:rsidRDefault="00B958B1" w:rsidP="009F3B54">
            <w:pPr>
              <w:pStyle w:val="TableofFigures"/>
              <w:rPr>
                <w:b/>
                <w:bCs/>
                <w:color w:val="000000"/>
                <w:sz w:val="19"/>
                <w:szCs w:val="19"/>
                <w:lang w:eastAsia="en-AU"/>
              </w:rPr>
            </w:pPr>
          </w:p>
        </w:tc>
      </w:tr>
      <w:tr w:rsidR="00B958B1" w:rsidRPr="009A600E" w:rsidTr="009F3B54">
        <w:tc>
          <w:tcPr>
            <w:tcW w:w="2390" w:type="dxa"/>
            <w:gridSpan w:val="2"/>
            <w:tcBorders>
              <w:top w:val="nil"/>
              <w:left w:val="nil"/>
              <w:bottom w:val="nil"/>
              <w:right w:val="nil"/>
            </w:tcBorders>
            <w:shd w:val="clear" w:color="auto" w:fill="auto"/>
          </w:tcPr>
          <w:p w:rsidR="00B958B1" w:rsidRPr="009A600E" w:rsidRDefault="00B958B1" w:rsidP="009F3B54">
            <w:pPr>
              <w:pStyle w:val="Tabletext"/>
              <w:rPr>
                <w:rFonts w:cs="Calibri"/>
                <w:sz w:val="19"/>
                <w:szCs w:val="19"/>
                <w:vertAlign w:val="superscript"/>
                <w:lang w:eastAsia="en-AU"/>
              </w:rPr>
            </w:pPr>
            <w:r w:rsidRPr="009A600E">
              <w:rPr>
                <w:rFonts w:cs="Calibri"/>
                <w:sz w:val="19"/>
                <w:szCs w:val="19"/>
                <w:lang w:eastAsia="en-AU"/>
              </w:rPr>
              <w:t xml:space="preserve">Output and revenue initiatives </w:t>
            </w:r>
            <w:r w:rsidRPr="009A600E">
              <w:rPr>
                <w:rFonts w:cs="Calibri"/>
                <w:sz w:val="19"/>
                <w:szCs w:val="19"/>
                <w:vertAlign w:val="superscript"/>
                <w:lang w:eastAsia="en-AU"/>
              </w:rPr>
              <w:t>(e)</w:t>
            </w:r>
          </w:p>
        </w:tc>
        <w:tc>
          <w:tcPr>
            <w:tcW w:w="1206" w:type="dxa"/>
            <w:tcBorders>
              <w:top w:val="nil"/>
              <w:left w:val="nil"/>
              <w:bottom w:val="nil"/>
              <w:right w:val="nil"/>
            </w:tcBorders>
            <w:shd w:val="clear" w:color="auto" w:fill="auto"/>
          </w:tcPr>
          <w:p w:rsidR="00B958B1" w:rsidRPr="009A600E" w:rsidRDefault="00B958B1" w:rsidP="009F3B54">
            <w:pPr>
              <w:pStyle w:val="TableofFigures"/>
              <w:rPr>
                <w:color w:val="000000"/>
                <w:sz w:val="19"/>
                <w:szCs w:val="19"/>
                <w:lang w:eastAsia="en-AU"/>
              </w:rPr>
            </w:pPr>
            <w:r w:rsidRPr="009A600E">
              <w:rPr>
                <w:color w:val="000000"/>
                <w:sz w:val="19"/>
                <w:szCs w:val="19"/>
                <w:lang w:eastAsia="en-AU"/>
              </w:rPr>
              <w:t>5 213.1</w:t>
            </w:r>
          </w:p>
        </w:tc>
        <w:tc>
          <w:tcPr>
            <w:tcW w:w="1575" w:type="dxa"/>
            <w:tcBorders>
              <w:top w:val="nil"/>
              <w:left w:val="single" w:sz="6" w:space="0" w:color="000000"/>
              <w:bottom w:val="nil"/>
              <w:right w:val="nil"/>
            </w:tcBorders>
            <w:shd w:val="clear" w:color="auto" w:fill="auto"/>
          </w:tcPr>
          <w:p w:rsidR="00B958B1" w:rsidRPr="009A600E" w:rsidRDefault="00B958B1" w:rsidP="009F3B54">
            <w:pPr>
              <w:pStyle w:val="TableofFigures"/>
              <w:rPr>
                <w:color w:val="000000"/>
                <w:sz w:val="19"/>
                <w:szCs w:val="19"/>
                <w:lang w:eastAsia="en-AU"/>
              </w:rPr>
            </w:pPr>
            <w:r w:rsidRPr="009A600E">
              <w:rPr>
                <w:color w:val="000000"/>
                <w:sz w:val="19"/>
                <w:szCs w:val="19"/>
                <w:lang w:eastAsia="en-AU"/>
              </w:rPr>
              <w:t>5 194.5</w:t>
            </w:r>
          </w:p>
        </w:tc>
        <w:tc>
          <w:tcPr>
            <w:tcW w:w="1566" w:type="dxa"/>
            <w:tcBorders>
              <w:top w:val="nil"/>
              <w:left w:val="nil"/>
              <w:bottom w:val="nil"/>
              <w:right w:val="nil"/>
            </w:tcBorders>
            <w:shd w:val="clear" w:color="auto" w:fill="auto"/>
          </w:tcPr>
          <w:p w:rsidR="00B958B1" w:rsidRPr="009A600E" w:rsidRDefault="00B958B1" w:rsidP="009F3B54">
            <w:pPr>
              <w:pStyle w:val="TableofFigures"/>
              <w:rPr>
                <w:color w:val="000000"/>
                <w:sz w:val="19"/>
                <w:szCs w:val="19"/>
                <w:lang w:eastAsia="en-AU"/>
              </w:rPr>
            </w:pPr>
            <w:r w:rsidRPr="009A600E">
              <w:rPr>
                <w:color w:val="000000"/>
                <w:sz w:val="19"/>
                <w:szCs w:val="19"/>
                <w:lang w:eastAsia="en-AU"/>
              </w:rPr>
              <w:t xml:space="preserve"> 35.7</w:t>
            </w:r>
          </w:p>
        </w:tc>
        <w:tc>
          <w:tcPr>
            <w:tcW w:w="1039" w:type="dxa"/>
            <w:tcBorders>
              <w:top w:val="nil"/>
              <w:left w:val="nil"/>
              <w:bottom w:val="nil"/>
              <w:right w:val="nil"/>
            </w:tcBorders>
            <w:shd w:val="clear" w:color="auto" w:fill="auto"/>
          </w:tcPr>
          <w:p w:rsidR="00B958B1" w:rsidRPr="009A600E" w:rsidRDefault="00B958B1" w:rsidP="009F3B54">
            <w:pPr>
              <w:pStyle w:val="TableofFigures"/>
              <w:rPr>
                <w:color w:val="000000"/>
                <w:sz w:val="19"/>
                <w:szCs w:val="19"/>
                <w:lang w:eastAsia="en-AU"/>
              </w:rPr>
            </w:pPr>
            <w:r w:rsidRPr="009A600E">
              <w:rPr>
                <w:color w:val="000000"/>
                <w:sz w:val="19"/>
                <w:szCs w:val="19"/>
                <w:lang w:eastAsia="en-AU"/>
              </w:rPr>
              <w:t>5 230.2</w:t>
            </w:r>
          </w:p>
        </w:tc>
      </w:tr>
      <w:tr w:rsidR="00B958B1" w:rsidRPr="009A600E" w:rsidTr="009F3B54">
        <w:tc>
          <w:tcPr>
            <w:tcW w:w="2174" w:type="dxa"/>
            <w:tcBorders>
              <w:top w:val="nil"/>
              <w:left w:val="nil"/>
              <w:bottom w:val="nil"/>
              <w:right w:val="nil"/>
            </w:tcBorders>
          </w:tcPr>
          <w:p w:rsidR="00B958B1" w:rsidRPr="009A600E" w:rsidRDefault="00B958B1" w:rsidP="009F3B54">
            <w:pPr>
              <w:pStyle w:val="Tabletext"/>
              <w:rPr>
                <w:rFonts w:cs="Calibri"/>
                <w:b/>
                <w:bCs/>
                <w:sz w:val="19"/>
                <w:szCs w:val="19"/>
                <w:lang w:eastAsia="en-AU"/>
              </w:rPr>
            </w:pPr>
            <w:r w:rsidRPr="009A600E">
              <w:rPr>
                <w:rFonts w:cs="Calibri"/>
                <w:b/>
                <w:bCs/>
                <w:sz w:val="19"/>
                <w:szCs w:val="19"/>
                <w:lang w:eastAsia="en-AU"/>
              </w:rPr>
              <w:t>Assets</w:t>
            </w:r>
          </w:p>
        </w:tc>
        <w:tc>
          <w:tcPr>
            <w:tcW w:w="1422" w:type="dxa"/>
            <w:gridSpan w:val="2"/>
            <w:tcBorders>
              <w:top w:val="nil"/>
              <w:left w:val="nil"/>
              <w:bottom w:val="nil"/>
              <w:right w:val="nil"/>
            </w:tcBorders>
          </w:tcPr>
          <w:p w:rsidR="00B958B1" w:rsidRPr="009A600E" w:rsidRDefault="00B958B1" w:rsidP="009F3B54">
            <w:pPr>
              <w:pStyle w:val="TableofFigures"/>
              <w:rPr>
                <w:b/>
                <w:bCs/>
                <w:color w:val="000000"/>
                <w:sz w:val="19"/>
                <w:szCs w:val="19"/>
                <w:lang w:eastAsia="en-AU"/>
              </w:rPr>
            </w:pPr>
          </w:p>
        </w:tc>
        <w:tc>
          <w:tcPr>
            <w:tcW w:w="1575" w:type="dxa"/>
            <w:tcBorders>
              <w:top w:val="nil"/>
              <w:left w:val="single" w:sz="6" w:space="0" w:color="000000"/>
              <w:bottom w:val="nil"/>
              <w:right w:val="nil"/>
            </w:tcBorders>
          </w:tcPr>
          <w:p w:rsidR="00B958B1" w:rsidRPr="009A600E" w:rsidRDefault="00B958B1" w:rsidP="009F3B54">
            <w:pPr>
              <w:pStyle w:val="TableofFigures"/>
              <w:rPr>
                <w:b/>
                <w:bCs/>
                <w:color w:val="000000"/>
                <w:sz w:val="19"/>
                <w:szCs w:val="19"/>
                <w:lang w:eastAsia="en-AU"/>
              </w:rPr>
            </w:pPr>
          </w:p>
        </w:tc>
        <w:tc>
          <w:tcPr>
            <w:tcW w:w="1566" w:type="dxa"/>
            <w:tcBorders>
              <w:top w:val="nil"/>
              <w:left w:val="nil"/>
              <w:bottom w:val="nil"/>
              <w:right w:val="nil"/>
            </w:tcBorders>
          </w:tcPr>
          <w:p w:rsidR="00B958B1" w:rsidRPr="009A600E" w:rsidRDefault="00B958B1" w:rsidP="009F3B54">
            <w:pPr>
              <w:pStyle w:val="TableofFigures"/>
              <w:rPr>
                <w:b/>
                <w:bCs/>
                <w:color w:val="000000"/>
                <w:sz w:val="19"/>
                <w:szCs w:val="19"/>
                <w:lang w:eastAsia="en-AU"/>
              </w:rPr>
            </w:pPr>
          </w:p>
        </w:tc>
        <w:tc>
          <w:tcPr>
            <w:tcW w:w="1039" w:type="dxa"/>
            <w:tcBorders>
              <w:top w:val="nil"/>
              <w:left w:val="nil"/>
              <w:bottom w:val="nil"/>
              <w:right w:val="nil"/>
            </w:tcBorders>
          </w:tcPr>
          <w:p w:rsidR="00B958B1" w:rsidRPr="009A600E" w:rsidRDefault="00B958B1" w:rsidP="009F3B54">
            <w:pPr>
              <w:pStyle w:val="TableofFigures"/>
              <w:rPr>
                <w:b/>
                <w:bCs/>
                <w:color w:val="000000"/>
                <w:sz w:val="19"/>
                <w:szCs w:val="19"/>
                <w:lang w:eastAsia="en-AU"/>
              </w:rPr>
            </w:pPr>
          </w:p>
        </w:tc>
      </w:tr>
      <w:tr w:rsidR="00B958B1" w:rsidRPr="009A600E" w:rsidTr="009F3B54">
        <w:trPr>
          <w:trHeight w:val="113"/>
        </w:trPr>
        <w:tc>
          <w:tcPr>
            <w:tcW w:w="2174" w:type="dxa"/>
            <w:tcBorders>
              <w:top w:val="nil"/>
              <w:left w:val="nil"/>
              <w:bottom w:val="single" w:sz="12" w:space="0" w:color="000000"/>
              <w:right w:val="nil"/>
            </w:tcBorders>
            <w:shd w:val="clear" w:color="auto" w:fill="auto"/>
          </w:tcPr>
          <w:p w:rsidR="00B958B1" w:rsidRPr="009A600E" w:rsidRDefault="00B958B1" w:rsidP="009F3B54">
            <w:pPr>
              <w:pStyle w:val="Tabletext"/>
              <w:rPr>
                <w:rFonts w:cs="Calibri"/>
                <w:sz w:val="19"/>
                <w:szCs w:val="19"/>
                <w:vertAlign w:val="superscript"/>
                <w:lang w:eastAsia="en-AU"/>
              </w:rPr>
            </w:pPr>
            <w:r w:rsidRPr="009A600E">
              <w:rPr>
                <w:rFonts w:cs="Calibri"/>
                <w:sz w:val="19"/>
                <w:szCs w:val="19"/>
                <w:lang w:eastAsia="en-AU"/>
              </w:rPr>
              <w:t xml:space="preserve">Asset initiatives </w:t>
            </w:r>
            <w:r w:rsidRPr="009A600E">
              <w:rPr>
                <w:rFonts w:cs="Calibri"/>
                <w:sz w:val="19"/>
                <w:szCs w:val="19"/>
                <w:vertAlign w:val="superscript"/>
                <w:lang w:eastAsia="en-AU"/>
              </w:rPr>
              <w:t>(f)</w:t>
            </w:r>
          </w:p>
        </w:tc>
        <w:tc>
          <w:tcPr>
            <w:tcW w:w="1422" w:type="dxa"/>
            <w:gridSpan w:val="2"/>
            <w:tcBorders>
              <w:top w:val="nil"/>
              <w:left w:val="nil"/>
              <w:bottom w:val="single" w:sz="12" w:space="0" w:color="000000"/>
              <w:right w:val="nil"/>
            </w:tcBorders>
            <w:shd w:val="clear" w:color="auto" w:fill="auto"/>
          </w:tcPr>
          <w:p w:rsidR="00B958B1" w:rsidRPr="009A600E" w:rsidRDefault="00B958B1" w:rsidP="009F3B54">
            <w:pPr>
              <w:pStyle w:val="TableofFigures"/>
              <w:rPr>
                <w:color w:val="000000"/>
                <w:sz w:val="19"/>
                <w:szCs w:val="19"/>
                <w:lang w:eastAsia="en-AU"/>
              </w:rPr>
            </w:pPr>
            <w:r w:rsidRPr="009A600E">
              <w:rPr>
                <w:color w:val="000000"/>
                <w:sz w:val="19"/>
                <w:szCs w:val="19"/>
                <w:lang w:eastAsia="en-AU"/>
              </w:rPr>
              <w:t>2 403.6</w:t>
            </w:r>
          </w:p>
        </w:tc>
        <w:tc>
          <w:tcPr>
            <w:tcW w:w="1575" w:type="dxa"/>
            <w:tcBorders>
              <w:top w:val="nil"/>
              <w:left w:val="single" w:sz="6" w:space="0" w:color="000000"/>
              <w:bottom w:val="single" w:sz="12" w:space="0" w:color="000000"/>
              <w:right w:val="nil"/>
            </w:tcBorders>
            <w:shd w:val="clear" w:color="auto" w:fill="auto"/>
          </w:tcPr>
          <w:p w:rsidR="00B958B1" w:rsidRPr="009A600E" w:rsidRDefault="00B958B1" w:rsidP="009F3B54">
            <w:pPr>
              <w:pStyle w:val="TableofFigures"/>
              <w:rPr>
                <w:color w:val="000000"/>
                <w:sz w:val="19"/>
                <w:szCs w:val="19"/>
                <w:lang w:eastAsia="en-AU"/>
              </w:rPr>
            </w:pPr>
            <w:r w:rsidRPr="009A600E">
              <w:rPr>
                <w:color w:val="000000"/>
                <w:sz w:val="19"/>
                <w:szCs w:val="19"/>
                <w:lang w:eastAsia="en-AU"/>
              </w:rPr>
              <w:t>2 529.8</w:t>
            </w:r>
          </w:p>
        </w:tc>
        <w:tc>
          <w:tcPr>
            <w:tcW w:w="1566" w:type="dxa"/>
            <w:tcBorders>
              <w:top w:val="nil"/>
              <w:left w:val="nil"/>
              <w:bottom w:val="single" w:sz="12" w:space="0" w:color="000000"/>
              <w:right w:val="nil"/>
            </w:tcBorders>
            <w:shd w:val="clear" w:color="auto" w:fill="auto"/>
          </w:tcPr>
          <w:p w:rsidR="00B958B1" w:rsidRPr="009A600E" w:rsidRDefault="00B958B1" w:rsidP="009F3B54">
            <w:pPr>
              <w:pStyle w:val="TableofFigures"/>
              <w:rPr>
                <w:color w:val="000000"/>
                <w:sz w:val="19"/>
                <w:szCs w:val="19"/>
                <w:lang w:eastAsia="en-AU"/>
              </w:rPr>
            </w:pPr>
            <w:r w:rsidRPr="009A600E">
              <w:rPr>
                <w:color w:val="000000"/>
                <w:sz w:val="19"/>
                <w:szCs w:val="19"/>
                <w:lang w:eastAsia="en-AU"/>
              </w:rPr>
              <w:t xml:space="preserve"> 728.8</w:t>
            </w:r>
          </w:p>
        </w:tc>
        <w:tc>
          <w:tcPr>
            <w:tcW w:w="1039" w:type="dxa"/>
            <w:tcBorders>
              <w:top w:val="nil"/>
              <w:left w:val="nil"/>
              <w:bottom w:val="single" w:sz="12" w:space="0" w:color="000000"/>
              <w:right w:val="nil"/>
            </w:tcBorders>
            <w:shd w:val="clear" w:color="auto" w:fill="auto"/>
          </w:tcPr>
          <w:p w:rsidR="00B958B1" w:rsidRPr="009A600E" w:rsidRDefault="00B958B1" w:rsidP="009F3B54">
            <w:pPr>
              <w:pStyle w:val="TableofFigures"/>
              <w:rPr>
                <w:color w:val="000000"/>
                <w:sz w:val="19"/>
                <w:szCs w:val="19"/>
                <w:lang w:eastAsia="en-AU"/>
              </w:rPr>
            </w:pPr>
            <w:r w:rsidRPr="009A600E">
              <w:rPr>
                <w:color w:val="000000"/>
                <w:sz w:val="19"/>
                <w:szCs w:val="19"/>
                <w:lang w:eastAsia="en-AU"/>
              </w:rPr>
              <w:t>3 258.6</w:t>
            </w:r>
          </w:p>
        </w:tc>
      </w:tr>
    </w:tbl>
    <w:p w:rsidR="00B958B1" w:rsidRDefault="00B958B1" w:rsidP="009F3B54">
      <w:pPr>
        <w:pStyle w:val="Source"/>
      </w:pPr>
      <w:r>
        <w:t>Source: Department of Treasury and Finance</w:t>
      </w:r>
    </w:p>
    <w:p w:rsidR="00B958B1" w:rsidRPr="00D00816" w:rsidRDefault="00B958B1" w:rsidP="009F3B54">
      <w:pPr>
        <w:pStyle w:val="Notes"/>
      </w:pPr>
      <w:r w:rsidRPr="00D00816">
        <w:t xml:space="preserve">Notes: </w:t>
      </w:r>
    </w:p>
    <w:p w:rsidR="00B958B1" w:rsidRPr="007E3992" w:rsidRDefault="00B958B1" w:rsidP="009F3B54">
      <w:pPr>
        <w:pStyle w:val="Notes"/>
      </w:pPr>
      <w:r>
        <w:t>(a)</w:t>
      </w:r>
      <w:r>
        <w:tab/>
      </w:r>
      <w:r w:rsidRPr="007E3992">
        <w:t>Government Election Commitments refers to the Liberal Nationals Coalition 2010 Election Commitments document.</w:t>
      </w:r>
    </w:p>
    <w:p w:rsidR="00B958B1" w:rsidRPr="007E3992" w:rsidRDefault="00B958B1" w:rsidP="009F3B54">
      <w:pPr>
        <w:pStyle w:val="Notes"/>
      </w:pPr>
      <w:r>
        <w:t>(b)</w:t>
      </w:r>
      <w:r>
        <w:tab/>
      </w:r>
      <w:r w:rsidRPr="007E3992">
        <w:t>Total includes estimated funding for asset election commitments announced up to an</w:t>
      </w:r>
      <w:r>
        <w:t>d</w:t>
      </w:r>
      <w:r w:rsidRPr="007E3992">
        <w:t xml:space="preserve"> including the </w:t>
      </w:r>
      <w:r w:rsidRPr="004E41EB">
        <w:rPr>
          <w:i w:val="0"/>
        </w:rPr>
        <w:t>2012</w:t>
      </w:r>
      <w:r w:rsidR="009F0F49">
        <w:rPr>
          <w:i w:val="0"/>
        </w:rPr>
        <w:noBreakHyphen/>
      </w:r>
      <w:r w:rsidRPr="004E41EB">
        <w:rPr>
          <w:i w:val="0"/>
        </w:rPr>
        <w:t>13</w:t>
      </w:r>
      <w:r>
        <w:rPr>
          <w:i w:val="0"/>
        </w:rPr>
        <w:t> </w:t>
      </w:r>
      <w:r w:rsidRPr="004E41EB">
        <w:rPr>
          <w:i w:val="0"/>
        </w:rPr>
        <w:t>Budget Update</w:t>
      </w:r>
      <w:r w:rsidRPr="007E3992">
        <w:t>. The funding estimates for some initiatives may be updated on completion of the tendering process.</w:t>
      </w:r>
    </w:p>
    <w:p w:rsidR="00B958B1" w:rsidRDefault="00B958B1" w:rsidP="009F3B54">
      <w:pPr>
        <w:pStyle w:val="Notes"/>
      </w:pPr>
      <w:r>
        <w:t>(c)</w:t>
      </w:r>
      <w:r>
        <w:tab/>
      </w:r>
      <w:r w:rsidRPr="008F2216">
        <w:t>Asset initiatives total excludes funding commitment for Southland Station and Box Hill to Ringwood Bikeway. The TEI for each of these projects ha</w:t>
      </w:r>
      <w:r>
        <w:t>ve</w:t>
      </w:r>
      <w:r w:rsidRPr="008F2216">
        <w:t xml:space="preserve"> not been announced at this time</w:t>
      </w:r>
      <w:r>
        <w:t>.</w:t>
      </w:r>
    </w:p>
    <w:p w:rsidR="00B958B1" w:rsidRPr="007E3992" w:rsidRDefault="00B958B1" w:rsidP="009F3B54">
      <w:pPr>
        <w:pStyle w:val="Notes"/>
      </w:pPr>
      <w:r>
        <w:t>(d)</w:t>
      </w:r>
      <w:r>
        <w:tab/>
      </w:r>
      <w:r w:rsidRPr="007E3992">
        <w:t>Total includes adjustments to funding as a result of changes to policy parameters, such as bringing forward the timing of election commitments and delivery of services beyond the scope of the Government Election Commitments.</w:t>
      </w:r>
    </w:p>
    <w:p w:rsidR="00B958B1" w:rsidRPr="007E3992" w:rsidRDefault="00B958B1" w:rsidP="009F3B54">
      <w:pPr>
        <w:pStyle w:val="Notes"/>
      </w:pPr>
      <w:r>
        <w:t>(e)</w:t>
      </w:r>
      <w:r>
        <w:tab/>
      </w:r>
      <w:r w:rsidRPr="007E3992">
        <w:t>Includes revenue and savings initiatives.</w:t>
      </w:r>
    </w:p>
    <w:p w:rsidR="00B958B1" w:rsidRPr="007E3992" w:rsidRDefault="00B958B1" w:rsidP="009F3B54">
      <w:pPr>
        <w:pStyle w:val="Notes"/>
      </w:pPr>
      <w:r>
        <w:t>(f)</w:t>
      </w:r>
      <w:r>
        <w:tab/>
      </w:r>
      <w:r w:rsidRPr="007E3992">
        <w:t>Includes relevant savings as specified within the Government Election Commitments.</w:t>
      </w:r>
    </w:p>
    <w:p w:rsidR="00B958B1" w:rsidRDefault="00B958B1" w:rsidP="009F3B54">
      <w:pPr>
        <w:pStyle w:val="Notes"/>
      </w:pPr>
    </w:p>
    <w:bookmarkEnd w:id="88"/>
    <w:p w:rsidR="00B958B1" w:rsidRDefault="00B958B1">
      <w:pPr>
        <w:spacing w:after="0"/>
      </w:pPr>
      <w:r>
        <w:br w:type="page"/>
      </w:r>
    </w:p>
    <w:p w:rsidR="00B958B1" w:rsidRDefault="00B958B1" w:rsidP="009F3B54"/>
    <w:p w:rsidR="00B958B1" w:rsidRDefault="00B958B1" w:rsidP="00497606"/>
    <w:p w:rsidR="00B958B1" w:rsidRDefault="00B958B1" w:rsidP="00C45CC5">
      <w:pPr>
        <w:sectPr w:rsidR="00B958B1" w:rsidSect="00737C77">
          <w:footerReference w:type="even" r:id="rId15"/>
          <w:footerReference w:type="default" r:id="rId16"/>
          <w:type w:val="oddPage"/>
          <w:pgSz w:w="9979" w:h="14181" w:code="34"/>
          <w:pgMar w:top="1138" w:right="1138" w:bottom="1138" w:left="1138" w:header="720" w:footer="720" w:gutter="0"/>
          <w:pgNumType w:start="1"/>
          <w:cols w:space="708"/>
          <w:docGrid w:linePitch="360"/>
        </w:sectPr>
      </w:pPr>
    </w:p>
    <w:p w:rsidR="00B958B1" w:rsidRDefault="00B958B1" w:rsidP="009F3B54">
      <w:pPr>
        <w:pStyle w:val="ChapterHeading"/>
      </w:pPr>
      <w:bookmarkStart w:id="89" w:name="_Toc355362279"/>
      <w:r>
        <w:t>Chapter 2 – Departmental peformance statements</w:t>
      </w:r>
      <w:bookmarkEnd w:id="89"/>
    </w:p>
    <w:p w:rsidR="00B958B1" w:rsidRDefault="00B958B1" w:rsidP="009F3B54">
      <w:r>
        <w:t>This chapter presents departmental performance statements that describe the objectives departments seek to achieve over the medium</w:t>
      </w:r>
      <w:r w:rsidR="009F0F49">
        <w:noBreakHyphen/>
      </w:r>
      <w:r>
        <w:t>term, the goods and services (outputs) departments are being funded to deliver these objectives, and associated performance indicators and targets.</w:t>
      </w:r>
    </w:p>
    <w:p w:rsidR="00B958B1" w:rsidRDefault="00B958B1" w:rsidP="009F3B54">
      <w:r>
        <w:t xml:space="preserve">Chapter 1 of </w:t>
      </w:r>
      <w:r w:rsidRPr="00EC6ECC">
        <w:rPr>
          <w:i/>
        </w:rPr>
        <w:t>Budget Paper No. 3</w:t>
      </w:r>
      <w:r>
        <w:t xml:space="preserve"> describes the new initiatives that will be funded in 2013</w:t>
      </w:r>
      <w:r w:rsidR="009F0F49">
        <w:noBreakHyphen/>
      </w:r>
      <w:r>
        <w:t>14 and makes links with the base funding departments receive for ongoing programs. The departmental performance statements published in this chapter describe the services delivered by Government and, where relevant, have been updated to reflect the new initiatives in Chapter 1.</w:t>
      </w:r>
    </w:p>
    <w:p w:rsidR="00B958B1" w:rsidRDefault="00B958B1" w:rsidP="009F3B54">
      <w:r>
        <w:t>The restructuring of the public service, effective 1 July 2013, continues the Government’s reform agenda and is designed to strengthen the focus on jobs and investment and increase the effectiveness and efficiency of service delivery. The performance statements included in this chapter have been updated for these changes. Further information describing the impact on performance statements is detailed below.</w:t>
      </w:r>
    </w:p>
    <w:p w:rsidR="00B958B1" w:rsidRDefault="00B958B1" w:rsidP="009F3B54">
      <w:r>
        <w:t>Performance measures for each output are divided into Quality, Quantity, Timeliness and Cost categories. The performance measures help collectively describe the services being delivered and how they are measured. The 2013</w:t>
      </w:r>
      <w:r w:rsidR="009F0F49">
        <w:noBreakHyphen/>
      </w:r>
      <w:r>
        <w:t>14 Target articulates what the Government seeks or expects to achieve in the coming year. Each measure also provides historical data, such as the 2012</w:t>
      </w:r>
      <w:r w:rsidR="009F0F49">
        <w:noBreakHyphen/>
      </w:r>
      <w:r>
        <w:t>13 Target and the 2012</w:t>
      </w:r>
      <w:r w:rsidR="009F0F49">
        <w:noBreakHyphen/>
      </w:r>
      <w:r>
        <w:t>13 Expected Outcome. This allows assessment of a department’s performance over the previous year against the target for that period.</w:t>
      </w:r>
    </w:p>
    <w:p w:rsidR="00B958B1" w:rsidRDefault="00B958B1" w:rsidP="00DA6569">
      <w:pPr>
        <w:pStyle w:val="Heading2"/>
      </w:pPr>
      <w:r w:rsidRPr="005E7A12">
        <w:t>Reforms to performance reporting</w:t>
      </w:r>
    </w:p>
    <w:p w:rsidR="00B958B1" w:rsidRDefault="00B958B1" w:rsidP="009F3B54">
      <w:r>
        <w:t xml:space="preserve">The Government is continuing to reform departmental performance statements, building on reforms in previous years to improve the accountability and transparency of performance reporting including enhancing the role of the Public Accounts and Estimates Committee to review all proposed discontinued performance measures and the provision of budget papers and historical performance measures online in readily usable formats. </w:t>
      </w:r>
    </w:p>
    <w:p w:rsidR="00B958B1" w:rsidRDefault="00B958B1" w:rsidP="009F3B54">
      <w:r>
        <w:t>In 2013</w:t>
      </w:r>
      <w:r w:rsidR="009F0F49">
        <w:noBreakHyphen/>
      </w:r>
      <w:r>
        <w:t>14, the Government has introduced the use of objective indicators to indicate progress in the achievement of objectives.</w:t>
      </w:r>
    </w:p>
    <w:p w:rsidR="00B958B1" w:rsidRDefault="00B958B1" w:rsidP="009F3B54">
      <w:r>
        <w:br w:type="page"/>
        <w:t>While there are inevitable limitations in using a small number of metrics to assess a department’s progress in achieving its objectives, the use of objective indicators will support the measurement and management of departmental performance over the medium</w:t>
      </w:r>
      <w:r w:rsidR="009F0F49">
        <w:noBreakHyphen/>
      </w:r>
      <w:r>
        <w:t>term. Progress figures will be published in each department’s annual report in the 2012</w:t>
      </w:r>
      <w:r w:rsidR="009F0F49">
        <w:noBreakHyphen/>
      </w:r>
      <w:r>
        <w:t>13 period and future periods.</w:t>
      </w:r>
    </w:p>
    <w:p w:rsidR="00B958B1" w:rsidRDefault="00B958B1" w:rsidP="00DA6569">
      <w:pPr>
        <w:pStyle w:val="Heading2"/>
      </w:pPr>
      <w:r w:rsidRPr="001D3518">
        <w:t xml:space="preserve">Output movements as a result of </w:t>
      </w:r>
      <w:r>
        <w:t>m</w:t>
      </w:r>
      <w:r w:rsidRPr="001D3518">
        <w:t xml:space="preserve">achinery of </w:t>
      </w:r>
      <w:r>
        <w:t>g</w:t>
      </w:r>
      <w:r w:rsidRPr="001D3518">
        <w:t>overnment changes</w:t>
      </w:r>
    </w:p>
    <w:p w:rsidR="00B958B1" w:rsidRPr="001D3518" w:rsidRDefault="00B958B1" w:rsidP="009F3B54">
      <w:r w:rsidRPr="001D3518">
        <w:t xml:space="preserve">Machinery of </w:t>
      </w:r>
      <w:r>
        <w:t>g</w:t>
      </w:r>
      <w:r w:rsidRPr="001D3518">
        <w:t xml:space="preserve">overnment changes take effect on 1 July 2013. The departmental performance statements published in this chapter are organised according to the new structure of the Victorian Public Service. </w:t>
      </w:r>
    </w:p>
    <w:p w:rsidR="00B958B1" w:rsidRDefault="00B958B1" w:rsidP="009F3B54">
      <w:r w:rsidRPr="001D3518">
        <w:t xml:space="preserve">From 1 July 2013 all outputs that are currently delivered by the Department of Sustainability and Environment will be delivered by the Department of Environment and Primary Industries, with the exception of one output which will be delivered by the Department of Transport, Planning and Local Infrastructure. </w:t>
      </w:r>
    </w:p>
    <w:p w:rsidR="00B958B1" w:rsidRDefault="00B958B1" w:rsidP="009F3B54">
      <w:r w:rsidRPr="001D3518">
        <w:t xml:space="preserve">Similarly, all outputs currently delivered by the Department of Business and Innovation will be </w:t>
      </w:r>
      <w:r>
        <w:t>delivered</w:t>
      </w:r>
      <w:r w:rsidRPr="001D3518">
        <w:t xml:space="preserve"> by the Department of State Development, Business and Innovation, with the exception of one output which will be partially delivered by the Department of Treasury and Finance. </w:t>
      </w:r>
    </w:p>
    <w:p w:rsidR="00B958B1" w:rsidRDefault="00B958B1" w:rsidP="009F3B54">
      <w:r w:rsidRPr="001D3518">
        <w:t>In addition, all outputs currently delivered by the Department of Transport will be delivered by the Department of Transport, Planning and Local Infrastructure.</w:t>
      </w:r>
      <w:r>
        <w:t xml:space="preserve"> Outputs currently delivered by the Department of Primary Industries will be delivered by the Department of Environment and Primary Industries and the Department of State Development, Business and Innovation. </w:t>
      </w:r>
    </w:p>
    <w:p w:rsidR="00B958B1" w:rsidRPr="001D3518" w:rsidRDefault="00B958B1" w:rsidP="009F3B54">
      <w:r>
        <w:t>Outputs currently delivered by the Department of Planning and Community Development will be delivered by the Department of Premier and Cabinet, the Department of State Development and Business Innovation , the Department of Transport, Planning and Local Infrastructure and the Department of Human Services.</w:t>
      </w:r>
    </w:p>
    <w:p w:rsidR="00B958B1" w:rsidRPr="001D3518" w:rsidRDefault="00B958B1" w:rsidP="009F3B54">
      <w:r w:rsidRPr="001D3518">
        <w:t xml:space="preserve">Footnotes for outputs and performance measures that have moved as a result of the </w:t>
      </w:r>
      <w:r>
        <w:t>m</w:t>
      </w:r>
      <w:r w:rsidRPr="001D3518">
        <w:t xml:space="preserve">achinery of </w:t>
      </w:r>
      <w:r>
        <w:t>g</w:t>
      </w:r>
      <w:r w:rsidRPr="001D3518">
        <w:t xml:space="preserve">overnment changes indicate which department was previously responsible for delivering the service described. </w:t>
      </w:r>
    </w:p>
    <w:p w:rsidR="00B958B1" w:rsidRPr="001D3518" w:rsidRDefault="00B958B1" w:rsidP="009F3B54">
      <w:r>
        <w:t>The table below</w:t>
      </w:r>
      <w:r w:rsidRPr="001D3518">
        <w:t xml:space="preserve"> provides an overview of the movement of outputs between departments. </w:t>
      </w:r>
    </w:p>
    <w:p w:rsidR="00B958B1" w:rsidRDefault="00B958B1" w:rsidP="009F3B54">
      <w:pPr>
        <w:pStyle w:val="Tableheading"/>
        <w:rPr>
          <w:rFonts w:eastAsia="Calibri"/>
        </w:rPr>
      </w:pPr>
      <w:r w:rsidRPr="001D3518">
        <w:rPr>
          <w:rFonts w:eastAsia="Calibri"/>
        </w:rPr>
        <w:t xml:space="preserve">Movement of outputs as a result of </w:t>
      </w:r>
      <w:r>
        <w:rPr>
          <w:rFonts w:eastAsia="Calibri"/>
        </w:rPr>
        <w:t>m</w:t>
      </w:r>
      <w:r w:rsidRPr="001D3518">
        <w:rPr>
          <w:rFonts w:eastAsia="Calibri"/>
        </w:rPr>
        <w:t xml:space="preserve">achinery of </w:t>
      </w:r>
      <w:r>
        <w:rPr>
          <w:rFonts w:eastAsia="Calibri"/>
        </w:rPr>
        <w:t>g</w:t>
      </w:r>
      <w:r w:rsidRPr="001D3518">
        <w:rPr>
          <w:rFonts w:eastAsia="Calibri"/>
        </w:rPr>
        <w:t>overnment changes</w:t>
      </w:r>
    </w:p>
    <w:tbl>
      <w:tblPr>
        <w:tblW w:w="7776" w:type="dxa"/>
        <w:tblInd w:w="29" w:type="dxa"/>
        <w:tblLayout w:type="fixed"/>
        <w:tblCellMar>
          <w:left w:w="43" w:type="dxa"/>
          <w:right w:w="43" w:type="dxa"/>
        </w:tblCellMar>
        <w:tblLook w:val="04A0" w:firstRow="1" w:lastRow="0" w:firstColumn="1" w:lastColumn="0" w:noHBand="0" w:noVBand="1"/>
      </w:tblPr>
      <w:tblGrid>
        <w:gridCol w:w="2264"/>
        <w:gridCol w:w="2515"/>
        <w:gridCol w:w="106"/>
        <w:gridCol w:w="79"/>
        <w:gridCol w:w="2812"/>
      </w:tblGrid>
      <w:tr w:rsidR="00B958B1" w:rsidRPr="00EC6ECC" w:rsidTr="009F3B54">
        <w:trPr>
          <w:cantSplit/>
          <w:tblHeader/>
        </w:trPr>
        <w:tc>
          <w:tcPr>
            <w:tcW w:w="2264" w:type="dxa"/>
            <w:tcBorders>
              <w:top w:val="single" w:sz="12" w:space="0" w:color="auto"/>
              <w:left w:val="single" w:sz="12" w:space="0" w:color="auto"/>
            </w:tcBorders>
            <w:shd w:val="clear" w:color="auto" w:fill="000000"/>
          </w:tcPr>
          <w:p w:rsidR="00B958B1" w:rsidRPr="00EC6ECC" w:rsidRDefault="00B958B1" w:rsidP="009F3B54">
            <w:pPr>
              <w:pStyle w:val="Tabletextheadingleft"/>
            </w:pPr>
            <w:r>
              <w:t>Outputs</w:t>
            </w:r>
          </w:p>
        </w:tc>
        <w:tc>
          <w:tcPr>
            <w:tcW w:w="2700" w:type="dxa"/>
            <w:gridSpan w:val="3"/>
            <w:tcBorders>
              <w:top w:val="single" w:sz="12" w:space="0" w:color="auto"/>
            </w:tcBorders>
            <w:shd w:val="clear" w:color="auto" w:fill="000000"/>
          </w:tcPr>
          <w:p w:rsidR="00B958B1" w:rsidRPr="00EC6ECC" w:rsidRDefault="00B958B1" w:rsidP="009F3B54">
            <w:pPr>
              <w:pStyle w:val="Tabletextheadingleft"/>
            </w:pPr>
            <w:r>
              <w:t>Old Department</w:t>
            </w:r>
          </w:p>
        </w:tc>
        <w:tc>
          <w:tcPr>
            <w:tcW w:w="2812" w:type="dxa"/>
            <w:tcBorders>
              <w:top w:val="single" w:sz="12" w:space="0" w:color="auto"/>
              <w:right w:val="single" w:sz="12" w:space="0" w:color="auto"/>
            </w:tcBorders>
            <w:shd w:val="clear" w:color="auto" w:fill="000000"/>
          </w:tcPr>
          <w:p w:rsidR="00B958B1" w:rsidRPr="00EC6ECC" w:rsidRDefault="00B958B1" w:rsidP="009F3B54">
            <w:pPr>
              <w:pStyle w:val="Tabletextheadingleft"/>
            </w:pPr>
            <w:r>
              <w:t>New Department</w:t>
            </w:r>
          </w:p>
        </w:tc>
      </w:tr>
      <w:tr w:rsidR="00B958B1" w:rsidRPr="00A93A6A" w:rsidTr="009F3B54">
        <w:trPr>
          <w:cantSplit/>
        </w:trPr>
        <w:tc>
          <w:tcPr>
            <w:tcW w:w="4779" w:type="dxa"/>
            <w:gridSpan w:val="2"/>
            <w:shd w:val="clear" w:color="auto" w:fill="auto"/>
          </w:tcPr>
          <w:p w:rsidR="00B958B1" w:rsidRPr="00F5222D" w:rsidRDefault="00B958B1" w:rsidP="009F3B54">
            <w:pPr>
              <w:pStyle w:val="Tabletext"/>
              <w:ind w:left="0" w:firstLine="0"/>
              <w:rPr>
                <w:b/>
              </w:rPr>
            </w:pPr>
            <w:r w:rsidRPr="00F5222D">
              <w:rPr>
                <w:b/>
              </w:rPr>
              <w:t>Entire outputs moved between departments</w:t>
            </w:r>
          </w:p>
        </w:tc>
        <w:tc>
          <w:tcPr>
            <w:tcW w:w="106" w:type="dxa"/>
            <w:shd w:val="clear" w:color="auto" w:fill="auto"/>
          </w:tcPr>
          <w:p w:rsidR="00B958B1" w:rsidRPr="00A93A6A" w:rsidRDefault="00B958B1" w:rsidP="009F3B54">
            <w:pPr>
              <w:pStyle w:val="Tabletextheading"/>
            </w:pPr>
          </w:p>
        </w:tc>
        <w:tc>
          <w:tcPr>
            <w:tcW w:w="2891" w:type="dxa"/>
            <w:gridSpan w:val="2"/>
            <w:shd w:val="clear" w:color="auto" w:fill="auto"/>
          </w:tcPr>
          <w:p w:rsidR="00B958B1" w:rsidRPr="00A93A6A" w:rsidRDefault="00B958B1" w:rsidP="009F3B54">
            <w:pPr>
              <w:pStyle w:val="Tabletextheading"/>
            </w:pPr>
          </w:p>
        </w:tc>
      </w:tr>
      <w:tr w:rsidR="00B958B1" w:rsidRPr="00A93A6A" w:rsidTr="009F3B54">
        <w:trPr>
          <w:cantSplit/>
        </w:trPr>
        <w:tc>
          <w:tcPr>
            <w:tcW w:w="2264" w:type="dxa"/>
            <w:tcBorders>
              <w:bottom w:val="single" w:sz="6" w:space="0" w:color="auto"/>
            </w:tcBorders>
            <w:shd w:val="clear" w:color="auto" w:fill="auto"/>
          </w:tcPr>
          <w:p w:rsidR="00B958B1" w:rsidRPr="00F5222D" w:rsidRDefault="00B958B1" w:rsidP="009F3B54">
            <w:pPr>
              <w:pStyle w:val="Tabletext"/>
              <w:ind w:left="0" w:firstLine="0"/>
            </w:pPr>
            <w:r w:rsidRPr="00F5222D">
              <w:t>Veterans</w:t>
            </w:r>
            <w:r>
              <w:t>’</w:t>
            </w:r>
            <w:r w:rsidRPr="00F5222D">
              <w:t xml:space="preserve"> Affairs</w:t>
            </w:r>
          </w:p>
        </w:tc>
        <w:tc>
          <w:tcPr>
            <w:tcW w:w="2700" w:type="dxa"/>
            <w:gridSpan w:val="3"/>
            <w:tcBorders>
              <w:bottom w:val="single" w:sz="6" w:space="0" w:color="auto"/>
            </w:tcBorders>
            <w:shd w:val="clear" w:color="auto" w:fill="auto"/>
          </w:tcPr>
          <w:p w:rsidR="00B958B1" w:rsidRPr="00F5222D" w:rsidRDefault="00B958B1" w:rsidP="009F3B54">
            <w:pPr>
              <w:pStyle w:val="Tabletext"/>
              <w:ind w:left="0" w:firstLine="0"/>
            </w:pPr>
            <w:r w:rsidRPr="00F5222D">
              <w:t>Department of Planning and Community Development</w:t>
            </w:r>
          </w:p>
        </w:tc>
        <w:tc>
          <w:tcPr>
            <w:tcW w:w="2812" w:type="dxa"/>
            <w:tcBorders>
              <w:bottom w:val="single" w:sz="6" w:space="0" w:color="auto"/>
            </w:tcBorders>
            <w:shd w:val="clear" w:color="auto" w:fill="auto"/>
          </w:tcPr>
          <w:p w:rsidR="00B958B1" w:rsidRPr="00F5222D" w:rsidRDefault="00B958B1" w:rsidP="009F3B54">
            <w:pPr>
              <w:pStyle w:val="Tabletext"/>
              <w:ind w:left="0" w:firstLine="0"/>
            </w:pPr>
            <w:r w:rsidRPr="00F5222D">
              <w:t>Department of Premier and Cabinet</w:t>
            </w:r>
          </w:p>
        </w:tc>
      </w:tr>
      <w:tr w:rsidR="00B958B1" w:rsidRPr="00A93A6A" w:rsidTr="009F3B54">
        <w:trPr>
          <w:cantSplit/>
        </w:trPr>
        <w:tc>
          <w:tcPr>
            <w:tcW w:w="2264" w:type="dxa"/>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 xml:space="preserve">Aboriginal </w:t>
            </w:r>
            <w:r>
              <w:t>Affairs</w:t>
            </w:r>
            <w:r w:rsidRPr="00F5222D">
              <w:t xml:space="preserve"> </w:t>
            </w:r>
          </w:p>
        </w:tc>
        <w:tc>
          <w:tcPr>
            <w:tcW w:w="2700" w:type="dxa"/>
            <w:gridSpan w:val="3"/>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Department of Planning and Community Development</w:t>
            </w:r>
          </w:p>
        </w:tc>
        <w:tc>
          <w:tcPr>
            <w:tcW w:w="2812" w:type="dxa"/>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Department of Premier and Cabinet</w:t>
            </w:r>
          </w:p>
        </w:tc>
      </w:tr>
      <w:tr w:rsidR="00B958B1" w:rsidRPr="00A93A6A" w:rsidTr="009F3B54">
        <w:trPr>
          <w:cantSplit/>
        </w:trPr>
        <w:tc>
          <w:tcPr>
            <w:tcW w:w="2264" w:type="dxa"/>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Regional Development and Regional Cities</w:t>
            </w:r>
          </w:p>
        </w:tc>
        <w:tc>
          <w:tcPr>
            <w:tcW w:w="2700" w:type="dxa"/>
            <w:gridSpan w:val="3"/>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Department of Planning and Community Development</w:t>
            </w:r>
          </w:p>
        </w:tc>
        <w:tc>
          <w:tcPr>
            <w:tcW w:w="2812" w:type="dxa"/>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Department of State Development and Business Innovation</w:t>
            </w:r>
          </w:p>
        </w:tc>
      </w:tr>
      <w:tr w:rsidR="00B958B1" w:rsidRPr="00A93A6A" w:rsidTr="009F3B54">
        <w:trPr>
          <w:cantSplit/>
        </w:trPr>
        <w:tc>
          <w:tcPr>
            <w:tcW w:w="2264" w:type="dxa"/>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Planning, Building and Heritage</w:t>
            </w:r>
          </w:p>
        </w:tc>
        <w:tc>
          <w:tcPr>
            <w:tcW w:w="2700" w:type="dxa"/>
            <w:gridSpan w:val="3"/>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Department of Planning and Community Development</w:t>
            </w:r>
          </w:p>
        </w:tc>
        <w:tc>
          <w:tcPr>
            <w:tcW w:w="2812" w:type="dxa"/>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Department of Transport, Planning and Local Infrastructure</w:t>
            </w:r>
          </w:p>
        </w:tc>
      </w:tr>
      <w:tr w:rsidR="00B958B1" w:rsidRPr="00A93A6A" w:rsidTr="009F3B54">
        <w:trPr>
          <w:cantSplit/>
        </w:trPr>
        <w:tc>
          <w:tcPr>
            <w:tcW w:w="2264" w:type="dxa"/>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Local Government</w:t>
            </w:r>
          </w:p>
        </w:tc>
        <w:tc>
          <w:tcPr>
            <w:tcW w:w="2700" w:type="dxa"/>
            <w:gridSpan w:val="3"/>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Department of Planning and Community Development</w:t>
            </w:r>
          </w:p>
        </w:tc>
        <w:tc>
          <w:tcPr>
            <w:tcW w:w="2812" w:type="dxa"/>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Department of Transport, Planning and Local Infrastructure</w:t>
            </w:r>
          </w:p>
        </w:tc>
      </w:tr>
      <w:tr w:rsidR="00B958B1" w:rsidRPr="00A93A6A" w:rsidTr="009F3B54">
        <w:trPr>
          <w:cantSplit/>
        </w:trPr>
        <w:tc>
          <w:tcPr>
            <w:tcW w:w="2264" w:type="dxa"/>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Sport and Recreation</w:t>
            </w:r>
          </w:p>
        </w:tc>
        <w:tc>
          <w:tcPr>
            <w:tcW w:w="2700" w:type="dxa"/>
            <w:gridSpan w:val="3"/>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Department of Planning and Community Development</w:t>
            </w:r>
          </w:p>
        </w:tc>
        <w:tc>
          <w:tcPr>
            <w:tcW w:w="2812" w:type="dxa"/>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Department of Transport, Planning and Local Infrastructure</w:t>
            </w:r>
          </w:p>
        </w:tc>
      </w:tr>
      <w:tr w:rsidR="00B958B1" w:rsidRPr="00A93A6A" w:rsidTr="009F3B54">
        <w:trPr>
          <w:cantSplit/>
        </w:trPr>
        <w:tc>
          <w:tcPr>
            <w:tcW w:w="2264" w:type="dxa"/>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Land Victoria</w:t>
            </w:r>
          </w:p>
        </w:tc>
        <w:tc>
          <w:tcPr>
            <w:tcW w:w="2700" w:type="dxa"/>
            <w:gridSpan w:val="3"/>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Department of Sustainability and Environment</w:t>
            </w:r>
          </w:p>
        </w:tc>
        <w:tc>
          <w:tcPr>
            <w:tcW w:w="2812" w:type="dxa"/>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Department of Transport, Planning and Local Infrastructure</w:t>
            </w:r>
          </w:p>
        </w:tc>
      </w:tr>
      <w:tr w:rsidR="00B958B1" w:rsidRPr="00A93A6A" w:rsidTr="009F3B54">
        <w:trPr>
          <w:cantSplit/>
        </w:trPr>
        <w:tc>
          <w:tcPr>
            <w:tcW w:w="2264" w:type="dxa"/>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Office of the Victorian Government Architect</w:t>
            </w:r>
          </w:p>
        </w:tc>
        <w:tc>
          <w:tcPr>
            <w:tcW w:w="2700" w:type="dxa"/>
            <w:gridSpan w:val="3"/>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Department of Premier and Cabinet</w:t>
            </w:r>
          </w:p>
        </w:tc>
        <w:tc>
          <w:tcPr>
            <w:tcW w:w="2812" w:type="dxa"/>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Department of Transport, Planning and Local Infrastructure</w:t>
            </w:r>
          </w:p>
        </w:tc>
      </w:tr>
      <w:tr w:rsidR="00B958B1" w:rsidRPr="00A93A6A" w:rsidTr="009F3B54">
        <w:trPr>
          <w:cantSplit/>
          <w:trHeight w:hRule="exact" w:val="80"/>
        </w:trPr>
        <w:tc>
          <w:tcPr>
            <w:tcW w:w="4779" w:type="dxa"/>
            <w:gridSpan w:val="2"/>
            <w:tcBorders>
              <w:top w:val="single" w:sz="6" w:space="0" w:color="auto"/>
            </w:tcBorders>
            <w:shd w:val="clear" w:color="auto" w:fill="auto"/>
          </w:tcPr>
          <w:p w:rsidR="00B958B1" w:rsidRPr="00F5222D" w:rsidRDefault="00B958B1" w:rsidP="009F3B54">
            <w:pPr>
              <w:pStyle w:val="Tabletext"/>
              <w:ind w:left="0" w:firstLine="0"/>
              <w:rPr>
                <w:b/>
              </w:rPr>
            </w:pPr>
          </w:p>
        </w:tc>
        <w:tc>
          <w:tcPr>
            <w:tcW w:w="106" w:type="dxa"/>
            <w:tcBorders>
              <w:top w:val="single" w:sz="6" w:space="0" w:color="auto"/>
            </w:tcBorders>
            <w:shd w:val="clear" w:color="auto" w:fill="auto"/>
          </w:tcPr>
          <w:p w:rsidR="00B958B1" w:rsidRPr="00A93A6A" w:rsidRDefault="00B958B1" w:rsidP="009F3B54">
            <w:pPr>
              <w:pStyle w:val="TableofFigures"/>
            </w:pPr>
          </w:p>
        </w:tc>
        <w:tc>
          <w:tcPr>
            <w:tcW w:w="2891" w:type="dxa"/>
            <w:gridSpan w:val="2"/>
            <w:tcBorders>
              <w:top w:val="single" w:sz="6" w:space="0" w:color="auto"/>
            </w:tcBorders>
            <w:shd w:val="clear" w:color="auto" w:fill="auto"/>
          </w:tcPr>
          <w:p w:rsidR="00B958B1" w:rsidRPr="00A93A6A" w:rsidRDefault="00B958B1" w:rsidP="009F3B54">
            <w:pPr>
              <w:pStyle w:val="TableofFigures"/>
            </w:pPr>
          </w:p>
        </w:tc>
      </w:tr>
      <w:tr w:rsidR="00B958B1" w:rsidRPr="00A93A6A" w:rsidTr="009F3B54">
        <w:trPr>
          <w:cantSplit/>
        </w:trPr>
        <w:tc>
          <w:tcPr>
            <w:tcW w:w="4779" w:type="dxa"/>
            <w:gridSpan w:val="2"/>
            <w:shd w:val="clear" w:color="auto" w:fill="auto"/>
          </w:tcPr>
          <w:p w:rsidR="00B958B1" w:rsidRPr="00F5222D" w:rsidRDefault="00B958B1" w:rsidP="009F3B54">
            <w:pPr>
              <w:pStyle w:val="Tabletext"/>
              <w:ind w:left="0" w:firstLine="0"/>
              <w:rPr>
                <w:b/>
              </w:rPr>
            </w:pPr>
            <w:r w:rsidRPr="00F5222D">
              <w:rPr>
                <w:b/>
              </w:rPr>
              <w:t>Outputs split between departments</w:t>
            </w:r>
          </w:p>
        </w:tc>
        <w:tc>
          <w:tcPr>
            <w:tcW w:w="106" w:type="dxa"/>
            <w:shd w:val="clear" w:color="auto" w:fill="auto"/>
          </w:tcPr>
          <w:p w:rsidR="00B958B1" w:rsidRPr="00A93A6A" w:rsidRDefault="00B958B1" w:rsidP="009F3B54">
            <w:pPr>
              <w:pStyle w:val="TableofFigures"/>
            </w:pPr>
          </w:p>
        </w:tc>
        <w:tc>
          <w:tcPr>
            <w:tcW w:w="2891" w:type="dxa"/>
            <w:gridSpan w:val="2"/>
            <w:shd w:val="clear" w:color="auto" w:fill="auto"/>
          </w:tcPr>
          <w:p w:rsidR="00B958B1" w:rsidRPr="00A93A6A" w:rsidRDefault="00B958B1" w:rsidP="009F3B54">
            <w:pPr>
              <w:pStyle w:val="TableofFigures"/>
            </w:pPr>
          </w:p>
        </w:tc>
      </w:tr>
      <w:tr w:rsidR="00B958B1" w:rsidRPr="00A93A6A" w:rsidTr="009F3B54">
        <w:trPr>
          <w:cantSplit/>
        </w:trPr>
        <w:tc>
          <w:tcPr>
            <w:tcW w:w="2264" w:type="dxa"/>
            <w:tcBorders>
              <w:bottom w:val="single" w:sz="6" w:space="0" w:color="auto"/>
            </w:tcBorders>
            <w:shd w:val="clear" w:color="auto" w:fill="auto"/>
          </w:tcPr>
          <w:p w:rsidR="00B958B1" w:rsidRPr="00F5222D" w:rsidRDefault="00B958B1" w:rsidP="009F3B54">
            <w:pPr>
              <w:pStyle w:val="Tabletext"/>
              <w:ind w:left="0" w:firstLine="0"/>
            </w:pPr>
            <w:r w:rsidRPr="00F5222D">
              <w:t>Community Development</w:t>
            </w:r>
          </w:p>
        </w:tc>
        <w:tc>
          <w:tcPr>
            <w:tcW w:w="2700" w:type="dxa"/>
            <w:gridSpan w:val="3"/>
            <w:tcBorders>
              <w:bottom w:val="single" w:sz="6" w:space="0" w:color="auto"/>
            </w:tcBorders>
            <w:shd w:val="clear" w:color="auto" w:fill="auto"/>
          </w:tcPr>
          <w:p w:rsidR="00B958B1" w:rsidRPr="00F5222D" w:rsidRDefault="00B958B1" w:rsidP="009F3B54">
            <w:pPr>
              <w:pStyle w:val="Tabletext"/>
              <w:ind w:left="0" w:firstLine="0"/>
            </w:pPr>
            <w:r w:rsidRPr="00F5222D">
              <w:t>Department of Planning and Community Development</w:t>
            </w:r>
          </w:p>
        </w:tc>
        <w:tc>
          <w:tcPr>
            <w:tcW w:w="2812" w:type="dxa"/>
            <w:tcBorders>
              <w:bottom w:val="single" w:sz="6" w:space="0" w:color="auto"/>
            </w:tcBorders>
            <w:shd w:val="clear" w:color="auto" w:fill="auto"/>
          </w:tcPr>
          <w:p w:rsidR="00B958B1" w:rsidRPr="00F5222D" w:rsidRDefault="00B958B1" w:rsidP="009F3B54">
            <w:pPr>
              <w:pStyle w:val="Tabletext"/>
              <w:ind w:left="0" w:firstLine="0"/>
            </w:pPr>
            <w:r w:rsidRPr="00F5222D">
              <w:t>Department of Human Services</w:t>
            </w:r>
          </w:p>
          <w:p w:rsidR="00B958B1" w:rsidRDefault="00B958B1" w:rsidP="009F3B54">
            <w:pPr>
              <w:pStyle w:val="Tabletext"/>
              <w:ind w:left="0" w:firstLine="0"/>
            </w:pPr>
            <w:r w:rsidRPr="00F5222D">
              <w:t>Department of Transport, Planning and Local Infrastructure</w:t>
            </w:r>
          </w:p>
          <w:p w:rsidR="00B958B1" w:rsidRPr="00F5222D" w:rsidRDefault="00B958B1" w:rsidP="009F3B54">
            <w:pPr>
              <w:pStyle w:val="Tabletext"/>
              <w:ind w:left="0" w:firstLine="0"/>
            </w:pPr>
            <w:r w:rsidRPr="00F5222D">
              <w:t>Department of State Development and Business Innovation</w:t>
            </w:r>
          </w:p>
        </w:tc>
      </w:tr>
      <w:tr w:rsidR="00B958B1" w:rsidRPr="00A93A6A" w:rsidTr="009F3B54">
        <w:trPr>
          <w:cantSplit/>
        </w:trPr>
        <w:tc>
          <w:tcPr>
            <w:tcW w:w="2264" w:type="dxa"/>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Primary Industries Policy</w:t>
            </w:r>
          </w:p>
        </w:tc>
        <w:tc>
          <w:tcPr>
            <w:tcW w:w="2700" w:type="dxa"/>
            <w:gridSpan w:val="3"/>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Department of Primary Industries</w:t>
            </w:r>
          </w:p>
        </w:tc>
        <w:tc>
          <w:tcPr>
            <w:tcW w:w="2812" w:type="dxa"/>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Department of State Development and Business Innovation</w:t>
            </w:r>
          </w:p>
          <w:p w:rsidR="00B958B1" w:rsidRPr="00F5222D" w:rsidRDefault="00B958B1" w:rsidP="009F3B54">
            <w:pPr>
              <w:pStyle w:val="Tabletext"/>
              <w:ind w:left="0" w:firstLine="0"/>
            </w:pPr>
            <w:r w:rsidRPr="00F5222D">
              <w:t>Department of Environment and Primary Industries</w:t>
            </w:r>
          </w:p>
        </w:tc>
      </w:tr>
      <w:tr w:rsidR="00B958B1" w:rsidRPr="00A93A6A" w:rsidTr="009F3B54">
        <w:trPr>
          <w:cantSplit/>
        </w:trPr>
        <w:tc>
          <w:tcPr>
            <w:tcW w:w="2264" w:type="dxa"/>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Strategic and Applied Research</w:t>
            </w:r>
          </w:p>
        </w:tc>
        <w:tc>
          <w:tcPr>
            <w:tcW w:w="2700" w:type="dxa"/>
            <w:gridSpan w:val="3"/>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Department of Primary Industries</w:t>
            </w:r>
          </w:p>
        </w:tc>
        <w:tc>
          <w:tcPr>
            <w:tcW w:w="2812" w:type="dxa"/>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Department of State Development and Business Innovation</w:t>
            </w:r>
          </w:p>
          <w:p w:rsidR="00B958B1" w:rsidRPr="00F5222D" w:rsidRDefault="00B958B1" w:rsidP="009F3B54">
            <w:pPr>
              <w:pStyle w:val="Tabletext"/>
              <w:ind w:left="0" w:firstLine="0"/>
            </w:pPr>
            <w:r w:rsidRPr="00F5222D">
              <w:t>Department of Environment and Primary Industries</w:t>
            </w:r>
          </w:p>
        </w:tc>
      </w:tr>
      <w:tr w:rsidR="00B958B1" w:rsidRPr="00A93A6A" w:rsidTr="009F3B54">
        <w:trPr>
          <w:cantSplit/>
        </w:trPr>
        <w:tc>
          <w:tcPr>
            <w:tcW w:w="2264" w:type="dxa"/>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Practice Change</w:t>
            </w:r>
          </w:p>
        </w:tc>
        <w:tc>
          <w:tcPr>
            <w:tcW w:w="2700" w:type="dxa"/>
            <w:gridSpan w:val="3"/>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Department of Primary Industries</w:t>
            </w:r>
          </w:p>
        </w:tc>
        <w:tc>
          <w:tcPr>
            <w:tcW w:w="2812" w:type="dxa"/>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Department of State Development and Business Innovation</w:t>
            </w:r>
          </w:p>
          <w:p w:rsidR="00B958B1" w:rsidRPr="00F5222D" w:rsidRDefault="00B958B1" w:rsidP="009F3B54">
            <w:pPr>
              <w:pStyle w:val="Tabletext"/>
              <w:ind w:left="0" w:firstLine="0"/>
            </w:pPr>
            <w:r w:rsidRPr="00F5222D">
              <w:t>Department of Environment and Primary Industries</w:t>
            </w:r>
          </w:p>
        </w:tc>
      </w:tr>
      <w:tr w:rsidR="00B958B1" w:rsidRPr="00A93A6A" w:rsidTr="009F3B54">
        <w:trPr>
          <w:cantSplit/>
        </w:trPr>
        <w:tc>
          <w:tcPr>
            <w:tcW w:w="2264" w:type="dxa"/>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Regulation and Compliance</w:t>
            </w:r>
          </w:p>
        </w:tc>
        <w:tc>
          <w:tcPr>
            <w:tcW w:w="2700" w:type="dxa"/>
            <w:gridSpan w:val="3"/>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Department of Primary Industries</w:t>
            </w:r>
          </w:p>
        </w:tc>
        <w:tc>
          <w:tcPr>
            <w:tcW w:w="2812" w:type="dxa"/>
            <w:tcBorders>
              <w:top w:val="single" w:sz="6" w:space="0" w:color="auto"/>
              <w:bottom w:val="single" w:sz="6" w:space="0" w:color="auto"/>
            </w:tcBorders>
            <w:shd w:val="clear" w:color="auto" w:fill="auto"/>
          </w:tcPr>
          <w:p w:rsidR="00B958B1" w:rsidRPr="00F5222D" w:rsidRDefault="00B958B1" w:rsidP="009F3B54">
            <w:pPr>
              <w:pStyle w:val="Tabletext"/>
              <w:ind w:left="0" w:firstLine="0"/>
            </w:pPr>
            <w:r w:rsidRPr="00F5222D">
              <w:t>Department of State Development and Business Innovation</w:t>
            </w:r>
          </w:p>
          <w:p w:rsidR="00B958B1" w:rsidRPr="00F5222D" w:rsidRDefault="00B958B1" w:rsidP="009F3B54">
            <w:pPr>
              <w:pStyle w:val="Tabletext"/>
              <w:ind w:left="0" w:firstLine="0"/>
            </w:pPr>
            <w:r w:rsidRPr="00F5222D">
              <w:t>Department of Environment and Primary Industries</w:t>
            </w:r>
          </w:p>
        </w:tc>
      </w:tr>
      <w:tr w:rsidR="00B958B1" w:rsidRPr="00A93A6A" w:rsidTr="009F3B54">
        <w:trPr>
          <w:cantSplit/>
        </w:trPr>
        <w:tc>
          <w:tcPr>
            <w:tcW w:w="2264" w:type="dxa"/>
            <w:tcBorders>
              <w:top w:val="single" w:sz="6" w:space="0" w:color="auto"/>
              <w:bottom w:val="single" w:sz="12" w:space="0" w:color="auto"/>
            </w:tcBorders>
            <w:shd w:val="clear" w:color="auto" w:fill="auto"/>
          </w:tcPr>
          <w:p w:rsidR="00B958B1" w:rsidRPr="00F5222D" w:rsidRDefault="00B958B1" w:rsidP="009F3B54">
            <w:pPr>
              <w:pStyle w:val="Tabletext"/>
              <w:ind w:left="0" w:firstLine="0"/>
            </w:pPr>
            <w:r w:rsidRPr="00F5222D">
              <w:t>Employment and Industrial Relations</w:t>
            </w:r>
          </w:p>
        </w:tc>
        <w:tc>
          <w:tcPr>
            <w:tcW w:w="2700" w:type="dxa"/>
            <w:gridSpan w:val="3"/>
            <w:tcBorders>
              <w:top w:val="single" w:sz="6" w:space="0" w:color="auto"/>
              <w:bottom w:val="single" w:sz="12" w:space="0" w:color="auto"/>
            </w:tcBorders>
            <w:shd w:val="clear" w:color="auto" w:fill="auto"/>
          </w:tcPr>
          <w:p w:rsidR="00B958B1" w:rsidRPr="00F5222D" w:rsidRDefault="00B958B1" w:rsidP="009F3B54">
            <w:pPr>
              <w:pStyle w:val="Tabletext"/>
              <w:ind w:left="0" w:firstLine="0"/>
            </w:pPr>
            <w:r w:rsidRPr="00F5222D">
              <w:t>Department of Business and Innovation</w:t>
            </w:r>
          </w:p>
        </w:tc>
        <w:tc>
          <w:tcPr>
            <w:tcW w:w="2812" w:type="dxa"/>
            <w:tcBorders>
              <w:top w:val="single" w:sz="6" w:space="0" w:color="auto"/>
              <w:bottom w:val="single" w:sz="12" w:space="0" w:color="auto"/>
            </w:tcBorders>
            <w:shd w:val="clear" w:color="auto" w:fill="auto"/>
          </w:tcPr>
          <w:p w:rsidR="00B958B1" w:rsidRPr="00F5222D" w:rsidRDefault="00B958B1" w:rsidP="009F3B54">
            <w:pPr>
              <w:pStyle w:val="Tabletext"/>
              <w:ind w:left="0" w:firstLine="0"/>
            </w:pPr>
            <w:r w:rsidRPr="00F5222D">
              <w:t>Department of State Development and Business Innovation</w:t>
            </w:r>
          </w:p>
          <w:p w:rsidR="00B958B1" w:rsidRPr="00F5222D" w:rsidRDefault="00B958B1" w:rsidP="009F3B54">
            <w:pPr>
              <w:pStyle w:val="Tabletext"/>
              <w:ind w:left="0" w:firstLine="0"/>
            </w:pPr>
            <w:r w:rsidRPr="00F5222D">
              <w:t>Department of Treasury and Finance</w:t>
            </w:r>
          </w:p>
        </w:tc>
      </w:tr>
    </w:tbl>
    <w:p w:rsidR="00B958B1" w:rsidRDefault="00B958B1" w:rsidP="009F3B54">
      <w:pPr>
        <w:pStyle w:val="Source"/>
      </w:pPr>
    </w:p>
    <w:p w:rsidR="00B958B1" w:rsidRDefault="00B958B1" w:rsidP="009F3B54">
      <w:pPr>
        <w:pStyle w:val="Tableheading"/>
      </w:pPr>
      <w:r>
        <w:br w:type="page"/>
        <w:t>Table 2.1:</w:t>
      </w:r>
      <w:r>
        <w:tab/>
        <w:t>Changes to outputs by department</w:t>
      </w:r>
    </w:p>
    <w:p w:rsidR="00B958B1" w:rsidRDefault="00B958B1" w:rsidP="009F3B54">
      <w:pPr>
        <w:pStyle w:val="BulletText"/>
        <w:numPr>
          <w:ilvl w:val="0"/>
          <w:numId w:val="0"/>
        </w:numPr>
      </w:pPr>
      <w:r>
        <w:t>Table 2.1 reflects the recent machinery of government (MOG) changes and shows that across government, outputs have reduced by 11 from 127 in 2012</w:t>
      </w:r>
      <w:r w:rsidR="009F0F49">
        <w:noBreakHyphen/>
      </w:r>
      <w:r>
        <w:t>13 to 116 in 2013</w:t>
      </w:r>
      <w:r w:rsidR="009F0F49">
        <w:noBreakHyphen/>
      </w:r>
      <w:r>
        <w:t>14.</w:t>
      </w:r>
    </w:p>
    <w:tbl>
      <w:tblPr>
        <w:tblW w:w="7776" w:type="dxa"/>
        <w:tblInd w:w="29" w:type="dxa"/>
        <w:tblLayout w:type="fixed"/>
        <w:tblCellMar>
          <w:left w:w="43" w:type="dxa"/>
          <w:right w:w="43" w:type="dxa"/>
        </w:tblCellMar>
        <w:tblLook w:val="04A0" w:firstRow="1" w:lastRow="0" w:firstColumn="1" w:lastColumn="0" w:noHBand="0" w:noVBand="1"/>
      </w:tblPr>
      <w:tblGrid>
        <w:gridCol w:w="3842"/>
        <w:gridCol w:w="850"/>
        <w:gridCol w:w="851"/>
        <w:gridCol w:w="992"/>
        <w:gridCol w:w="1241"/>
      </w:tblGrid>
      <w:tr w:rsidR="00B958B1" w:rsidRPr="00A93A6A" w:rsidTr="009F3B54">
        <w:trPr>
          <w:cantSplit/>
        </w:trPr>
        <w:tc>
          <w:tcPr>
            <w:tcW w:w="3842" w:type="dxa"/>
            <w:tcBorders>
              <w:top w:val="single" w:sz="4" w:space="0" w:color="auto"/>
              <w:left w:val="single" w:sz="4" w:space="0" w:color="auto"/>
            </w:tcBorders>
            <w:shd w:val="clear" w:color="auto" w:fill="000000"/>
          </w:tcPr>
          <w:p w:rsidR="00B958B1" w:rsidRDefault="00B958B1" w:rsidP="009F3B54">
            <w:pPr>
              <w:pStyle w:val="Tabletext"/>
              <w:rPr>
                <w:i/>
              </w:rPr>
            </w:pPr>
          </w:p>
          <w:p w:rsidR="00B958B1" w:rsidRPr="00EC6ECC" w:rsidRDefault="00B958B1" w:rsidP="009F3B54">
            <w:pPr>
              <w:pStyle w:val="Tabletextheadingleft"/>
            </w:pPr>
            <w:r w:rsidRPr="00EC6ECC">
              <w:t>Department</w:t>
            </w:r>
          </w:p>
        </w:tc>
        <w:tc>
          <w:tcPr>
            <w:tcW w:w="850" w:type="dxa"/>
            <w:tcBorders>
              <w:top w:val="single" w:sz="4" w:space="0" w:color="auto"/>
            </w:tcBorders>
            <w:shd w:val="clear" w:color="auto" w:fill="000000"/>
          </w:tcPr>
          <w:p w:rsidR="00B958B1" w:rsidRPr="00EC6ECC" w:rsidRDefault="00B958B1" w:rsidP="009F3B54">
            <w:pPr>
              <w:pStyle w:val="Tabletextheading"/>
            </w:pPr>
            <w:r w:rsidRPr="00EC6ECC">
              <w:t>Outputs 2012</w:t>
            </w:r>
            <w:r w:rsidR="009F0F49">
              <w:noBreakHyphen/>
            </w:r>
            <w:r w:rsidRPr="00EC6ECC">
              <w:t>13</w:t>
            </w:r>
          </w:p>
        </w:tc>
        <w:tc>
          <w:tcPr>
            <w:tcW w:w="851" w:type="dxa"/>
            <w:tcBorders>
              <w:top w:val="single" w:sz="4" w:space="0" w:color="auto"/>
            </w:tcBorders>
            <w:shd w:val="clear" w:color="auto" w:fill="000000"/>
          </w:tcPr>
          <w:p w:rsidR="00B958B1" w:rsidRPr="00EC6ECC" w:rsidRDefault="00B958B1" w:rsidP="009F3B54">
            <w:pPr>
              <w:pStyle w:val="Tabletextheading"/>
            </w:pPr>
            <w:r w:rsidRPr="00EC6ECC">
              <w:t>Outputs 2013</w:t>
            </w:r>
            <w:r w:rsidR="009F0F49">
              <w:noBreakHyphen/>
            </w:r>
            <w:r w:rsidRPr="00EC6ECC">
              <w:t>14</w:t>
            </w:r>
          </w:p>
        </w:tc>
        <w:tc>
          <w:tcPr>
            <w:tcW w:w="992" w:type="dxa"/>
            <w:tcBorders>
              <w:top w:val="single" w:sz="4" w:space="0" w:color="auto"/>
            </w:tcBorders>
            <w:shd w:val="clear" w:color="auto" w:fill="000000"/>
          </w:tcPr>
          <w:p w:rsidR="00B958B1" w:rsidRPr="00EC6ECC" w:rsidRDefault="00B958B1" w:rsidP="009F3B54">
            <w:pPr>
              <w:pStyle w:val="Tabletextheading"/>
            </w:pPr>
            <w:r w:rsidRPr="00EC6ECC">
              <w:t>Net movement</w:t>
            </w:r>
          </w:p>
        </w:tc>
        <w:tc>
          <w:tcPr>
            <w:tcW w:w="1241" w:type="dxa"/>
            <w:tcBorders>
              <w:top w:val="single" w:sz="4" w:space="0" w:color="auto"/>
              <w:right w:val="single" w:sz="4" w:space="0" w:color="auto"/>
            </w:tcBorders>
            <w:shd w:val="clear" w:color="auto" w:fill="000000"/>
          </w:tcPr>
          <w:p w:rsidR="00B958B1" w:rsidRPr="00EC6ECC" w:rsidRDefault="00B958B1" w:rsidP="009F3B54">
            <w:pPr>
              <w:pStyle w:val="Tabletextheading"/>
            </w:pPr>
            <w:r w:rsidRPr="00EC6ECC">
              <w:t>Reason for change</w:t>
            </w:r>
          </w:p>
        </w:tc>
      </w:tr>
      <w:tr w:rsidR="00B958B1" w:rsidRPr="00A93A6A" w:rsidTr="009F3B54">
        <w:trPr>
          <w:cantSplit/>
        </w:trPr>
        <w:tc>
          <w:tcPr>
            <w:tcW w:w="3842" w:type="dxa"/>
            <w:shd w:val="clear" w:color="auto" w:fill="auto"/>
          </w:tcPr>
          <w:p w:rsidR="00B958B1" w:rsidRPr="002E3B8F" w:rsidRDefault="00B958B1" w:rsidP="009F3B54">
            <w:pPr>
              <w:pStyle w:val="Tabletext"/>
              <w:rPr>
                <w:b/>
              </w:rPr>
            </w:pPr>
            <w:r w:rsidRPr="002E3B8F">
              <w:rPr>
                <w:b/>
              </w:rPr>
              <w:t>Existing departments</w:t>
            </w:r>
          </w:p>
        </w:tc>
        <w:tc>
          <w:tcPr>
            <w:tcW w:w="850" w:type="dxa"/>
            <w:shd w:val="clear" w:color="auto" w:fill="auto"/>
          </w:tcPr>
          <w:p w:rsidR="00B958B1" w:rsidRPr="00A93A6A" w:rsidRDefault="00B958B1" w:rsidP="009F3B54">
            <w:pPr>
              <w:pStyle w:val="TableofFigures"/>
            </w:pPr>
          </w:p>
        </w:tc>
        <w:tc>
          <w:tcPr>
            <w:tcW w:w="851" w:type="dxa"/>
            <w:shd w:val="clear" w:color="auto" w:fill="auto"/>
          </w:tcPr>
          <w:p w:rsidR="00B958B1" w:rsidRPr="00A93A6A" w:rsidRDefault="00B958B1" w:rsidP="009F3B54">
            <w:pPr>
              <w:pStyle w:val="TableofFigures"/>
            </w:pPr>
          </w:p>
        </w:tc>
        <w:tc>
          <w:tcPr>
            <w:tcW w:w="992" w:type="dxa"/>
            <w:shd w:val="clear" w:color="auto" w:fill="auto"/>
          </w:tcPr>
          <w:p w:rsidR="00B958B1" w:rsidRPr="00A93A6A" w:rsidRDefault="00B958B1" w:rsidP="009F3B54">
            <w:pPr>
              <w:pStyle w:val="TableofFigures"/>
            </w:pPr>
          </w:p>
        </w:tc>
        <w:tc>
          <w:tcPr>
            <w:tcW w:w="1241" w:type="dxa"/>
            <w:shd w:val="clear" w:color="auto" w:fill="auto"/>
          </w:tcPr>
          <w:p w:rsidR="00B958B1" w:rsidRPr="00550C90" w:rsidRDefault="00B958B1" w:rsidP="009F3B54">
            <w:pPr>
              <w:pStyle w:val="TableofFigures"/>
              <w:rPr>
                <w:rFonts w:asciiTheme="minorHAnsi" w:hAnsiTheme="minorHAnsi" w:cstheme="minorHAnsi"/>
                <w:szCs w:val="20"/>
              </w:rPr>
            </w:pPr>
          </w:p>
        </w:tc>
      </w:tr>
      <w:tr w:rsidR="00B958B1" w:rsidRPr="00A93A6A" w:rsidTr="009F3B54">
        <w:trPr>
          <w:cantSplit/>
        </w:trPr>
        <w:tc>
          <w:tcPr>
            <w:tcW w:w="3842" w:type="dxa"/>
            <w:shd w:val="clear" w:color="auto" w:fill="auto"/>
          </w:tcPr>
          <w:p w:rsidR="00B958B1" w:rsidRPr="00A93A6A" w:rsidRDefault="00B958B1" w:rsidP="009F3B54">
            <w:pPr>
              <w:pStyle w:val="Tabletext"/>
            </w:pPr>
            <w:r w:rsidRPr="00A93A6A">
              <w:t>Department of Education and Early Childhood Development</w:t>
            </w:r>
          </w:p>
        </w:tc>
        <w:tc>
          <w:tcPr>
            <w:tcW w:w="850" w:type="dxa"/>
            <w:shd w:val="clear" w:color="auto" w:fill="auto"/>
          </w:tcPr>
          <w:p w:rsidR="00B958B1" w:rsidRPr="00A93A6A" w:rsidRDefault="00B958B1" w:rsidP="009F3B54">
            <w:pPr>
              <w:pStyle w:val="TableofFigures"/>
            </w:pPr>
            <w:r>
              <w:t>7</w:t>
            </w:r>
          </w:p>
        </w:tc>
        <w:tc>
          <w:tcPr>
            <w:tcW w:w="851" w:type="dxa"/>
            <w:shd w:val="clear" w:color="auto" w:fill="auto"/>
          </w:tcPr>
          <w:p w:rsidR="00B958B1" w:rsidRPr="00A93A6A" w:rsidRDefault="00B958B1" w:rsidP="009F3B54">
            <w:pPr>
              <w:pStyle w:val="TableofFigures"/>
            </w:pPr>
            <w:r>
              <w:t>7</w:t>
            </w:r>
          </w:p>
        </w:tc>
        <w:tc>
          <w:tcPr>
            <w:tcW w:w="992" w:type="dxa"/>
            <w:shd w:val="clear" w:color="auto" w:fill="auto"/>
          </w:tcPr>
          <w:p w:rsidR="00B958B1" w:rsidRPr="00A93A6A" w:rsidRDefault="00B958B1" w:rsidP="009F3B54">
            <w:pPr>
              <w:pStyle w:val="TableofFigures"/>
            </w:pPr>
            <w:r>
              <w:t>0</w:t>
            </w:r>
          </w:p>
        </w:tc>
        <w:tc>
          <w:tcPr>
            <w:tcW w:w="1241" w:type="dxa"/>
            <w:shd w:val="clear" w:color="auto" w:fill="auto"/>
          </w:tcPr>
          <w:p w:rsidR="00B958B1" w:rsidRPr="00550C90" w:rsidRDefault="00B958B1" w:rsidP="009F3B54">
            <w:pPr>
              <w:pStyle w:val="TableofFigures"/>
              <w:rPr>
                <w:rFonts w:asciiTheme="minorHAnsi" w:hAnsiTheme="minorHAnsi" w:cstheme="minorHAnsi"/>
                <w:szCs w:val="20"/>
              </w:rPr>
            </w:pPr>
            <w:r w:rsidRPr="00550C90">
              <w:rPr>
                <w:rFonts w:asciiTheme="minorHAnsi" w:hAnsiTheme="minorHAnsi" w:cstheme="minorHAnsi"/>
                <w:szCs w:val="20"/>
              </w:rPr>
              <w:t>No change</w:t>
            </w:r>
          </w:p>
        </w:tc>
      </w:tr>
      <w:tr w:rsidR="00B958B1" w:rsidRPr="00A93A6A" w:rsidTr="009F3B54">
        <w:trPr>
          <w:cantSplit/>
        </w:trPr>
        <w:tc>
          <w:tcPr>
            <w:tcW w:w="3842" w:type="dxa"/>
            <w:shd w:val="clear" w:color="auto" w:fill="auto"/>
          </w:tcPr>
          <w:p w:rsidR="00B958B1" w:rsidRPr="00A93A6A" w:rsidRDefault="00B958B1" w:rsidP="009F3B54">
            <w:pPr>
              <w:pStyle w:val="Tabletext"/>
            </w:pPr>
            <w:r w:rsidRPr="00A93A6A">
              <w:t>Department of Health</w:t>
            </w:r>
          </w:p>
        </w:tc>
        <w:tc>
          <w:tcPr>
            <w:tcW w:w="850" w:type="dxa"/>
            <w:shd w:val="clear" w:color="auto" w:fill="auto"/>
          </w:tcPr>
          <w:p w:rsidR="00B958B1" w:rsidRPr="00A93A6A" w:rsidRDefault="00B958B1" w:rsidP="009F3B54">
            <w:pPr>
              <w:pStyle w:val="TableofFigures"/>
            </w:pPr>
            <w:r>
              <w:t>24</w:t>
            </w:r>
          </w:p>
        </w:tc>
        <w:tc>
          <w:tcPr>
            <w:tcW w:w="851" w:type="dxa"/>
            <w:shd w:val="clear" w:color="auto" w:fill="auto"/>
          </w:tcPr>
          <w:p w:rsidR="00B958B1" w:rsidRPr="00A93A6A" w:rsidRDefault="00B958B1" w:rsidP="009F3B54">
            <w:pPr>
              <w:pStyle w:val="TableofFigures"/>
            </w:pPr>
            <w:r>
              <w:t>24</w:t>
            </w:r>
          </w:p>
        </w:tc>
        <w:tc>
          <w:tcPr>
            <w:tcW w:w="992" w:type="dxa"/>
            <w:shd w:val="clear" w:color="auto" w:fill="auto"/>
          </w:tcPr>
          <w:p w:rsidR="00B958B1" w:rsidRPr="00A93A6A" w:rsidRDefault="00B958B1" w:rsidP="009F3B54">
            <w:pPr>
              <w:pStyle w:val="TableofFigures"/>
            </w:pPr>
            <w:r>
              <w:t>0</w:t>
            </w:r>
          </w:p>
        </w:tc>
        <w:tc>
          <w:tcPr>
            <w:tcW w:w="1241" w:type="dxa"/>
            <w:shd w:val="clear" w:color="auto" w:fill="auto"/>
          </w:tcPr>
          <w:p w:rsidR="00B958B1" w:rsidRPr="00550C90" w:rsidRDefault="00B958B1" w:rsidP="009F3B54">
            <w:pPr>
              <w:pStyle w:val="TableofFigures"/>
              <w:rPr>
                <w:rFonts w:asciiTheme="minorHAnsi" w:hAnsiTheme="minorHAnsi" w:cstheme="minorHAnsi"/>
                <w:szCs w:val="20"/>
              </w:rPr>
            </w:pPr>
            <w:r w:rsidRPr="00550C90">
              <w:rPr>
                <w:rFonts w:asciiTheme="minorHAnsi" w:hAnsiTheme="minorHAnsi" w:cstheme="minorHAnsi"/>
                <w:szCs w:val="20"/>
              </w:rPr>
              <w:t>No change</w:t>
            </w:r>
          </w:p>
        </w:tc>
      </w:tr>
      <w:tr w:rsidR="00B958B1" w:rsidRPr="00A93A6A" w:rsidTr="009F3B54">
        <w:trPr>
          <w:cantSplit/>
        </w:trPr>
        <w:tc>
          <w:tcPr>
            <w:tcW w:w="3842" w:type="dxa"/>
            <w:shd w:val="clear" w:color="auto" w:fill="auto"/>
          </w:tcPr>
          <w:p w:rsidR="00B958B1" w:rsidRPr="00A93A6A" w:rsidRDefault="00B958B1" w:rsidP="009F3B54">
            <w:pPr>
              <w:pStyle w:val="Tabletext"/>
            </w:pPr>
            <w:r w:rsidRPr="00A93A6A">
              <w:t>Department of Human Services</w:t>
            </w:r>
          </w:p>
        </w:tc>
        <w:tc>
          <w:tcPr>
            <w:tcW w:w="850" w:type="dxa"/>
            <w:shd w:val="clear" w:color="auto" w:fill="auto"/>
          </w:tcPr>
          <w:p w:rsidR="00B958B1" w:rsidRPr="00A93A6A" w:rsidRDefault="00B958B1" w:rsidP="009F3B54">
            <w:pPr>
              <w:pStyle w:val="TableofFigures"/>
            </w:pPr>
            <w:r>
              <w:t>15</w:t>
            </w:r>
          </w:p>
        </w:tc>
        <w:tc>
          <w:tcPr>
            <w:tcW w:w="851" w:type="dxa"/>
            <w:shd w:val="clear" w:color="auto" w:fill="auto"/>
          </w:tcPr>
          <w:p w:rsidR="00B958B1" w:rsidRPr="00A93A6A" w:rsidRDefault="00B958B1" w:rsidP="009F3B54">
            <w:pPr>
              <w:pStyle w:val="TableofFigures"/>
            </w:pPr>
            <w:r>
              <w:t>10</w:t>
            </w:r>
          </w:p>
        </w:tc>
        <w:tc>
          <w:tcPr>
            <w:tcW w:w="992" w:type="dxa"/>
            <w:shd w:val="clear" w:color="auto" w:fill="auto"/>
          </w:tcPr>
          <w:p w:rsidR="00B958B1" w:rsidRPr="00A93A6A" w:rsidRDefault="00B958B1" w:rsidP="009F3B54">
            <w:pPr>
              <w:pStyle w:val="TableofFigures"/>
            </w:pPr>
            <w:r>
              <w:t>(5)</w:t>
            </w:r>
          </w:p>
        </w:tc>
        <w:tc>
          <w:tcPr>
            <w:tcW w:w="1241" w:type="dxa"/>
            <w:shd w:val="clear" w:color="auto" w:fill="auto"/>
          </w:tcPr>
          <w:p w:rsidR="00B958B1" w:rsidRPr="00550C90" w:rsidRDefault="00B958B1" w:rsidP="009F3B54">
            <w:pPr>
              <w:pStyle w:val="TableofFigures"/>
              <w:rPr>
                <w:rFonts w:asciiTheme="minorHAnsi" w:hAnsiTheme="minorHAnsi" w:cstheme="minorHAnsi"/>
                <w:szCs w:val="20"/>
              </w:rPr>
            </w:pPr>
            <w:r>
              <w:rPr>
                <w:rFonts w:asciiTheme="minorHAnsi" w:hAnsiTheme="minorHAnsi" w:cstheme="minorHAnsi"/>
                <w:szCs w:val="20"/>
              </w:rPr>
              <w:t>Restructure</w:t>
            </w:r>
          </w:p>
        </w:tc>
      </w:tr>
      <w:tr w:rsidR="00B958B1" w:rsidRPr="00A93A6A" w:rsidTr="009F3B54">
        <w:trPr>
          <w:cantSplit/>
        </w:trPr>
        <w:tc>
          <w:tcPr>
            <w:tcW w:w="3842" w:type="dxa"/>
            <w:shd w:val="clear" w:color="auto" w:fill="auto"/>
          </w:tcPr>
          <w:p w:rsidR="00B958B1" w:rsidRPr="00A93A6A" w:rsidRDefault="00B958B1" w:rsidP="009F3B54">
            <w:pPr>
              <w:pStyle w:val="Tabletext"/>
            </w:pPr>
            <w:r w:rsidRPr="00A93A6A">
              <w:t>Department of Justice</w:t>
            </w:r>
          </w:p>
        </w:tc>
        <w:tc>
          <w:tcPr>
            <w:tcW w:w="850" w:type="dxa"/>
            <w:shd w:val="clear" w:color="auto" w:fill="auto"/>
          </w:tcPr>
          <w:p w:rsidR="00B958B1" w:rsidRPr="00A93A6A" w:rsidRDefault="00B958B1" w:rsidP="009F3B54">
            <w:pPr>
              <w:pStyle w:val="TableofFigures"/>
            </w:pPr>
            <w:r>
              <w:t>16</w:t>
            </w:r>
          </w:p>
        </w:tc>
        <w:tc>
          <w:tcPr>
            <w:tcW w:w="851" w:type="dxa"/>
            <w:shd w:val="clear" w:color="auto" w:fill="auto"/>
          </w:tcPr>
          <w:p w:rsidR="00B958B1" w:rsidRPr="00A93A6A" w:rsidRDefault="00B958B1" w:rsidP="009F3B54">
            <w:pPr>
              <w:pStyle w:val="TableofFigures"/>
            </w:pPr>
            <w:r>
              <w:t>16</w:t>
            </w:r>
          </w:p>
        </w:tc>
        <w:tc>
          <w:tcPr>
            <w:tcW w:w="992" w:type="dxa"/>
            <w:shd w:val="clear" w:color="auto" w:fill="auto"/>
          </w:tcPr>
          <w:p w:rsidR="00B958B1" w:rsidRPr="00A93A6A" w:rsidRDefault="00B958B1" w:rsidP="009F3B54">
            <w:pPr>
              <w:pStyle w:val="TableofFigures"/>
            </w:pPr>
            <w:r>
              <w:t>0</w:t>
            </w:r>
          </w:p>
        </w:tc>
        <w:tc>
          <w:tcPr>
            <w:tcW w:w="1241" w:type="dxa"/>
            <w:shd w:val="clear" w:color="auto" w:fill="auto"/>
          </w:tcPr>
          <w:p w:rsidR="00B958B1" w:rsidRPr="00550C90" w:rsidRDefault="00B958B1" w:rsidP="009F3B54">
            <w:pPr>
              <w:pStyle w:val="TableofFigures"/>
              <w:rPr>
                <w:rFonts w:asciiTheme="minorHAnsi" w:hAnsiTheme="minorHAnsi" w:cstheme="minorHAnsi"/>
                <w:szCs w:val="20"/>
              </w:rPr>
            </w:pPr>
            <w:r>
              <w:rPr>
                <w:rFonts w:asciiTheme="minorHAnsi" w:hAnsiTheme="minorHAnsi" w:cstheme="minorHAnsi"/>
                <w:szCs w:val="20"/>
              </w:rPr>
              <w:t>No Change</w:t>
            </w:r>
          </w:p>
        </w:tc>
      </w:tr>
      <w:tr w:rsidR="00B958B1" w:rsidRPr="00A93A6A" w:rsidTr="009F3B54">
        <w:trPr>
          <w:cantSplit/>
        </w:trPr>
        <w:tc>
          <w:tcPr>
            <w:tcW w:w="3842" w:type="dxa"/>
            <w:shd w:val="clear" w:color="auto" w:fill="auto"/>
          </w:tcPr>
          <w:p w:rsidR="00B958B1" w:rsidRPr="00A93A6A" w:rsidRDefault="00B958B1" w:rsidP="009F3B54">
            <w:pPr>
              <w:pStyle w:val="Tabletext"/>
            </w:pPr>
            <w:r w:rsidRPr="00A93A6A">
              <w:t>Department of Premier and Cabinet</w:t>
            </w:r>
          </w:p>
        </w:tc>
        <w:tc>
          <w:tcPr>
            <w:tcW w:w="850" w:type="dxa"/>
            <w:shd w:val="clear" w:color="auto" w:fill="auto"/>
          </w:tcPr>
          <w:p w:rsidR="00B958B1" w:rsidRPr="00A93A6A" w:rsidRDefault="00B958B1" w:rsidP="009F3B54">
            <w:pPr>
              <w:pStyle w:val="TableofFigures"/>
            </w:pPr>
            <w:r>
              <w:t>13</w:t>
            </w:r>
          </w:p>
        </w:tc>
        <w:tc>
          <w:tcPr>
            <w:tcW w:w="851" w:type="dxa"/>
            <w:shd w:val="clear" w:color="auto" w:fill="auto"/>
          </w:tcPr>
          <w:p w:rsidR="00B958B1" w:rsidRPr="00A93A6A" w:rsidRDefault="00B958B1" w:rsidP="009F3B54">
            <w:pPr>
              <w:pStyle w:val="TableofFigures"/>
            </w:pPr>
            <w:r>
              <w:t>12</w:t>
            </w:r>
          </w:p>
        </w:tc>
        <w:tc>
          <w:tcPr>
            <w:tcW w:w="992" w:type="dxa"/>
            <w:shd w:val="clear" w:color="auto" w:fill="auto"/>
          </w:tcPr>
          <w:p w:rsidR="00B958B1" w:rsidRPr="00A93A6A" w:rsidRDefault="00B958B1" w:rsidP="009F3B54">
            <w:pPr>
              <w:pStyle w:val="TableofFigures"/>
            </w:pPr>
            <w:r>
              <w:t>(1)</w:t>
            </w:r>
          </w:p>
        </w:tc>
        <w:tc>
          <w:tcPr>
            <w:tcW w:w="1241" w:type="dxa"/>
            <w:shd w:val="clear" w:color="auto" w:fill="auto"/>
          </w:tcPr>
          <w:p w:rsidR="00B958B1" w:rsidRPr="00550C90" w:rsidRDefault="00B958B1" w:rsidP="009F3B54">
            <w:pPr>
              <w:pStyle w:val="TableofFigures"/>
              <w:rPr>
                <w:rFonts w:asciiTheme="minorHAnsi" w:hAnsiTheme="minorHAnsi" w:cstheme="minorHAnsi"/>
              </w:rPr>
            </w:pPr>
            <w:r w:rsidRPr="00BC6704">
              <w:rPr>
                <w:rFonts w:asciiTheme="minorHAnsi" w:hAnsiTheme="minorHAnsi" w:cstheme="minorHAnsi"/>
                <w:szCs w:val="20"/>
              </w:rPr>
              <w:t>MOG/</w:t>
            </w:r>
            <w:r>
              <w:rPr>
                <w:rFonts w:asciiTheme="minorHAnsi" w:hAnsiTheme="minorHAnsi" w:cstheme="minorHAnsi"/>
                <w:szCs w:val="20"/>
              </w:rPr>
              <w:t xml:space="preserve"> R</w:t>
            </w:r>
            <w:r w:rsidRPr="00BC6704">
              <w:rPr>
                <w:rFonts w:asciiTheme="minorHAnsi" w:hAnsiTheme="minorHAnsi" w:cstheme="minorHAnsi"/>
                <w:szCs w:val="20"/>
              </w:rPr>
              <w:t>estructure</w:t>
            </w:r>
          </w:p>
        </w:tc>
      </w:tr>
      <w:tr w:rsidR="00B958B1" w:rsidRPr="00A93A6A" w:rsidTr="009F3B54">
        <w:trPr>
          <w:cantSplit/>
        </w:trPr>
        <w:tc>
          <w:tcPr>
            <w:tcW w:w="3842" w:type="dxa"/>
            <w:shd w:val="clear" w:color="auto" w:fill="auto"/>
          </w:tcPr>
          <w:p w:rsidR="00B958B1" w:rsidRPr="00A93A6A" w:rsidRDefault="00B958B1" w:rsidP="009F3B54">
            <w:pPr>
              <w:pStyle w:val="Tabletext"/>
            </w:pPr>
            <w:r w:rsidRPr="00A93A6A">
              <w:t>Department of Treasury and Finance</w:t>
            </w:r>
          </w:p>
        </w:tc>
        <w:tc>
          <w:tcPr>
            <w:tcW w:w="850" w:type="dxa"/>
            <w:shd w:val="clear" w:color="auto" w:fill="auto"/>
          </w:tcPr>
          <w:p w:rsidR="00B958B1" w:rsidRPr="00A93A6A" w:rsidRDefault="00B958B1" w:rsidP="009F3B54">
            <w:pPr>
              <w:pStyle w:val="TableofFigures"/>
            </w:pPr>
            <w:r>
              <w:t>10</w:t>
            </w:r>
          </w:p>
        </w:tc>
        <w:tc>
          <w:tcPr>
            <w:tcW w:w="851" w:type="dxa"/>
            <w:shd w:val="clear" w:color="auto" w:fill="auto"/>
          </w:tcPr>
          <w:p w:rsidR="00B958B1" w:rsidRPr="00A93A6A" w:rsidRDefault="00B958B1" w:rsidP="009F3B54">
            <w:pPr>
              <w:pStyle w:val="TableofFigures"/>
            </w:pPr>
            <w:r>
              <w:t>10</w:t>
            </w:r>
          </w:p>
        </w:tc>
        <w:tc>
          <w:tcPr>
            <w:tcW w:w="992" w:type="dxa"/>
            <w:shd w:val="clear" w:color="auto" w:fill="auto"/>
          </w:tcPr>
          <w:p w:rsidR="00B958B1" w:rsidRPr="00A93A6A" w:rsidRDefault="00B958B1" w:rsidP="009F3B54">
            <w:pPr>
              <w:pStyle w:val="TableofFigures"/>
            </w:pPr>
            <w:r>
              <w:t>0</w:t>
            </w:r>
          </w:p>
        </w:tc>
        <w:tc>
          <w:tcPr>
            <w:tcW w:w="1241" w:type="dxa"/>
            <w:shd w:val="clear" w:color="auto" w:fill="auto"/>
          </w:tcPr>
          <w:p w:rsidR="00B958B1" w:rsidRPr="00550C90" w:rsidRDefault="00B958B1" w:rsidP="009F3B54">
            <w:pPr>
              <w:pStyle w:val="TableofFigures"/>
              <w:rPr>
                <w:rFonts w:asciiTheme="minorHAnsi" w:hAnsiTheme="minorHAnsi" w:cstheme="minorHAnsi"/>
                <w:szCs w:val="20"/>
              </w:rPr>
            </w:pPr>
            <w:r w:rsidRPr="00550C90">
              <w:rPr>
                <w:rFonts w:asciiTheme="minorHAnsi" w:hAnsiTheme="minorHAnsi" w:cstheme="minorHAnsi"/>
                <w:szCs w:val="20"/>
              </w:rPr>
              <w:t>No change</w:t>
            </w:r>
          </w:p>
        </w:tc>
      </w:tr>
      <w:tr w:rsidR="00B958B1" w:rsidRPr="00A93A6A" w:rsidTr="009F3B54">
        <w:trPr>
          <w:cantSplit/>
        </w:trPr>
        <w:tc>
          <w:tcPr>
            <w:tcW w:w="3842" w:type="dxa"/>
            <w:shd w:val="clear" w:color="auto" w:fill="auto"/>
          </w:tcPr>
          <w:p w:rsidR="00B958B1" w:rsidRPr="00A93A6A" w:rsidRDefault="00B958B1" w:rsidP="009F3B54">
            <w:pPr>
              <w:pStyle w:val="Tabletext"/>
            </w:pPr>
            <w:r w:rsidRPr="00A93A6A">
              <w:t>Parliament/VAGO</w:t>
            </w:r>
          </w:p>
        </w:tc>
        <w:tc>
          <w:tcPr>
            <w:tcW w:w="850" w:type="dxa"/>
            <w:shd w:val="clear" w:color="auto" w:fill="auto"/>
          </w:tcPr>
          <w:p w:rsidR="00B958B1" w:rsidRPr="00A93A6A" w:rsidRDefault="00B958B1" w:rsidP="009F3B54">
            <w:pPr>
              <w:pStyle w:val="TableofFigures"/>
            </w:pPr>
            <w:r>
              <w:t>6</w:t>
            </w:r>
          </w:p>
        </w:tc>
        <w:tc>
          <w:tcPr>
            <w:tcW w:w="851" w:type="dxa"/>
            <w:shd w:val="clear" w:color="auto" w:fill="auto"/>
          </w:tcPr>
          <w:p w:rsidR="00B958B1" w:rsidRPr="00A93A6A" w:rsidRDefault="00B958B1" w:rsidP="009F3B54">
            <w:pPr>
              <w:pStyle w:val="TableofFigures"/>
            </w:pPr>
            <w:r>
              <w:t>6</w:t>
            </w:r>
          </w:p>
        </w:tc>
        <w:tc>
          <w:tcPr>
            <w:tcW w:w="992" w:type="dxa"/>
            <w:shd w:val="clear" w:color="auto" w:fill="auto"/>
          </w:tcPr>
          <w:p w:rsidR="00B958B1" w:rsidRPr="00A93A6A" w:rsidRDefault="00B958B1" w:rsidP="009F3B54">
            <w:pPr>
              <w:pStyle w:val="TableofFigures"/>
            </w:pPr>
            <w:r>
              <w:t>0</w:t>
            </w:r>
          </w:p>
        </w:tc>
        <w:tc>
          <w:tcPr>
            <w:tcW w:w="1241" w:type="dxa"/>
            <w:shd w:val="clear" w:color="auto" w:fill="auto"/>
          </w:tcPr>
          <w:p w:rsidR="00B958B1" w:rsidRPr="00550C90" w:rsidRDefault="00B958B1" w:rsidP="009F3B54">
            <w:pPr>
              <w:pStyle w:val="TableofFigures"/>
              <w:rPr>
                <w:rFonts w:asciiTheme="minorHAnsi" w:hAnsiTheme="minorHAnsi" w:cstheme="minorHAnsi"/>
                <w:szCs w:val="20"/>
              </w:rPr>
            </w:pPr>
            <w:r w:rsidRPr="00550C90">
              <w:rPr>
                <w:rFonts w:asciiTheme="minorHAnsi" w:hAnsiTheme="minorHAnsi" w:cstheme="minorHAnsi"/>
                <w:szCs w:val="20"/>
              </w:rPr>
              <w:t>No change</w:t>
            </w:r>
          </w:p>
        </w:tc>
      </w:tr>
      <w:tr w:rsidR="00B958B1" w:rsidRPr="00A93A6A" w:rsidTr="009F3B54">
        <w:trPr>
          <w:cantSplit/>
        </w:trPr>
        <w:tc>
          <w:tcPr>
            <w:tcW w:w="3842" w:type="dxa"/>
            <w:shd w:val="clear" w:color="auto" w:fill="auto"/>
          </w:tcPr>
          <w:p w:rsidR="00B958B1" w:rsidRPr="002E3B8F" w:rsidRDefault="00B958B1" w:rsidP="009F3B54">
            <w:pPr>
              <w:pStyle w:val="Tabletext"/>
              <w:rPr>
                <w:b/>
              </w:rPr>
            </w:pPr>
            <w:r w:rsidRPr="002E3B8F">
              <w:rPr>
                <w:b/>
              </w:rPr>
              <w:t>Old departments</w:t>
            </w:r>
          </w:p>
        </w:tc>
        <w:tc>
          <w:tcPr>
            <w:tcW w:w="850" w:type="dxa"/>
            <w:shd w:val="clear" w:color="auto" w:fill="auto"/>
          </w:tcPr>
          <w:p w:rsidR="00B958B1" w:rsidRDefault="00B958B1" w:rsidP="009F3B54">
            <w:pPr>
              <w:pStyle w:val="TableofFigures"/>
            </w:pPr>
          </w:p>
        </w:tc>
        <w:tc>
          <w:tcPr>
            <w:tcW w:w="851" w:type="dxa"/>
            <w:shd w:val="clear" w:color="auto" w:fill="auto"/>
          </w:tcPr>
          <w:p w:rsidR="00B958B1" w:rsidRDefault="00B958B1" w:rsidP="009F3B54">
            <w:pPr>
              <w:pStyle w:val="TableofFigures"/>
            </w:pPr>
          </w:p>
        </w:tc>
        <w:tc>
          <w:tcPr>
            <w:tcW w:w="992" w:type="dxa"/>
            <w:shd w:val="clear" w:color="auto" w:fill="auto"/>
          </w:tcPr>
          <w:p w:rsidR="00B958B1" w:rsidRDefault="00B958B1" w:rsidP="009F3B54">
            <w:pPr>
              <w:pStyle w:val="TableofFigures"/>
            </w:pPr>
          </w:p>
        </w:tc>
        <w:tc>
          <w:tcPr>
            <w:tcW w:w="1241" w:type="dxa"/>
            <w:shd w:val="clear" w:color="auto" w:fill="auto"/>
          </w:tcPr>
          <w:p w:rsidR="00B958B1" w:rsidRDefault="00B958B1" w:rsidP="009F3B54">
            <w:pPr>
              <w:pStyle w:val="TableofFigures"/>
              <w:rPr>
                <w:rFonts w:asciiTheme="minorHAnsi" w:hAnsiTheme="minorHAnsi" w:cstheme="minorHAnsi"/>
                <w:szCs w:val="20"/>
              </w:rPr>
            </w:pPr>
          </w:p>
        </w:tc>
      </w:tr>
      <w:tr w:rsidR="00B958B1" w:rsidRPr="00A93A6A" w:rsidTr="009F3B54">
        <w:trPr>
          <w:cantSplit/>
        </w:trPr>
        <w:tc>
          <w:tcPr>
            <w:tcW w:w="3842" w:type="dxa"/>
            <w:shd w:val="clear" w:color="auto" w:fill="auto"/>
          </w:tcPr>
          <w:p w:rsidR="00B958B1" w:rsidRDefault="00B958B1" w:rsidP="009F3B54">
            <w:pPr>
              <w:pStyle w:val="Tabletext"/>
            </w:pPr>
            <w:r w:rsidRPr="00A93A6A">
              <w:t xml:space="preserve">Department </w:t>
            </w:r>
            <w:r>
              <w:t>Business and Innovation</w:t>
            </w:r>
          </w:p>
        </w:tc>
        <w:tc>
          <w:tcPr>
            <w:tcW w:w="850" w:type="dxa"/>
            <w:shd w:val="clear" w:color="auto" w:fill="auto"/>
          </w:tcPr>
          <w:p w:rsidR="00B958B1" w:rsidRPr="00A93A6A" w:rsidRDefault="00B958B1" w:rsidP="009F3B54">
            <w:pPr>
              <w:pStyle w:val="TableofFigures"/>
            </w:pPr>
            <w:r>
              <w:t>6</w:t>
            </w:r>
          </w:p>
        </w:tc>
        <w:tc>
          <w:tcPr>
            <w:tcW w:w="851" w:type="dxa"/>
            <w:shd w:val="clear" w:color="auto" w:fill="auto"/>
          </w:tcPr>
          <w:p w:rsidR="00B958B1" w:rsidRPr="00A93A6A" w:rsidRDefault="00B958B1" w:rsidP="009F3B54">
            <w:pPr>
              <w:pStyle w:val="TableofFigures"/>
            </w:pPr>
            <w:r>
              <w:t>0</w:t>
            </w:r>
          </w:p>
        </w:tc>
        <w:tc>
          <w:tcPr>
            <w:tcW w:w="992" w:type="dxa"/>
            <w:shd w:val="clear" w:color="auto" w:fill="auto"/>
          </w:tcPr>
          <w:p w:rsidR="00B958B1" w:rsidRPr="00A93A6A" w:rsidRDefault="00B958B1" w:rsidP="009F3B54">
            <w:pPr>
              <w:pStyle w:val="TableofFigures"/>
            </w:pPr>
            <w:r>
              <w:t>(6)</w:t>
            </w:r>
          </w:p>
        </w:tc>
        <w:tc>
          <w:tcPr>
            <w:tcW w:w="1241" w:type="dxa"/>
            <w:shd w:val="clear" w:color="auto" w:fill="auto"/>
          </w:tcPr>
          <w:p w:rsidR="00B958B1" w:rsidRPr="00BC6704" w:rsidRDefault="00B958B1" w:rsidP="009F3B54">
            <w:pPr>
              <w:jc w:val="right"/>
              <w:rPr>
                <w:rFonts w:ascii="Calibri" w:hAnsi="Calibri" w:cs="Calibri"/>
                <w:sz w:val="20"/>
              </w:rPr>
            </w:pPr>
            <w:r w:rsidRPr="00BC6704">
              <w:rPr>
                <w:rFonts w:ascii="Calibri" w:hAnsi="Calibri" w:cs="Calibri"/>
                <w:sz w:val="20"/>
              </w:rPr>
              <w:t>MOG</w:t>
            </w:r>
          </w:p>
        </w:tc>
      </w:tr>
      <w:tr w:rsidR="00B958B1" w:rsidRPr="00A93A6A" w:rsidTr="009F3B54">
        <w:trPr>
          <w:cantSplit/>
        </w:trPr>
        <w:tc>
          <w:tcPr>
            <w:tcW w:w="3842" w:type="dxa"/>
            <w:shd w:val="clear" w:color="auto" w:fill="auto"/>
          </w:tcPr>
          <w:p w:rsidR="00B958B1" w:rsidRPr="00A93A6A" w:rsidRDefault="00B958B1" w:rsidP="009F3B54">
            <w:pPr>
              <w:pStyle w:val="Tabletext"/>
            </w:pPr>
            <w:r>
              <w:t>Department of Planning and Community Development</w:t>
            </w:r>
          </w:p>
        </w:tc>
        <w:tc>
          <w:tcPr>
            <w:tcW w:w="850" w:type="dxa"/>
            <w:shd w:val="clear" w:color="auto" w:fill="auto"/>
          </w:tcPr>
          <w:p w:rsidR="00B958B1" w:rsidRDefault="00B958B1" w:rsidP="009F3B54">
            <w:pPr>
              <w:pStyle w:val="TableofFigures"/>
            </w:pPr>
            <w:r>
              <w:t>7</w:t>
            </w:r>
          </w:p>
        </w:tc>
        <w:tc>
          <w:tcPr>
            <w:tcW w:w="851" w:type="dxa"/>
            <w:shd w:val="clear" w:color="auto" w:fill="auto"/>
          </w:tcPr>
          <w:p w:rsidR="00B958B1" w:rsidRPr="00A93A6A" w:rsidRDefault="00B958B1" w:rsidP="009F3B54">
            <w:pPr>
              <w:pStyle w:val="TableofFigures"/>
            </w:pPr>
            <w:r>
              <w:t>0</w:t>
            </w:r>
          </w:p>
        </w:tc>
        <w:tc>
          <w:tcPr>
            <w:tcW w:w="992" w:type="dxa"/>
            <w:shd w:val="clear" w:color="auto" w:fill="auto"/>
          </w:tcPr>
          <w:p w:rsidR="00B958B1" w:rsidRPr="00A93A6A" w:rsidRDefault="00B958B1" w:rsidP="009F3B54">
            <w:pPr>
              <w:pStyle w:val="TableofFigures"/>
            </w:pPr>
            <w:r>
              <w:t>(7)</w:t>
            </w:r>
          </w:p>
        </w:tc>
        <w:tc>
          <w:tcPr>
            <w:tcW w:w="1241" w:type="dxa"/>
            <w:shd w:val="clear" w:color="auto" w:fill="auto"/>
          </w:tcPr>
          <w:p w:rsidR="00B958B1" w:rsidRPr="00550C90" w:rsidRDefault="00B958B1" w:rsidP="009F3B54">
            <w:pPr>
              <w:jc w:val="right"/>
              <w:rPr>
                <w:rFonts w:asciiTheme="minorHAnsi" w:hAnsiTheme="minorHAnsi" w:cstheme="minorHAnsi"/>
                <w:sz w:val="20"/>
              </w:rPr>
            </w:pPr>
            <w:r>
              <w:rPr>
                <w:rFonts w:asciiTheme="minorHAnsi" w:hAnsiTheme="minorHAnsi" w:cstheme="minorHAnsi"/>
                <w:sz w:val="20"/>
              </w:rPr>
              <w:t>MOG</w:t>
            </w:r>
          </w:p>
        </w:tc>
      </w:tr>
      <w:tr w:rsidR="00B958B1" w:rsidRPr="00A93A6A" w:rsidTr="009F3B54">
        <w:trPr>
          <w:cantSplit/>
        </w:trPr>
        <w:tc>
          <w:tcPr>
            <w:tcW w:w="3842" w:type="dxa"/>
            <w:shd w:val="clear" w:color="auto" w:fill="auto"/>
          </w:tcPr>
          <w:p w:rsidR="00B958B1" w:rsidRPr="00A93A6A" w:rsidRDefault="00B958B1" w:rsidP="009F3B54">
            <w:pPr>
              <w:pStyle w:val="Tabletext"/>
            </w:pPr>
            <w:r>
              <w:t>Department of Primary Industries</w:t>
            </w:r>
          </w:p>
        </w:tc>
        <w:tc>
          <w:tcPr>
            <w:tcW w:w="850" w:type="dxa"/>
            <w:shd w:val="clear" w:color="auto" w:fill="auto"/>
          </w:tcPr>
          <w:p w:rsidR="00B958B1" w:rsidRDefault="00B958B1" w:rsidP="009F3B54">
            <w:pPr>
              <w:pStyle w:val="TableofFigures"/>
            </w:pPr>
            <w:r>
              <w:t>4</w:t>
            </w:r>
          </w:p>
        </w:tc>
        <w:tc>
          <w:tcPr>
            <w:tcW w:w="851" w:type="dxa"/>
            <w:shd w:val="clear" w:color="auto" w:fill="auto"/>
          </w:tcPr>
          <w:p w:rsidR="00B958B1" w:rsidRPr="00A93A6A" w:rsidRDefault="00B958B1" w:rsidP="009F3B54">
            <w:pPr>
              <w:pStyle w:val="TableofFigures"/>
            </w:pPr>
            <w:r>
              <w:t>0</w:t>
            </w:r>
          </w:p>
        </w:tc>
        <w:tc>
          <w:tcPr>
            <w:tcW w:w="992" w:type="dxa"/>
            <w:shd w:val="clear" w:color="auto" w:fill="auto"/>
          </w:tcPr>
          <w:p w:rsidR="00B958B1" w:rsidRPr="00A93A6A" w:rsidRDefault="00B958B1" w:rsidP="009F3B54">
            <w:pPr>
              <w:pStyle w:val="TableofFigures"/>
            </w:pPr>
            <w:r>
              <w:t>(4)</w:t>
            </w:r>
          </w:p>
        </w:tc>
        <w:tc>
          <w:tcPr>
            <w:tcW w:w="1241" w:type="dxa"/>
            <w:shd w:val="clear" w:color="auto" w:fill="auto"/>
          </w:tcPr>
          <w:p w:rsidR="00B958B1" w:rsidRPr="008D6615" w:rsidRDefault="00B958B1" w:rsidP="009F3B54">
            <w:pPr>
              <w:jc w:val="right"/>
            </w:pPr>
            <w:r w:rsidRPr="00BC6704">
              <w:rPr>
                <w:rFonts w:ascii="Calibri" w:hAnsi="Calibri" w:cs="Calibri"/>
                <w:sz w:val="20"/>
              </w:rPr>
              <w:t>MOG</w:t>
            </w:r>
          </w:p>
        </w:tc>
      </w:tr>
      <w:tr w:rsidR="00B958B1" w:rsidRPr="00A93A6A" w:rsidTr="009F3B54">
        <w:trPr>
          <w:cantSplit/>
        </w:trPr>
        <w:tc>
          <w:tcPr>
            <w:tcW w:w="3842" w:type="dxa"/>
            <w:shd w:val="clear" w:color="auto" w:fill="auto"/>
          </w:tcPr>
          <w:p w:rsidR="00B958B1" w:rsidRPr="00A93A6A" w:rsidRDefault="00B958B1" w:rsidP="009F3B54">
            <w:pPr>
              <w:pStyle w:val="Tabletext"/>
            </w:pPr>
            <w:r>
              <w:t>Department of Sustainability and Environment</w:t>
            </w:r>
          </w:p>
        </w:tc>
        <w:tc>
          <w:tcPr>
            <w:tcW w:w="850" w:type="dxa"/>
            <w:shd w:val="clear" w:color="auto" w:fill="auto"/>
          </w:tcPr>
          <w:p w:rsidR="00B958B1" w:rsidRPr="00A93A6A" w:rsidRDefault="00B958B1" w:rsidP="009F3B54">
            <w:pPr>
              <w:pStyle w:val="TableofFigures"/>
            </w:pPr>
            <w:r>
              <w:t>9</w:t>
            </w:r>
          </w:p>
        </w:tc>
        <w:tc>
          <w:tcPr>
            <w:tcW w:w="851" w:type="dxa"/>
            <w:shd w:val="clear" w:color="auto" w:fill="auto"/>
          </w:tcPr>
          <w:p w:rsidR="00B958B1" w:rsidRPr="00A93A6A" w:rsidRDefault="00B958B1" w:rsidP="009F3B54">
            <w:pPr>
              <w:pStyle w:val="TableofFigures"/>
            </w:pPr>
            <w:r>
              <w:t>0</w:t>
            </w:r>
          </w:p>
        </w:tc>
        <w:tc>
          <w:tcPr>
            <w:tcW w:w="992" w:type="dxa"/>
            <w:shd w:val="clear" w:color="auto" w:fill="auto"/>
          </w:tcPr>
          <w:p w:rsidR="00B958B1" w:rsidRPr="00A93A6A" w:rsidRDefault="00B958B1" w:rsidP="009F3B54">
            <w:pPr>
              <w:pStyle w:val="TableofFigures"/>
            </w:pPr>
            <w:r>
              <w:t>(9)</w:t>
            </w:r>
          </w:p>
        </w:tc>
        <w:tc>
          <w:tcPr>
            <w:tcW w:w="1241" w:type="dxa"/>
            <w:shd w:val="clear" w:color="auto" w:fill="auto"/>
          </w:tcPr>
          <w:p w:rsidR="00B958B1" w:rsidRPr="00BC6704" w:rsidRDefault="00B958B1" w:rsidP="009F3B54">
            <w:pPr>
              <w:jc w:val="right"/>
              <w:rPr>
                <w:rFonts w:ascii="Calibri" w:hAnsi="Calibri" w:cs="Calibri"/>
                <w:sz w:val="20"/>
              </w:rPr>
            </w:pPr>
            <w:r w:rsidRPr="00BC6704">
              <w:rPr>
                <w:rFonts w:ascii="Calibri" w:hAnsi="Calibri" w:cs="Calibri"/>
                <w:sz w:val="20"/>
              </w:rPr>
              <w:t>MOG</w:t>
            </w:r>
          </w:p>
        </w:tc>
      </w:tr>
      <w:tr w:rsidR="00B958B1" w:rsidRPr="00A93A6A" w:rsidTr="009F3B54">
        <w:trPr>
          <w:cantSplit/>
        </w:trPr>
        <w:tc>
          <w:tcPr>
            <w:tcW w:w="3842" w:type="dxa"/>
            <w:shd w:val="clear" w:color="auto" w:fill="auto"/>
          </w:tcPr>
          <w:p w:rsidR="00B958B1" w:rsidRPr="00A93A6A" w:rsidRDefault="00B958B1" w:rsidP="009F3B54">
            <w:pPr>
              <w:pStyle w:val="Tabletext"/>
            </w:pPr>
            <w:r w:rsidRPr="00A93A6A">
              <w:t>Department of Transport</w:t>
            </w:r>
          </w:p>
        </w:tc>
        <w:tc>
          <w:tcPr>
            <w:tcW w:w="850" w:type="dxa"/>
            <w:shd w:val="clear" w:color="auto" w:fill="auto"/>
          </w:tcPr>
          <w:p w:rsidR="00B958B1" w:rsidRPr="00A93A6A" w:rsidRDefault="00B958B1" w:rsidP="009F3B54">
            <w:pPr>
              <w:pStyle w:val="TableofFigures"/>
            </w:pPr>
            <w:r>
              <w:t>10</w:t>
            </w:r>
          </w:p>
        </w:tc>
        <w:tc>
          <w:tcPr>
            <w:tcW w:w="851" w:type="dxa"/>
            <w:shd w:val="clear" w:color="auto" w:fill="auto"/>
          </w:tcPr>
          <w:p w:rsidR="00B958B1" w:rsidRPr="00A93A6A" w:rsidRDefault="00B958B1" w:rsidP="009F3B54">
            <w:pPr>
              <w:pStyle w:val="TableofFigures"/>
            </w:pPr>
            <w:r>
              <w:t>0</w:t>
            </w:r>
          </w:p>
        </w:tc>
        <w:tc>
          <w:tcPr>
            <w:tcW w:w="992" w:type="dxa"/>
            <w:shd w:val="clear" w:color="auto" w:fill="auto"/>
          </w:tcPr>
          <w:p w:rsidR="00B958B1" w:rsidRPr="00A93A6A" w:rsidRDefault="00B958B1" w:rsidP="009F3B54">
            <w:pPr>
              <w:pStyle w:val="TableofFigures"/>
            </w:pPr>
            <w:r>
              <w:t>(10)</w:t>
            </w:r>
          </w:p>
        </w:tc>
        <w:tc>
          <w:tcPr>
            <w:tcW w:w="1241" w:type="dxa"/>
            <w:shd w:val="clear" w:color="auto" w:fill="auto"/>
          </w:tcPr>
          <w:p w:rsidR="00B958B1" w:rsidRPr="00BC6704" w:rsidRDefault="00B958B1" w:rsidP="009F3B54">
            <w:pPr>
              <w:jc w:val="right"/>
              <w:rPr>
                <w:rFonts w:ascii="Calibri" w:hAnsi="Calibri" w:cs="Calibri"/>
                <w:sz w:val="20"/>
              </w:rPr>
            </w:pPr>
            <w:r w:rsidRPr="00BC6704">
              <w:rPr>
                <w:rFonts w:ascii="Calibri" w:hAnsi="Calibri" w:cs="Calibri"/>
                <w:sz w:val="20"/>
              </w:rPr>
              <w:t>MOG</w:t>
            </w:r>
          </w:p>
        </w:tc>
      </w:tr>
      <w:tr w:rsidR="00B958B1" w:rsidRPr="00A93A6A" w:rsidTr="009F3B54">
        <w:trPr>
          <w:cantSplit/>
        </w:trPr>
        <w:tc>
          <w:tcPr>
            <w:tcW w:w="3842" w:type="dxa"/>
            <w:shd w:val="clear" w:color="auto" w:fill="auto"/>
          </w:tcPr>
          <w:p w:rsidR="00B958B1" w:rsidRPr="002E3B8F" w:rsidRDefault="00B958B1" w:rsidP="009F3B54">
            <w:pPr>
              <w:pStyle w:val="Tabletext"/>
              <w:rPr>
                <w:b/>
              </w:rPr>
            </w:pPr>
            <w:r w:rsidRPr="002E3B8F">
              <w:rPr>
                <w:b/>
              </w:rPr>
              <w:t>New departments</w:t>
            </w:r>
          </w:p>
        </w:tc>
        <w:tc>
          <w:tcPr>
            <w:tcW w:w="850" w:type="dxa"/>
            <w:shd w:val="clear" w:color="auto" w:fill="auto"/>
          </w:tcPr>
          <w:p w:rsidR="00B958B1" w:rsidRDefault="00B958B1" w:rsidP="009F3B54">
            <w:pPr>
              <w:pStyle w:val="TableofFigures"/>
            </w:pPr>
          </w:p>
        </w:tc>
        <w:tc>
          <w:tcPr>
            <w:tcW w:w="851" w:type="dxa"/>
            <w:shd w:val="clear" w:color="auto" w:fill="auto"/>
          </w:tcPr>
          <w:p w:rsidR="00B958B1" w:rsidRDefault="00B958B1" w:rsidP="009F3B54">
            <w:pPr>
              <w:pStyle w:val="TableofFigures"/>
            </w:pPr>
          </w:p>
        </w:tc>
        <w:tc>
          <w:tcPr>
            <w:tcW w:w="992" w:type="dxa"/>
            <w:shd w:val="clear" w:color="auto" w:fill="auto"/>
          </w:tcPr>
          <w:p w:rsidR="00B958B1" w:rsidRDefault="00B958B1" w:rsidP="009F3B54">
            <w:pPr>
              <w:pStyle w:val="TableofFigures"/>
            </w:pPr>
          </w:p>
        </w:tc>
        <w:tc>
          <w:tcPr>
            <w:tcW w:w="1241" w:type="dxa"/>
            <w:shd w:val="clear" w:color="auto" w:fill="auto"/>
          </w:tcPr>
          <w:p w:rsidR="00B958B1" w:rsidRDefault="00B958B1" w:rsidP="009F3B54">
            <w:pPr>
              <w:pStyle w:val="TableofFigures"/>
              <w:rPr>
                <w:rFonts w:asciiTheme="minorHAnsi" w:hAnsiTheme="minorHAnsi" w:cstheme="minorHAnsi"/>
                <w:szCs w:val="20"/>
              </w:rPr>
            </w:pPr>
          </w:p>
        </w:tc>
      </w:tr>
      <w:tr w:rsidR="00B958B1" w:rsidRPr="002E3B8F" w:rsidTr="009F3B54">
        <w:trPr>
          <w:cantSplit/>
        </w:trPr>
        <w:tc>
          <w:tcPr>
            <w:tcW w:w="3842" w:type="dxa"/>
            <w:shd w:val="clear" w:color="auto" w:fill="auto"/>
          </w:tcPr>
          <w:p w:rsidR="00B958B1" w:rsidRPr="00A93A6A" w:rsidRDefault="00B958B1" w:rsidP="009F3B54">
            <w:pPr>
              <w:pStyle w:val="Tabletext"/>
            </w:pPr>
            <w:r>
              <w:t>Department of Environment and Primary Industries</w:t>
            </w:r>
          </w:p>
        </w:tc>
        <w:tc>
          <w:tcPr>
            <w:tcW w:w="850" w:type="dxa"/>
            <w:shd w:val="clear" w:color="auto" w:fill="auto"/>
          </w:tcPr>
          <w:p w:rsidR="00B958B1" w:rsidRPr="00A93A6A" w:rsidRDefault="00B958B1" w:rsidP="009F3B54">
            <w:pPr>
              <w:pStyle w:val="TableofFigures"/>
            </w:pPr>
            <w:r>
              <w:t>0</w:t>
            </w:r>
          </w:p>
        </w:tc>
        <w:tc>
          <w:tcPr>
            <w:tcW w:w="851" w:type="dxa"/>
            <w:shd w:val="clear" w:color="auto" w:fill="auto"/>
          </w:tcPr>
          <w:p w:rsidR="00B958B1" w:rsidRPr="00A93A6A" w:rsidRDefault="00B958B1" w:rsidP="009F3B54">
            <w:pPr>
              <w:pStyle w:val="TableofFigures"/>
            </w:pPr>
            <w:r>
              <w:t>8</w:t>
            </w:r>
          </w:p>
        </w:tc>
        <w:tc>
          <w:tcPr>
            <w:tcW w:w="992" w:type="dxa"/>
            <w:shd w:val="clear" w:color="auto" w:fill="auto"/>
          </w:tcPr>
          <w:p w:rsidR="00B958B1" w:rsidRPr="00A93A6A" w:rsidRDefault="00B958B1" w:rsidP="009F3B54">
            <w:pPr>
              <w:pStyle w:val="TableofFigures"/>
            </w:pPr>
            <w:r>
              <w:t>8</w:t>
            </w:r>
          </w:p>
        </w:tc>
        <w:tc>
          <w:tcPr>
            <w:tcW w:w="1241" w:type="dxa"/>
            <w:shd w:val="clear" w:color="auto" w:fill="auto"/>
          </w:tcPr>
          <w:p w:rsidR="00B958B1" w:rsidRPr="002E3B8F" w:rsidRDefault="00B958B1" w:rsidP="009F3B54">
            <w:pPr>
              <w:pStyle w:val="TableofFigures"/>
              <w:rPr>
                <w:rFonts w:cs="Calibri"/>
                <w:szCs w:val="20"/>
              </w:rPr>
            </w:pPr>
            <w:r w:rsidRPr="002E3B8F">
              <w:rPr>
                <w:rFonts w:cs="Calibri"/>
                <w:szCs w:val="20"/>
              </w:rPr>
              <w:t>MOG/ Restructure</w:t>
            </w:r>
          </w:p>
        </w:tc>
      </w:tr>
      <w:tr w:rsidR="00B958B1" w:rsidRPr="00A93A6A" w:rsidTr="009F3B54">
        <w:trPr>
          <w:cantSplit/>
        </w:trPr>
        <w:tc>
          <w:tcPr>
            <w:tcW w:w="3842" w:type="dxa"/>
            <w:shd w:val="clear" w:color="auto" w:fill="auto"/>
          </w:tcPr>
          <w:p w:rsidR="00B958B1" w:rsidRPr="00A93A6A" w:rsidRDefault="00B958B1" w:rsidP="009F3B54">
            <w:pPr>
              <w:pStyle w:val="Tabletext"/>
            </w:pPr>
            <w:r w:rsidRPr="00A93A6A">
              <w:t xml:space="preserve">Department of </w:t>
            </w:r>
            <w:r>
              <w:t>State Development, Business and Innovation</w:t>
            </w:r>
          </w:p>
        </w:tc>
        <w:tc>
          <w:tcPr>
            <w:tcW w:w="850" w:type="dxa"/>
            <w:shd w:val="clear" w:color="auto" w:fill="auto"/>
          </w:tcPr>
          <w:p w:rsidR="00B958B1" w:rsidRPr="00A93A6A" w:rsidRDefault="00B958B1" w:rsidP="009F3B54">
            <w:pPr>
              <w:pStyle w:val="TableofFigures"/>
            </w:pPr>
            <w:r>
              <w:t>0</w:t>
            </w:r>
          </w:p>
        </w:tc>
        <w:tc>
          <w:tcPr>
            <w:tcW w:w="851" w:type="dxa"/>
            <w:shd w:val="clear" w:color="auto" w:fill="auto"/>
          </w:tcPr>
          <w:p w:rsidR="00B958B1" w:rsidRPr="00A93A6A" w:rsidRDefault="00B958B1" w:rsidP="009F3B54">
            <w:pPr>
              <w:pStyle w:val="TableofFigures"/>
            </w:pPr>
            <w:r>
              <w:t>8</w:t>
            </w:r>
          </w:p>
        </w:tc>
        <w:tc>
          <w:tcPr>
            <w:tcW w:w="992" w:type="dxa"/>
            <w:shd w:val="clear" w:color="auto" w:fill="auto"/>
          </w:tcPr>
          <w:p w:rsidR="00B958B1" w:rsidRPr="00A93A6A" w:rsidRDefault="00B958B1" w:rsidP="009F3B54">
            <w:pPr>
              <w:pStyle w:val="TableofFigures"/>
            </w:pPr>
            <w:r>
              <w:t>8</w:t>
            </w:r>
          </w:p>
        </w:tc>
        <w:tc>
          <w:tcPr>
            <w:tcW w:w="1241" w:type="dxa"/>
            <w:shd w:val="clear" w:color="auto" w:fill="auto"/>
          </w:tcPr>
          <w:p w:rsidR="00B958B1" w:rsidRPr="00550C90" w:rsidRDefault="00B958B1" w:rsidP="009F3B54">
            <w:pPr>
              <w:pStyle w:val="TableofFigures"/>
              <w:rPr>
                <w:rFonts w:asciiTheme="minorHAnsi" w:hAnsiTheme="minorHAnsi" w:cstheme="minorHAnsi"/>
              </w:rPr>
            </w:pPr>
            <w:r w:rsidRPr="00BC6704">
              <w:rPr>
                <w:rFonts w:asciiTheme="minorHAnsi" w:hAnsiTheme="minorHAnsi" w:cstheme="minorHAnsi"/>
                <w:szCs w:val="20"/>
              </w:rPr>
              <w:t>MOG/</w:t>
            </w:r>
            <w:r>
              <w:rPr>
                <w:rFonts w:asciiTheme="minorHAnsi" w:hAnsiTheme="minorHAnsi" w:cstheme="minorHAnsi"/>
                <w:szCs w:val="20"/>
              </w:rPr>
              <w:t xml:space="preserve"> R</w:t>
            </w:r>
            <w:r w:rsidRPr="00BC6704">
              <w:rPr>
                <w:rFonts w:asciiTheme="minorHAnsi" w:hAnsiTheme="minorHAnsi" w:cstheme="minorHAnsi"/>
                <w:szCs w:val="20"/>
              </w:rPr>
              <w:t>estructure</w:t>
            </w:r>
          </w:p>
        </w:tc>
      </w:tr>
      <w:tr w:rsidR="00B958B1" w:rsidRPr="00A93A6A" w:rsidTr="009F3B54">
        <w:trPr>
          <w:cantSplit/>
        </w:trPr>
        <w:tc>
          <w:tcPr>
            <w:tcW w:w="3842" w:type="dxa"/>
            <w:shd w:val="clear" w:color="auto" w:fill="auto"/>
          </w:tcPr>
          <w:p w:rsidR="00B958B1" w:rsidRPr="00A93A6A" w:rsidRDefault="00B958B1" w:rsidP="009F3B54">
            <w:pPr>
              <w:pStyle w:val="Tabletext"/>
            </w:pPr>
            <w:r w:rsidRPr="00A93A6A">
              <w:t>Department of Transport</w:t>
            </w:r>
            <w:r>
              <w:t>, Planning and Local Infrastructure</w:t>
            </w:r>
          </w:p>
        </w:tc>
        <w:tc>
          <w:tcPr>
            <w:tcW w:w="850" w:type="dxa"/>
            <w:shd w:val="clear" w:color="auto" w:fill="auto"/>
          </w:tcPr>
          <w:p w:rsidR="00B958B1" w:rsidRPr="00A93A6A" w:rsidRDefault="00B958B1" w:rsidP="009F3B54">
            <w:pPr>
              <w:pStyle w:val="TableofFigures"/>
            </w:pPr>
            <w:r>
              <w:t>0</w:t>
            </w:r>
          </w:p>
        </w:tc>
        <w:tc>
          <w:tcPr>
            <w:tcW w:w="851" w:type="dxa"/>
            <w:shd w:val="clear" w:color="auto" w:fill="auto"/>
          </w:tcPr>
          <w:p w:rsidR="00B958B1" w:rsidRPr="00A93A6A" w:rsidRDefault="00B958B1" w:rsidP="009F3B54">
            <w:pPr>
              <w:pStyle w:val="TableofFigures"/>
            </w:pPr>
            <w:r>
              <w:t>15</w:t>
            </w:r>
          </w:p>
        </w:tc>
        <w:tc>
          <w:tcPr>
            <w:tcW w:w="992" w:type="dxa"/>
            <w:shd w:val="clear" w:color="auto" w:fill="auto"/>
          </w:tcPr>
          <w:p w:rsidR="00B958B1" w:rsidRPr="00A93A6A" w:rsidRDefault="00B958B1" w:rsidP="009F3B54">
            <w:pPr>
              <w:pStyle w:val="TableofFigures"/>
            </w:pPr>
            <w:r>
              <w:t>15</w:t>
            </w:r>
          </w:p>
        </w:tc>
        <w:tc>
          <w:tcPr>
            <w:tcW w:w="1241" w:type="dxa"/>
            <w:shd w:val="clear" w:color="auto" w:fill="auto"/>
          </w:tcPr>
          <w:p w:rsidR="00B958B1" w:rsidRPr="00550C90" w:rsidRDefault="00B958B1" w:rsidP="009F3B54">
            <w:pPr>
              <w:jc w:val="right"/>
              <w:rPr>
                <w:rFonts w:asciiTheme="minorHAnsi" w:hAnsiTheme="minorHAnsi" w:cstheme="minorHAnsi"/>
                <w:sz w:val="20"/>
              </w:rPr>
            </w:pPr>
            <w:r>
              <w:rPr>
                <w:rFonts w:asciiTheme="minorHAnsi" w:hAnsiTheme="minorHAnsi" w:cstheme="minorHAnsi"/>
                <w:sz w:val="20"/>
              </w:rPr>
              <w:t>MOG/ Restructure</w:t>
            </w:r>
          </w:p>
        </w:tc>
      </w:tr>
      <w:tr w:rsidR="00B958B1" w:rsidRPr="00993275" w:rsidTr="009F3B54">
        <w:trPr>
          <w:cantSplit/>
        </w:trPr>
        <w:tc>
          <w:tcPr>
            <w:tcW w:w="3842" w:type="dxa"/>
            <w:tcBorders>
              <w:top w:val="single" w:sz="6" w:space="0" w:color="auto"/>
              <w:bottom w:val="single" w:sz="12" w:space="0" w:color="auto"/>
            </w:tcBorders>
            <w:shd w:val="clear" w:color="auto" w:fill="auto"/>
          </w:tcPr>
          <w:p w:rsidR="00B958B1" w:rsidRPr="00993275" w:rsidRDefault="00B958B1" w:rsidP="009F3B54">
            <w:pPr>
              <w:pStyle w:val="Tabletext"/>
              <w:rPr>
                <w:b/>
              </w:rPr>
            </w:pPr>
            <w:r w:rsidRPr="00993275">
              <w:rPr>
                <w:b/>
              </w:rPr>
              <w:t>Total</w:t>
            </w:r>
          </w:p>
        </w:tc>
        <w:tc>
          <w:tcPr>
            <w:tcW w:w="850" w:type="dxa"/>
            <w:tcBorders>
              <w:top w:val="single" w:sz="6" w:space="0" w:color="auto"/>
              <w:bottom w:val="single" w:sz="12" w:space="0" w:color="auto"/>
            </w:tcBorders>
            <w:shd w:val="clear" w:color="auto" w:fill="auto"/>
          </w:tcPr>
          <w:p w:rsidR="00B958B1" w:rsidRPr="00993275" w:rsidRDefault="00B958B1" w:rsidP="009F3B54">
            <w:pPr>
              <w:pStyle w:val="TableofFigures"/>
              <w:rPr>
                <w:b/>
              </w:rPr>
            </w:pPr>
            <w:r>
              <w:rPr>
                <w:b/>
              </w:rPr>
              <w:t>127</w:t>
            </w:r>
          </w:p>
        </w:tc>
        <w:tc>
          <w:tcPr>
            <w:tcW w:w="851" w:type="dxa"/>
            <w:tcBorders>
              <w:top w:val="single" w:sz="6" w:space="0" w:color="auto"/>
              <w:bottom w:val="single" w:sz="12" w:space="0" w:color="auto"/>
            </w:tcBorders>
            <w:shd w:val="clear" w:color="auto" w:fill="auto"/>
          </w:tcPr>
          <w:p w:rsidR="00B958B1" w:rsidRPr="00993275" w:rsidRDefault="00B958B1" w:rsidP="009F3B54">
            <w:pPr>
              <w:pStyle w:val="TableofFigures"/>
              <w:rPr>
                <w:b/>
              </w:rPr>
            </w:pPr>
            <w:r>
              <w:rPr>
                <w:b/>
              </w:rPr>
              <w:t>116</w:t>
            </w:r>
          </w:p>
        </w:tc>
        <w:tc>
          <w:tcPr>
            <w:tcW w:w="992" w:type="dxa"/>
            <w:tcBorders>
              <w:top w:val="single" w:sz="6" w:space="0" w:color="auto"/>
              <w:bottom w:val="single" w:sz="12" w:space="0" w:color="auto"/>
            </w:tcBorders>
            <w:shd w:val="clear" w:color="auto" w:fill="auto"/>
          </w:tcPr>
          <w:p w:rsidR="00B958B1" w:rsidRPr="00993275" w:rsidRDefault="00B958B1" w:rsidP="009F3B54">
            <w:pPr>
              <w:pStyle w:val="TableofFigures"/>
              <w:rPr>
                <w:b/>
              </w:rPr>
            </w:pPr>
            <w:r>
              <w:rPr>
                <w:b/>
              </w:rPr>
              <w:t>(11)</w:t>
            </w:r>
          </w:p>
        </w:tc>
        <w:tc>
          <w:tcPr>
            <w:tcW w:w="1241" w:type="dxa"/>
            <w:tcBorders>
              <w:top w:val="single" w:sz="6" w:space="0" w:color="auto"/>
              <w:bottom w:val="single" w:sz="12" w:space="0" w:color="auto"/>
            </w:tcBorders>
            <w:shd w:val="clear" w:color="auto" w:fill="auto"/>
          </w:tcPr>
          <w:p w:rsidR="00B958B1" w:rsidRPr="00993275" w:rsidRDefault="00B958B1" w:rsidP="009F3B54">
            <w:pPr>
              <w:pStyle w:val="TableofFigures"/>
              <w:rPr>
                <w:b/>
              </w:rPr>
            </w:pPr>
          </w:p>
        </w:tc>
      </w:tr>
    </w:tbl>
    <w:p w:rsidR="00B958B1" w:rsidRPr="00EC6ECC" w:rsidRDefault="00B958B1" w:rsidP="009F3B54">
      <w:pPr>
        <w:pStyle w:val="Notes"/>
      </w:pPr>
    </w:p>
    <w:p w:rsidR="00B958B1" w:rsidRDefault="00B958B1" w:rsidP="009F3B54">
      <w:pPr>
        <w:pStyle w:val="BulletText"/>
        <w:numPr>
          <w:ilvl w:val="0"/>
          <w:numId w:val="0"/>
        </w:numPr>
      </w:pPr>
    </w:p>
    <w:p w:rsidR="00B958B1" w:rsidRDefault="00B958B1" w:rsidP="009F3B54">
      <w:pPr>
        <w:pStyle w:val="BulletText"/>
        <w:numPr>
          <w:ilvl w:val="0"/>
          <w:numId w:val="0"/>
        </w:numPr>
      </w:pPr>
      <w:r>
        <w:t xml:space="preserve">As the </w:t>
      </w:r>
      <w:r w:rsidRPr="00964721">
        <w:rPr>
          <w:i/>
        </w:rPr>
        <w:t>2013</w:t>
      </w:r>
      <w:r w:rsidR="009F0F49">
        <w:rPr>
          <w:i/>
        </w:rPr>
        <w:noBreakHyphen/>
      </w:r>
      <w:r w:rsidRPr="00964721">
        <w:rPr>
          <w:i/>
        </w:rPr>
        <w:t>14 Budget</w:t>
      </w:r>
      <w:r>
        <w:t xml:space="preserve"> reflects the full impact of the machinery of government changes effective from 1 July 2013, care needs to be taken when comparing these figures to unadjusted 2012</w:t>
      </w:r>
      <w:r w:rsidR="009F0F49">
        <w:noBreakHyphen/>
      </w:r>
      <w:r>
        <w:t>13 estimates. Footnotes have been included for tables where there has been a significant impact on the 2013</w:t>
      </w:r>
      <w:r w:rsidR="009F0F49">
        <w:noBreakHyphen/>
      </w:r>
      <w:r>
        <w:t>14 estimates from the changes.</w:t>
      </w:r>
    </w:p>
    <w:p w:rsidR="00B958B1" w:rsidRDefault="00B958B1" w:rsidP="009F3B54">
      <w:pPr>
        <w:pStyle w:val="BulletText"/>
        <w:numPr>
          <w:ilvl w:val="0"/>
          <w:numId w:val="0"/>
        </w:numPr>
      </w:pPr>
      <w:r>
        <w:br w:type="page"/>
        <w:t>The machinery of government changes include the merging of functions of the Department of Planning and Community Development and the Department of Primary Industries into various other departments, which have been factored into the statements in the manner mentioned above. In addition, the following name changes were effected by Order in Council on 9 April 2013 and new department names have been included in the tables:</w:t>
      </w:r>
    </w:p>
    <w:p w:rsidR="00B958B1" w:rsidRPr="002C3972" w:rsidRDefault="00B958B1" w:rsidP="009F3B54">
      <w:pPr>
        <w:pStyle w:val="BulletText"/>
      </w:pPr>
      <w:r w:rsidRPr="002C3972">
        <w:t xml:space="preserve">Department of State </w:t>
      </w:r>
      <w:r w:rsidRPr="003B3A66">
        <w:t>Development</w:t>
      </w:r>
      <w:r w:rsidRPr="002C3972">
        <w:t>, Business and Innovation, formerly the Department of Business and Innovation;</w:t>
      </w:r>
    </w:p>
    <w:p w:rsidR="00B958B1" w:rsidRPr="002C3972" w:rsidRDefault="00B958B1" w:rsidP="009F3B54">
      <w:pPr>
        <w:pStyle w:val="BulletText"/>
      </w:pPr>
      <w:r w:rsidRPr="002C3972">
        <w:t>Department of Transport, Planning and Local Infrastructure, formerly the Department of Transport; and</w:t>
      </w:r>
    </w:p>
    <w:p w:rsidR="00B958B1" w:rsidRDefault="00B958B1" w:rsidP="009F3B54">
      <w:pPr>
        <w:pStyle w:val="BulletText"/>
      </w:pPr>
      <w:r w:rsidRPr="002C3972">
        <w:t>Department of Environment and Primary Industries, formerly the Department of Sustainability and</w:t>
      </w:r>
      <w:r>
        <w:t xml:space="preserve"> Environment.</w:t>
      </w:r>
    </w:p>
    <w:p w:rsidR="00B958B1" w:rsidRDefault="00B958B1" w:rsidP="009F3B54">
      <w:pPr>
        <w:pStyle w:val="Heading2"/>
      </w:pPr>
      <w:r>
        <w:t>Other matters to note</w:t>
      </w:r>
    </w:p>
    <w:p w:rsidR="00B958B1" w:rsidRDefault="00B958B1" w:rsidP="009F3B54">
      <w:r>
        <w:t>Performance measures that are proposed to be substantially changed or discontinued in 2013</w:t>
      </w:r>
      <w:r w:rsidR="009F0F49">
        <w:noBreakHyphen/>
      </w:r>
      <w:r>
        <w:t>14 are identified in ‘Appendix A Output performance measures for review by the Public Accounts and Estimates Committee’.</w:t>
      </w:r>
    </w:p>
    <w:p w:rsidR="00B958B1" w:rsidRDefault="00B958B1" w:rsidP="009F3B54">
      <w:r>
        <w:t>Situations where it is appropriate to substantially change or discontinue a performance measure include:</w:t>
      </w:r>
    </w:p>
    <w:p w:rsidR="00B958B1" w:rsidRDefault="00B958B1" w:rsidP="009F3B54">
      <w:pPr>
        <w:pStyle w:val="BulletText"/>
      </w:pPr>
      <w:r>
        <w:t xml:space="preserve">where a current measure can be replaced by a more appropriate measure and the new </w:t>
      </w:r>
      <w:r w:rsidRPr="00EC6ECC">
        <w:t>measure</w:t>
      </w:r>
      <w:r>
        <w:t xml:space="preserve"> will provide more meaningful information to the Parliament and the public;</w:t>
      </w:r>
    </w:p>
    <w:p w:rsidR="00B958B1" w:rsidRDefault="00B958B1" w:rsidP="009F3B54">
      <w:pPr>
        <w:pStyle w:val="BulletText"/>
      </w:pPr>
      <w:r>
        <w:t>it is no longer relevant due to a change in Government policy or priorities and/or departmental objectives;</w:t>
      </w:r>
    </w:p>
    <w:p w:rsidR="00B958B1" w:rsidRDefault="00B958B1" w:rsidP="009F3B54">
      <w:pPr>
        <w:pStyle w:val="BulletText"/>
      </w:pPr>
      <w:r>
        <w:t>milestones, projects or programs have been completed, substantially changed, or discontinued; and</w:t>
      </w:r>
    </w:p>
    <w:p w:rsidR="00B958B1" w:rsidRDefault="00B958B1" w:rsidP="009F3B54">
      <w:pPr>
        <w:pStyle w:val="BulletText"/>
      </w:pPr>
      <w:r>
        <w:t>funding is not provided in the current budget for the continuation of the initiative.</w:t>
      </w:r>
    </w:p>
    <w:p w:rsidR="00B958B1" w:rsidRDefault="00B958B1" w:rsidP="009F3B54">
      <w:r>
        <w:t xml:space="preserve">In the main, substantially changed or discontinued measures have been amended or replaced by new measures that provide a stronger basis for evaluation of performance in the delivery of services to the community. </w:t>
      </w:r>
    </w:p>
    <w:p w:rsidR="00B958B1" w:rsidRDefault="00B958B1" w:rsidP="009F3B54">
      <w:r>
        <w:t>When reading the performance statements, ‘nm’ refers to a new performance measure and ‘na’ refers to data either not being available or not applicable in the specified year. Where a department has included a new measure in 2013</w:t>
      </w:r>
      <w:r w:rsidR="009F0F49">
        <w:noBreakHyphen/>
      </w:r>
      <w:r>
        <w:t>14, historical performance data has been provided, where available, to assist with analysis of the department’s performance over time.</w:t>
      </w:r>
    </w:p>
    <w:p w:rsidR="00B958B1" w:rsidRDefault="00B958B1" w:rsidP="009F3B54"/>
    <w:p w:rsidR="00B958B1" w:rsidRPr="009504C5" w:rsidRDefault="00B958B1" w:rsidP="009F3B54"/>
    <w:p w:rsidR="00B958B1" w:rsidRDefault="00B958B1" w:rsidP="00497606"/>
    <w:p w:rsidR="00B958B1" w:rsidRDefault="00B958B1" w:rsidP="00C45CC5">
      <w:pPr>
        <w:sectPr w:rsidR="00B958B1" w:rsidSect="004B42A1">
          <w:footerReference w:type="even" r:id="rId17"/>
          <w:footerReference w:type="default" r:id="rId18"/>
          <w:type w:val="oddPage"/>
          <w:pgSz w:w="9979" w:h="14181" w:code="138"/>
          <w:pgMar w:top="1138" w:right="1138" w:bottom="1138" w:left="1138" w:header="720" w:footer="720" w:gutter="0"/>
          <w:cols w:space="708"/>
          <w:docGrid w:linePitch="360"/>
        </w:sectPr>
      </w:pPr>
    </w:p>
    <w:p w:rsidR="00B958B1" w:rsidRDefault="00B958B1" w:rsidP="009F3B54">
      <w:pPr>
        <w:pStyle w:val="Heading1"/>
      </w:pPr>
      <w:bookmarkStart w:id="90" w:name="_Toc355362280"/>
      <w:r>
        <w:t xml:space="preserve">Department of Education </w:t>
      </w:r>
      <w:r w:rsidRPr="00376BA6">
        <w:t>and</w:t>
      </w:r>
      <w:r w:rsidRPr="00981AA0">
        <w:t xml:space="preserve"> Early Childhood Development</w:t>
      </w:r>
      <w:bookmarkEnd w:id="90"/>
    </w:p>
    <w:p w:rsidR="00B958B1" w:rsidRDefault="00B958B1" w:rsidP="009F3B54">
      <w:pPr>
        <w:pStyle w:val="Heading2"/>
      </w:pPr>
      <w:r>
        <w:t>Ministerial portfolios</w:t>
      </w:r>
    </w:p>
    <w:p w:rsidR="00B958B1" w:rsidRDefault="00B958B1" w:rsidP="009F3B54">
      <w:r>
        <w:t>The Department supports the ministerial portfolios of education, children and early childhood development, higher education and skills, and the teaching profession.</w:t>
      </w:r>
    </w:p>
    <w:p w:rsidR="00B958B1" w:rsidRDefault="00B958B1" w:rsidP="009F3B54">
      <w:pPr>
        <w:pStyle w:val="Heading2"/>
      </w:pPr>
      <w:r>
        <w:t>Departmental mission statement</w:t>
      </w:r>
    </w:p>
    <w:p w:rsidR="00B958B1" w:rsidRDefault="00B958B1" w:rsidP="009F3B54">
      <w:r>
        <w:t>The Department of Education and Early Childhood Development exists to support Victorians to build prosperous, socially engaged, happy and healthy lives. We do this by supporting lifelong learning and healthy development, strengthening families and helping to equip people with the skills and knowledge for a 21</w:t>
      </w:r>
      <w:r w:rsidRPr="00A31801">
        <w:rPr>
          <w:vertAlign w:val="superscript"/>
        </w:rPr>
        <w:t>st</w:t>
      </w:r>
      <w:r>
        <w:t xml:space="preserve"> century economy and society.</w:t>
      </w:r>
    </w:p>
    <w:p w:rsidR="00B958B1" w:rsidRDefault="00B958B1" w:rsidP="009F3B54">
      <w:pPr>
        <w:pStyle w:val="Heading2"/>
      </w:pPr>
      <w:r>
        <w:t>Departmental objectives, indicators and outputs</w:t>
      </w:r>
    </w:p>
    <w:p w:rsidR="00B958B1" w:rsidRDefault="00B958B1" w:rsidP="009F3B54">
      <w:r>
        <w:t>The Department of Education and Early Childhood Development’s objectives, indicators and linked outputs are:</w:t>
      </w:r>
    </w:p>
    <w:tbl>
      <w:tblPr>
        <w:tblStyle w:val="TableGrid"/>
        <w:tblW w:w="7776" w:type="dxa"/>
        <w:tblInd w:w="29" w:type="dxa"/>
        <w:tblBorders>
          <w:insideH w:val="single" w:sz="6" w:space="0" w:color="auto"/>
        </w:tblBorders>
        <w:tblLayout w:type="fixed"/>
        <w:tblCellMar>
          <w:left w:w="43" w:type="dxa"/>
          <w:right w:w="43" w:type="dxa"/>
        </w:tblCellMar>
        <w:tblLook w:val="04A0" w:firstRow="1" w:lastRow="0" w:firstColumn="1" w:lastColumn="0" w:noHBand="0" w:noVBand="1"/>
      </w:tblPr>
      <w:tblGrid>
        <w:gridCol w:w="2592"/>
        <w:gridCol w:w="2592"/>
        <w:gridCol w:w="2592"/>
      </w:tblGrid>
      <w:tr w:rsidR="00B958B1" w:rsidTr="009F3B54">
        <w:trPr>
          <w:cantSplit/>
          <w:tblHeader/>
        </w:trPr>
        <w:tc>
          <w:tcPr>
            <w:tcW w:w="2592" w:type="dxa"/>
            <w:tcBorders>
              <w:bottom w:val="single" w:sz="6" w:space="0" w:color="auto"/>
            </w:tcBorders>
            <w:shd w:val="clear" w:color="auto" w:fill="000000"/>
          </w:tcPr>
          <w:p w:rsidR="00B958B1" w:rsidRDefault="00B958B1" w:rsidP="009F3B54">
            <w:pPr>
              <w:pStyle w:val="Tabletextheadingleft"/>
            </w:pPr>
            <w:r w:rsidRPr="00A31801">
              <w:t>Departmental objectives</w:t>
            </w:r>
          </w:p>
        </w:tc>
        <w:tc>
          <w:tcPr>
            <w:tcW w:w="2592" w:type="dxa"/>
            <w:tcBorders>
              <w:bottom w:val="single" w:sz="6" w:space="0" w:color="auto"/>
            </w:tcBorders>
            <w:shd w:val="clear" w:color="auto" w:fill="000000"/>
          </w:tcPr>
          <w:p w:rsidR="00B958B1" w:rsidRDefault="00B958B1" w:rsidP="009F3B54">
            <w:pPr>
              <w:pStyle w:val="Tabletextheadingleft"/>
            </w:pPr>
            <w:r w:rsidRPr="00A31801">
              <w:t>Objective Indicators</w:t>
            </w:r>
          </w:p>
        </w:tc>
        <w:tc>
          <w:tcPr>
            <w:tcW w:w="2592" w:type="dxa"/>
            <w:tcBorders>
              <w:bottom w:val="single" w:sz="6" w:space="0" w:color="auto"/>
            </w:tcBorders>
            <w:shd w:val="clear" w:color="auto" w:fill="000000"/>
          </w:tcPr>
          <w:p w:rsidR="00B958B1" w:rsidRDefault="00B958B1" w:rsidP="009F3B54">
            <w:pPr>
              <w:pStyle w:val="Tabletextheadingleft"/>
            </w:pPr>
            <w:r w:rsidRPr="00A31801">
              <w:t>Outputs</w:t>
            </w:r>
          </w:p>
        </w:tc>
      </w:tr>
      <w:tr w:rsidR="00B958B1" w:rsidTr="009F3B54">
        <w:trPr>
          <w:cantSplit/>
        </w:trPr>
        <w:tc>
          <w:tcPr>
            <w:tcW w:w="2592" w:type="dxa"/>
            <w:tcBorders>
              <w:top w:val="single" w:sz="6" w:space="0" w:color="auto"/>
              <w:bottom w:val="single" w:sz="6" w:space="0" w:color="auto"/>
            </w:tcBorders>
          </w:tcPr>
          <w:p w:rsidR="00B958B1" w:rsidRPr="00A31801" w:rsidRDefault="00B958B1" w:rsidP="009F3B54">
            <w:pPr>
              <w:pStyle w:val="Tabletextnoindent"/>
              <w:rPr>
                <w:b/>
              </w:rPr>
            </w:pPr>
            <w:r w:rsidRPr="00A31801">
              <w:rPr>
                <w:b/>
              </w:rPr>
              <w:t xml:space="preserve">Achievement </w:t>
            </w:r>
          </w:p>
          <w:p w:rsidR="00B958B1" w:rsidRPr="00AF025D" w:rsidRDefault="00B958B1" w:rsidP="009F3B54">
            <w:pPr>
              <w:pStyle w:val="Tabletextnoindent"/>
            </w:pPr>
            <w:r w:rsidRPr="00AF025D">
              <w:t>Raise standards of learning and development achieved by Victorians using education, development and child health services</w:t>
            </w:r>
          </w:p>
        </w:tc>
        <w:tc>
          <w:tcPr>
            <w:tcW w:w="2592" w:type="dxa"/>
            <w:tcBorders>
              <w:top w:val="single" w:sz="6" w:space="0" w:color="auto"/>
              <w:bottom w:val="single" w:sz="6" w:space="0" w:color="auto"/>
            </w:tcBorders>
          </w:tcPr>
          <w:p w:rsidR="00B958B1" w:rsidRDefault="00B958B1" w:rsidP="009F3B54">
            <w:pPr>
              <w:pStyle w:val="Tabletextnoindent"/>
            </w:pPr>
            <w:r w:rsidRPr="00AF025D">
              <w:t xml:space="preserve">Children developmentally </w:t>
            </w:r>
            <w:r>
              <w:t>‘</w:t>
            </w:r>
            <w:r w:rsidRPr="00AF025D">
              <w:t>on track</w:t>
            </w:r>
            <w:r>
              <w:t>’</w:t>
            </w:r>
            <w:r w:rsidRPr="00AF025D">
              <w:t xml:space="preserve"> on the AEDI language and </w:t>
            </w:r>
            <w:r w:rsidRPr="00A31801">
              <w:t>cognitive</w:t>
            </w:r>
            <w:r w:rsidRPr="00AF025D">
              <w:t xml:space="preserve"> </w:t>
            </w:r>
            <w:r w:rsidRPr="00A31801">
              <w:t>skills</w:t>
            </w:r>
            <w:r w:rsidRPr="00AF025D">
              <w:t xml:space="preserve"> domains</w:t>
            </w:r>
          </w:p>
          <w:p w:rsidR="00B958B1" w:rsidRPr="00AF025D" w:rsidRDefault="00B958B1" w:rsidP="009F3B54">
            <w:pPr>
              <w:pStyle w:val="Tabletextnoindent"/>
            </w:pPr>
            <w:r w:rsidRPr="00AF025D">
              <w:t>Students meeting the expected standard in national and international literacy and numeracy assessments</w:t>
            </w:r>
          </w:p>
          <w:p w:rsidR="00B958B1" w:rsidRPr="00AF025D" w:rsidRDefault="00B958B1" w:rsidP="009F3B54">
            <w:pPr>
              <w:pStyle w:val="Tabletextnoindent"/>
            </w:pPr>
            <w:r w:rsidRPr="00AF025D">
              <w:t>VET course completions</w:t>
            </w:r>
          </w:p>
          <w:p w:rsidR="00B958B1" w:rsidRPr="00AF025D" w:rsidRDefault="00B958B1" w:rsidP="009F3B54">
            <w:pPr>
              <w:pStyle w:val="Tabletextnoindent"/>
            </w:pPr>
            <w:r w:rsidRPr="00AF025D">
              <w:t>Year 12 or equivalent completion rates of young people</w:t>
            </w:r>
          </w:p>
        </w:tc>
        <w:tc>
          <w:tcPr>
            <w:tcW w:w="2592" w:type="dxa"/>
            <w:tcBorders>
              <w:top w:val="single" w:sz="6" w:space="0" w:color="auto"/>
              <w:bottom w:val="single" w:sz="6" w:space="0" w:color="auto"/>
            </w:tcBorders>
          </w:tcPr>
          <w:p w:rsidR="00B958B1" w:rsidRPr="00AF025D" w:rsidRDefault="00B958B1" w:rsidP="009F3B54">
            <w:pPr>
              <w:pStyle w:val="Tabletextnoindent"/>
            </w:pPr>
            <w:r w:rsidRPr="00AF025D">
              <w:t xml:space="preserve">Strategy, Review and Regulation </w:t>
            </w:r>
          </w:p>
          <w:p w:rsidR="00B958B1" w:rsidRPr="00AF025D" w:rsidRDefault="00B958B1" w:rsidP="009F3B54">
            <w:pPr>
              <w:pStyle w:val="Tabletextnoindent"/>
            </w:pPr>
            <w:r w:rsidRPr="00AF025D">
              <w:t>Early Childhood Development</w:t>
            </w:r>
          </w:p>
          <w:p w:rsidR="00B958B1" w:rsidRPr="00AF025D" w:rsidRDefault="00B958B1" w:rsidP="009F3B54">
            <w:pPr>
              <w:pStyle w:val="Tabletextnoindent"/>
            </w:pPr>
            <w:r w:rsidRPr="00AF025D">
              <w:t>School Education</w:t>
            </w:r>
            <w:r>
              <w:t xml:space="preserve"> – </w:t>
            </w:r>
            <w:r w:rsidRPr="00AF025D">
              <w:t>Primary</w:t>
            </w:r>
          </w:p>
          <w:p w:rsidR="00B958B1" w:rsidRPr="00AF025D" w:rsidRDefault="00B958B1" w:rsidP="009F3B54">
            <w:pPr>
              <w:pStyle w:val="Tabletextnoindent"/>
            </w:pPr>
            <w:r w:rsidRPr="00AF025D">
              <w:t>School Education</w:t>
            </w:r>
            <w:r>
              <w:t xml:space="preserve"> – </w:t>
            </w:r>
            <w:r w:rsidRPr="00AF025D">
              <w:t>Secondary</w:t>
            </w:r>
          </w:p>
          <w:p w:rsidR="00B958B1" w:rsidRPr="00AF025D" w:rsidRDefault="00B958B1" w:rsidP="009F3B54">
            <w:pPr>
              <w:pStyle w:val="Tabletextnoindent"/>
            </w:pPr>
            <w:r w:rsidRPr="00AF025D">
              <w:t>Support Services Delivery</w:t>
            </w:r>
          </w:p>
          <w:p w:rsidR="00B958B1" w:rsidRPr="00AF025D" w:rsidRDefault="00B958B1" w:rsidP="009F3B54">
            <w:pPr>
              <w:pStyle w:val="Tabletextnoindent"/>
            </w:pPr>
            <w:r w:rsidRPr="00AF025D">
              <w:t>Support for Students with Disabilities</w:t>
            </w:r>
          </w:p>
          <w:p w:rsidR="00B958B1" w:rsidRPr="00AF025D" w:rsidRDefault="00B958B1" w:rsidP="009F3B54">
            <w:pPr>
              <w:pStyle w:val="Tabletextnoindent"/>
            </w:pPr>
            <w:r w:rsidRPr="00AF025D">
              <w:t>Higher Education and Skills</w:t>
            </w:r>
          </w:p>
        </w:tc>
      </w:tr>
      <w:tr w:rsidR="00B958B1" w:rsidTr="009F3B54">
        <w:trPr>
          <w:cantSplit/>
        </w:trPr>
        <w:tc>
          <w:tcPr>
            <w:tcW w:w="2592" w:type="dxa"/>
            <w:tcBorders>
              <w:top w:val="single" w:sz="6" w:space="0" w:color="auto"/>
            </w:tcBorders>
          </w:tcPr>
          <w:p w:rsidR="00B958B1" w:rsidRPr="00A31801" w:rsidRDefault="00B958B1" w:rsidP="009F3B54">
            <w:pPr>
              <w:pStyle w:val="Tabletextnoindent"/>
              <w:rPr>
                <w:b/>
              </w:rPr>
            </w:pPr>
            <w:r w:rsidRPr="00A31801">
              <w:rPr>
                <w:b/>
              </w:rPr>
              <w:t>Engagement</w:t>
            </w:r>
          </w:p>
          <w:p w:rsidR="00B958B1" w:rsidRPr="00AF025D" w:rsidRDefault="00B958B1" w:rsidP="009F3B54">
            <w:pPr>
              <w:pStyle w:val="Tabletextnoindent"/>
            </w:pPr>
            <w:r w:rsidRPr="00AF025D">
              <w:t>Increase the number of Victorians actively participating in education, development and child health services</w:t>
            </w:r>
          </w:p>
        </w:tc>
        <w:tc>
          <w:tcPr>
            <w:tcW w:w="2592" w:type="dxa"/>
            <w:tcBorders>
              <w:top w:val="single" w:sz="6" w:space="0" w:color="auto"/>
            </w:tcBorders>
          </w:tcPr>
          <w:p w:rsidR="00B958B1" w:rsidRPr="00AF025D" w:rsidRDefault="00B958B1" w:rsidP="009F3B54">
            <w:pPr>
              <w:pStyle w:val="Tabletextnoindent"/>
            </w:pPr>
            <w:r w:rsidRPr="00AF025D">
              <w:t xml:space="preserve">Participation in a </w:t>
            </w:r>
            <w:r>
              <w:t>k</w:t>
            </w:r>
            <w:r w:rsidRPr="00AF025D">
              <w:t>indergarten service in the year before school</w:t>
            </w:r>
          </w:p>
          <w:p w:rsidR="00B958B1" w:rsidRPr="00AF025D" w:rsidRDefault="00B958B1" w:rsidP="009F3B54">
            <w:pPr>
              <w:pStyle w:val="Tabletextnoindent"/>
            </w:pPr>
            <w:r w:rsidRPr="00AF025D">
              <w:t>Participation in Maternal and Child Health Services</w:t>
            </w:r>
          </w:p>
          <w:p w:rsidR="00B958B1" w:rsidRPr="00AF025D" w:rsidRDefault="00B958B1" w:rsidP="009F3B54">
            <w:pPr>
              <w:pStyle w:val="Tabletextnoindent"/>
            </w:pPr>
            <w:r w:rsidRPr="00AF025D">
              <w:t>Students with acceptable levels of school attendance</w:t>
            </w:r>
          </w:p>
          <w:p w:rsidR="00B958B1" w:rsidRPr="00AF025D" w:rsidRDefault="00B958B1" w:rsidP="009F3B54">
            <w:pPr>
              <w:pStyle w:val="Tabletextnoindent"/>
            </w:pPr>
            <w:r w:rsidRPr="00AF025D">
              <w:t>Students with a positive opinion of their teachers providing a stimulating learning environment</w:t>
            </w:r>
          </w:p>
          <w:p w:rsidR="00B958B1" w:rsidRPr="00AF025D" w:rsidRDefault="00B958B1" w:rsidP="009F3B54">
            <w:pPr>
              <w:pStyle w:val="Tabletextnoindent"/>
            </w:pPr>
            <w:r w:rsidRPr="00AF025D">
              <w:t>VET enrolments by age and gender</w:t>
            </w:r>
          </w:p>
          <w:p w:rsidR="00B958B1" w:rsidRPr="00AF025D" w:rsidRDefault="00B958B1" w:rsidP="009F3B54">
            <w:pPr>
              <w:pStyle w:val="Tabletextnoindent"/>
            </w:pPr>
            <w:r w:rsidRPr="00AF025D">
              <w:t>VET enrolments by administrative regions</w:t>
            </w:r>
          </w:p>
        </w:tc>
        <w:tc>
          <w:tcPr>
            <w:tcW w:w="2592" w:type="dxa"/>
            <w:tcBorders>
              <w:top w:val="single" w:sz="6" w:space="0" w:color="auto"/>
            </w:tcBorders>
          </w:tcPr>
          <w:p w:rsidR="00B958B1" w:rsidRPr="00AF025D" w:rsidRDefault="00B958B1" w:rsidP="009F3B54">
            <w:pPr>
              <w:pStyle w:val="Tabletextnoindent"/>
            </w:pPr>
            <w:r w:rsidRPr="00AF025D">
              <w:t xml:space="preserve">Strategy, Review and Regulation </w:t>
            </w:r>
          </w:p>
          <w:p w:rsidR="00B958B1" w:rsidRPr="00AF025D" w:rsidRDefault="00B958B1" w:rsidP="009F3B54">
            <w:pPr>
              <w:pStyle w:val="Tabletextnoindent"/>
            </w:pPr>
            <w:r w:rsidRPr="00AF025D">
              <w:t>Early Childhood Development</w:t>
            </w:r>
          </w:p>
          <w:p w:rsidR="00B958B1" w:rsidRPr="00AF025D" w:rsidRDefault="00B958B1" w:rsidP="009F3B54">
            <w:pPr>
              <w:pStyle w:val="Tabletextnoindent"/>
            </w:pPr>
            <w:r w:rsidRPr="00AF025D">
              <w:t>School Education</w:t>
            </w:r>
            <w:r>
              <w:t xml:space="preserve"> – </w:t>
            </w:r>
            <w:r w:rsidRPr="00AF025D">
              <w:t>Primary</w:t>
            </w:r>
          </w:p>
          <w:p w:rsidR="00B958B1" w:rsidRPr="00AF025D" w:rsidRDefault="00B958B1" w:rsidP="009F3B54">
            <w:pPr>
              <w:pStyle w:val="Tabletextnoindent"/>
            </w:pPr>
            <w:r w:rsidRPr="00AF025D">
              <w:t>School Education</w:t>
            </w:r>
            <w:r>
              <w:t xml:space="preserve"> – </w:t>
            </w:r>
            <w:r w:rsidRPr="00AF025D">
              <w:t>Secondary</w:t>
            </w:r>
          </w:p>
          <w:p w:rsidR="00B958B1" w:rsidRPr="00AF025D" w:rsidRDefault="00B958B1" w:rsidP="009F3B54">
            <w:pPr>
              <w:pStyle w:val="Tabletextnoindent"/>
            </w:pPr>
            <w:r w:rsidRPr="00AF025D">
              <w:t>Support Services Delivery</w:t>
            </w:r>
          </w:p>
          <w:p w:rsidR="00B958B1" w:rsidRPr="00AF025D" w:rsidRDefault="00B958B1" w:rsidP="009F3B54">
            <w:pPr>
              <w:pStyle w:val="Tabletextnoindent"/>
            </w:pPr>
            <w:r w:rsidRPr="00AF025D">
              <w:t>Support for Students with Disabilities</w:t>
            </w:r>
          </w:p>
          <w:p w:rsidR="00B958B1" w:rsidRPr="00AF025D" w:rsidRDefault="00B958B1" w:rsidP="009F3B54">
            <w:pPr>
              <w:pStyle w:val="Tabletextnoindent"/>
            </w:pPr>
            <w:r w:rsidRPr="00AF025D">
              <w:t>Higher Education and Skills</w:t>
            </w:r>
          </w:p>
        </w:tc>
      </w:tr>
      <w:tr w:rsidR="00B958B1" w:rsidTr="009F3B54">
        <w:trPr>
          <w:cantSplit/>
        </w:trPr>
        <w:tc>
          <w:tcPr>
            <w:tcW w:w="2592" w:type="dxa"/>
            <w:tcBorders>
              <w:bottom w:val="single" w:sz="6" w:space="0" w:color="auto"/>
            </w:tcBorders>
          </w:tcPr>
          <w:p w:rsidR="00B958B1" w:rsidRPr="00A31801" w:rsidRDefault="00B958B1" w:rsidP="009F3B54">
            <w:pPr>
              <w:pStyle w:val="Tabletextnoindent"/>
              <w:rPr>
                <w:b/>
              </w:rPr>
            </w:pPr>
            <w:r w:rsidRPr="00A31801">
              <w:rPr>
                <w:b/>
              </w:rPr>
              <w:t>Wellbeing</w:t>
            </w:r>
          </w:p>
          <w:p w:rsidR="00B958B1" w:rsidRPr="00AF025D" w:rsidRDefault="00B958B1" w:rsidP="009F3B54">
            <w:pPr>
              <w:pStyle w:val="Tabletextnoindent"/>
            </w:pPr>
            <w:r w:rsidRPr="00AF025D">
              <w:t>Increase the contribution education, development and child health services make to good health and quality of life of Victorians, particularly children and young people</w:t>
            </w:r>
          </w:p>
        </w:tc>
        <w:tc>
          <w:tcPr>
            <w:tcW w:w="2592" w:type="dxa"/>
            <w:tcBorders>
              <w:bottom w:val="single" w:sz="6" w:space="0" w:color="auto"/>
            </w:tcBorders>
          </w:tcPr>
          <w:p w:rsidR="00B958B1" w:rsidRPr="00AF025D" w:rsidRDefault="00B958B1" w:rsidP="009F3B54">
            <w:pPr>
              <w:pStyle w:val="Tabletextnoindent"/>
            </w:pPr>
            <w:r w:rsidRPr="00AF025D">
              <w:t xml:space="preserve">Children developmentally </w:t>
            </w:r>
            <w:r>
              <w:t>‘</w:t>
            </w:r>
            <w:r w:rsidRPr="00AF025D">
              <w:t>on track</w:t>
            </w:r>
            <w:r>
              <w:t>’</w:t>
            </w:r>
            <w:r w:rsidRPr="00AF025D">
              <w:t xml:space="preserve"> on the AEDI social competence and emotional maturity domains</w:t>
            </w:r>
          </w:p>
          <w:p w:rsidR="00B958B1" w:rsidRPr="00AF025D" w:rsidRDefault="00B958B1" w:rsidP="009F3B54">
            <w:pPr>
              <w:pStyle w:val="Tabletextnoindent"/>
            </w:pPr>
            <w:r w:rsidRPr="00AF025D">
              <w:t>Students feeling connected to their school</w:t>
            </w:r>
          </w:p>
          <w:p w:rsidR="00B958B1" w:rsidRPr="00AF025D" w:rsidRDefault="00B958B1" w:rsidP="009F3B54">
            <w:pPr>
              <w:pStyle w:val="Tabletextnoindent"/>
            </w:pPr>
            <w:r w:rsidRPr="00AF025D">
              <w:t>Students with a positive opinion about their school providing a safe and orderly environment for learning</w:t>
            </w:r>
          </w:p>
          <w:p w:rsidR="00B958B1" w:rsidRPr="00AF025D" w:rsidRDefault="00B958B1" w:rsidP="009F3B54">
            <w:pPr>
              <w:pStyle w:val="Tabletextnoindent"/>
            </w:pPr>
            <w:r w:rsidRPr="00AF025D">
              <w:t>Level of student satisfaction with VET</w:t>
            </w:r>
          </w:p>
        </w:tc>
        <w:tc>
          <w:tcPr>
            <w:tcW w:w="2592" w:type="dxa"/>
            <w:tcBorders>
              <w:bottom w:val="single" w:sz="6" w:space="0" w:color="auto"/>
            </w:tcBorders>
          </w:tcPr>
          <w:p w:rsidR="00B958B1" w:rsidRPr="00AF025D" w:rsidRDefault="00B958B1" w:rsidP="009F3B54">
            <w:pPr>
              <w:pStyle w:val="Tabletextnoindent"/>
            </w:pPr>
            <w:r w:rsidRPr="00AF025D">
              <w:t xml:space="preserve">Strategy, Review and Regulation </w:t>
            </w:r>
          </w:p>
          <w:p w:rsidR="00B958B1" w:rsidRPr="00AF025D" w:rsidRDefault="00B958B1" w:rsidP="009F3B54">
            <w:pPr>
              <w:pStyle w:val="Tabletextnoindent"/>
            </w:pPr>
            <w:r w:rsidRPr="00AF025D">
              <w:t>Early Childhood Development</w:t>
            </w:r>
          </w:p>
          <w:p w:rsidR="00B958B1" w:rsidRPr="00AF025D" w:rsidRDefault="00B958B1" w:rsidP="009F3B54">
            <w:pPr>
              <w:pStyle w:val="Tabletextnoindent"/>
            </w:pPr>
            <w:r w:rsidRPr="00AF025D">
              <w:t>School Education</w:t>
            </w:r>
            <w:r>
              <w:t xml:space="preserve"> – </w:t>
            </w:r>
            <w:r w:rsidRPr="00AF025D">
              <w:t>Primary</w:t>
            </w:r>
          </w:p>
          <w:p w:rsidR="00B958B1" w:rsidRPr="00AF025D" w:rsidRDefault="00B958B1" w:rsidP="009F3B54">
            <w:pPr>
              <w:pStyle w:val="Tabletextnoindent"/>
            </w:pPr>
            <w:r w:rsidRPr="00AF025D">
              <w:t>School Education</w:t>
            </w:r>
            <w:r>
              <w:t xml:space="preserve"> – </w:t>
            </w:r>
            <w:r w:rsidRPr="00AF025D">
              <w:t>Secondary</w:t>
            </w:r>
          </w:p>
          <w:p w:rsidR="00B958B1" w:rsidRPr="00AF025D" w:rsidRDefault="00B958B1" w:rsidP="009F3B54">
            <w:pPr>
              <w:pStyle w:val="Tabletextnoindent"/>
            </w:pPr>
            <w:r w:rsidRPr="00AF025D">
              <w:t>Support Services Delivery</w:t>
            </w:r>
          </w:p>
          <w:p w:rsidR="00B958B1" w:rsidRPr="00AF025D" w:rsidRDefault="00B958B1" w:rsidP="009F3B54">
            <w:pPr>
              <w:pStyle w:val="Tabletextnoindent"/>
            </w:pPr>
            <w:r w:rsidRPr="00AF025D">
              <w:t>Support for Students with Disabilities</w:t>
            </w:r>
          </w:p>
          <w:p w:rsidR="00B958B1" w:rsidRPr="00AF025D" w:rsidRDefault="00B958B1" w:rsidP="009F3B54">
            <w:pPr>
              <w:pStyle w:val="Tabletextnoindent"/>
            </w:pPr>
            <w:r w:rsidRPr="00AF025D">
              <w:t>Higher Education and Skills</w:t>
            </w:r>
          </w:p>
        </w:tc>
      </w:tr>
      <w:tr w:rsidR="00B958B1" w:rsidTr="009F3B54">
        <w:trPr>
          <w:cantSplit/>
        </w:trPr>
        <w:tc>
          <w:tcPr>
            <w:tcW w:w="2592" w:type="dxa"/>
            <w:tcBorders>
              <w:top w:val="single" w:sz="6" w:space="0" w:color="auto"/>
              <w:bottom w:val="single" w:sz="12" w:space="0" w:color="auto"/>
            </w:tcBorders>
          </w:tcPr>
          <w:p w:rsidR="00B958B1" w:rsidRPr="00A31801" w:rsidRDefault="00B958B1" w:rsidP="009F3B54">
            <w:pPr>
              <w:pStyle w:val="Tabletextnoindent"/>
              <w:rPr>
                <w:b/>
              </w:rPr>
            </w:pPr>
            <w:r w:rsidRPr="00A31801">
              <w:rPr>
                <w:b/>
              </w:rPr>
              <w:t>Productivity</w:t>
            </w:r>
          </w:p>
          <w:p w:rsidR="00B958B1" w:rsidRPr="00AF025D" w:rsidRDefault="00B958B1" w:rsidP="009F3B54">
            <w:pPr>
              <w:pStyle w:val="Tabletextnoindent"/>
            </w:pPr>
            <w:r w:rsidRPr="00AF025D">
              <w:t>Increase the economic and social return on expenditure on DEECD</w:t>
            </w:r>
            <w:r>
              <w:t>’</w:t>
            </w:r>
            <w:r w:rsidRPr="00AF025D">
              <w:t>s services.</w:t>
            </w:r>
          </w:p>
        </w:tc>
        <w:tc>
          <w:tcPr>
            <w:tcW w:w="2592" w:type="dxa"/>
            <w:tcBorders>
              <w:top w:val="single" w:sz="6" w:space="0" w:color="auto"/>
              <w:bottom w:val="single" w:sz="12" w:space="0" w:color="auto"/>
            </w:tcBorders>
          </w:tcPr>
          <w:p w:rsidR="00B958B1" w:rsidRPr="00AF025D" w:rsidRDefault="00B958B1" w:rsidP="009F3B54">
            <w:pPr>
              <w:pStyle w:val="Tabletextnoindent"/>
            </w:pPr>
            <w:r w:rsidRPr="00AF025D">
              <w:t>Enrolments by skills shortage category courses</w:t>
            </w:r>
          </w:p>
          <w:p w:rsidR="00B958B1" w:rsidRPr="00AF025D" w:rsidRDefault="00B958B1" w:rsidP="009F3B54">
            <w:pPr>
              <w:pStyle w:val="Tabletextnoindent"/>
            </w:pPr>
            <w:r w:rsidRPr="00AF025D">
              <w:t>Enrolments by specialised category courses</w:t>
            </w:r>
          </w:p>
        </w:tc>
        <w:tc>
          <w:tcPr>
            <w:tcW w:w="2592" w:type="dxa"/>
            <w:tcBorders>
              <w:top w:val="single" w:sz="6" w:space="0" w:color="auto"/>
              <w:bottom w:val="single" w:sz="12" w:space="0" w:color="auto"/>
            </w:tcBorders>
          </w:tcPr>
          <w:p w:rsidR="00B958B1" w:rsidRPr="00AF025D" w:rsidRDefault="00B958B1" w:rsidP="009F3B54">
            <w:pPr>
              <w:pStyle w:val="Tabletextnoindent"/>
            </w:pPr>
            <w:r w:rsidRPr="00AF025D">
              <w:t xml:space="preserve">Strategy, Review and Regulation </w:t>
            </w:r>
          </w:p>
          <w:p w:rsidR="00B958B1" w:rsidRPr="00AF025D" w:rsidRDefault="00B958B1" w:rsidP="009F3B54">
            <w:pPr>
              <w:pStyle w:val="Tabletextnoindent"/>
            </w:pPr>
            <w:r w:rsidRPr="00AF025D">
              <w:t>Early Childhood Development</w:t>
            </w:r>
          </w:p>
          <w:p w:rsidR="00B958B1" w:rsidRPr="00AF025D" w:rsidRDefault="00B958B1" w:rsidP="009F3B54">
            <w:pPr>
              <w:pStyle w:val="Tabletextnoindent"/>
            </w:pPr>
            <w:r w:rsidRPr="00AF025D">
              <w:t>School Education</w:t>
            </w:r>
            <w:r>
              <w:t xml:space="preserve"> – </w:t>
            </w:r>
            <w:r w:rsidRPr="00AF025D">
              <w:t>Primary</w:t>
            </w:r>
          </w:p>
          <w:p w:rsidR="00B958B1" w:rsidRPr="00AF025D" w:rsidRDefault="00B958B1" w:rsidP="009F3B54">
            <w:pPr>
              <w:pStyle w:val="Tabletextnoindent"/>
            </w:pPr>
            <w:r w:rsidRPr="00AF025D">
              <w:t>School Education</w:t>
            </w:r>
            <w:r>
              <w:t xml:space="preserve"> – </w:t>
            </w:r>
            <w:r w:rsidRPr="00AF025D">
              <w:t>Secondary</w:t>
            </w:r>
          </w:p>
          <w:p w:rsidR="00B958B1" w:rsidRPr="00AF025D" w:rsidRDefault="00B958B1" w:rsidP="009F3B54">
            <w:pPr>
              <w:pStyle w:val="Tabletextnoindent"/>
            </w:pPr>
            <w:r w:rsidRPr="00AF025D">
              <w:t>Support Services Delivery</w:t>
            </w:r>
          </w:p>
          <w:p w:rsidR="00B958B1" w:rsidRPr="00AF025D" w:rsidRDefault="00B958B1" w:rsidP="009F3B54">
            <w:pPr>
              <w:pStyle w:val="Tabletextnoindent"/>
            </w:pPr>
            <w:r w:rsidRPr="00AF025D">
              <w:t>Support for Students with Disabilities</w:t>
            </w:r>
          </w:p>
          <w:p w:rsidR="00B958B1" w:rsidRPr="00AF025D" w:rsidRDefault="00B958B1" w:rsidP="009F3B54">
            <w:pPr>
              <w:pStyle w:val="Tabletextnoindent"/>
            </w:pPr>
            <w:r w:rsidRPr="00AF025D">
              <w:t>Higher Education and Skills</w:t>
            </w:r>
          </w:p>
        </w:tc>
      </w:tr>
    </w:tbl>
    <w:p w:rsidR="00B958B1" w:rsidRDefault="00B958B1" w:rsidP="009F3B54">
      <w:pPr>
        <w:pStyle w:val="Source"/>
      </w:pPr>
      <w:r>
        <w:t xml:space="preserve">Source: </w:t>
      </w:r>
      <w:r w:rsidRPr="00FC012A">
        <w:t>Department of Education and Early Childhood Development</w:t>
      </w:r>
    </w:p>
    <w:p w:rsidR="00B958B1" w:rsidRDefault="00B958B1" w:rsidP="009F3B54">
      <w:pPr>
        <w:pStyle w:val="Source"/>
      </w:pPr>
    </w:p>
    <w:p w:rsidR="00B958B1" w:rsidRDefault="00B958B1" w:rsidP="009F3B54">
      <w:pPr>
        <w:pStyle w:val="Heading2"/>
      </w:pPr>
      <w:r>
        <w:t>Changes to the output structure</w:t>
      </w:r>
    </w:p>
    <w:p w:rsidR="00B958B1" w:rsidRDefault="00B958B1" w:rsidP="009F3B54">
      <w:r>
        <w:t>The Department of Education and Early Childhood Development reviews its output structure and performance measures regularly to ensure they continue to align with and support its objectives.</w:t>
      </w:r>
    </w:p>
    <w:p w:rsidR="00B958B1" w:rsidRDefault="00B958B1" w:rsidP="009F3B54">
      <w:r>
        <w:t>There are no changes to the Department’s output structure for 2013</w:t>
      </w:r>
      <w:r w:rsidR="009F0F49">
        <w:noBreakHyphen/>
      </w:r>
      <w:r>
        <w:t>14.</w:t>
      </w:r>
    </w:p>
    <w:p w:rsidR="00B958B1" w:rsidRDefault="00B958B1" w:rsidP="009F3B54">
      <w:r>
        <w:t>The following table summarises the Department’s total output cost by output group and by output for the School Education output group:</w:t>
      </w:r>
    </w:p>
    <w:p w:rsidR="00B958B1" w:rsidRDefault="00B958B1" w:rsidP="009F3B54">
      <w:pPr>
        <w:pStyle w:val="Tableheading"/>
      </w:pPr>
      <w:r w:rsidRPr="007C34CE">
        <w:t>Table</w:t>
      </w:r>
      <w:r>
        <w:t> 2.2</w:t>
      </w:r>
      <w:r w:rsidRPr="007C34CE">
        <w:t>:</w:t>
      </w:r>
      <w:r w:rsidRPr="007C34CE">
        <w:tab/>
        <w:t>Output summary</w:t>
      </w:r>
    </w:p>
    <w:p w:rsidR="00B958B1" w:rsidRPr="00F74E9E" w:rsidRDefault="00B958B1" w:rsidP="009F3B54">
      <w:pPr>
        <w:pStyle w:val="million"/>
        <w:rPr>
          <w:rFonts w:ascii="Times New Roman" w:hAnsi="Times New Roman"/>
          <w:sz w:val="20"/>
          <w:lang w:eastAsia="en-AU"/>
        </w:rPr>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154"/>
        <w:gridCol w:w="820"/>
        <w:gridCol w:w="850"/>
        <w:gridCol w:w="850"/>
        <w:gridCol w:w="1102"/>
      </w:tblGrid>
      <w:tr w:rsidR="00B958B1" w:rsidRPr="00F74E9E" w:rsidTr="009F3B54">
        <w:tc>
          <w:tcPr>
            <w:tcW w:w="4154" w:type="dxa"/>
            <w:tcBorders>
              <w:top w:val="single" w:sz="4" w:space="0" w:color="auto"/>
              <w:left w:val="single" w:sz="4" w:space="0" w:color="auto"/>
              <w:bottom w:val="nil"/>
              <w:right w:val="nil"/>
            </w:tcBorders>
            <w:shd w:val="clear" w:color="auto" w:fill="000000"/>
          </w:tcPr>
          <w:p w:rsidR="00B958B1" w:rsidRPr="00F74E9E" w:rsidRDefault="00B958B1" w:rsidP="009F3B54">
            <w:pPr>
              <w:pStyle w:val="Tabletext"/>
              <w:rPr>
                <w:lang w:eastAsia="en-AU"/>
              </w:rPr>
            </w:pPr>
            <w:r w:rsidRPr="00F74E9E">
              <w:rPr>
                <w:lang w:eastAsia="en-AU"/>
              </w:rPr>
              <w:t xml:space="preserve">  </w:t>
            </w:r>
          </w:p>
        </w:tc>
        <w:tc>
          <w:tcPr>
            <w:tcW w:w="820" w:type="dxa"/>
            <w:tcBorders>
              <w:top w:val="single" w:sz="4" w:space="0" w:color="auto"/>
              <w:left w:val="nil"/>
              <w:bottom w:val="nil"/>
              <w:right w:val="nil"/>
            </w:tcBorders>
            <w:shd w:val="clear" w:color="auto" w:fill="000000"/>
          </w:tcPr>
          <w:p w:rsidR="00B958B1" w:rsidRPr="00F74E9E" w:rsidRDefault="00B958B1" w:rsidP="009F3B54">
            <w:pPr>
              <w:pStyle w:val="Tabletextheading"/>
              <w:rPr>
                <w:lang w:eastAsia="en-AU"/>
              </w:rPr>
            </w:pPr>
            <w:r w:rsidRPr="00F74E9E">
              <w:rPr>
                <w:lang w:eastAsia="en-AU"/>
              </w:rPr>
              <w:t>2012</w:t>
            </w:r>
            <w:r w:rsidR="009F0F49">
              <w:rPr>
                <w:lang w:eastAsia="en-AU"/>
              </w:rPr>
              <w:noBreakHyphen/>
            </w:r>
            <w:r w:rsidRPr="00F74E9E">
              <w:rPr>
                <w:lang w:eastAsia="en-AU"/>
              </w:rPr>
              <w:t>13</w:t>
            </w:r>
          </w:p>
        </w:tc>
        <w:tc>
          <w:tcPr>
            <w:tcW w:w="850" w:type="dxa"/>
            <w:tcBorders>
              <w:top w:val="single" w:sz="4" w:space="0" w:color="auto"/>
              <w:left w:val="nil"/>
              <w:bottom w:val="nil"/>
              <w:right w:val="nil"/>
            </w:tcBorders>
            <w:shd w:val="clear" w:color="auto" w:fill="000000"/>
          </w:tcPr>
          <w:p w:rsidR="00B958B1" w:rsidRPr="00F74E9E" w:rsidRDefault="00B958B1" w:rsidP="009F3B54">
            <w:pPr>
              <w:pStyle w:val="Tabletextheading"/>
              <w:rPr>
                <w:lang w:eastAsia="en-AU"/>
              </w:rPr>
            </w:pPr>
            <w:r w:rsidRPr="00F74E9E">
              <w:rPr>
                <w:lang w:eastAsia="en-AU"/>
              </w:rPr>
              <w:t>2012</w:t>
            </w:r>
            <w:r w:rsidR="009F0F49">
              <w:rPr>
                <w:lang w:eastAsia="en-AU"/>
              </w:rPr>
              <w:noBreakHyphen/>
            </w:r>
            <w:r w:rsidRPr="00F74E9E">
              <w:rPr>
                <w:lang w:eastAsia="en-AU"/>
              </w:rPr>
              <w:t>13</w:t>
            </w:r>
          </w:p>
        </w:tc>
        <w:tc>
          <w:tcPr>
            <w:tcW w:w="850" w:type="dxa"/>
            <w:tcBorders>
              <w:top w:val="single" w:sz="4" w:space="0" w:color="auto"/>
              <w:left w:val="nil"/>
              <w:bottom w:val="nil"/>
              <w:right w:val="nil"/>
            </w:tcBorders>
            <w:shd w:val="clear" w:color="auto" w:fill="000000"/>
          </w:tcPr>
          <w:p w:rsidR="00B958B1" w:rsidRPr="00F74E9E" w:rsidRDefault="00B958B1" w:rsidP="009F3B54">
            <w:pPr>
              <w:pStyle w:val="Tabletextheading"/>
              <w:rPr>
                <w:lang w:eastAsia="en-AU"/>
              </w:rPr>
            </w:pPr>
            <w:r w:rsidRPr="00F74E9E">
              <w:rPr>
                <w:lang w:eastAsia="en-AU"/>
              </w:rPr>
              <w:t>2013</w:t>
            </w:r>
            <w:r w:rsidR="009F0F49">
              <w:rPr>
                <w:lang w:eastAsia="en-AU"/>
              </w:rPr>
              <w:noBreakHyphen/>
            </w:r>
            <w:r w:rsidRPr="00F74E9E">
              <w:rPr>
                <w:lang w:eastAsia="en-AU"/>
              </w:rPr>
              <w:t>14</w:t>
            </w:r>
          </w:p>
        </w:tc>
        <w:tc>
          <w:tcPr>
            <w:tcW w:w="1102" w:type="dxa"/>
            <w:tcBorders>
              <w:top w:val="single" w:sz="4" w:space="0" w:color="auto"/>
              <w:left w:val="nil"/>
              <w:bottom w:val="nil"/>
              <w:right w:val="single" w:sz="4" w:space="0" w:color="auto"/>
            </w:tcBorders>
            <w:shd w:val="clear" w:color="auto" w:fill="000000"/>
          </w:tcPr>
          <w:p w:rsidR="00B958B1" w:rsidRPr="00F74E9E" w:rsidRDefault="00B958B1" w:rsidP="009F3B54">
            <w:pPr>
              <w:pStyle w:val="Tabletextheading"/>
              <w:rPr>
                <w:vertAlign w:val="superscript"/>
                <w:lang w:eastAsia="en-AU"/>
              </w:rPr>
            </w:pPr>
            <w:r w:rsidRPr="00F74E9E">
              <w:rPr>
                <w:lang w:eastAsia="en-AU"/>
              </w:rPr>
              <w:t xml:space="preserve">Variation </w:t>
            </w:r>
            <w:r w:rsidRPr="00F74E9E">
              <w:rPr>
                <w:vertAlign w:val="superscript"/>
                <w:lang w:eastAsia="en-AU"/>
              </w:rPr>
              <w:t>(a)</w:t>
            </w:r>
          </w:p>
        </w:tc>
      </w:tr>
      <w:tr w:rsidR="00B958B1" w:rsidRPr="00F74E9E" w:rsidTr="009F3B54">
        <w:tc>
          <w:tcPr>
            <w:tcW w:w="4154" w:type="dxa"/>
            <w:tcBorders>
              <w:top w:val="nil"/>
              <w:left w:val="single" w:sz="4" w:space="0" w:color="auto"/>
              <w:bottom w:val="single" w:sz="4" w:space="0" w:color="auto"/>
              <w:right w:val="nil"/>
            </w:tcBorders>
            <w:shd w:val="clear" w:color="auto" w:fill="000000"/>
          </w:tcPr>
          <w:p w:rsidR="00B958B1" w:rsidRPr="00F74E9E" w:rsidRDefault="00B958B1" w:rsidP="009F3B54">
            <w:pPr>
              <w:pStyle w:val="Tabletext"/>
              <w:rPr>
                <w:lang w:eastAsia="en-AU"/>
              </w:rPr>
            </w:pPr>
            <w:r w:rsidRPr="00F74E9E">
              <w:rPr>
                <w:lang w:eastAsia="en-AU"/>
              </w:rPr>
              <w:t xml:space="preserve">  </w:t>
            </w:r>
          </w:p>
        </w:tc>
        <w:tc>
          <w:tcPr>
            <w:tcW w:w="820" w:type="dxa"/>
            <w:tcBorders>
              <w:top w:val="nil"/>
              <w:left w:val="nil"/>
              <w:bottom w:val="single" w:sz="4" w:space="0" w:color="auto"/>
              <w:right w:val="nil"/>
            </w:tcBorders>
            <w:shd w:val="clear" w:color="auto" w:fill="000000"/>
          </w:tcPr>
          <w:p w:rsidR="00B958B1" w:rsidRPr="00F74E9E" w:rsidRDefault="00B958B1" w:rsidP="009F3B54">
            <w:pPr>
              <w:pStyle w:val="Tabletextheading"/>
              <w:rPr>
                <w:lang w:eastAsia="en-AU"/>
              </w:rPr>
            </w:pPr>
            <w:r w:rsidRPr="00F74E9E">
              <w:rPr>
                <w:lang w:eastAsia="en-AU"/>
              </w:rPr>
              <w:t>Budget</w:t>
            </w:r>
          </w:p>
        </w:tc>
        <w:tc>
          <w:tcPr>
            <w:tcW w:w="850" w:type="dxa"/>
            <w:tcBorders>
              <w:top w:val="nil"/>
              <w:left w:val="nil"/>
              <w:bottom w:val="single" w:sz="4" w:space="0" w:color="auto"/>
              <w:right w:val="nil"/>
            </w:tcBorders>
            <w:shd w:val="clear" w:color="auto" w:fill="000000"/>
          </w:tcPr>
          <w:p w:rsidR="00B958B1" w:rsidRPr="00F74E9E" w:rsidRDefault="00B958B1" w:rsidP="009F3B54">
            <w:pPr>
              <w:pStyle w:val="Tabletextheading"/>
              <w:rPr>
                <w:lang w:eastAsia="en-AU"/>
              </w:rPr>
            </w:pPr>
            <w:r w:rsidRPr="00F74E9E">
              <w:rPr>
                <w:lang w:eastAsia="en-AU"/>
              </w:rPr>
              <w:t>Revised</w:t>
            </w:r>
          </w:p>
        </w:tc>
        <w:tc>
          <w:tcPr>
            <w:tcW w:w="850" w:type="dxa"/>
            <w:tcBorders>
              <w:top w:val="nil"/>
              <w:left w:val="nil"/>
              <w:bottom w:val="single" w:sz="4" w:space="0" w:color="auto"/>
              <w:right w:val="nil"/>
            </w:tcBorders>
            <w:shd w:val="clear" w:color="auto" w:fill="000000"/>
          </w:tcPr>
          <w:p w:rsidR="00B958B1" w:rsidRPr="00F74E9E" w:rsidRDefault="00B958B1" w:rsidP="009F3B54">
            <w:pPr>
              <w:pStyle w:val="Tabletextheading"/>
              <w:rPr>
                <w:lang w:eastAsia="en-AU"/>
              </w:rPr>
            </w:pPr>
            <w:r w:rsidRPr="00F74E9E">
              <w:rPr>
                <w:lang w:eastAsia="en-AU"/>
              </w:rPr>
              <w:t>Budget</w:t>
            </w:r>
          </w:p>
        </w:tc>
        <w:tc>
          <w:tcPr>
            <w:tcW w:w="1102" w:type="dxa"/>
            <w:tcBorders>
              <w:top w:val="nil"/>
              <w:left w:val="nil"/>
              <w:bottom w:val="single" w:sz="4" w:space="0" w:color="auto"/>
              <w:right w:val="single" w:sz="4" w:space="0" w:color="auto"/>
            </w:tcBorders>
            <w:shd w:val="clear" w:color="auto" w:fill="000000"/>
          </w:tcPr>
          <w:p w:rsidR="00B958B1" w:rsidRPr="00F74E9E" w:rsidRDefault="00B958B1" w:rsidP="009F3B54">
            <w:pPr>
              <w:pStyle w:val="Tabletextheading"/>
              <w:rPr>
                <w:lang w:eastAsia="en-AU"/>
              </w:rPr>
            </w:pPr>
            <w:r w:rsidRPr="00F74E9E">
              <w:rPr>
                <w:lang w:eastAsia="en-AU"/>
              </w:rPr>
              <w:t>%</w:t>
            </w:r>
          </w:p>
        </w:tc>
      </w:tr>
      <w:tr w:rsidR="00B958B1" w:rsidRPr="00F74E9E" w:rsidTr="009F3B54">
        <w:tc>
          <w:tcPr>
            <w:tcW w:w="4154" w:type="dxa"/>
            <w:tcBorders>
              <w:top w:val="single" w:sz="4" w:space="0" w:color="auto"/>
              <w:left w:val="nil"/>
              <w:bottom w:val="nil"/>
              <w:right w:val="nil"/>
            </w:tcBorders>
          </w:tcPr>
          <w:p w:rsidR="00B958B1" w:rsidRPr="00F74E9E" w:rsidRDefault="00B958B1" w:rsidP="009F3B54">
            <w:pPr>
              <w:pStyle w:val="Tabletext"/>
              <w:rPr>
                <w:color w:val="000000"/>
                <w:vertAlign w:val="superscript"/>
                <w:lang w:eastAsia="en-AU"/>
              </w:rPr>
            </w:pPr>
            <w:r w:rsidRPr="00F74E9E">
              <w:rPr>
                <w:color w:val="000000"/>
                <w:lang w:eastAsia="en-AU"/>
              </w:rPr>
              <w:t xml:space="preserve">Strategy, Review and Regulation </w:t>
            </w:r>
            <w:r w:rsidRPr="00F74E9E">
              <w:rPr>
                <w:color w:val="000000"/>
                <w:vertAlign w:val="superscript"/>
                <w:lang w:eastAsia="en-AU"/>
              </w:rPr>
              <w:t>(b)</w:t>
            </w:r>
          </w:p>
        </w:tc>
        <w:tc>
          <w:tcPr>
            <w:tcW w:w="820" w:type="dxa"/>
            <w:tcBorders>
              <w:top w:val="single" w:sz="4" w:space="0" w:color="auto"/>
              <w:left w:val="nil"/>
              <w:bottom w:val="nil"/>
              <w:right w:val="nil"/>
            </w:tcBorders>
          </w:tcPr>
          <w:p w:rsidR="00B958B1" w:rsidRPr="00F74E9E" w:rsidRDefault="00B958B1" w:rsidP="009F3B54">
            <w:pPr>
              <w:pStyle w:val="TableofFigures"/>
              <w:rPr>
                <w:rFonts w:cs="Calibri"/>
                <w:color w:val="000000"/>
                <w:szCs w:val="22"/>
                <w:lang w:eastAsia="en-AU"/>
              </w:rPr>
            </w:pPr>
            <w:r w:rsidRPr="00F74E9E">
              <w:rPr>
                <w:color w:val="000000"/>
                <w:szCs w:val="22"/>
                <w:lang w:eastAsia="en-AU"/>
              </w:rPr>
              <w:t xml:space="preserve"> 116.5</w:t>
            </w:r>
          </w:p>
        </w:tc>
        <w:tc>
          <w:tcPr>
            <w:tcW w:w="850" w:type="dxa"/>
            <w:tcBorders>
              <w:top w:val="single" w:sz="4" w:space="0" w:color="auto"/>
              <w:left w:val="nil"/>
              <w:bottom w:val="nil"/>
              <w:right w:val="nil"/>
            </w:tcBorders>
          </w:tcPr>
          <w:p w:rsidR="00B958B1" w:rsidRPr="00F74E9E" w:rsidRDefault="00B958B1" w:rsidP="009F3B54">
            <w:pPr>
              <w:pStyle w:val="TableofFigures"/>
              <w:rPr>
                <w:rFonts w:cs="Calibri"/>
                <w:color w:val="000000"/>
                <w:szCs w:val="22"/>
                <w:lang w:eastAsia="en-AU"/>
              </w:rPr>
            </w:pPr>
            <w:r w:rsidRPr="00F74E9E">
              <w:rPr>
                <w:color w:val="000000"/>
                <w:szCs w:val="22"/>
                <w:lang w:eastAsia="en-AU"/>
              </w:rPr>
              <w:t xml:space="preserve"> 118.5</w:t>
            </w:r>
          </w:p>
        </w:tc>
        <w:tc>
          <w:tcPr>
            <w:tcW w:w="850" w:type="dxa"/>
            <w:tcBorders>
              <w:top w:val="single" w:sz="4" w:space="0" w:color="auto"/>
              <w:left w:val="nil"/>
              <w:bottom w:val="nil"/>
              <w:right w:val="nil"/>
            </w:tcBorders>
          </w:tcPr>
          <w:p w:rsidR="00B958B1" w:rsidRPr="00F74E9E" w:rsidRDefault="00B958B1" w:rsidP="009F3B54">
            <w:pPr>
              <w:pStyle w:val="TableofFigures"/>
              <w:rPr>
                <w:rFonts w:cs="Calibri"/>
                <w:color w:val="000000"/>
                <w:szCs w:val="22"/>
                <w:lang w:eastAsia="en-AU"/>
              </w:rPr>
            </w:pPr>
            <w:r w:rsidRPr="00F74E9E">
              <w:rPr>
                <w:color w:val="000000"/>
                <w:szCs w:val="22"/>
                <w:lang w:eastAsia="en-AU"/>
              </w:rPr>
              <w:t xml:space="preserve"> 99.9</w:t>
            </w:r>
          </w:p>
        </w:tc>
        <w:tc>
          <w:tcPr>
            <w:tcW w:w="1102" w:type="dxa"/>
            <w:tcBorders>
              <w:top w:val="single" w:sz="4" w:space="0" w:color="auto"/>
              <w:left w:val="nil"/>
              <w:bottom w:val="nil"/>
              <w:right w:val="nil"/>
            </w:tcBorders>
          </w:tcPr>
          <w:p w:rsidR="00B958B1" w:rsidRPr="00F74E9E" w:rsidRDefault="009F0F49" w:rsidP="009F3B54">
            <w:pPr>
              <w:pStyle w:val="TableofFigures"/>
              <w:rPr>
                <w:color w:val="000000"/>
                <w:szCs w:val="22"/>
                <w:lang w:eastAsia="en-AU"/>
              </w:rPr>
            </w:pPr>
            <w:r>
              <w:rPr>
                <w:color w:val="000000"/>
                <w:szCs w:val="22"/>
                <w:lang w:eastAsia="en-AU"/>
              </w:rPr>
              <w:noBreakHyphen/>
            </w:r>
            <w:r w:rsidR="00B958B1" w:rsidRPr="00F74E9E">
              <w:rPr>
                <w:color w:val="000000"/>
                <w:szCs w:val="22"/>
                <w:lang w:eastAsia="en-AU"/>
              </w:rPr>
              <w:t>14.2</w:t>
            </w:r>
          </w:p>
        </w:tc>
      </w:tr>
      <w:tr w:rsidR="00B958B1" w:rsidRPr="00F74E9E" w:rsidTr="009F3B54">
        <w:tc>
          <w:tcPr>
            <w:tcW w:w="4154" w:type="dxa"/>
            <w:tcBorders>
              <w:top w:val="nil"/>
              <w:left w:val="nil"/>
              <w:bottom w:val="nil"/>
              <w:right w:val="nil"/>
            </w:tcBorders>
          </w:tcPr>
          <w:p w:rsidR="00B958B1" w:rsidRPr="00F74E9E" w:rsidRDefault="00B958B1" w:rsidP="009F3B54">
            <w:pPr>
              <w:pStyle w:val="Tabletext"/>
              <w:rPr>
                <w:color w:val="000000"/>
                <w:vertAlign w:val="superscript"/>
                <w:lang w:eastAsia="en-AU"/>
              </w:rPr>
            </w:pPr>
            <w:r w:rsidRPr="00F74E9E">
              <w:rPr>
                <w:color w:val="000000"/>
                <w:lang w:eastAsia="en-AU"/>
              </w:rPr>
              <w:t xml:space="preserve">Early Childhood Development </w:t>
            </w:r>
            <w:r w:rsidRPr="00F74E9E">
              <w:rPr>
                <w:color w:val="000000"/>
                <w:vertAlign w:val="superscript"/>
                <w:lang w:eastAsia="en-AU"/>
              </w:rPr>
              <w:t>(c)</w:t>
            </w:r>
          </w:p>
        </w:tc>
        <w:tc>
          <w:tcPr>
            <w:tcW w:w="820" w:type="dxa"/>
            <w:tcBorders>
              <w:top w:val="nil"/>
              <w:left w:val="nil"/>
              <w:bottom w:val="nil"/>
              <w:right w:val="nil"/>
            </w:tcBorders>
          </w:tcPr>
          <w:p w:rsidR="00B958B1" w:rsidRPr="00F74E9E" w:rsidRDefault="00B958B1" w:rsidP="009F3B54">
            <w:pPr>
              <w:pStyle w:val="TableofFigures"/>
              <w:rPr>
                <w:rFonts w:cs="Calibri"/>
                <w:color w:val="000000"/>
                <w:szCs w:val="22"/>
                <w:lang w:eastAsia="en-AU"/>
              </w:rPr>
            </w:pPr>
            <w:r w:rsidRPr="00F74E9E">
              <w:rPr>
                <w:color w:val="000000"/>
                <w:szCs w:val="22"/>
                <w:lang w:eastAsia="en-AU"/>
              </w:rPr>
              <w:t xml:space="preserve"> 507.0</w:t>
            </w:r>
          </w:p>
        </w:tc>
        <w:tc>
          <w:tcPr>
            <w:tcW w:w="850" w:type="dxa"/>
            <w:tcBorders>
              <w:top w:val="nil"/>
              <w:left w:val="nil"/>
              <w:bottom w:val="nil"/>
              <w:right w:val="nil"/>
            </w:tcBorders>
          </w:tcPr>
          <w:p w:rsidR="00B958B1" w:rsidRPr="00F74E9E" w:rsidRDefault="00B958B1" w:rsidP="009F3B54">
            <w:pPr>
              <w:pStyle w:val="TableofFigures"/>
              <w:rPr>
                <w:rFonts w:cs="Calibri"/>
                <w:color w:val="000000"/>
                <w:szCs w:val="22"/>
                <w:lang w:eastAsia="en-AU"/>
              </w:rPr>
            </w:pPr>
            <w:r w:rsidRPr="00F74E9E">
              <w:rPr>
                <w:color w:val="000000"/>
                <w:szCs w:val="22"/>
                <w:lang w:eastAsia="en-AU"/>
              </w:rPr>
              <w:t xml:space="preserve"> 542.6</w:t>
            </w:r>
          </w:p>
        </w:tc>
        <w:tc>
          <w:tcPr>
            <w:tcW w:w="850" w:type="dxa"/>
            <w:tcBorders>
              <w:top w:val="nil"/>
              <w:left w:val="nil"/>
              <w:bottom w:val="nil"/>
              <w:right w:val="nil"/>
            </w:tcBorders>
          </w:tcPr>
          <w:p w:rsidR="00B958B1" w:rsidRPr="00F74E9E" w:rsidRDefault="00B958B1" w:rsidP="009F3B54">
            <w:pPr>
              <w:pStyle w:val="TableofFigures"/>
              <w:rPr>
                <w:rFonts w:cs="Calibri"/>
                <w:color w:val="000000"/>
                <w:szCs w:val="22"/>
                <w:lang w:eastAsia="en-AU"/>
              </w:rPr>
            </w:pPr>
            <w:r w:rsidRPr="00F74E9E">
              <w:rPr>
                <w:color w:val="000000"/>
                <w:szCs w:val="22"/>
                <w:lang w:eastAsia="en-AU"/>
              </w:rPr>
              <w:t xml:space="preserve"> 543.0</w:t>
            </w:r>
          </w:p>
        </w:tc>
        <w:tc>
          <w:tcPr>
            <w:tcW w:w="1102" w:type="dxa"/>
            <w:tcBorders>
              <w:top w:val="nil"/>
              <w:left w:val="nil"/>
              <w:bottom w:val="nil"/>
              <w:right w:val="nil"/>
            </w:tcBorders>
          </w:tcPr>
          <w:p w:rsidR="00B958B1" w:rsidRPr="00F74E9E" w:rsidRDefault="00B958B1" w:rsidP="009F3B54">
            <w:pPr>
              <w:pStyle w:val="TableofFigures"/>
              <w:rPr>
                <w:color w:val="000000"/>
                <w:szCs w:val="22"/>
                <w:lang w:eastAsia="en-AU"/>
              </w:rPr>
            </w:pPr>
            <w:r w:rsidRPr="00F74E9E">
              <w:rPr>
                <w:color w:val="000000"/>
                <w:szCs w:val="22"/>
                <w:lang w:eastAsia="en-AU"/>
              </w:rPr>
              <w:t>7.1</w:t>
            </w:r>
          </w:p>
        </w:tc>
      </w:tr>
      <w:tr w:rsidR="00B958B1" w:rsidRPr="00F74E9E" w:rsidTr="009F3B54">
        <w:tc>
          <w:tcPr>
            <w:tcW w:w="4154" w:type="dxa"/>
            <w:tcBorders>
              <w:top w:val="nil"/>
              <w:left w:val="nil"/>
              <w:bottom w:val="nil"/>
              <w:right w:val="nil"/>
            </w:tcBorders>
          </w:tcPr>
          <w:p w:rsidR="00B958B1" w:rsidRPr="00F74E9E" w:rsidRDefault="00B958B1" w:rsidP="009F3B54">
            <w:pPr>
              <w:pStyle w:val="Tabletext"/>
              <w:rPr>
                <w:color w:val="000000"/>
                <w:lang w:eastAsia="en-AU"/>
              </w:rPr>
            </w:pPr>
            <w:r w:rsidRPr="00F74E9E">
              <w:rPr>
                <w:color w:val="000000"/>
                <w:lang w:eastAsia="en-AU"/>
              </w:rPr>
              <w:t>School Education</w:t>
            </w:r>
          </w:p>
        </w:tc>
        <w:tc>
          <w:tcPr>
            <w:tcW w:w="820" w:type="dxa"/>
            <w:tcBorders>
              <w:top w:val="nil"/>
              <w:left w:val="nil"/>
              <w:bottom w:val="nil"/>
              <w:right w:val="nil"/>
            </w:tcBorders>
          </w:tcPr>
          <w:p w:rsidR="00B958B1" w:rsidRPr="00F74E9E" w:rsidRDefault="00B958B1" w:rsidP="009F3B54">
            <w:pPr>
              <w:pStyle w:val="TableofFigures"/>
              <w:rPr>
                <w:color w:val="000000"/>
                <w:szCs w:val="22"/>
                <w:lang w:eastAsia="en-AU"/>
              </w:rPr>
            </w:pPr>
          </w:p>
        </w:tc>
        <w:tc>
          <w:tcPr>
            <w:tcW w:w="850" w:type="dxa"/>
            <w:tcBorders>
              <w:top w:val="nil"/>
              <w:left w:val="nil"/>
              <w:bottom w:val="nil"/>
              <w:right w:val="nil"/>
            </w:tcBorders>
          </w:tcPr>
          <w:p w:rsidR="00B958B1" w:rsidRPr="00F74E9E" w:rsidRDefault="00B958B1" w:rsidP="009F3B54">
            <w:pPr>
              <w:pStyle w:val="TableofFigures"/>
              <w:rPr>
                <w:color w:val="000000"/>
                <w:szCs w:val="22"/>
                <w:lang w:eastAsia="en-AU"/>
              </w:rPr>
            </w:pPr>
          </w:p>
        </w:tc>
        <w:tc>
          <w:tcPr>
            <w:tcW w:w="850" w:type="dxa"/>
            <w:tcBorders>
              <w:top w:val="nil"/>
              <w:left w:val="nil"/>
              <w:bottom w:val="nil"/>
              <w:right w:val="nil"/>
            </w:tcBorders>
          </w:tcPr>
          <w:p w:rsidR="00B958B1" w:rsidRPr="00F74E9E" w:rsidRDefault="00B958B1" w:rsidP="009F3B54">
            <w:pPr>
              <w:pStyle w:val="TableofFigures"/>
              <w:rPr>
                <w:color w:val="000000"/>
                <w:szCs w:val="22"/>
                <w:lang w:eastAsia="en-AU"/>
              </w:rPr>
            </w:pPr>
          </w:p>
        </w:tc>
        <w:tc>
          <w:tcPr>
            <w:tcW w:w="1102" w:type="dxa"/>
            <w:tcBorders>
              <w:top w:val="nil"/>
              <w:left w:val="nil"/>
              <w:bottom w:val="nil"/>
              <w:right w:val="nil"/>
            </w:tcBorders>
          </w:tcPr>
          <w:p w:rsidR="00B958B1" w:rsidRPr="00F74E9E" w:rsidRDefault="00B958B1" w:rsidP="009F3B54">
            <w:pPr>
              <w:pStyle w:val="TableofFigures"/>
              <w:rPr>
                <w:color w:val="000000"/>
                <w:szCs w:val="22"/>
                <w:lang w:eastAsia="en-AU"/>
              </w:rPr>
            </w:pPr>
          </w:p>
        </w:tc>
      </w:tr>
      <w:tr w:rsidR="00B958B1" w:rsidRPr="00F74E9E" w:rsidTr="009F3B54">
        <w:tc>
          <w:tcPr>
            <w:tcW w:w="4154" w:type="dxa"/>
            <w:tcBorders>
              <w:top w:val="nil"/>
              <w:left w:val="nil"/>
              <w:bottom w:val="nil"/>
              <w:right w:val="nil"/>
            </w:tcBorders>
          </w:tcPr>
          <w:p w:rsidR="00B958B1" w:rsidRPr="00F74E9E" w:rsidRDefault="00B958B1" w:rsidP="009F3B54">
            <w:pPr>
              <w:pStyle w:val="Tabletext"/>
              <w:rPr>
                <w:color w:val="000000"/>
                <w:lang w:eastAsia="en-AU"/>
              </w:rPr>
            </w:pPr>
            <w:r w:rsidRPr="00F74E9E">
              <w:rPr>
                <w:color w:val="000000"/>
                <w:lang w:eastAsia="en-AU"/>
              </w:rPr>
              <w:t xml:space="preserve">     School Education</w:t>
            </w:r>
            <w:r>
              <w:rPr>
                <w:color w:val="000000"/>
                <w:lang w:eastAsia="en-AU"/>
              </w:rPr>
              <w:t xml:space="preserve"> – </w:t>
            </w:r>
            <w:r w:rsidRPr="00F74E9E">
              <w:rPr>
                <w:color w:val="000000"/>
                <w:lang w:eastAsia="en-AU"/>
              </w:rPr>
              <w:t xml:space="preserve">Primary </w:t>
            </w:r>
            <w:r w:rsidRPr="00F74E9E">
              <w:rPr>
                <w:color w:val="000000"/>
                <w:vertAlign w:val="superscript"/>
                <w:lang w:eastAsia="en-AU"/>
              </w:rPr>
              <w:t>(d)</w:t>
            </w:r>
          </w:p>
        </w:tc>
        <w:tc>
          <w:tcPr>
            <w:tcW w:w="820" w:type="dxa"/>
            <w:tcBorders>
              <w:top w:val="nil"/>
              <w:left w:val="nil"/>
              <w:bottom w:val="nil"/>
              <w:right w:val="nil"/>
            </w:tcBorders>
          </w:tcPr>
          <w:p w:rsidR="00B958B1" w:rsidRPr="00F74E9E" w:rsidRDefault="00B958B1" w:rsidP="009F3B54">
            <w:pPr>
              <w:pStyle w:val="TableofFigures"/>
              <w:rPr>
                <w:rFonts w:cs="Calibri"/>
                <w:color w:val="000000"/>
                <w:szCs w:val="22"/>
                <w:lang w:eastAsia="en-AU"/>
              </w:rPr>
            </w:pPr>
            <w:r w:rsidRPr="00F74E9E">
              <w:rPr>
                <w:color w:val="000000"/>
                <w:szCs w:val="22"/>
                <w:lang w:eastAsia="en-AU"/>
              </w:rPr>
              <w:t xml:space="preserve">4 </w:t>
            </w:r>
            <w:r w:rsidRPr="00F74E9E">
              <w:rPr>
                <w:rFonts w:cs="Calibri"/>
                <w:color w:val="000000"/>
                <w:szCs w:val="22"/>
                <w:lang w:eastAsia="en-AU"/>
              </w:rPr>
              <w:t>013.3</w:t>
            </w:r>
          </w:p>
        </w:tc>
        <w:tc>
          <w:tcPr>
            <w:tcW w:w="850" w:type="dxa"/>
            <w:tcBorders>
              <w:top w:val="nil"/>
              <w:left w:val="nil"/>
              <w:bottom w:val="nil"/>
              <w:right w:val="nil"/>
            </w:tcBorders>
          </w:tcPr>
          <w:p w:rsidR="00B958B1" w:rsidRPr="00F74E9E" w:rsidRDefault="00B958B1" w:rsidP="009F3B54">
            <w:pPr>
              <w:pStyle w:val="TableofFigures"/>
              <w:rPr>
                <w:rFonts w:cs="Calibri"/>
                <w:color w:val="000000"/>
                <w:szCs w:val="22"/>
                <w:lang w:eastAsia="en-AU"/>
              </w:rPr>
            </w:pPr>
            <w:r w:rsidRPr="00F74E9E">
              <w:rPr>
                <w:color w:val="000000"/>
                <w:szCs w:val="22"/>
                <w:lang w:eastAsia="en-AU"/>
              </w:rPr>
              <w:t xml:space="preserve">4 </w:t>
            </w:r>
            <w:r w:rsidRPr="00F74E9E">
              <w:rPr>
                <w:rFonts w:cs="Calibri"/>
                <w:color w:val="000000"/>
                <w:szCs w:val="22"/>
                <w:lang w:eastAsia="en-AU"/>
              </w:rPr>
              <w:t>028.0</w:t>
            </w:r>
          </w:p>
        </w:tc>
        <w:tc>
          <w:tcPr>
            <w:tcW w:w="850" w:type="dxa"/>
            <w:tcBorders>
              <w:top w:val="nil"/>
              <w:left w:val="nil"/>
              <w:bottom w:val="nil"/>
              <w:right w:val="nil"/>
            </w:tcBorders>
          </w:tcPr>
          <w:p w:rsidR="00B958B1" w:rsidRPr="00F74E9E" w:rsidRDefault="00B958B1" w:rsidP="009F3B54">
            <w:pPr>
              <w:pStyle w:val="TableofFigures"/>
              <w:rPr>
                <w:rFonts w:cs="Calibri"/>
                <w:color w:val="000000"/>
                <w:szCs w:val="22"/>
                <w:lang w:eastAsia="en-AU"/>
              </w:rPr>
            </w:pPr>
            <w:r w:rsidRPr="00F74E9E">
              <w:rPr>
                <w:color w:val="000000"/>
                <w:szCs w:val="22"/>
                <w:lang w:eastAsia="en-AU"/>
              </w:rPr>
              <w:t xml:space="preserve">4 </w:t>
            </w:r>
            <w:r w:rsidRPr="00F74E9E">
              <w:rPr>
                <w:rFonts w:cs="Calibri"/>
                <w:color w:val="000000"/>
                <w:szCs w:val="22"/>
                <w:lang w:eastAsia="en-AU"/>
              </w:rPr>
              <w:t>072.7</w:t>
            </w:r>
          </w:p>
        </w:tc>
        <w:tc>
          <w:tcPr>
            <w:tcW w:w="1102" w:type="dxa"/>
            <w:tcBorders>
              <w:top w:val="nil"/>
              <w:left w:val="nil"/>
              <w:bottom w:val="nil"/>
              <w:right w:val="nil"/>
            </w:tcBorders>
          </w:tcPr>
          <w:p w:rsidR="00B958B1" w:rsidRPr="00F74E9E" w:rsidRDefault="00B958B1" w:rsidP="009F3B54">
            <w:pPr>
              <w:pStyle w:val="TableofFigures"/>
              <w:rPr>
                <w:color w:val="000000"/>
                <w:szCs w:val="22"/>
                <w:lang w:eastAsia="en-AU"/>
              </w:rPr>
            </w:pPr>
            <w:r w:rsidRPr="00F74E9E">
              <w:rPr>
                <w:color w:val="000000"/>
                <w:szCs w:val="22"/>
                <w:lang w:eastAsia="en-AU"/>
              </w:rPr>
              <w:t>1.5</w:t>
            </w:r>
          </w:p>
        </w:tc>
      </w:tr>
      <w:tr w:rsidR="00B958B1" w:rsidRPr="00F74E9E" w:rsidTr="009F3B54">
        <w:tc>
          <w:tcPr>
            <w:tcW w:w="4154" w:type="dxa"/>
            <w:tcBorders>
              <w:top w:val="nil"/>
              <w:left w:val="nil"/>
              <w:bottom w:val="nil"/>
              <w:right w:val="nil"/>
            </w:tcBorders>
          </w:tcPr>
          <w:p w:rsidR="00B958B1" w:rsidRPr="00F74E9E" w:rsidRDefault="00B958B1" w:rsidP="009F3B54">
            <w:pPr>
              <w:pStyle w:val="Tabletext"/>
              <w:rPr>
                <w:color w:val="000000"/>
                <w:lang w:eastAsia="en-AU"/>
              </w:rPr>
            </w:pPr>
            <w:r w:rsidRPr="00F74E9E">
              <w:rPr>
                <w:color w:val="000000"/>
                <w:lang w:eastAsia="en-AU"/>
              </w:rPr>
              <w:t xml:space="preserve">     School Education</w:t>
            </w:r>
            <w:r>
              <w:rPr>
                <w:color w:val="000000"/>
                <w:lang w:eastAsia="en-AU"/>
              </w:rPr>
              <w:t xml:space="preserve"> – </w:t>
            </w:r>
            <w:r w:rsidRPr="00F74E9E">
              <w:rPr>
                <w:color w:val="000000"/>
                <w:lang w:eastAsia="en-AU"/>
              </w:rPr>
              <w:t xml:space="preserve">Secondary </w:t>
            </w:r>
            <w:r w:rsidRPr="00F74E9E">
              <w:rPr>
                <w:color w:val="000000"/>
                <w:vertAlign w:val="superscript"/>
                <w:lang w:eastAsia="en-AU"/>
              </w:rPr>
              <w:t>(e)</w:t>
            </w:r>
          </w:p>
        </w:tc>
        <w:tc>
          <w:tcPr>
            <w:tcW w:w="820" w:type="dxa"/>
            <w:tcBorders>
              <w:top w:val="nil"/>
              <w:left w:val="nil"/>
              <w:bottom w:val="nil"/>
              <w:right w:val="nil"/>
            </w:tcBorders>
          </w:tcPr>
          <w:p w:rsidR="00B958B1" w:rsidRPr="00F74E9E" w:rsidRDefault="00B958B1" w:rsidP="009F3B54">
            <w:pPr>
              <w:pStyle w:val="TableofFigures"/>
              <w:rPr>
                <w:rFonts w:cs="Calibri"/>
                <w:color w:val="000000"/>
                <w:szCs w:val="22"/>
                <w:lang w:eastAsia="en-AU"/>
              </w:rPr>
            </w:pPr>
            <w:r w:rsidRPr="00F74E9E">
              <w:rPr>
                <w:color w:val="000000"/>
                <w:szCs w:val="22"/>
                <w:lang w:eastAsia="en-AU"/>
              </w:rPr>
              <w:t xml:space="preserve">3 </w:t>
            </w:r>
            <w:r w:rsidRPr="00F74E9E">
              <w:rPr>
                <w:rFonts w:cs="Calibri"/>
                <w:color w:val="000000"/>
                <w:szCs w:val="22"/>
                <w:lang w:eastAsia="en-AU"/>
              </w:rPr>
              <w:t>456.0</w:t>
            </w:r>
          </w:p>
        </w:tc>
        <w:tc>
          <w:tcPr>
            <w:tcW w:w="850" w:type="dxa"/>
            <w:tcBorders>
              <w:top w:val="nil"/>
              <w:left w:val="nil"/>
              <w:bottom w:val="nil"/>
              <w:right w:val="nil"/>
            </w:tcBorders>
          </w:tcPr>
          <w:p w:rsidR="00B958B1" w:rsidRPr="00F74E9E" w:rsidRDefault="00B958B1" w:rsidP="009F3B54">
            <w:pPr>
              <w:pStyle w:val="TableofFigures"/>
              <w:rPr>
                <w:rFonts w:cs="Calibri"/>
                <w:color w:val="000000"/>
                <w:szCs w:val="22"/>
                <w:lang w:eastAsia="en-AU"/>
              </w:rPr>
            </w:pPr>
            <w:r w:rsidRPr="00F74E9E">
              <w:rPr>
                <w:color w:val="000000"/>
                <w:szCs w:val="22"/>
                <w:lang w:eastAsia="en-AU"/>
              </w:rPr>
              <w:t xml:space="preserve">3 </w:t>
            </w:r>
            <w:r w:rsidRPr="00F74E9E">
              <w:rPr>
                <w:rFonts w:cs="Calibri"/>
                <w:color w:val="000000"/>
                <w:szCs w:val="22"/>
                <w:lang w:eastAsia="en-AU"/>
              </w:rPr>
              <w:t>462.8</w:t>
            </w:r>
          </w:p>
        </w:tc>
        <w:tc>
          <w:tcPr>
            <w:tcW w:w="850" w:type="dxa"/>
            <w:tcBorders>
              <w:top w:val="nil"/>
              <w:left w:val="nil"/>
              <w:bottom w:val="nil"/>
              <w:right w:val="nil"/>
            </w:tcBorders>
          </w:tcPr>
          <w:p w:rsidR="00B958B1" w:rsidRPr="00F74E9E" w:rsidRDefault="00B958B1" w:rsidP="009F3B54">
            <w:pPr>
              <w:pStyle w:val="TableofFigures"/>
              <w:rPr>
                <w:rFonts w:cs="Calibri"/>
                <w:color w:val="000000"/>
                <w:szCs w:val="22"/>
                <w:lang w:eastAsia="en-AU"/>
              </w:rPr>
            </w:pPr>
            <w:r w:rsidRPr="00F74E9E">
              <w:rPr>
                <w:color w:val="000000"/>
                <w:szCs w:val="22"/>
                <w:lang w:eastAsia="en-AU"/>
              </w:rPr>
              <w:t xml:space="preserve">3 </w:t>
            </w:r>
            <w:r w:rsidRPr="00F74E9E">
              <w:rPr>
                <w:rFonts w:cs="Calibri"/>
                <w:color w:val="000000"/>
                <w:szCs w:val="22"/>
                <w:lang w:eastAsia="en-AU"/>
              </w:rPr>
              <w:t>507.7</w:t>
            </w:r>
          </w:p>
        </w:tc>
        <w:tc>
          <w:tcPr>
            <w:tcW w:w="1102" w:type="dxa"/>
            <w:tcBorders>
              <w:top w:val="nil"/>
              <w:left w:val="nil"/>
              <w:bottom w:val="nil"/>
              <w:right w:val="nil"/>
            </w:tcBorders>
          </w:tcPr>
          <w:p w:rsidR="00B958B1" w:rsidRPr="00F74E9E" w:rsidRDefault="00B958B1" w:rsidP="009F3B54">
            <w:pPr>
              <w:pStyle w:val="TableofFigures"/>
              <w:rPr>
                <w:color w:val="000000"/>
                <w:szCs w:val="22"/>
                <w:lang w:eastAsia="en-AU"/>
              </w:rPr>
            </w:pPr>
            <w:r w:rsidRPr="00F74E9E">
              <w:rPr>
                <w:color w:val="000000"/>
                <w:szCs w:val="22"/>
                <w:lang w:eastAsia="en-AU"/>
              </w:rPr>
              <w:t>1.5</w:t>
            </w:r>
          </w:p>
        </w:tc>
      </w:tr>
      <w:tr w:rsidR="00B958B1" w:rsidRPr="00F74E9E" w:rsidTr="009F3B54">
        <w:tc>
          <w:tcPr>
            <w:tcW w:w="4154" w:type="dxa"/>
            <w:tcBorders>
              <w:top w:val="nil"/>
              <w:left w:val="nil"/>
              <w:bottom w:val="nil"/>
              <w:right w:val="nil"/>
            </w:tcBorders>
          </w:tcPr>
          <w:p w:rsidR="00B958B1" w:rsidRPr="00F74E9E" w:rsidRDefault="00B958B1" w:rsidP="009F3B54">
            <w:pPr>
              <w:pStyle w:val="Tabletext"/>
              <w:rPr>
                <w:color w:val="000000"/>
                <w:vertAlign w:val="superscript"/>
                <w:lang w:eastAsia="en-AU"/>
              </w:rPr>
            </w:pPr>
            <w:r w:rsidRPr="00F74E9E">
              <w:rPr>
                <w:color w:val="000000"/>
                <w:lang w:eastAsia="en-AU"/>
              </w:rPr>
              <w:t xml:space="preserve">Higher Education and Skills </w:t>
            </w:r>
            <w:r w:rsidRPr="00F74E9E">
              <w:rPr>
                <w:color w:val="000000"/>
                <w:vertAlign w:val="superscript"/>
                <w:lang w:eastAsia="en-AU"/>
              </w:rPr>
              <w:t>(f)</w:t>
            </w:r>
          </w:p>
        </w:tc>
        <w:tc>
          <w:tcPr>
            <w:tcW w:w="820" w:type="dxa"/>
            <w:tcBorders>
              <w:top w:val="nil"/>
              <w:left w:val="nil"/>
              <w:bottom w:val="nil"/>
              <w:right w:val="nil"/>
            </w:tcBorders>
          </w:tcPr>
          <w:p w:rsidR="00B958B1" w:rsidRPr="00F74E9E" w:rsidRDefault="00B958B1" w:rsidP="009F3B54">
            <w:pPr>
              <w:pStyle w:val="TableofFigures"/>
              <w:rPr>
                <w:rFonts w:cs="Calibri"/>
                <w:color w:val="000000"/>
                <w:szCs w:val="22"/>
                <w:lang w:eastAsia="en-AU"/>
              </w:rPr>
            </w:pPr>
            <w:r w:rsidRPr="00F74E9E">
              <w:rPr>
                <w:color w:val="000000"/>
                <w:szCs w:val="22"/>
                <w:lang w:eastAsia="en-AU"/>
              </w:rPr>
              <w:t xml:space="preserve">2 </w:t>
            </w:r>
            <w:r w:rsidRPr="00F74E9E">
              <w:rPr>
                <w:rFonts w:cs="Calibri"/>
                <w:color w:val="000000"/>
                <w:szCs w:val="22"/>
                <w:lang w:eastAsia="en-AU"/>
              </w:rPr>
              <w:t>437.7</w:t>
            </w:r>
          </w:p>
        </w:tc>
        <w:tc>
          <w:tcPr>
            <w:tcW w:w="850" w:type="dxa"/>
            <w:tcBorders>
              <w:top w:val="nil"/>
              <w:left w:val="nil"/>
              <w:bottom w:val="nil"/>
              <w:right w:val="nil"/>
            </w:tcBorders>
          </w:tcPr>
          <w:p w:rsidR="00B958B1" w:rsidRPr="00F74E9E" w:rsidRDefault="00B958B1" w:rsidP="009F3B54">
            <w:pPr>
              <w:pStyle w:val="TableofFigures"/>
              <w:rPr>
                <w:rFonts w:cs="Calibri"/>
                <w:color w:val="000000"/>
                <w:szCs w:val="22"/>
                <w:lang w:eastAsia="en-AU"/>
              </w:rPr>
            </w:pPr>
            <w:r w:rsidRPr="00F74E9E">
              <w:rPr>
                <w:color w:val="000000"/>
                <w:szCs w:val="22"/>
                <w:lang w:eastAsia="en-AU"/>
              </w:rPr>
              <w:t xml:space="preserve">2 </w:t>
            </w:r>
            <w:r w:rsidRPr="00F74E9E">
              <w:rPr>
                <w:rFonts w:cs="Calibri"/>
                <w:color w:val="000000"/>
                <w:szCs w:val="22"/>
                <w:lang w:eastAsia="en-AU"/>
              </w:rPr>
              <w:t>450.2</w:t>
            </w:r>
          </w:p>
        </w:tc>
        <w:tc>
          <w:tcPr>
            <w:tcW w:w="850" w:type="dxa"/>
            <w:tcBorders>
              <w:top w:val="nil"/>
              <w:left w:val="nil"/>
              <w:bottom w:val="nil"/>
              <w:right w:val="nil"/>
            </w:tcBorders>
          </w:tcPr>
          <w:p w:rsidR="00B958B1" w:rsidRPr="00F74E9E" w:rsidRDefault="00B958B1" w:rsidP="009F3B54">
            <w:pPr>
              <w:pStyle w:val="TableofFigures"/>
              <w:rPr>
                <w:rFonts w:cs="Calibri"/>
                <w:color w:val="000000"/>
                <w:szCs w:val="22"/>
                <w:lang w:eastAsia="en-AU"/>
              </w:rPr>
            </w:pPr>
            <w:r w:rsidRPr="00F74E9E">
              <w:rPr>
                <w:color w:val="000000"/>
                <w:szCs w:val="22"/>
                <w:lang w:eastAsia="en-AU"/>
              </w:rPr>
              <w:t xml:space="preserve">2 </w:t>
            </w:r>
            <w:r w:rsidRPr="00F74E9E">
              <w:rPr>
                <w:rFonts w:cs="Calibri"/>
                <w:color w:val="000000"/>
                <w:szCs w:val="22"/>
                <w:lang w:eastAsia="en-AU"/>
              </w:rPr>
              <w:t>268.2</w:t>
            </w:r>
          </w:p>
        </w:tc>
        <w:tc>
          <w:tcPr>
            <w:tcW w:w="1102" w:type="dxa"/>
            <w:tcBorders>
              <w:top w:val="nil"/>
              <w:left w:val="nil"/>
              <w:bottom w:val="nil"/>
              <w:right w:val="nil"/>
            </w:tcBorders>
          </w:tcPr>
          <w:p w:rsidR="00B958B1" w:rsidRPr="00F74E9E" w:rsidRDefault="009F0F49" w:rsidP="009F3B54">
            <w:pPr>
              <w:pStyle w:val="TableofFigures"/>
              <w:rPr>
                <w:color w:val="000000"/>
                <w:szCs w:val="22"/>
                <w:lang w:eastAsia="en-AU"/>
              </w:rPr>
            </w:pPr>
            <w:r>
              <w:rPr>
                <w:color w:val="000000"/>
                <w:szCs w:val="22"/>
                <w:lang w:eastAsia="en-AU"/>
              </w:rPr>
              <w:noBreakHyphen/>
            </w:r>
            <w:r w:rsidR="00B958B1" w:rsidRPr="00F74E9E">
              <w:rPr>
                <w:color w:val="000000"/>
                <w:szCs w:val="22"/>
                <w:lang w:eastAsia="en-AU"/>
              </w:rPr>
              <w:t>7.0</w:t>
            </w:r>
          </w:p>
        </w:tc>
      </w:tr>
      <w:tr w:rsidR="00B958B1" w:rsidRPr="00F74E9E" w:rsidTr="009F3B54">
        <w:tc>
          <w:tcPr>
            <w:tcW w:w="4154" w:type="dxa"/>
            <w:tcBorders>
              <w:top w:val="nil"/>
              <w:left w:val="nil"/>
              <w:bottom w:val="nil"/>
              <w:right w:val="nil"/>
            </w:tcBorders>
          </w:tcPr>
          <w:p w:rsidR="00B958B1" w:rsidRPr="00F74E9E" w:rsidRDefault="00B958B1" w:rsidP="009F3B54">
            <w:pPr>
              <w:pStyle w:val="Tabletext"/>
              <w:rPr>
                <w:color w:val="000000"/>
                <w:lang w:eastAsia="en-AU"/>
              </w:rPr>
            </w:pPr>
            <w:r w:rsidRPr="00F74E9E">
              <w:rPr>
                <w:color w:val="000000"/>
                <w:lang w:eastAsia="en-AU"/>
              </w:rPr>
              <w:t xml:space="preserve">Support Services Delivery </w:t>
            </w:r>
            <w:r w:rsidRPr="00F74E9E">
              <w:rPr>
                <w:color w:val="000000"/>
                <w:vertAlign w:val="superscript"/>
                <w:lang w:eastAsia="en-AU"/>
              </w:rPr>
              <w:t>(g)</w:t>
            </w:r>
          </w:p>
        </w:tc>
        <w:tc>
          <w:tcPr>
            <w:tcW w:w="820" w:type="dxa"/>
            <w:tcBorders>
              <w:top w:val="nil"/>
              <w:left w:val="nil"/>
              <w:bottom w:val="nil"/>
              <w:right w:val="nil"/>
            </w:tcBorders>
          </w:tcPr>
          <w:p w:rsidR="00B958B1" w:rsidRPr="00F74E9E" w:rsidRDefault="00B958B1" w:rsidP="009F3B54">
            <w:pPr>
              <w:pStyle w:val="TableofFigures"/>
              <w:rPr>
                <w:rFonts w:cs="Calibri"/>
                <w:color w:val="000000"/>
                <w:szCs w:val="22"/>
                <w:lang w:eastAsia="en-AU"/>
              </w:rPr>
            </w:pPr>
            <w:r w:rsidRPr="00F74E9E">
              <w:rPr>
                <w:color w:val="000000"/>
                <w:szCs w:val="22"/>
                <w:lang w:eastAsia="en-AU"/>
              </w:rPr>
              <w:t xml:space="preserve"> 303.6</w:t>
            </w:r>
          </w:p>
        </w:tc>
        <w:tc>
          <w:tcPr>
            <w:tcW w:w="850" w:type="dxa"/>
            <w:tcBorders>
              <w:top w:val="nil"/>
              <w:left w:val="nil"/>
              <w:bottom w:val="nil"/>
              <w:right w:val="nil"/>
            </w:tcBorders>
          </w:tcPr>
          <w:p w:rsidR="00B958B1" w:rsidRPr="00F74E9E" w:rsidRDefault="00B958B1" w:rsidP="009F3B54">
            <w:pPr>
              <w:pStyle w:val="TableofFigures"/>
              <w:rPr>
                <w:rFonts w:cs="Calibri"/>
                <w:color w:val="000000"/>
                <w:szCs w:val="22"/>
                <w:lang w:eastAsia="en-AU"/>
              </w:rPr>
            </w:pPr>
            <w:r w:rsidRPr="00F74E9E">
              <w:rPr>
                <w:color w:val="000000"/>
                <w:szCs w:val="22"/>
                <w:lang w:eastAsia="en-AU"/>
              </w:rPr>
              <w:t xml:space="preserve"> 311.8</w:t>
            </w:r>
          </w:p>
        </w:tc>
        <w:tc>
          <w:tcPr>
            <w:tcW w:w="850" w:type="dxa"/>
            <w:tcBorders>
              <w:top w:val="nil"/>
              <w:left w:val="nil"/>
              <w:bottom w:val="nil"/>
              <w:right w:val="nil"/>
            </w:tcBorders>
          </w:tcPr>
          <w:p w:rsidR="00B958B1" w:rsidRPr="00F74E9E" w:rsidRDefault="00B958B1" w:rsidP="009F3B54">
            <w:pPr>
              <w:pStyle w:val="TableofFigures"/>
              <w:rPr>
                <w:rFonts w:cs="Calibri"/>
                <w:color w:val="000000"/>
                <w:szCs w:val="22"/>
                <w:lang w:eastAsia="en-AU"/>
              </w:rPr>
            </w:pPr>
            <w:r w:rsidRPr="00F74E9E">
              <w:rPr>
                <w:color w:val="000000"/>
                <w:szCs w:val="22"/>
                <w:lang w:eastAsia="en-AU"/>
              </w:rPr>
              <w:t xml:space="preserve"> 297.2</w:t>
            </w:r>
          </w:p>
        </w:tc>
        <w:tc>
          <w:tcPr>
            <w:tcW w:w="1102" w:type="dxa"/>
            <w:tcBorders>
              <w:top w:val="nil"/>
              <w:left w:val="nil"/>
              <w:bottom w:val="nil"/>
              <w:right w:val="nil"/>
            </w:tcBorders>
          </w:tcPr>
          <w:p w:rsidR="00B958B1" w:rsidRPr="00F74E9E" w:rsidRDefault="009F0F49" w:rsidP="009F3B54">
            <w:pPr>
              <w:pStyle w:val="TableofFigures"/>
              <w:rPr>
                <w:color w:val="000000"/>
                <w:szCs w:val="22"/>
                <w:lang w:eastAsia="en-AU"/>
              </w:rPr>
            </w:pPr>
            <w:r>
              <w:rPr>
                <w:color w:val="000000"/>
                <w:szCs w:val="22"/>
                <w:lang w:eastAsia="en-AU"/>
              </w:rPr>
              <w:noBreakHyphen/>
            </w:r>
            <w:r w:rsidR="00B958B1" w:rsidRPr="00F74E9E">
              <w:rPr>
                <w:color w:val="000000"/>
                <w:szCs w:val="22"/>
                <w:lang w:eastAsia="en-AU"/>
              </w:rPr>
              <w:t>2.1</w:t>
            </w:r>
          </w:p>
        </w:tc>
      </w:tr>
      <w:tr w:rsidR="00B958B1" w:rsidRPr="00F74E9E" w:rsidTr="009F3B54">
        <w:tc>
          <w:tcPr>
            <w:tcW w:w="4154" w:type="dxa"/>
            <w:tcBorders>
              <w:top w:val="nil"/>
              <w:left w:val="nil"/>
              <w:bottom w:val="nil"/>
              <w:right w:val="nil"/>
            </w:tcBorders>
          </w:tcPr>
          <w:p w:rsidR="00B958B1" w:rsidRPr="00F74E9E" w:rsidRDefault="00B958B1" w:rsidP="009F3B54">
            <w:pPr>
              <w:pStyle w:val="Tabletext"/>
              <w:rPr>
                <w:color w:val="000000"/>
                <w:vertAlign w:val="superscript"/>
                <w:lang w:eastAsia="en-AU"/>
              </w:rPr>
            </w:pPr>
            <w:r w:rsidRPr="00F74E9E">
              <w:rPr>
                <w:color w:val="000000"/>
                <w:lang w:eastAsia="en-AU"/>
              </w:rPr>
              <w:t xml:space="preserve">Support for Students with Disabilities </w:t>
            </w:r>
            <w:r w:rsidRPr="00F74E9E">
              <w:rPr>
                <w:color w:val="000000"/>
                <w:vertAlign w:val="superscript"/>
                <w:lang w:eastAsia="en-AU"/>
              </w:rPr>
              <w:t>(h)</w:t>
            </w:r>
          </w:p>
        </w:tc>
        <w:tc>
          <w:tcPr>
            <w:tcW w:w="820" w:type="dxa"/>
            <w:tcBorders>
              <w:top w:val="nil"/>
              <w:left w:val="nil"/>
              <w:bottom w:val="nil"/>
              <w:right w:val="nil"/>
            </w:tcBorders>
          </w:tcPr>
          <w:p w:rsidR="00B958B1" w:rsidRPr="00F74E9E" w:rsidRDefault="00B958B1" w:rsidP="009F3B54">
            <w:pPr>
              <w:pStyle w:val="TableofFigures"/>
              <w:rPr>
                <w:rFonts w:cs="Calibri"/>
                <w:color w:val="000000"/>
                <w:szCs w:val="22"/>
                <w:lang w:eastAsia="en-AU"/>
              </w:rPr>
            </w:pPr>
            <w:r w:rsidRPr="00F74E9E">
              <w:rPr>
                <w:color w:val="000000"/>
                <w:szCs w:val="22"/>
                <w:lang w:eastAsia="en-AU"/>
              </w:rPr>
              <w:t xml:space="preserve"> 712.9</w:t>
            </w:r>
          </w:p>
        </w:tc>
        <w:tc>
          <w:tcPr>
            <w:tcW w:w="850" w:type="dxa"/>
            <w:tcBorders>
              <w:top w:val="nil"/>
              <w:left w:val="nil"/>
              <w:bottom w:val="nil"/>
              <w:right w:val="nil"/>
            </w:tcBorders>
          </w:tcPr>
          <w:p w:rsidR="00B958B1" w:rsidRPr="00F74E9E" w:rsidRDefault="00B958B1" w:rsidP="009F3B54">
            <w:pPr>
              <w:pStyle w:val="TableofFigures"/>
              <w:rPr>
                <w:rFonts w:cs="Calibri"/>
                <w:color w:val="000000"/>
                <w:szCs w:val="22"/>
                <w:lang w:eastAsia="en-AU"/>
              </w:rPr>
            </w:pPr>
            <w:r w:rsidRPr="00F74E9E">
              <w:rPr>
                <w:color w:val="000000"/>
                <w:szCs w:val="22"/>
                <w:lang w:eastAsia="en-AU"/>
              </w:rPr>
              <w:t xml:space="preserve"> 728.7</w:t>
            </w:r>
          </w:p>
        </w:tc>
        <w:tc>
          <w:tcPr>
            <w:tcW w:w="850" w:type="dxa"/>
            <w:tcBorders>
              <w:top w:val="nil"/>
              <w:left w:val="nil"/>
              <w:bottom w:val="nil"/>
              <w:right w:val="nil"/>
            </w:tcBorders>
          </w:tcPr>
          <w:p w:rsidR="00B958B1" w:rsidRPr="00F74E9E" w:rsidRDefault="00B958B1" w:rsidP="009F3B54">
            <w:pPr>
              <w:pStyle w:val="TableofFigures"/>
              <w:rPr>
                <w:rFonts w:cs="Calibri"/>
                <w:color w:val="000000"/>
                <w:szCs w:val="22"/>
                <w:lang w:eastAsia="en-AU"/>
              </w:rPr>
            </w:pPr>
            <w:r w:rsidRPr="00F74E9E">
              <w:rPr>
                <w:color w:val="000000"/>
                <w:szCs w:val="22"/>
                <w:lang w:eastAsia="en-AU"/>
              </w:rPr>
              <w:t xml:space="preserve"> 773.6</w:t>
            </w:r>
          </w:p>
        </w:tc>
        <w:tc>
          <w:tcPr>
            <w:tcW w:w="1102" w:type="dxa"/>
            <w:tcBorders>
              <w:top w:val="nil"/>
              <w:left w:val="nil"/>
              <w:bottom w:val="nil"/>
              <w:right w:val="nil"/>
            </w:tcBorders>
          </w:tcPr>
          <w:p w:rsidR="00B958B1" w:rsidRPr="00F74E9E" w:rsidRDefault="00B958B1" w:rsidP="009F3B54">
            <w:pPr>
              <w:pStyle w:val="TableofFigures"/>
              <w:rPr>
                <w:color w:val="000000"/>
                <w:szCs w:val="22"/>
                <w:lang w:eastAsia="en-AU"/>
              </w:rPr>
            </w:pPr>
            <w:r w:rsidRPr="00F74E9E">
              <w:rPr>
                <w:color w:val="000000"/>
                <w:szCs w:val="22"/>
                <w:lang w:eastAsia="en-AU"/>
              </w:rPr>
              <w:t>8.5</w:t>
            </w:r>
          </w:p>
        </w:tc>
      </w:tr>
      <w:tr w:rsidR="00B958B1" w:rsidRPr="00F74E9E" w:rsidTr="009F3B54">
        <w:tc>
          <w:tcPr>
            <w:tcW w:w="4154" w:type="dxa"/>
            <w:tcBorders>
              <w:top w:val="single" w:sz="6" w:space="0" w:color="auto"/>
              <w:left w:val="nil"/>
              <w:bottom w:val="single" w:sz="12" w:space="0" w:color="auto"/>
              <w:right w:val="nil"/>
            </w:tcBorders>
          </w:tcPr>
          <w:p w:rsidR="00B958B1" w:rsidRPr="00F74E9E" w:rsidRDefault="00B958B1" w:rsidP="009F3B54">
            <w:pPr>
              <w:pStyle w:val="Tabletext"/>
              <w:rPr>
                <w:b/>
                <w:bCs/>
                <w:color w:val="000000"/>
                <w:vertAlign w:val="superscript"/>
                <w:lang w:eastAsia="en-AU"/>
              </w:rPr>
            </w:pPr>
            <w:r w:rsidRPr="00F74E9E">
              <w:rPr>
                <w:b/>
                <w:bCs/>
                <w:color w:val="000000"/>
                <w:lang w:eastAsia="en-AU"/>
              </w:rPr>
              <w:t xml:space="preserve">Total </w:t>
            </w:r>
            <w:r w:rsidRPr="00F74E9E">
              <w:rPr>
                <w:bCs/>
                <w:color w:val="000000"/>
                <w:vertAlign w:val="superscript"/>
                <w:lang w:eastAsia="en-AU"/>
              </w:rPr>
              <w:t>(i)</w:t>
            </w:r>
          </w:p>
        </w:tc>
        <w:tc>
          <w:tcPr>
            <w:tcW w:w="820" w:type="dxa"/>
            <w:tcBorders>
              <w:top w:val="single" w:sz="6" w:space="0" w:color="auto"/>
              <w:left w:val="nil"/>
              <w:bottom w:val="single" w:sz="12" w:space="0" w:color="auto"/>
              <w:right w:val="nil"/>
            </w:tcBorders>
          </w:tcPr>
          <w:p w:rsidR="00B958B1" w:rsidRPr="00F74E9E" w:rsidRDefault="00B958B1" w:rsidP="009F3B54">
            <w:pPr>
              <w:pStyle w:val="TableofFigures"/>
              <w:rPr>
                <w:rFonts w:cs="Calibri"/>
                <w:b/>
                <w:bCs/>
                <w:color w:val="000000"/>
                <w:szCs w:val="22"/>
                <w:lang w:eastAsia="en-AU"/>
              </w:rPr>
            </w:pPr>
            <w:r w:rsidRPr="00F74E9E">
              <w:rPr>
                <w:b/>
                <w:bCs/>
                <w:color w:val="000000"/>
                <w:szCs w:val="22"/>
                <w:lang w:eastAsia="en-AU"/>
              </w:rPr>
              <w:t>11</w:t>
            </w:r>
            <w:r w:rsidRPr="00F74E9E">
              <w:rPr>
                <w:rFonts w:cs="Calibri"/>
                <w:b/>
                <w:bCs/>
                <w:color w:val="000000"/>
                <w:szCs w:val="22"/>
                <w:lang w:eastAsia="en-AU"/>
              </w:rPr>
              <w:t xml:space="preserve"> 547.0</w:t>
            </w:r>
          </w:p>
        </w:tc>
        <w:tc>
          <w:tcPr>
            <w:tcW w:w="850" w:type="dxa"/>
            <w:tcBorders>
              <w:top w:val="single" w:sz="6" w:space="0" w:color="auto"/>
              <w:left w:val="nil"/>
              <w:bottom w:val="single" w:sz="12" w:space="0" w:color="auto"/>
              <w:right w:val="nil"/>
            </w:tcBorders>
          </w:tcPr>
          <w:p w:rsidR="00B958B1" w:rsidRPr="00F74E9E" w:rsidRDefault="00B958B1" w:rsidP="009F3B54">
            <w:pPr>
              <w:pStyle w:val="TableofFigures"/>
              <w:rPr>
                <w:rFonts w:cs="Calibri"/>
                <w:b/>
                <w:bCs/>
                <w:color w:val="000000"/>
                <w:szCs w:val="22"/>
                <w:lang w:eastAsia="en-AU"/>
              </w:rPr>
            </w:pPr>
            <w:r w:rsidRPr="00F74E9E">
              <w:rPr>
                <w:b/>
                <w:bCs/>
                <w:color w:val="000000"/>
                <w:szCs w:val="22"/>
                <w:lang w:eastAsia="en-AU"/>
              </w:rPr>
              <w:t>11</w:t>
            </w:r>
            <w:r w:rsidRPr="00F74E9E">
              <w:rPr>
                <w:rFonts w:cs="Calibri"/>
                <w:b/>
                <w:bCs/>
                <w:color w:val="000000"/>
                <w:szCs w:val="22"/>
                <w:lang w:eastAsia="en-AU"/>
              </w:rPr>
              <w:t xml:space="preserve"> 642.6</w:t>
            </w:r>
          </w:p>
        </w:tc>
        <w:tc>
          <w:tcPr>
            <w:tcW w:w="850" w:type="dxa"/>
            <w:tcBorders>
              <w:top w:val="single" w:sz="6" w:space="0" w:color="auto"/>
              <w:left w:val="nil"/>
              <w:bottom w:val="single" w:sz="12" w:space="0" w:color="auto"/>
              <w:right w:val="nil"/>
            </w:tcBorders>
          </w:tcPr>
          <w:p w:rsidR="00B958B1" w:rsidRPr="00F74E9E" w:rsidRDefault="00B958B1" w:rsidP="009F3B54">
            <w:pPr>
              <w:pStyle w:val="TableofFigures"/>
              <w:rPr>
                <w:rFonts w:cs="Calibri"/>
                <w:b/>
                <w:bCs/>
                <w:color w:val="000000"/>
                <w:szCs w:val="22"/>
                <w:lang w:eastAsia="en-AU"/>
              </w:rPr>
            </w:pPr>
            <w:r w:rsidRPr="00F74E9E">
              <w:rPr>
                <w:b/>
                <w:bCs/>
                <w:color w:val="000000"/>
                <w:szCs w:val="22"/>
                <w:lang w:eastAsia="en-AU"/>
              </w:rPr>
              <w:t>11</w:t>
            </w:r>
            <w:r w:rsidRPr="00F74E9E">
              <w:rPr>
                <w:rFonts w:cs="Calibri"/>
                <w:b/>
                <w:bCs/>
                <w:color w:val="000000"/>
                <w:szCs w:val="22"/>
                <w:lang w:eastAsia="en-AU"/>
              </w:rPr>
              <w:t xml:space="preserve"> 562.3</w:t>
            </w:r>
          </w:p>
        </w:tc>
        <w:tc>
          <w:tcPr>
            <w:tcW w:w="1102" w:type="dxa"/>
            <w:tcBorders>
              <w:top w:val="single" w:sz="6" w:space="0" w:color="auto"/>
              <w:left w:val="nil"/>
              <w:bottom w:val="single" w:sz="12" w:space="0" w:color="auto"/>
              <w:right w:val="nil"/>
            </w:tcBorders>
          </w:tcPr>
          <w:p w:rsidR="00B958B1" w:rsidRPr="00F74E9E" w:rsidRDefault="00B958B1" w:rsidP="009F3B54">
            <w:pPr>
              <w:pStyle w:val="TableofFigures"/>
              <w:rPr>
                <w:rFonts w:cs="Calibri"/>
                <w:b/>
                <w:bCs/>
                <w:color w:val="000000"/>
                <w:szCs w:val="22"/>
                <w:lang w:eastAsia="en-AU"/>
              </w:rPr>
            </w:pPr>
            <w:r w:rsidRPr="00F74E9E">
              <w:rPr>
                <w:b/>
                <w:bCs/>
                <w:color w:val="000000"/>
                <w:szCs w:val="22"/>
                <w:lang w:eastAsia="en-AU"/>
              </w:rPr>
              <w:t>0.1</w:t>
            </w:r>
          </w:p>
        </w:tc>
      </w:tr>
    </w:tbl>
    <w:p w:rsidR="00B958B1" w:rsidRPr="00FC012A" w:rsidRDefault="00B958B1" w:rsidP="009F3B54">
      <w:pPr>
        <w:pStyle w:val="Source"/>
      </w:pPr>
      <w:r w:rsidRPr="00EB179E">
        <w:t>Source</w:t>
      </w:r>
      <w:r w:rsidRPr="00FC012A">
        <w:t>: Department of Education and Early Childhood Development</w:t>
      </w:r>
    </w:p>
    <w:p w:rsidR="00B958B1" w:rsidRPr="00FC012A" w:rsidRDefault="00B958B1" w:rsidP="009F3B54">
      <w:pPr>
        <w:pStyle w:val="Notes"/>
        <w:rPr>
          <w:color w:val="000000"/>
        </w:rPr>
      </w:pPr>
      <w:r>
        <w:rPr>
          <w:color w:val="000000"/>
        </w:rPr>
        <w:fldChar w:fldCharType="begin"/>
      </w:r>
      <w:r>
        <w:instrText xml:space="preserve"> XE "</w:instrText>
      </w:r>
      <w:r w:rsidRPr="006236B2">
        <w:instrText>Department of Education and Early Childhood Development:Output summary</w:instrText>
      </w:r>
      <w:r>
        <w:instrText xml:space="preserve">" </w:instrText>
      </w:r>
      <w:r>
        <w:rPr>
          <w:color w:val="000000"/>
        </w:rPr>
        <w:fldChar w:fldCharType="end"/>
      </w:r>
      <w:r w:rsidRPr="00FC012A">
        <w:rPr>
          <w:color w:val="000000"/>
        </w:rPr>
        <w:t>Notes:</w:t>
      </w:r>
    </w:p>
    <w:p w:rsidR="00B958B1" w:rsidRPr="00FA4108" w:rsidRDefault="00B958B1" w:rsidP="009F3B54">
      <w:pPr>
        <w:pStyle w:val="Notes"/>
        <w:rPr>
          <w:color w:val="000000"/>
        </w:rPr>
      </w:pPr>
      <w:r w:rsidRPr="00FC012A">
        <w:rPr>
          <w:color w:val="000000"/>
        </w:rPr>
        <w:t>(a)</w:t>
      </w:r>
      <w:r w:rsidRPr="00FC012A">
        <w:rPr>
          <w:color w:val="000000"/>
        </w:rPr>
        <w:tab/>
      </w:r>
      <w:r w:rsidRPr="00FA4108">
        <w:rPr>
          <w:color w:val="000000"/>
        </w:rPr>
        <w:t>Variation between 2012</w:t>
      </w:r>
      <w:r w:rsidR="009F0F49">
        <w:rPr>
          <w:color w:val="000000"/>
        </w:rPr>
        <w:noBreakHyphen/>
      </w:r>
      <w:r w:rsidRPr="00FA4108">
        <w:rPr>
          <w:color w:val="000000"/>
        </w:rPr>
        <w:t xml:space="preserve">13 </w:t>
      </w:r>
      <w:r>
        <w:rPr>
          <w:color w:val="000000"/>
        </w:rPr>
        <w:t>b</w:t>
      </w:r>
      <w:r w:rsidRPr="00FA4108">
        <w:rPr>
          <w:color w:val="000000"/>
        </w:rPr>
        <w:t>udget and 2013</w:t>
      </w:r>
      <w:r w:rsidR="009F0F49">
        <w:rPr>
          <w:color w:val="000000"/>
        </w:rPr>
        <w:noBreakHyphen/>
      </w:r>
      <w:r w:rsidRPr="00FA4108">
        <w:rPr>
          <w:color w:val="000000"/>
        </w:rPr>
        <w:t xml:space="preserve">14 </w:t>
      </w:r>
      <w:r>
        <w:rPr>
          <w:color w:val="000000"/>
        </w:rPr>
        <w:t>b</w:t>
      </w:r>
      <w:r w:rsidRPr="00FA4108">
        <w:rPr>
          <w:color w:val="000000"/>
        </w:rPr>
        <w:t>udget.</w:t>
      </w:r>
    </w:p>
    <w:p w:rsidR="00B958B1" w:rsidRPr="00FA4108" w:rsidRDefault="00B958B1" w:rsidP="009F3B54">
      <w:pPr>
        <w:pStyle w:val="Notes"/>
        <w:rPr>
          <w:color w:val="000000"/>
        </w:rPr>
      </w:pPr>
      <w:r w:rsidRPr="00FA4108">
        <w:rPr>
          <w:color w:val="000000"/>
        </w:rPr>
        <w:t>(b)</w:t>
      </w:r>
      <w:r>
        <w:rPr>
          <w:color w:val="000000"/>
        </w:rPr>
        <w:tab/>
      </w:r>
      <w:r w:rsidRPr="00FA4108">
        <w:rPr>
          <w:color w:val="000000"/>
        </w:rPr>
        <w:t>The lower 2013</w:t>
      </w:r>
      <w:r w:rsidR="009F0F49">
        <w:rPr>
          <w:color w:val="000000"/>
        </w:rPr>
        <w:noBreakHyphen/>
      </w:r>
      <w:r w:rsidRPr="00FA4108">
        <w:rPr>
          <w:color w:val="000000"/>
        </w:rPr>
        <w:t xml:space="preserve">14 Budget primarily reflects a decrease in Commonwealth National Partnership funding as well as the implementation of </w:t>
      </w:r>
      <w:r>
        <w:rPr>
          <w:color w:val="000000"/>
        </w:rPr>
        <w:t>productivity efficiencies</w:t>
      </w:r>
      <w:r w:rsidRPr="00FA4108">
        <w:rPr>
          <w:color w:val="000000"/>
        </w:rPr>
        <w:t>.</w:t>
      </w:r>
    </w:p>
    <w:p w:rsidR="00B958B1" w:rsidRDefault="00B958B1" w:rsidP="009F3B54">
      <w:pPr>
        <w:pStyle w:val="Notes"/>
        <w:rPr>
          <w:color w:val="000000"/>
        </w:rPr>
      </w:pPr>
      <w:r w:rsidRPr="00FA4108">
        <w:rPr>
          <w:color w:val="000000"/>
        </w:rPr>
        <w:t>(c)</w:t>
      </w:r>
      <w:r>
        <w:rPr>
          <w:color w:val="000000"/>
        </w:rPr>
        <w:tab/>
      </w:r>
      <w:r w:rsidRPr="00FA4108">
        <w:rPr>
          <w:color w:val="000000"/>
        </w:rPr>
        <w:t>The higher 2013</w:t>
      </w:r>
      <w:r w:rsidR="009F0F49">
        <w:rPr>
          <w:color w:val="000000"/>
        </w:rPr>
        <w:noBreakHyphen/>
      </w:r>
      <w:r w:rsidRPr="00FA4108">
        <w:rPr>
          <w:color w:val="000000"/>
        </w:rPr>
        <w:t xml:space="preserve">14 </w:t>
      </w:r>
      <w:r>
        <w:rPr>
          <w:color w:val="000000"/>
        </w:rPr>
        <w:t>b</w:t>
      </w:r>
      <w:r w:rsidRPr="00FA4108">
        <w:rPr>
          <w:color w:val="000000"/>
        </w:rPr>
        <w:t>udget primarily reflects new funding approvals and price escalation.</w:t>
      </w:r>
    </w:p>
    <w:p w:rsidR="00B958B1" w:rsidRPr="006E1208" w:rsidRDefault="00B958B1" w:rsidP="009F3B54">
      <w:pPr>
        <w:pStyle w:val="Notes"/>
        <w:rPr>
          <w:color w:val="000000"/>
        </w:rPr>
      </w:pPr>
      <w:r w:rsidRPr="006E1208">
        <w:rPr>
          <w:color w:val="000000"/>
        </w:rPr>
        <w:t>(d)</w:t>
      </w:r>
      <w:r w:rsidRPr="006E1208">
        <w:rPr>
          <w:color w:val="000000"/>
        </w:rPr>
        <w:tab/>
        <w:t>The higher 2013</w:t>
      </w:r>
      <w:r w:rsidR="009F0F49">
        <w:rPr>
          <w:color w:val="000000"/>
        </w:rPr>
        <w:noBreakHyphen/>
      </w:r>
      <w:r w:rsidRPr="006E1208">
        <w:rPr>
          <w:color w:val="000000"/>
        </w:rPr>
        <w:t>14 budget primarily reflects new funding approvals and price escalation.</w:t>
      </w:r>
    </w:p>
    <w:p w:rsidR="00B958B1" w:rsidRPr="006E1208" w:rsidRDefault="00B958B1" w:rsidP="009F3B54">
      <w:pPr>
        <w:pStyle w:val="Notes"/>
        <w:rPr>
          <w:color w:val="000000"/>
        </w:rPr>
      </w:pPr>
      <w:r w:rsidRPr="006E1208">
        <w:rPr>
          <w:color w:val="000000"/>
        </w:rPr>
        <w:t>(e)</w:t>
      </w:r>
      <w:r w:rsidRPr="006E1208">
        <w:rPr>
          <w:color w:val="000000"/>
        </w:rPr>
        <w:tab/>
        <w:t>The higher 2013</w:t>
      </w:r>
      <w:r w:rsidR="009F0F49">
        <w:rPr>
          <w:color w:val="000000"/>
        </w:rPr>
        <w:noBreakHyphen/>
      </w:r>
      <w:r w:rsidRPr="006E1208">
        <w:rPr>
          <w:color w:val="000000"/>
        </w:rPr>
        <w:t>14 budget primarily reflects new funding approvals and price escalation.</w:t>
      </w:r>
    </w:p>
    <w:p w:rsidR="00B958B1" w:rsidRDefault="00B958B1" w:rsidP="009F3B54">
      <w:pPr>
        <w:pStyle w:val="Notes"/>
        <w:rPr>
          <w:color w:val="000000"/>
        </w:rPr>
      </w:pPr>
      <w:r w:rsidRPr="00FA4108">
        <w:rPr>
          <w:color w:val="000000"/>
        </w:rPr>
        <w:t>(</w:t>
      </w:r>
      <w:r>
        <w:rPr>
          <w:color w:val="000000"/>
        </w:rPr>
        <w:t>f</w:t>
      </w:r>
      <w:r w:rsidRPr="00FA4108">
        <w:rPr>
          <w:color w:val="000000"/>
        </w:rPr>
        <w:t>)</w:t>
      </w:r>
      <w:r>
        <w:rPr>
          <w:color w:val="000000"/>
        </w:rPr>
        <w:tab/>
      </w:r>
      <w:r w:rsidRPr="00C83D27">
        <w:rPr>
          <w:color w:val="000000"/>
        </w:rPr>
        <w:t>The lower 2013</w:t>
      </w:r>
      <w:r w:rsidR="009F0F49">
        <w:rPr>
          <w:color w:val="000000"/>
        </w:rPr>
        <w:noBreakHyphen/>
      </w:r>
      <w:r w:rsidRPr="00C83D27">
        <w:rPr>
          <w:color w:val="000000"/>
        </w:rPr>
        <w:t xml:space="preserve">14 Budget primarily reflects the funding profile of the Refocusing Vocational Education in Victoria </w:t>
      </w:r>
      <w:r>
        <w:rPr>
          <w:color w:val="000000"/>
        </w:rPr>
        <w:t>initiative announced in the 2012</w:t>
      </w:r>
      <w:r w:rsidR="009F0F49">
        <w:rPr>
          <w:color w:val="000000"/>
        </w:rPr>
        <w:noBreakHyphen/>
      </w:r>
      <w:r w:rsidRPr="00C83D27">
        <w:rPr>
          <w:color w:val="000000"/>
        </w:rPr>
        <w:t>13 Budget.</w:t>
      </w:r>
    </w:p>
    <w:p w:rsidR="00B958B1" w:rsidRPr="006E1208" w:rsidRDefault="00B958B1" w:rsidP="009F3B54">
      <w:pPr>
        <w:pStyle w:val="Notes"/>
        <w:rPr>
          <w:color w:val="000000"/>
        </w:rPr>
      </w:pPr>
      <w:r w:rsidRPr="006E1208">
        <w:rPr>
          <w:color w:val="000000"/>
        </w:rPr>
        <w:t>(g)</w:t>
      </w:r>
      <w:r w:rsidRPr="006E1208">
        <w:rPr>
          <w:color w:val="000000"/>
        </w:rPr>
        <w:tab/>
        <w:t>The lower 2013</w:t>
      </w:r>
      <w:r w:rsidR="009F0F49">
        <w:rPr>
          <w:color w:val="000000"/>
        </w:rPr>
        <w:noBreakHyphen/>
      </w:r>
      <w:r w:rsidRPr="006E1208">
        <w:rPr>
          <w:color w:val="000000"/>
        </w:rPr>
        <w:t>14 Target primarily reflects the changes to the conveyance allowance and Education Maintenance Allowance.</w:t>
      </w:r>
    </w:p>
    <w:p w:rsidR="00B958B1" w:rsidRPr="00FA4108" w:rsidRDefault="00B958B1" w:rsidP="009F3B54">
      <w:pPr>
        <w:pStyle w:val="Notes"/>
        <w:rPr>
          <w:color w:val="000000"/>
        </w:rPr>
      </w:pPr>
      <w:r w:rsidRPr="00FA4108">
        <w:rPr>
          <w:color w:val="000000"/>
        </w:rPr>
        <w:t>(</w:t>
      </w:r>
      <w:r>
        <w:rPr>
          <w:color w:val="000000"/>
        </w:rPr>
        <w:t>h</w:t>
      </w:r>
      <w:r w:rsidRPr="00FA4108">
        <w:rPr>
          <w:color w:val="000000"/>
        </w:rPr>
        <w:t>)</w:t>
      </w:r>
      <w:r>
        <w:rPr>
          <w:color w:val="000000"/>
        </w:rPr>
        <w:tab/>
      </w:r>
      <w:r w:rsidRPr="00FA4108">
        <w:rPr>
          <w:color w:val="000000"/>
        </w:rPr>
        <w:t>The higher 2013</w:t>
      </w:r>
      <w:r w:rsidR="009F0F49">
        <w:rPr>
          <w:color w:val="000000"/>
        </w:rPr>
        <w:noBreakHyphen/>
      </w:r>
      <w:r w:rsidRPr="00FA4108">
        <w:rPr>
          <w:color w:val="000000"/>
        </w:rPr>
        <w:t xml:space="preserve">14 </w:t>
      </w:r>
      <w:r>
        <w:rPr>
          <w:color w:val="000000"/>
        </w:rPr>
        <w:t>b</w:t>
      </w:r>
      <w:r w:rsidRPr="00FA4108">
        <w:rPr>
          <w:color w:val="000000"/>
        </w:rPr>
        <w:t>udget primarily reflects growth in the number of eligible students and increased delivery costs.</w:t>
      </w:r>
    </w:p>
    <w:p w:rsidR="00B958B1" w:rsidRDefault="00B958B1" w:rsidP="009F3B54">
      <w:pPr>
        <w:pStyle w:val="Notes"/>
        <w:rPr>
          <w:color w:val="000000"/>
        </w:rPr>
      </w:pPr>
      <w:r w:rsidRPr="00FA4108">
        <w:rPr>
          <w:color w:val="000000"/>
        </w:rPr>
        <w:t>(</w:t>
      </w:r>
      <w:r>
        <w:rPr>
          <w:color w:val="000000"/>
        </w:rPr>
        <w:t>i</w:t>
      </w:r>
      <w:r w:rsidRPr="00FA4108">
        <w:rPr>
          <w:color w:val="000000"/>
        </w:rPr>
        <w:t>)</w:t>
      </w:r>
      <w:r>
        <w:rPr>
          <w:color w:val="000000"/>
        </w:rPr>
        <w:tab/>
      </w:r>
      <w:r w:rsidRPr="00C83D27">
        <w:rPr>
          <w:color w:val="000000"/>
        </w:rPr>
        <w:t>The relatively stable 2013</w:t>
      </w:r>
      <w:r w:rsidR="009F0F49">
        <w:rPr>
          <w:color w:val="000000"/>
        </w:rPr>
        <w:noBreakHyphen/>
      </w:r>
      <w:r>
        <w:rPr>
          <w:color w:val="000000"/>
        </w:rPr>
        <w:t>14 b</w:t>
      </w:r>
      <w:r w:rsidRPr="00C83D27">
        <w:rPr>
          <w:color w:val="000000"/>
        </w:rPr>
        <w:t>udget primarily reflects approved funding held within contingency, decreases in Commonwealth funding, completion of fixed</w:t>
      </w:r>
      <w:r w:rsidR="009F0F49">
        <w:rPr>
          <w:color w:val="000000"/>
        </w:rPr>
        <w:noBreakHyphen/>
      </w:r>
      <w:r w:rsidRPr="00C83D27">
        <w:rPr>
          <w:color w:val="000000"/>
        </w:rPr>
        <w:t>term initiatives and implementation of productivity efficiencies. The 2012</w:t>
      </w:r>
      <w:r w:rsidR="009F0F49">
        <w:rPr>
          <w:color w:val="000000"/>
        </w:rPr>
        <w:noBreakHyphen/>
      </w:r>
      <w:r w:rsidRPr="00C83D27">
        <w:rPr>
          <w:color w:val="000000"/>
        </w:rPr>
        <w:t>13 revised budget and the 2013</w:t>
      </w:r>
      <w:r w:rsidR="009F0F49">
        <w:rPr>
          <w:color w:val="000000"/>
        </w:rPr>
        <w:noBreakHyphen/>
      </w:r>
      <w:r w:rsidRPr="00C83D27">
        <w:rPr>
          <w:color w:val="000000"/>
        </w:rPr>
        <w:t>14 budget do not capture enrolment based growth funding for Kindergartens, Schools and the Skills sectors of which the Department is funded on actual enrolment growth calculated at the end of each financial year.</w:t>
      </w:r>
    </w:p>
    <w:p w:rsidR="00B958B1" w:rsidRDefault="00B958B1" w:rsidP="009F3B54">
      <w:pPr>
        <w:pStyle w:val="Notes"/>
      </w:pPr>
    </w:p>
    <w:p w:rsidR="00B958B1" w:rsidRDefault="00B958B1" w:rsidP="009F3B54">
      <w:pPr>
        <w:pStyle w:val="Heading2"/>
        <w:rPr>
          <w:lang w:eastAsia="en-AU"/>
        </w:rPr>
      </w:pPr>
      <w:r>
        <w:rPr>
          <w:lang w:eastAsia="en-AU"/>
        </w:rPr>
        <w:t>Amounts available</w:t>
      </w:r>
    </w:p>
    <w:p w:rsidR="00B958B1" w:rsidRDefault="00B958B1" w:rsidP="009F3B54">
      <w:pPr>
        <w:rPr>
          <w:lang w:eastAsia="en-AU"/>
        </w:rPr>
      </w:pPr>
      <w:r>
        <w:rPr>
          <w:lang w:eastAsia="en-AU"/>
        </w:rPr>
        <w:t>The following tables detail the amounts available to the Department from Parliamentary authority and income generated through transactions.</w:t>
      </w:r>
    </w:p>
    <w:p w:rsidR="00B958B1" w:rsidRDefault="00B958B1" w:rsidP="009F3B54">
      <w:pPr>
        <w:rPr>
          <w:lang w:eastAsia="en-AU"/>
        </w:rPr>
      </w:pPr>
      <w:r>
        <w:rPr>
          <w:lang w:eastAsia="en-AU"/>
        </w:rPr>
        <w:t>Table 2.3 outlines the Department’s income from transactions and Table 2.4 summarises the sources of Parliamentary authority available to the Department to fund the provision of outputs, additions to the net asset base and payments made on behalf of the State.</w:t>
      </w:r>
    </w:p>
    <w:p w:rsidR="00B958B1" w:rsidRPr="00D26769" w:rsidRDefault="00B958B1" w:rsidP="009F3B54">
      <w:pPr>
        <w:pStyle w:val="Tableheading"/>
        <w:rPr>
          <w:lang w:eastAsia="en-AU"/>
        </w:rPr>
      </w:pPr>
      <w:r>
        <w:rPr>
          <w:lang w:eastAsia="en-AU"/>
        </w:rPr>
        <w:br w:type="page"/>
      </w:r>
      <w:r w:rsidRPr="00D26769">
        <w:rPr>
          <w:lang w:eastAsia="en-AU"/>
        </w:rPr>
        <w:t>Table</w:t>
      </w:r>
      <w:r>
        <w:rPr>
          <w:lang w:eastAsia="en-AU"/>
        </w:rPr>
        <w:t> 2.3</w:t>
      </w:r>
      <w:r w:rsidRPr="00D26769">
        <w:rPr>
          <w:lang w:eastAsia="en-AU"/>
        </w:rPr>
        <w:t>:</w:t>
      </w:r>
      <w:r>
        <w:rPr>
          <w:lang w:eastAsia="en-AU"/>
        </w:rPr>
        <w:tab/>
      </w:r>
      <w:r w:rsidRPr="00D26769">
        <w:rPr>
          <w:lang w:eastAsia="en-AU"/>
        </w:rPr>
        <w:t>Income from transactions</w:t>
      </w:r>
    </w:p>
    <w:p w:rsidR="00B958B1" w:rsidRPr="00F74E9E" w:rsidRDefault="00B958B1" w:rsidP="009F3B54">
      <w:pPr>
        <w:pStyle w:val="million"/>
        <w:rPr>
          <w:rFonts w:ascii="Times New Roman" w:hAnsi="Times New Roman"/>
          <w:sz w:val="20"/>
          <w:lang w:eastAsia="en-AU"/>
        </w:rPr>
      </w:pPr>
      <w:r w:rsidRPr="000B4C04">
        <w:rPr>
          <w:lang w:eastAsia="en-AU"/>
        </w:rPr>
        <w:t>($</w:t>
      </w:r>
      <w:r>
        <w:rPr>
          <w:lang w:eastAsia="en-AU"/>
        </w:rPr>
        <w:t> million</w:t>
      </w:r>
      <w:r w:rsidRPr="000B4C04">
        <w:rPr>
          <w:lang w:eastAsia="en-AU"/>
        </w:rPr>
        <w:t>)</w:t>
      </w:r>
    </w:p>
    <w:tbl>
      <w:tblPr>
        <w:tblW w:w="7776" w:type="dxa"/>
        <w:tblInd w:w="29" w:type="dxa"/>
        <w:tblLayout w:type="fixed"/>
        <w:tblCellMar>
          <w:left w:w="43" w:type="dxa"/>
          <w:right w:w="43" w:type="dxa"/>
        </w:tblCellMar>
        <w:tblLook w:val="0000" w:firstRow="0" w:lastRow="0" w:firstColumn="0" w:lastColumn="0" w:noHBand="0" w:noVBand="0"/>
      </w:tblPr>
      <w:tblGrid>
        <w:gridCol w:w="4409"/>
        <w:gridCol w:w="830"/>
        <w:gridCol w:w="830"/>
        <w:gridCol w:w="830"/>
        <w:gridCol w:w="877"/>
      </w:tblGrid>
      <w:tr w:rsidR="00B958B1" w:rsidRPr="00F74E9E" w:rsidTr="009F3B54">
        <w:tc>
          <w:tcPr>
            <w:tcW w:w="4409" w:type="dxa"/>
            <w:tcBorders>
              <w:top w:val="single" w:sz="6" w:space="0" w:color="auto"/>
              <w:left w:val="single" w:sz="6" w:space="0" w:color="auto"/>
              <w:bottom w:val="nil"/>
              <w:right w:val="nil"/>
            </w:tcBorders>
            <w:shd w:val="clear" w:color="auto" w:fill="000000"/>
          </w:tcPr>
          <w:p w:rsidR="00B958B1" w:rsidRPr="00F74E9E" w:rsidRDefault="00B958B1" w:rsidP="009F3B54">
            <w:pPr>
              <w:pStyle w:val="Tabletext"/>
              <w:rPr>
                <w:lang w:eastAsia="en-AU"/>
              </w:rPr>
            </w:pPr>
            <w:r w:rsidRPr="00F74E9E">
              <w:rPr>
                <w:lang w:eastAsia="en-AU"/>
              </w:rPr>
              <w:t xml:space="preserve"> </w:t>
            </w:r>
          </w:p>
        </w:tc>
        <w:tc>
          <w:tcPr>
            <w:tcW w:w="830" w:type="dxa"/>
            <w:tcBorders>
              <w:top w:val="single" w:sz="6" w:space="0" w:color="auto"/>
              <w:left w:val="nil"/>
              <w:bottom w:val="nil"/>
              <w:right w:val="nil"/>
            </w:tcBorders>
            <w:shd w:val="clear" w:color="auto" w:fill="000000"/>
          </w:tcPr>
          <w:p w:rsidR="00B958B1" w:rsidRPr="00F74E9E" w:rsidRDefault="00B958B1" w:rsidP="009F3B54">
            <w:pPr>
              <w:pStyle w:val="Tabletextheading"/>
              <w:rPr>
                <w:lang w:eastAsia="en-AU"/>
              </w:rPr>
            </w:pPr>
            <w:r w:rsidRPr="00F74E9E">
              <w:rPr>
                <w:lang w:eastAsia="en-AU"/>
              </w:rPr>
              <w:t>2011</w:t>
            </w:r>
            <w:r w:rsidR="009F0F49">
              <w:rPr>
                <w:lang w:eastAsia="en-AU"/>
              </w:rPr>
              <w:noBreakHyphen/>
            </w:r>
            <w:r w:rsidRPr="00F74E9E">
              <w:rPr>
                <w:lang w:eastAsia="en-AU"/>
              </w:rPr>
              <w:t>12</w:t>
            </w:r>
          </w:p>
        </w:tc>
        <w:tc>
          <w:tcPr>
            <w:tcW w:w="830" w:type="dxa"/>
            <w:tcBorders>
              <w:top w:val="single" w:sz="6" w:space="0" w:color="auto"/>
              <w:left w:val="nil"/>
              <w:bottom w:val="nil"/>
              <w:right w:val="nil"/>
            </w:tcBorders>
            <w:shd w:val="clear" w:color="auto" w:fill="000000"/>
          </w:tcPr>
          <w:p w:rsidR="00B958B1" w:rsidRPr="00F74E9E" w:rsidRDefault="00B958B1" w:rsidP="009F3B54">
            <w:pPr>
              <w:pStyle w:val="Tabletextheading"/>
              <w:rPr>
                <w:lang w:eastAsia="en-AU"/>
              </w:rPr>
            </w:pPr>
            <w:r w:rsidRPr="00F74E9E">
              <w:rPr>
                <w:lang w:eastAsia="en-AU"/>
              </w:rPr>
              <w:t>2012</w:t>
            </w:r>
            <w:r w:rsidR="009F0F49">
              <w:rPr>
                <w:lang w:eastAsia="en-AU"/>
              </w:rPr>
              <w:noBreakHyphen/>
            </w:r>
            <w:r w:rsidRPr="00F74E9E">
              <w:rPr>
                <w:lang w:eastAsia="en-AU"/>
              </w:rPr>
              <w:t>13</w:t>
            </w:r>
          </w:p>
        </w:tc>
        <w:tc>
          <w:tcPr>
            <w:tcW w:w="830" w:type="dxa"/>
            <w:tcBorders>
              <w:top w:val="single" w:sz="6" w:space="0" w:color="auto"/>
              <w:left w:val="nil"/>
              <w:bottom w:val="nil"/>
              <w:right w:val="nil"/>
            </w:tcBorders>
            <w:shd w:val="clear" w:color="auto" w:fill="000000"/>
          </w:tcPr>
          <w:p w:rsidR="00B958B1" w:rsidRPr="00F74E9E" w:rsidRDefault="00B958B1" w:rsidP="009F3B54">
            <w:pPr>
              <w:pStyle w:val="Tabletextheading"/>
              <w:rPr>
                <w:lang w:eastAsia="en-AU"/>
              </w:rPr>
            </w:pPr>
            <w:r w:rsidRPr="00F74E9E">
              <w:rPr>
                <w:lang w:eastAsia="en-AU"/>
              </w:rPr>
              <w:t>2012</w:t>
            </w:r>
            <w:r w:rsidR="009F0F49">
              <w:rPr>
                <w:lang w:eastAsia="en-AU"/>
              </w:rPr>
              <w:noBreakHyphen/>
            </w:r>
            <w:r w:rsidRPr="00F74E9E">
              <w:rPr>
                <w:lang w:eastAsia="en-AU"/>
              </w:rPr>
              <w:t>13</w:t>
            </w:r>
          </w:p>
        </w:tc>
        <w:tc>
          <w:tcPr>
            <w:tcW w:w="877" w:type="dxa"/>
            <w:tcBorders>
              <w:top w:val="single" w:sz="6" w:space="0" w:color="auto"/>
              <w:left w:val="nil"/>
              <w:bottom w:val="nil"/>
              <w:right w:val="single" w:sz="6" w:space="0" w:color="auto"/>
            </w:tcBorders>
            <w:shd w:val="clear" w:color="auto" w:fill="000000"/>
          </w:tcPr>
          <w:p w:rsidR="00B958B1" w:rsidRPr="00F74E9E" w:rsidRDefault="00B958B1" w:rsidP="009F3B54">
            <w:pPr>
              <w:pStyle w:val="Tabletextheading"/>
              <w:rPr>
                <w:lang w:eastAsia="en-AU"/>
              </w:rPr>
            </w:pPr>
            <w:r w:rsidRPr="00F74E9E">
              <w:rPr>
                <w:lang w:eastAsia="en-AU"/>
              </w:rPr>
              <w:t>2013</w:t>
            </w:r>
            <w:r w:rsidR="009F0F49">
              <w:rPr>
                <w:lang w:eastAsia="en-AU"/>
              </w:rPr>
              <w:noBreakHyphen/>
            </w:r>
            <w:r w:rsidRPr="00F74E9E">
              <w:rPr>
                <w:lang w:eastAsia="en-AU"/>
              </w:rPr>
              <w:t>14</w:t>
            </w:r>
          </w:p>
        </w:tc>
      </w:tr>
      <w:tr w:rsidR="00B958B1" w:rsidRPr="00F74E9E" w:rsidTr="009F3B54">
        <w:tc>
          <w:tcPr>
            <w:tcW w:w="4409" w:type="dxa"/>
            <w:tcBorders>
              <w:top w:val="nil"/>
              <w:left w:val="single" w:sz="6" w:space="0" w:color="auto"/>
              <w:bottom w:val="single" w:sz="6" w:space="0" w:color="auto"/>
              <w:right w:val="nil"/>
            </w:tcBorders>
            <w:shd w:val="clear" w:color="auto" w:fill="000000"/>
          </w:tcPr>
          <w:p w:rsidR="00B958B1" w:rsidRPr="00F74E9E" w:rsidRDefault="00B958B1" w:rsidP="009F3B54">
            <w:pPr>
              <w:pStyle w:val="Tabletext"/>
              <w:rPr>
                <w:lang w:eastAsia="en-AU"/>
              </w:rPr>
            </w:pPr>
            <w:r w:rsidRPr="00F74E9E">
              <w:rPr>
                <w:lang w:eastAsia="en-AU"/>
              </w:rPr>
              <w:t xml:space="preserve"> </w:t>
            </w:r>
          </w:p>
        </w:tc>
        <w:tc>
          <w:tcPr>
            <w:tcW w:w="830" w:type="dxa"/>
            <w:tcBorders>
              <w:top w:val="nil"/>
              <w:left w:val="nil"/>
              <w:bottom w:val="single" w:sz="6" w:space="0" w:color="auto"/>
              <w:right w:val="nil"/>
            </w:tcBorders>
            <w:shd w:val="clear" w:color="auto" w:fill="000000"/>
          </w:tcPr>
          <w:p w:rsidR="00B958B1" w:rsidRPr="00F74E9E" w:rsidRDefault="00B958B1" w:rsidP="009F3B54">
            <w:pPr>
              <w:pStyle w:val="Tabletextheading"/>
              <w:rPr>
                <w:lang w:eastAsia="en-AU"/>
              </w:rPr>
            </w:pPr>
            <w:r w:rsidRPr="00F74E9E">
              <w:rPr>
                <w:lang w:eastAsia="en-AU"/>
              </w:rPr>
              <w:t>Actual</w:t>
            </w:r>
          </w:p>
        </w:tc>
        <w:tc>
          <w:tcPr>
            <w:tcW w:w="830" w:type="dxa"/>
            <w:tcBorders>
              <w:top w:val="nil"/>
              <w:left w:val="nil"/>
              <w:bottom w:val="single" w:sz="6" w:space="0" w:color="auto"/>
              <w:right w:val="nil"/>
            </w:tcBorders>
            <w:shd w:val="clear" w:color="auto" w:fill="000000"/>
          </w:tcPr>
          <w:p w:rsidR="00B958B1" w:rsidRPr="00F74E9E" w:rsidRDefault="00B958B1" w:rsidP="009F3B54">
            <w:pPr>
              <w:pStyle w:val="Tabletextheading"/>
              <w:rPr>
                <w:lang w:eastAsia="en-AU"/>
              </w:rPr>
            </w:pPr>
            <w:r w:rsidRPr="00F74E9E">
              <w:rPr>
                <w:lang w:eastAsia="en-AU"/>
              </w:rPr>
              <w:t xml:space="preserve">Budget </w:t>
            </w:r>
          </w:p>
        </w:tc>
        <w:tc>
          <w:tcPr>
            <w:tcW w:w="830" w:type="dxa"/>
            <w:tcBorders>
              <w:top w:val="nil"/>
              <w:left w:val="nil"/>
              <w:bottom w:val="single" w:sz="6" w:space="0" w:color="auto"/>
              <w:right w:val="nil"/>
            </w:tcBorders>
            <w:shd w:val="clear" w:color="auto" w:fill="000000"/>
          </w:tcPr>
          <w:p w:rsidR="00B958B1" w:rsidRPr="00F74E9E" w:rsidRDefault="00B958B1" w:rsidP="009F3B54">
            <w:pPr>
              <w:pStyle w:val="Tabletextheading"/>
              <w:rPr>
                <w:lang w:eastAsia="en-AU"/>
              </w:rPr>
            </w:pPr>
            <w:r w:rsidRPr="00F74E9E">
              <w:rPr>
                <w:lang w:eastAsia="en-AU"/>
              </w:rPr>
              <w:t>Revised</w:t>
            </w:r>
          </w:p>
        </w:tc>
        <w:tc>
          <w:tcPr>
            <w:tcW w:w="877" w:type="dxa"/>
            <w:tcBorders>
              <w:top w:val="nil"/>
              <w:left w:val="nil"/>
              <w:bottom w:val="single" w:sz="6" w:space="0" w:color="auto"/>
              <w:right w:val="single" w:sz="6" w:space="0" w:color="auto"/>
            </w:tcBorders>
            <w:shd w:val="clear" w:color="auto" w:fill="000000"/>
          </w:tcPr>
          <w:p w:rsidR="00B958B1" w:rsidRPr="00F74E9E" w:rsidRDefault="00B958B1" w:rsidP="009F3B54">
            <w:pPr>
              <w:pStyle w:val="Tabletextheading"/>
              <w:rPr>
                <w:lang w:eastAsia="en-AU"/>
              </w:rPr>
            </w:pPr>
            <w:r w:rsidRPr="00F74E9E">
              <w:rPr>
                <w:lang w:eastAsia="en-AU"/>
              </w:rPr>
              <w:t>Budget</w:t>
            </w:r>
          </w:p>
        </w:tc>
      </w:tr>
      <w:tr w:rsidR="00B958B1" w:rsidRPr="00F74E9E" w:rsidTr="009F3B54">
        <w:tc>
          <w:tcPr>
            <w:tcW w:w="4409" w:type="dxa"/>
            <w:tcBorders>
              <w:top w:val="single" w:sz="6" w:space="0" w:color="auto"/>
              <w:left w:val="nil"/>
              <w:bottom w:val="nil"/>
              <w:right w:val="nil"/>
            </w:tcBorders>
          </w:tcPr>
          <w:p w:rsidR="00B958B1" w:rsidRPr="00F74E9E" w:rsidRDefault="00B958B1" w:rsidP="009F3B54">
            <w:pPr>
              <w:pStyle w:val="Tabletext"/>
              <w:rPr>
                <w:lang w:eastAsia="en-AU"/>
              </w:rPr>
            </w:pPr>
            <w:r w:rsidRPr="00F74E9E">
              <w:rPr>
                <w:lang w:eastAsia="en-AU"/>
              </w:rPr>
              <w:t>Output appropriations</w:t>
            </w:r>
          </w:p>
        </w:tc>
        <w:tc>
          <w:tcPr>
            <w:tcW w:w="830" w:type="dxa"/>
            <w:tcBorders>
              <w:top w:val="single" w:sz="6" w:space="0" w:color="auto"/>
              <w:left w:val="nil"/>
              <w:bottom w:val="nil"/>
              <w:right w:val="nil"/>
            </w:tcBorders>
          </w:tcPr>
          <w:p w:rsidR="00B958B1" w:rsidRPr="00F74E9E" w:rsidRDefault="00B958B1" w:rsidP="009F3B54">
            <w:pPr>
              <w:pStyle w:val="TableofFigures"/>
              <w:rPr>
                <w:lang w:eastAsia="en-AU"/>
              </w:rPr>
            </w:pPr>
            <w:r w:rsidRPr="00F74E9E">
              <w:rPr>
                <w:lang w:eastAsia="en-AU"/>
              </w:rPr>
              <w:t>10 185.9</w:t>
            </w:r>
          </w:p>
        </w:tc>
        <w:tc>
          <w:tcPr>
            <w:tcW w:w="830" w:type="dxa"/>
            <w:tcBorders>
              <w:top w:val="single" w:sz="6" w:space="0" w:color="auto"/>
              <w:left w:val="nil"/>
              <w:bottom w:val="nil"/>
              <w:right w:val="nil"/>
            </w:tcBorders>
          </w:tcPr>
          <w:p w:rsidR="00B958B1" w:rsidRPr="00F74E9E" w:rsidRDefault="00B958B1" w:rsidP="009F3B54">
            <w:pPr>
              <w:pStyle w:val="TableofFigures"/>
              <w:rPr>
                <w:lang w:eastAsia="en-AU"/>
              </w:rPr>
            </w:pPr>
            <w:r w:rsidRPr="00F74E9E">
              <w:rPr>
                <w:lang w:eastAsia="en-AU"/>
              </w:rPr>
              <w:t>10 303.7</w:t>
            </w:r>
          </w:p>
        </w:tc>
        <w:tc>
          <w:tcPr>
            <w:tcW w:w="830" w:type="dxa"/>
            <w:tcBorders>
              <w:top w:val="single" w:sz="6" w:space="0" w:color="auto"/>
              <w:left w:val="nil"/>
              <w:bottom w:val="nil"/>
              <w:right w:val="nil"/>
            </w:tcBorders>
          </w:tcPr>
          <w:p w:rsidR="00B958B1" w:rsidRPr="00F74E9E" w:rsidRDefault="00B958B1" w:rsidP="009F3B54">
            <w:pPr>
              <w:pStyle w:val="TableofFigures"/>
              <w:rPr>
                <w:lang w:eastAsia="en-AU"/>
              </w:rPr>
            </w:pPr>
            <w:r w:rsidRPr="00F74E9E">
              <w:rPr>
                <w:lang w:eastAsia="en-AU"/>
              </w:rPr>
              <w:t>10 266.2</w:t>
            </w:r>
          </w:p>
        </w:tc>
        <w:tc>
          <w:tcPr>
            <w:tcW w:w="877" w:type="dxa"/>
            <w:tcBorders>
              <w:top w:val="single" w:sz="6" w:space="0" w:color="auto"/>
              <w:left w:val="nil"/>
              <w:bottom w:val="nil"/>
              <w:right w:val="nil"/>
            </w:tcBorders>
          </w:tcPr>
          <w:p w:rsidR="00B958B1" w:rsidRPr="00F74E9E" w:rsidRDefault="00B958B1" w:rsidP="009F3B54">
            <w:pPr>
              <w:pStyle w:val="TableofFigures"/>
              <w:rPr>
                <w:lang w:eastAsia="en-AU"/>
              </w:rPr>
            </w:pPr>
            <w:r w:rsidRPr="00F74E9E">
              <w:rPr>
                <w:lang w:eastAsia="en-AU"/>
              </w:rPr>
              <w:t>10 236.2</w:t>
            </w:r>
          </w:p>
        </w:tc>
      </w:tr>
      <w:tr w:rsidR="00B958B1" w:rsidRPr="00F74E9E" w:rsidTr="009F3B54">
        <w:tc>
          <w:tcPr>
            <w:tcW w:w="4409" w:type="dxa"/>
            <w:tcBorders>
              <w:top w:val="nil"/>
              <w:left w:val="nil"/>
              <w:bottom w:val="nil"/>
              <w:right w:val="nil"/>
            </w:tcBorders>
          </w:tcPr>
          <w:p w:rsidR="00B958B1" w:rsidRPr="00F74E9E" w:rsidRDefault="00B958B1" w:rsidP="009F3B54">
            <w:pPr>
              <w:pStyle w:val="Tabletext"/>
              <w:rPr>
                <w:lang w:eastAsia="en-AU"/>
              </w:rPr>
            </w:pPr>
            <w:r w:rsidRPr="00F74E9E">
              <w:rPr>
                <w:lang w:eastAsia="en-AU"/>
              </w:rPr>
              <w:t>Special appropriations</w:t>
            </w:r>
          </w:p>
        </w:tc>
        <w:tc>
          <w:tcPr>
            <w:tcW w:w="830"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 xml:space="preserve"> 31.0</w:t>
            </w:r>
          </w:p>
        </w:tc>
        <w:tc>
          <w:tcPr>
            <w:tcW w:w="830"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 xml:space="preserve"> 0.3</w:t>
            </w:r>
          </w:p>
        </w:tc>
        <w:tc>
          <w:tcPr>
            <w:tcW w:w="830"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 xml:space="preserve"> 18.5</w:t>
            </w:r>
          </w:p>
        </w:tc>
        <w:tc>
          <w:tcPr>
            <w:tcW w:w="877"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 xml:space="preserve"> 26.5</w:t>
            </w:r>
          </w:p>
        </w:tc>
      </w:tr>
      <w:tr w:rsidR="00B958B1" w:rsidRPr="00F74E9E" w:rsidTr="009F3B54">
        <w:tc>
          <w:tcPr>
            <w:tcW w:w="4409" w:type="dxa"/>
            <w:tcBorders>
              <w:top w:val="nil"/>
              <w:left w:val="nil"/>
              <w:bottom w:val="nil"/>
              <w:right w:val="nil"/>
            </w:tcBorders>
          </w:tcPr>
          <w:p w:rsidR="00B958B1" w:rsidRPr="00F74E9E" w:rsidRDefault="00B958B1" w:rsidP="009F3B54">
            <w:pPr>
              <w:pStyle w:val="Tabletext"/>
              <w:rPr>
                <w:lang w:eastAsia="en-AU"/>
              </w:rPr>
            </w:pPr>
            <w:r w:rsidRPr="00F74E9E">
              <w:rPr>
                <w:lang w:eastAsia="en-AU"/>
              </w:rPr>
              <w:t>Interest</w:t>
            </w:r>
          </w:p>
        </w:tc>
        <w:tc>
          <w:tcPr>
            <w:tcW w:w="830"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 xml:space="preserve"> 61.2</w:t>
            </w:r>
          </w:p>
        </w:tc>
        <w:tc>
          <w:tcPr>
            <w:tcW w:w="830"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 xml:space="preserve"> 47.5</w:t>
            </w:r>
          </w:p>
        </w:tc>
        <w:tc>
          <w:tcPr>
            <w:tcW w:w="830"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 xml:space="preserve"> 48.3</w:t>
            </w:r>
          </w:p>
        </w:tc>
        <w:tc>
          <w:tcPr>
            <w:tcW w:w="877"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 xml:space="preserve"> 46.1</w:t>
            </w:r>
          </w:p>
        </w:tc>
      </w:tr>
      <w:tr w:rsidR="00B958B1" w:rsidRPr="00F74E9E" w:rsidTr="009F3B54">
        <w:tc>
          <w:tcPr>
            <w:tcW w:w="4409" w:type="dxa"/>
            <w:tcBorders>
              <w:top w:val="nil"/>
              <w:left w:val="nil"/>
              <w:bottom w:val="nil"/>
              <w:right w:val="nil"/>
            </w:tcBorders>
          </w:tcPr>
          <w:p w:rsidR="00B958B1" w:rsidRPr="00F74E9E" w:rsidRDefault="00B958B1" w:rsidP="009F3B54">
            <w:pPr>
              <w:pStyle w:val="Tabletext"/>
              <w:rPr>
                <w:lang w:eastAsia="en-AU"/>
              </w:rPr>
            </w:pPr>
            <w:r w:rsidRPr="00F74E9E">
              <w:rPr>
                <w:lang w:eastAsia="en-AU"/>
              </w:rPr>
              <w:t>Sale of goods and services</w:t>
            </w:r>
          </w:p>
        </w:tc>
        <w:tc>
          <w:tcPr>
            <w:tcW w:w="830"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 xml:space="preserve"> 707.4</w:t>
            </w:r>
          </w:p>
        </w:tc>
        <w:tc>
          <w:tcPr>
            <w:tcW w:w="830"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 xml:space="preserve"> 761.8</w:t>
            </w:r>
          </w:p>
        </w:tc>
        <w:tc>
          <w:tcPr>
            <w:tcW w:w="830"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 xml:space="preserve"> 776.3</w:t>
            </w:r>
          </w:p>
        </w:tc>
        <w:tc>
          <w:tcPr>
            <w:tcW w:w="877"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 xml:space="preserve"> 816.1</w:t>
            </w:r>
          </w:p>
        </w:tc>
      </w:tr>
      <w:tr w:rsidR="00B958B1" w:rsidRPr="00F74E9E" w:rsidTr="009F3B54">
        <w:tc>
          <w:tcPr>
            <w:tcW w:w="4409" w:type="dxa"/>
            <w:tcBorders>
              <w:top w:val="nil"/>
              <w:left w:val="nil"/>
              <w:bottom w:val="nil"/>
              <w:right w:val="nil"/>
            </w:tcBorders>
          </w:tcPr>
          <w:p w:rsidR="00B958B1" w:rsidRPr="00F74E9E" w:rsidRDefault="00B958B1" w:rsidP="009F3B54">
            <w:pPr>
              <w:pStyle w:val="Tabletext"/>
              <w:rPr>
                <w:lang w:eastAsia="en-AU"/>
              </w:rPr>
            </w:pPr>
            <w:r w:rsidRPr="00F74E9E">
              <w:rPr>
                <w:lang w:eastAsia="en-AU"/>
              </w:rPr>
              <w:t>Grants</w:t>
            </w:r>
          </w:p>
        </w:tc>
        <w:tc>
          <w:tcPr>
            <w:tcW w:w="830"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 xml:space="preserve"> 94.7</w:t>
            </w:r>
          </w:p>
        </w:tc>
        <w:tc>
          <w:tcPr>
            <w:tcW w:w="830"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 xml:space="preserve"> 80.9</w:t>
            </w:r>
          </w:p>
        </w:tc>
        <w:tc>
          <w:tcPr>
            <w:tcW w:w="830"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 xml:space="preserve"> 80.9</w:t>
            </w:r>
          </w:p>
        </w:tc>
        <w:tc>
          <w:tcPr>
            <w:tcW w:w="877"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 xml:space="preserve"> 67.1</w:t>
            </w:r>
          </w:p>
        </w:tc>
      </w:tr>
      <w:tr w:rsidR="00B958B1" w:rsidRPr="00F74E9E" w:rsidTr="009F3B54">
        <w:tc>
          <w:tcPr>
            <w:tcW w:w="4409" w:type="dxa"/>
            <w:tcBorders>
              <w:top w:val="nil"/>
              <w:left w:val="nil"/>
              <w:bottom w:val="nil"/>
              <w:right w:val="nil"/>
            </w:tcBorders>
          </w:tcPr>
          <w:p w:rsidR="00B958B1" w:rsidRPr="00F74E9E" w:rsidRDefault="00B958B1" w:rsidP="009F3B54">
            <w:pPr>
              <w:pStyle w:val="Tabletext"/>
              <w:rPr>
                <w:lang w:eastAsia="en-AU"/>
              </w:rPr>
            </w:pPr>
            <w:r w:rsidRPr="00F74E9E">
              <w:rPr>
                <w:lang w:eastAsia="en-AU"/>
              </w:rPr>
              <w:t>Fair value of assets and services received free of charge or for nominal consideration</w:t>
            </w:r>
          </w:p>
        </w:tc>
        <w:tc>
          <w:tcPr>
            <w:tcW w:w="830"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w:t>
            </w:r>
          </w:p>
        </w:tc>
        <w:tc>
          <w:tcPr>
            <w:tcW w:w="830"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w:t>
            </w:r>
          </w:p>
        </w:tc>
        <w:tc>
          <w:tcPr>
            <w:tcW w:w="830"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w:t>
            </w:r>
          </w:p>
        </w:tc>
        <w:tc>
          <w:tcPr>
            <w:tcW w:w="877"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w:t>
            </w:r>
          </w:p>
        </w:tc>
      </w:tr>
      <w:tr w:rsidR="00B958B1" w:rsidRPr="00F74E9E" w:rsidTr="009F3B54">
        <w:tc>
          <w:tcPr>
            <w:tcW w:w="4409" w:type="dxa"/>
            <w:tcBorders>
              <w:top w:val="nil"/>
              <w:left w:val="nil"/>
              <w:bottom w:val="nil"/>
              <w:right w:val="nil"/>
            </w:tcBorders>
          </w:tcPr>
          <w:p w:rsidR="00B958B1" w:rsidRPr="00F74E9E" w:rsidRDefault="00B958B1" w:rsidP="009F3B54">
            <w:pPr>
              <w:pStyle w:val="Tabletext"/>
              <w:rPr>
                <w:lang w:eastAsia="en-AU"/>
              </w:rPr>
            </w:pPr>
            <w:r w:rsidRPr="00F74E9E">
              <w:rPr>
                <w:lang w:eastAsia="en-AU"/>
              </w:rPr>
              <w:t>Other income</w:t>
            </w:r>
          </w:p>
        </w:tc>
        <w:tc>
          <w:tcPr>
            <w:tcW w:w="830"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 xml:space="preserve"> 503.6</w:t>
            </w:r>
          </w:p>
        </w:tc>
        <w:tc>
          <w:tcPr>
            <w:tcW w:w="830"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 xml:space="preserve"> 533.0</w:t>
            </w:r>
          </w:p>
        </w:tc>
        <w:tc>
          <w:tcPr>
            <w:tcW w:w="830"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 xml:space="preserve"> 531.8</w:t>
            </w:r>
          </w:p>
        </w:tc>
        <w:tc>
          <w:tcPr>
            <w:tcW w:w="877" w:type="dxa"/>
            <w:tcBorders>
              <w:top w:val="nil"/>
              <w:left w:val="nil"/>
              <w:bottom w:val="nil"/>
              <w:right w:val="nil"/>
            </w:tcBorders>
          </w:tcPr>
          <w:p w:rsidR="00B958B1" w:rsidRPr="00F74E9E" w:rsidRDefault="00B958B1" w:rsidP="009F3B54">
            <w:pPr>
              <w:pStyle w:val="TableofFigures"/>
              <w:rPr>
                <w:lang w:eastAsia="en-AU"/>
              </w:rPr>
            </w:pPr>
            <w:r w:rsidRPr="00F74E9E">
              <w:rPr>
                <w:lang w:eastAsia="en-AU"/>
              </w:rPr>
              <w:t xml:space="preserve"> 544.9</w:t>
            </w:r>
          </w:p>
        </w:tc>
      </w:tr>
      <w:tr w:rsidR="00B958B1" w:rsidRPr="00F74E9E" w:rsidTr="009F3B54">
        <w:tc>
          <w:tcPr>
            <w:tcW w:w="4409" w:type="dxa"/>
            <w:tcBorders>
              <w:top w:val="single" w:sz="6" w:space="0" w:color="auto"/>
              <w:left w:val="nil"/>
              <w:bottom w:val="single" w:sz="12" w:space="0" w:color="auto"/>
              <w:right w:val="nil"/>
            </w:tcBorders>
          </w:tcPr>
          <w:p w:rsidR="00B958B1" w:rsidRPr="00F74E9E" w:rsidRDefault="00B958B1" w:rsidP="009F3B54">
            <w:pPr>
              <w:pStyle w:val="Tabletext"/>
              <w:rPr>
                <w:b/>
                <w:bCs/>
                <w:lang w:eastAsia="en-AU"/>
              </w:rPr>
            </w:pPr>
            <w:r w:rsidRPr="00F74E9E">
              <w:rPr>
                <w:b/>
                <w:bCs/>
                <w:lang w:eastAsia="en-AU"/>
              </w:rPr>
              <w:t>Total income from transactions</w:t>
            </w:r>
          </w:p>
        </w:tc>
        <w:tc>
          <w:tcPr>
            <w:tcW w:w="830" w:type="dxa"/>
            <w:tcBorders>
              <w:top w:val="single" w:sz="6" w:space="0" w:color="auto"/>
              <w:left w:val="nil"/>
              <w:bottom w:val="single" w:sz="12" w:space="0" w:color="auto"/>
              <w:right w:val="nil"/>
            </w:tcBorders>
          </w:tcPr>
          <w:p w:rsidR="00B958B1" w:rsidRPr="00F74E9E" w:rsidRDefault="00B958B1" w:rsidP="009F3B54">
            <w:pPr>
              <w:pStyle w:val="TableofFigures"/>
              <w:rPr>
                <w:b/>
                <w:bCs/>
                <w:lang w:eastAsia="en-AU"/>
              </w:rPr>
            </w:pPr>
            <w:r w:rsidRPr="00F74E9E">
              <w:rPr>
                <w:b/>
                <w:bCs/>
                <w:lang w:eastAsia="en-AU"/>
              </w:rPr>
              <w:t>11 583.8</w:t>
            </w:r>
          </w:p>
        </w:tc>
        <w:tc>
          <w:tcPr>
            <w:tcW w:w="830" w:type="dxa"/>
            <w:tcBorders>
              <w:top w:val="single" w:sz="6" w:space="0" w:color="auto"/>
              <w:left w:val="nil"/>
              <w:bottom w:val="single" w:sz="12" w:space="0" w:color="auto"/>
              <w:right w:val="nil"/>
            </w:tcBorders>
          </w:tcPr>
          <w:p w:rsidR="00B958B1" w:rsidRPr="00F74E9E" w:rsidRDefault="00B958B1" w:rsidP="009F3B54">
            <w:pPr>
              <w:pStyle w:val="TableofFigures"/>
              <w:rPr>
                <w:b/>
                <w:bCs/>
                <w:lang w:eastAsia="en-AU"/>
              </w:rPr>
            </w:pPr>
            <w:r w:rsidRPr="00F74E9E">
              <w:rPr>
                <w:b/>
                <w:bCs/>
                <w:lang w:eastAsia="en-AU"/>
              </w:rPr>
              <w:t>11 727.2</w:t>
            </w:r>
          </w:p>
        </w:tc>
        <w:tc>
          <w:tcPr>
            <w:tcW w:w="830" w:type="dxa"/>
            <w:tcBorders>
              <w:top w:val="single" w:sz="6" w:space="0" w:color="auto"/>
              <w:left w:val="nil"/>
              <w:bottom w:val="single" w:sz="12" w:space="0" w:color="auto"/>
              <w:right w:val="nil"/>
            </w:tcBorders>
          </w:tcPr>
          <w:p w:rsidR="00B958B1" w:rsidRPr="00F74E9E" w:rsidRDefault="00B958B1" w:rsidP="009F3B54">
            <w:pPr>
              <w:pStyle w:val="TableofFigures"/>
              <w:rPr>
                <w:b/>
                <w:bCs/>
                <w:lang w:eastAsia="en-AU"/>
              </w:rPr>
            </w:pPr>
            <w:r w:rsidRPr="00F74E9E">
              <w:rPr>
                <w:b/>
                <w:bCs/>
                <w:lang w:eastAsia="en-AU"/>
              </w:rPr>
              <w:t>11 722.0</w:t>
            </w:r>
          </w:p>
        </w:tc>
        <w:tc>
          <w:tcPr>
            <w:tcW w:w="877" w:type="dxa"/>
            <w:tcBorders>
              <w:top w:val="single" w:sz="6" w:space="0" w:color="auto"/>
              <w:left w:val="nil"/>
              <w:bottom w:val="single" w:sz="12" w:space="0" w:color="auto"/>
              <w:right w:val="nil"/>
            </w:tcBorders>
          </w:tcPr>
          <w:p w:rsidR="00B958B1" w:rsidRPr="00F74E9E" w:rsidRDefault="00B958B1" w:rsidP="009F3B54">
            <w:pPr>
              <w:pStyle w:val="TableofFigures"/>
              <w:rPr>
                <w:b/>
                <w:bCs/>
                <w:lang w:eastAsia="en-AU"/>
              </w:rPr>
            </w:pPr>
            <w:r w:rsidRPr="00F74E9E">
              <w:rPr>
                <w:b/>
                <w:bCs/>
                <w:lang w:eastAsia="en-AU"/>
              </w:rPr>
              <w:t>11 736.7</w:t>
            </w:r>
          </w:p>
        </w:tc>
      </w:tr>
    </w:tbl>
    <w:p w:rsidR="00B958B1" w:rsidRPr="000B4C04" w:rsidRDefault="00B958B1" w:rsidP="009F3B54">
      <w:pPr>
        <w:pStyle w:val="Source"/>
        <w:rPr>
          <w:lang w:eastAsia="en-AU"/>
        </w:rPr>
      </w:pPr>
      <w:r w:rsidRPr="000B4C04">
        <w:rPr>
          <w:lang w:eastAsia="en-AU"/>
        </w:rPr>
        <w:t>Sources: Departments of Education and Early Childhood Development and Treasury and Finance</w:t>
      </w:r>
    </w:p>
    <w:p w:rsidR="00B958B1" w:rsidRPr="000B4C04" w:rsidRDefault="00B958B1" w:rsidP="009F3B54">
      <w:pPr>
        <w:pStyle w:val="Source"/>
        <w:rPr>
          <w:lang w:eastAsia="en-AU"/>
        </w:rPr>
      </w:pPr>
      <w:r>
        <w:rPr>
          <w:color w:val="000000"/>
        </w:rPr>
        <w:fldChar w:fldCharType="begin"/>
      </w:r>
      <w:r>
        <w:instrText xml:space="preserve"> XE "</w:instrText>
      </w:r>
      <w:r w:rsidRPr="006236B2">
        <w:instrText>Department of Education and Early Childhood Development:</w:instrText>
      </w:r>
      <w:r w:rsidRPr="00964687">
        <w:rPr>
          <w:lang w:eastAsia="en-AU"/>
        </w:rPr>
        <w:instrText xml:space="preserve"> </w:instrText>
      </w:r>
      <w:r w:rsidRPr="00D26769">
        <w:rPr>
          <w:lang w:eastAsia="en-AU"/>
        </w:rPr>
        <w:instrText>Income from transactions</w:instrText>
      </w:r>
      <w:r>
        <w:instrText xml:space="preserve">" </w:instrText>
      </w:r>
      <w:r>
        <w:rPr>
          <w:color w:val="000000"/>
        </w:rPr>
        <w:fldChar w:fldCharType="end"/>
      </w:r>
    </w:p>
    <w:p w:rsidR="00B958B1" w:rsidRPr="000B4C04" w:rsidRDefault="00B958B1" w:rsidP="009F3B54">
      <w:pPr>
        <w:pStyle w:val="Tableheading"/>
        <w:rPr>
          <w:lang w:eastAsia="en-AU"/>
        </w:rPr>
      </w:pPr>
      <w:r>
        <w:rPr>
          <w:lang w:eastAsia="en-AU"/>
        </w:rPr>
        <w:t>Table 2.4</w:t>
      </w:r>
      <w:r w:rsidRPr="000B4C04">
        <w:rPr>
          <w:lang w:eastAsia="en-AU"/>
        </w:rPr>
        <w:t>:</w:t>
      </w:r>
      <w:r w:rsidRPr="000B4C04">
        <w:rPr>
          <w:lang w:eastAsia="en-AU"/>
        </w:rPr>
        <w:tab/>
        <w:t xml:space="preserve">Parliamentary authority for resources </w:t>
      </w:r>
    </w:p>
    <w:p w:rsidR="00B958B1" w:rsidRPr="00F74E9E" w:rsidRDefault="00B958B1" w:rsidP="009F3B54">
      <w:pPr>
        <w:pStyle w:val="million"/>
        <w:rPr>
          <w:lang w:eastAsia="en-AU"/>
        </w:rPr>
      </w:pPr>
      <w:r w:rsidRPr="000B4C04">
        <w:rPr>
          <w:lang w:eastAsia="en-AU"/>
        </w:rPr>
        <w:t>($</w:t>
      </w:r>
      <w:r>
        <w:rPr>
          <w:lang w:eastAsia="en-AU"/>
        </w:rPr>
        <w:t> million</w:t>
      </w:r>
      <w:r w:rsidRPr="000B4C04">
        <w:rPr>
          <w:lang w:eastAsia="en-AU"/>
        </w:rPr>
        <w:t>)</w:t>
      </w:r>
    </w:p>
    <w:tbl>
      <w:tblPr>
        <w:tblW w:w="7776" w:type="dxa"/>
        <w:tblInd w:w="29" w:type="dxa"/>
        <w:tblLayout w:type="fixed"/>
        <w:tblCellMar>
          <w:left w:w="43" w:type="dxa"/>
          <w:right w:w="43" w:type="dxa"/>
        </w:tblCellMar>
        <w:tblLook w:val="0000" w:firstRow="0" w:lastRow="0" w:firstColumn="0" w:lastColumn="0" w:noHBand="0" w:noVBand="0"/>
      </w:tblPr>
      <w:tblGrid>
        <w:gridCol w:w="4964"/>
        <w:gridCol w:w="937"/>
        <w:gridCol w:w="937"/>
        <w:gridCol w:w="938"/>
      </w:tblGrid>
      <w:tr w:rsidR="00B958B1" w:rsidRPr="00F74E9E" w:rsidTr="009F3B54">
        <w:tc>
          <w:tcPr>
            <w:tcW w:w="4964" w:type="dxa"/>
            <w:tcBorders>
              <w:top w:val="single" w:sz="4" w:space="0" w:color="auto"/>
              <w:left w:val="single" w:sz="4" w:space="0" w:color="auto"/>
              <w:bottom w:val="nil"/>
              <w:right w:val="nil"/>
            </w:tcBorders>
            <w:shd w:val="clear" w:color="auto" w:fill="000000"/>
          </w:tcPr>
          <w:p w:rsidR="00B958B1" w:rsidRPr="00F74E9E" w:rsidRDefault="00B958B1" w:rsidP="009F3B54">
            <w:pPr>
              <w:pStyle w:val="Tabletext"/>
              <w:rPr>
                <w:lang w:eastAsia="en-AU"/>
              </w:rPr>
            </w:pPr>
            <w:r w:rsidRPr="00F74E9E">
              <w:rPr>
                <w:lang w:eastAsia="en-AU"/>
              </w:rPr>
              <w:t xml:space="preserve"> </w:t>
            </w:r>
          </w:p>
        </w:tc>
        <w:tc>
          <w:tcPr>
            <w:tcW w:w="937" w:type="dxa"/>
            <w:tcBorders>
              <w:top w:val="single" w:sz="4" w:space="0" w:color="auto"/>
              <w:left w:val="nil"/>
              <w:bottom w:val="nil"/>
              <w:right w:val="nil"/>
            </w:tcBorders>
            <w:shd w:val="clear" w:color="auto" w:fill="000000"/>
          </w:tcPr>
          <w:p w:rsidR="00B958B1" w:rsidRPr="00F74E9E" w:rsidRDefault="00B958B1" w:rsidP="009F3B54">
            <w:pPr>
              <w:pStyle w:val="Tabletextheading"/>
              <w:rPr>
                <w:lang w:eastAsia="en-AU"/>
              </w:rPr>
            </w:pPr>
            <w:r w:rsidRPr="00F74E9E">
              <w:rPr>
                <w:lang w:eastAsia="en-AU"/>
              </w:rPr>
              <w:t>2012</w:t>
            </w:r>
            <w:r w:rsidR="009F0F49">
              <w:rPr>
                <w:lang w:eastAsia="en-AU"/>
              </w:rPr>
              <w:noBreakHyphen/>
            </w:r>
            <w:r w:rsidRPr="00F74E9E">
              <w:rPr>
                <w:lang w:eastAsia="en-AU"/>
              </w:rPr>
              <w:t>13</w:t>
            </w:r>
          </w:p>
        </w:tc>
        <w:tc>
          <w:tcPr>
            <w:tcW w:w="937" w:type="dxa"/>
            <w:tcBorders>
              <w:top w:val="single" w:sz="4" w:space="0" w:color="auto"/>
              <w:left w:val="nil"/>
              <w:bottom w:val="nil"/>
              <w:right w:val="nil"/>
            </w:tcBorders>
            <w:shd w:val="clear" w:color="auto" w:fill="000000"/>
          </w:tcPr>
          <w:p w:rsidR="00B958B1" w:rsidRPr="00F74E9E" w:rsidRDefault="00B958B1" w:rsidP="009F3B54">
            <w:pPr>
              <w:pStyle w:val="Tabletextheading"/>
              <w:rPr>
                <w:lang w:eastAsia="en-AU"/>
              </w:rPr>
            </w:pPr>
            <w:r w:rsidRPr="00F74E9E">
              <w:rPr>
                <w:lang w:eastAsia="en-AU"/>
              </w:rPr>
              <w:t>2012</w:t>
            </w:r>
            <w:r w:rsidR="009F0F49">
              <w:rPr>
                <w:lang w:eastAsia="en-AU"/>
              </w:rPr>
              <w:noBreakHyphen/>
            </w:r>
            <w:r w:rsidRPr="00F74E9E">
              <w:rPr>
                <w:lang w:eastAsia="en-AU"/>
              </w:rPr>
              <w:t>13</w:t>
            </w:r>
          </w:p>
        </w:tc>
        <w:tc>
          <w:tcPr>
            <w:tcW w:w="938" w:type="dxa"/>
            <w:tcBorders>
              <w:top w:val="single" w:sz="4" w:space="0" w:color="auto"/>
              <w:left w:val="nil"/>
              <w:bottom w:val="nil"/>
              <w:right w:val="single" w:sz="4" w:space="0" w:color="auto"/>
            </w:tcBorders>
            <w:shd w:val="clear" w:color="auto" w:fill="000000"/>
          </w:tcPr>
          <w:p w:rsidR="00B958B1" w:rsidRPr="00F74E9E" w:rsidRDefault="00B958B1" w:rsidP="009F3B54">
            <w:pPr>
              <w:pStyle w:val="Tabletextheading"/>
              <w:rPr>
                <w:lang w:eastAsia="en-AU"/>
              </w:rPr>
            </w:pPr>
            <w:r w:rsidRPr="00F74E9E">
              <w:rPr>
                <w:lang w:eastAsia="en-AU"/>
              </w:rPr>
              <w:t>2013</w:t>
            </w:r>
            <w:r w:rsidR="009F0F49">
              <w:rPr>
                <w:lang w:eastAsia="en-AU"/>
              </w:rPr>
              <w:noBreakHyphen/>
            </w:r>
            <w:r w:rsidRPr="00F74E9E">
              <w:rPr>
                <w:lang w:eastAsia="en-AU"/>
              </w:rPr>
              <w:t>14</w:t>
            </w:r>
          </w:p>
        </w:tc>
      </w:tr>
      <w:tr w:rsidR="00B958B1" w:rsidRPr="00F74E9E" w:rsidTr="009F3B54">
        <w:tc>
          <w:tcPr>
            <w:tcW w:w="4964" w:type="dxa"/>
            <w:tcBorders>
              <w:top w:val="nil"/>
              <w:left w:val="single" w:sz="4" w:space="0" w:color="auto"/>
              <w:bottom w:val="single" w:sz="4" w:space="0" w:color="auto"/>
              <w:right w:val="nil"/>
            </w:tcBorders>
            <w:shd w:val="clear" w:color="auto" w:fill="000000"/>
          </w:tcPr>
          <w:p w:rsidR="00B958B1" w:rsidRPr="00F74E9E" w:rsidRDefault="00B958B1" w:rsidP="009F3B54">
            <w:pPr>
              <w:pStyle w:val="Tabletext"/>
              <w:rPr>
                <w:lang w:eastAsia="en-AU"/>
              </w:rPr>
            </w:pPr>
            <w:r w:rsidRPr="00F74E9E">
              <w:rPr>
                <w:lang w:eastAsia="en-AU"/>
              </w:rPr>
              <w:t xml:space="preserve"> </w:t>
            </w:r>
          </w:p>
        </w:tc>
        <w:tc>
          <w:tcPr>
            <w:tcW w:w="937" w:type="dxa"/>
            <w:tcBorders>
              <w:top w:val="nil"/>
              <w:left w:val="nil"/>
              <w:bottom w:val="single" w:sz="4" w:space="0" w:color="auto"/>
              <w:right w:val="nil"/>
            </w:tcBorders>
            <w:shd w:val="clear" w:color="auto" w:fill="000000"/>
          </w:tcPr>
          <w:p w:rsidR="00B958B1" w:rsidRPr="00F74E9E" w:rsidRDefault="00B958B1" w:rsidP="009F3B54">
            <w:pPr>
              <w:pStyle w:val="Tabletextheading"/>
              <w:rPr>
                <w:lang w:eastAsia="en-AU"/>
              </w:rPr>
            </w:pPr>
            <w:r w:rsidRPr="00F74E9E">
              <w:rPr>
                <w:lang w:eastAsia="en-AU"/>
              </w:rPr>
              <w:t>Budget</w:t>
            </w:r>
          </w:p>
        </w:tc>
        <w:tc>
          <w:tcPr>
            <w:tcW w:w="937" w:type="dxa"/>
            <w:tcBorders>
              <w:top w:val="nil"/>
              <w:left w:val="nil"/>
              <w:bottom w:val="single" w:sz="4" w:space="0" w:color="auto"/>
              <w:right w:val="nil"/>
            </w:tcBorders>
            <w:shd w:val="clear" w:color="auto" w:fill="000000"/>
          </w:tcPr>
          <w:p w:rsidR="00B958B1" w:rsidRPr="00F74E9E" w:rsidRDefault="00B958B1" w:rsidP="009F3B54">
            <w:pPr>
              <w:pStyle w:val="Tabletextheading"/>
              <w:rPr>
                <w:lang w:eastAsia="en-AU"/>
              </w:rPr>
            </w:pPr>
            <w:r w:rsidRPr="00F74E9E">
              <w:rPr>
                <w:lang w:eastAsia="en-AU"/>
              </w:rPr>
              <w:t>Revised</w:t>
            </w:r>
          </w:p>
        </w:tc>
        <w:tc>
          <w:tcPr>
            <w:tcW w:w="938" w:type="dxa"/>
            <w:tcBorders>
              <w:top w:val="nil"/>
              <w:left w:val="nil"/>
              <w:bottom w:val="single" w:sz="4" w:space="0" w:color="auto"/>
              <w:right w:val="single" w:sz="4" w:space="0" w:color="auto"/>
            </w:tcBorders>
            <w:shd w:val="clear" w:color="auto" w:fill="000000"/>
          </w:tcPr>
          <w:p w:rsidR="00B958B1" w:rsidRPr="00F74E9E" w:rsidRDefault="00B958B1" w:rsidP="009F3B54">
            <w:pPr>
              <w:pStyle w:val="Tabletextheading"/>
              <w:rPr>
                <w:lang w:eastAsia="en-AU"/>
              </w:rPr>
            </w:pPr>
            <w:r w:rsidRPr="00F74E9E">
              <w:rPr>
                <w:lang w:eastAsia="en-AU"/>
              </w:rPr>
              <w:t>Budget</w:t>
            </w:r>
          </w:p>
        </w:tc>
      </w:tr>
      <w:tr w:rsidR="00B958B1" w:rsidRPr="00F74E9E" w:rsidTr="009F3B54">
        <w:tc>
          <w:tcPr>
            <w:tcW w:w="4964" w:type="dxa"/>
            <w:tcBorders>
              <w:top w:val="single" w:sz="4" w:space="0" w:color="auto"/>
              <w:left w:val="nil"/>
              <w:bottom w:val="nil"/>
              <w:right w:val="nil"/>
            </w:tcBorders>
            <w:shd w:val="solid" w:color="FFFFFF" w:fill="auto"/>
          </w:tcPr>
          <w:p w:rsidR="00B958B1" w:rsidRPr="00F74E9E" w:rsidRDefault="00B958B1" w:rsidP="009F3B54">
            <w:pPr>
              <w:pStyle w:val="Tabletext"/>
              <w:rPr>
                <w:b/>
                <w:bCs/>
                <w:lang w:eastAsia="en-AU"/>
              </w:rPr>
            </w:pPr>
            <w:r w:rsidRPr="00F74E9E">
              <w:rPr>
                <w:b/>
                <w:bCs/>
                <w:lang w:eastAsia="en-AU"/>
              </w:rPr>
              <w:t>Annual appropriations</w:t>
            </w:r>
          </w:p>
        </w:tc>
        <w:tc>
          <w:tcPr>
            <w:tcW w:w="937" w:type="dxa"/>
            <w:tcBorders>
              <w:top w:val="single" w:sz="4" w:space="0" w:color="auto"/>
              <w:left w:val="nil"/>
              <w:bottom w:val="nil"/>
              <w:right w:val="nil"/>
            </w:tcBorders>
            <w:shd w:val="solid" w:color="FFFFFF" w:fill="auto"/>
          </w:tcPr>
          <w:p w:rsidR="00B958B1" w:rsidRPr="00F74E9E" w:rsidRDefault="00B958B1" w:rsidP="009F3B54">
            <w:pPr>
              <w:pStyle w:val="TableofFigures"/>
              <w:rPr>
                <w:b/>
                <w:bCs/>
                <w:lang w:eastAsia="en-AU"/>
              </w:rPr>
            </w:pPr>
            <w:r w:rsidRPr="00F74E9E">
              <w:rPr>
                <w:b/>
                <w:bCs/>
                <w:lang w:eastAsia="en-AU"/>
              </w:rPr>
              <w:t>9 546.0</w:t>
            </w:r>
          </w:p>
        </w:tc>
        <w:tc>
          <w:tcPr>
            <w:tcW w:w="937" w:type="dxa"/>
            <w:tcBorders>
              <w:top w:val="single" w:sz="4" w:space="0" w:color="auto"/>
              <w:left w:val="nil"/>
              <w:bottom w:val="nil"/>
              <w:right w:val="nil"/>
            </w:tcBorders>
            <w:shd w:val="solid" w:color="FFFFFF" w:fill="auto"/>
          </w:tcPr>
          <w:p w:rsidR="00B958B1" w:rsidRPr="00F74E9E" w:rsidRDefault="00B958B1" w:rsidP="009F3B54">
            <w:pPr>
              <w:pStyle w:val="TableofFigures"/>
              <w:rPr>
                <w:b/>
                <w:bCs/>
                <w:lang w:eastAsia="en-AU"/>
              </w:rPr>
            </w:pPr>
            <w:r w:rsidRPr="00F74E9E">
              <w:rPr>
                <w:b/>
                <w:bCs/>
                <w:lang w:eastAsia="en-AU"/>
              </w:rPr>
              <w:t>9 504.6</w:t>
            </w:r>
          </w:p>
        </w:tc>
        <w:tc>
          <w:tcPr>
            <w:tcW w:w="938" w:type="dxa"/>
            <w:tcBorders>
              <w:top w:val="single" w:sz="4" w:space="0" w:color="auto"/>
              <w:left w:val="nil"/>
              <w:bottom w:val="nil"/>
              <w:right w:val="nil"/>
            </w:tcBorders>
            <w:shd w:val="solid" w:color="FFFFFF" w:fill="auto"/>
          </w:tcPr>
          <w:p w:rsidR="00B958B1" w:rsidRPr="00F74E9E" w:rsidRDefault="00B958B1" w:rsidP="009F3B54">
            <w:pPr>
              <w:pStyle w:val="TableofFigures"/>
              <w:rPr>
                <w:b/>
                <w:bCs/>
                <w:lang w:eastAsia="en-AU"/>
              </w:rPr>
            </w:pPr>
            <w:r w:rsidRPr="00F74E9E">
              <w:rPr>
                <w:b/>
                <w:bCs/>
                <w:lang w:eastAsia="en-AU"/>
              </w:rPr>
              <w:t>9 603.8</w:t>
            </w:r>
          </w:p>
        </w:tc>
      </w:tr>
      <w:tr w:rsidR="00B958B1" w:rsidRPr="00F74E9E" w:rsidTr="009F3B54">
        <w:tc>
          <w:tcPr>
            <w:tcW w:w="4964" w:type="dxa"/>
            <w:tcBorders>
              <w:top w:val="nil"/>
              <w:left w:val="nil"/>
              <w:bottom w:val="nil"/>
              <w:right w:val="nil"/>
            </w:tcBorders>
            <w:shd w:val="solid" w:color="FFFFFF" w:fill="auto"/>
          </w:tcPr>
          <w:p w:rsidR="00B958B1" w:rsidRPr="00F74E9E" w:rsidRDefault="00B958B1" w:rsidP="009F3B54">
            <w:pPr>
              <w:pStyle w:val="Tabletext"/>
              <w:rPr>
                <w:lang w:eastAsia="en-AU"/>
              </w:rPr>
            </w:pPr>
            <w:r w:rsidRPr="00F74E9E">
              <w:rPr>
                <w:lang w:eastAsia="en-AU"/>
              </w:rPr>
              <w:t xml:space="preserve"> Provision of outputs</w:t>
            </w:r>
          </w:p>
        </w:tc>
        <w:tc>
          <w:tcPr>
            <w:tcW w:w="937" w:type="dxa"/>
            <w:tcBorders>
              <w:top w:val="nil"/>
              <w:left w:val="nil"/>
              <w:bottom w:val="nil"/>
              <w:right w:val="nil"/>
            </w:tcBorders>
            <w:shd w:val="solid" w:color="FFFFFF" w:fill="auto"/>
          </w:tcPr>
          <w:p w:rsidR="00B958B1" w:rsidRPr="00F74E9E" w:rsidRDefault="00B958B1" w:rsidP="009F3B54">
            <w:pPr>
              <w:pStyle w:val="TableofFigures"/>
              <w:rPr>
                <w:lang w:eastAsia="en-AU"/>
              </w:rPr>
            </w:pPr>
            <w:r w:rsidRPr="00F74E9E">
              <w:rPr>
                <w:lang w:eastAsia="en-AU"/>
              </w:rPr>
              <w:t>9 546.0</w:t>
            </w:r>
          </w:p>
        </w:tc>
        <w:tc>
          <w:tcPr>
            <w:tcW w:w="937" w:type="dxa"/>
            <w:tcBorders>
              <w:top w:val="nil"/>
              <w:left w:val="nil"/>
              <w:bottom w:val="nil"/>
              <w:right w:val="nil"/>
            </w:tcBorders>
            <w:shd w:val="solid" w:color="FFFFFF" w:fill="auto"/>
          </w:tcPr>
          <w:p w:rsidR="00B958B1" w:rsidRPr="00F74E9E" w:rsidRDefault="00B958B1" w:rsidP="009F3B54">
            <w:pPr>
              <w:pStyle w:val="TableofFigures"/>
              <w:rPr>
                <w:lang w:eastAsia="en-AU"/>
              </w:rPr>
            </w:pPr>
            <w:r w:rsidRPr="00F74E9E">
              <w:rPr>
                <w:lang w:eastAsia="en-AU"/>
              </w:rPr>
              <w:t>9 503.6</w:t>
            </w:r>
          </w:p>
        </w:tc>
        <w:tc>
          <w:tcPr>
            <w:tcW w:w="938" w:type="dxa"/>
            <w:tcBorders>
              <w:top w:val="nil"/>
              <w:left w:val="nil"/>
              <w:bottom w:val="nil"/>
              <w:right w:val="nil"/>
            </w:tcBorders>
            <w:shd w:val="solid" w:color="FFFFFF" w:fill="auto"/>
          </w:tcPr>
          <w:p w:rsidR="00B958B1" w:rsidRPr="00F74E9E" w:rsidRDefault="00B958B1" w:rsidP="009F3B54">
            <w:pPr>
              <w:pStyle w:val="TableofFigures"/>
              <w:rPr>
                <w:lang w:eastAsia="en-AU"/>
              </w:rPr>
            </w:pPr>
            <w:r w:rsidRPr="00F74E9E">
              <w:rPr>
                <w:lang w:eastAsia="en-AU"/>
              </w:rPr>
              <w:t>9 603.8</w:t>
            </w:r>
          </w:p>
        </w:tc>
      </w:tr>
      <w:tr w:rsidR="00B958B1" w:rsidRPr="00F74E9E" w:rsidTr="009F3B54">
        <w:tc>
          <w:tcPr>
            <w:tcW w:w="4964" w:type="dxa"/>
            <w:tcBorders>
              <w:top w:val="nil"/>
              <w:left w:val="nil"/>
              <w:bottom w:val="nil"/>
              <w:right w:val="nil"/>
            </w:tcBorders>
            <w:shd w:val="solid" w:color="FFFFFF" w:fill="auto"/>
          </w:tcPr>
          <w:p w:rsidR="00B958B1" w:rsidRPr="00F74E9E" w:rsidRDefault="00B958B1" w:rsidP="009F3B54">
            <w:pPr>
              <w:pStyle w:val="Tabletext"/>
              <w:rPr>
                <w:lang w:eastAsia="en-AU"/>
              </w:rPr>
            </w:pPr>
            <w:r w:rsidRPr="00F74E9E">
              <w:rPr>
                <w:lang w:eastAsia="en-AU"/>
              </w:rPr>
              <w:t xml:space="preserve"> Additions to the net asset base</w:t>
            </w:r>
          </w:p>
        </w:tc>
        <w:tc>
          <w:tcPr>
            <w:tcW w:w="937" w:type="dxa"/>
            <w:tcBorders>
              <w:top w:val="nil"/>
              <w:left w:val="nil"/>
              <w:bottom w:val="nil"/>
              <w:right w:val="nil"/>
            </w:tcBorders>
            <w:shd w:val="solid" w:color="FFFFFF" w:fill="auto"/>
          </w:tcPr>
          <w:p w:rsidR="00B958B1" w:rsidRPr="00F74E9E" w:rsidRDefault="00B958B1" w:rsidP="009F3B54">
            <w:pPr>
              <w:pStyle w:val="TableofFigures"/>
              <w:rPr>
                <w:lang w:eastAsia="en-AU"/>
              </w:rPr>
            </w:pPr>
            <w:r w:rsidRPr="00F74E9E">
              <w:rPr>
                <w:lang w:eastAsia="en-AU"/>
              </w:rPr>
              <w:t>..</w:t>
            </w:r>
          </w:p>
        </w:tc>
        <w:tc>
          <w:tcPr>
            <w:tcW w:w="937" w:type="dxa"/>
            <w:tcBorders>
              <w:top w:val="nil"/>
              <w:left w:val="nil"/>
              <w:bottom w:val="nil"/>
              <w:right w:val="nil"/>
            </w:tcBorders>
            <w:shd w:val="solid" w:color="FFFFFF" w:fill="auto"/>
          </w:tcPr>
          <w:p w:rsidR="00B958B1" w:rsidRPr="00F74E9E" w:rsidRDefault="00B958B1" w:rsidP="009F3B54">
            <w:pPr>
              <w:pStyle w:val="TableofFigures"/>
              <w:rPr>
                <w:lang w:eastAsia="en-AU"/>
              </w:rPr>
            </w:pPr>
            <w:r w:rsidRPr="00F74E9E">
              <w:rPr>
                <w:lang w:eastAsia="en-AU"/>
              </w:rPr>
              <w:t xml:space="preserve"> 1.0</w:t>
            </w:r>
          </w:p>
        </w:tc>
        <w:tc>
          <w:tcPr>
            <w:tcW w:w="938" w:type="dxa"/>
            <w:tcBorders>
              <w:top w:val="nil"/>
              <w:left w:val="nil"/>
              <w:bottom w:val="nil"/>
              <w:right w:val="nil"/>
            </w:tcBorders>
            <w:shd w:val="solid" w:color="FFFFFF" w:fill="auto"/>
          </w:tcPr>
          <w:p w:rsidR="00B958B1" w:rsidRPr="00F74E9E" w:rsidRDefault="00B958B1" w:rsidP="009F3B54">
            <w:pPr>
              <w:pStyle w:val="TableofFigures"/>
              <w:rPr>
                <w:lang w:eastAsia="en-AU"/>
              </w:rPr>
            </w:pPr>
            <w:r w:rsidRPr="00F74E9E">
              <w:rPr>
                <w:lang w:eastAsia="en-AU"/>
              </w:rPr>
              <w:t>..</w:t>
            </w:r>
          </w:p>
        </w:tc>
      </w:tr>
      <w:tr w:rsidR="00B958B1" w:rsidRPr="00F74E9E" w:rsidTr="009F3B54">
        <w:tc>
          <w:tcPr>
            <w:tcW w:w="4964" w:type="dxa"/>
            <w:tcBorders>
              <w:top w:val="nil"/>
              <w:left w:val="nil"/>
              <w:bottom w:val="nil"/>
              <w:right w:val="nil"/>
            </w:tcBorders>
            <w:shd w:val="solid" w:color="FFFFFF" w:fill="auto"/>
          </w:tcPr>
          <w:p w:rsidR="00B958B1" w:rsidRPr="00F74E9E" w:rsidRDefault="00B958B1" w:rsidP="009F3B54">
            <w:pPr>
              <w:pStyle w:val="Tabletext"/>
              <w:rPr>
                <w:lang w:eastAsia="en-AU"/>
              </w:rPr>
            </w:pPr>
            <w:r w:rsidRPr="00F74E9E">
              <w:rPr>
                <w:lang w:eastAsia="en-AU"/>
              </w:rPr>
              <w:t>Receipts credited to appropriations</w:t>
            </w:r>
          </w:p>
        </w:tc>
        <w:tc>
          <w:tcPr>
            <w:tcW w:w="937" w:type="dxa"/>
            <w:tcBorders>
              <w:top w:val="nil"/>
              <w:left w:val="nil"/>
              <w:bottom w:val="nil"/>
              <w:right w:val="nil"/>
            </w:tcBorders>
            <w:shd w:val="solid" w:color="FFFFFF" w:fill="auto"/>
          </w:tcPr>
          <w:p w:rsidR="00B958B1" w:rsidRPr="00F74E9E" w:rsidRDefault="00B958B1" w:rsidP="009F3B54">
            <w:pPr>
              <w:pStyle w:val="TableofFigures"/>
              <w:rPr>
                <w:lang w:eastAsia="en-AU"/>
              </w:rPr>
            </w:pPr>
            <w:r w:rsidRPr="00F74E9E">
              <w:rPr>
                <w:lang w:eastAsia="en-AU"/>
              </w:rPr>
              <w:t xml:space="preserve"> 685.6</w:t>
            </w:r>
          </w:p>
        </w:tc>
        <w:tc>
          <w:tcPr>
            <w:tcW w:w="937" w:type="dxa"/>
            <w:tcBorders>
              <w:top w:val="nil"/>
              <w:left w:val="nil"/>
              <w:bottom w:val="nil"/>
              <w:right w:val="nil"/>
            </w:tcBorders>
            <w:shd w:val="solid" w:color="FFFFFF" w:fill="auto"/>
          </w:tcPr>
          <w:p w:rsidR="00B958B1" w:rsidRPr="00F74E9E" w:rsidRDefault="00B958B1" w:rsidP="009F3B54">
            <w:pPr>
              <w:pStyle w:val="TableofFigures"/>
              <w:rPr>
                <w:lang w:eastAsia="en-AU"/>
              </w:rPr>
            </w:pPr>
            <w:r w:rsidRPr="00F74E9E">
              <w:rPr>
                <w:lang w:eastAsia="en-AU"/>
              </w:rPr>
              <w:t xml:space="preserve"> 733.2</w:t>
            </w:r>
          </w:p>
        </w:tc>
        <w:tc>
          <w:tcPr>
            <w:tcW w:w="938" w:type="dxa"/>
            <w:tcBorders>
              <w:top w:val="nil"/>
              <w:left w:val="nil"/>
              <w:bottom w:val="nil"/>
              <w:right w:val="nil"/>
            </w:tcBorders>
            <w:shd w:val="solid" w:color="FFFFFF" w:fill="auto"/>
          </w:tcPr>
          <w:p w:rsidR="00B958B1" w:rsidRPr="00F74E9E" w:rsidRDefault="00B958B1" w:rsidP="009F3B54">
            <w:pPr>
              <w:pStyle w:val="TableofFigures"/>
              <w:rPr>
                <w:lang w:eastAsia="en-AU"/>
              </w:rPr>
            </w:pPr>
            <w:r w:rsidRPr="00F74E9E">
              <w:rPr>
                <w:lang w:eastAsia="en-AU"/>
              </w:rPr>
              <w:t xml:space="preserve"> 667.4</w:t>
            </w:r>
          </w:p>
        </w:tc>
      </w:tr>
      <w:tr w:rsidR="00B958B1" w:rsidRPr="00F74E9E" w:rsidTr="009F3B54">
        <w:tc>
          <w:tcPr>
            <w:tcW w:w="4964" w:type="dxa"/>
            <w:tcBorders>
              <w:top w:val="nil"/>
              <w:left w:val="nil"/>
              <w:bottom w:val="nil"/>
              <w:right w:val="nil"/>
            </w:tcBorders>
            <w:shd w:val="solid" w:color="FFFFFF" w:fill="auto"/>
          </w:tcPr>
          <w:p w:rsidR="00B958B1" w:rsidRPr="00F74E9E" w:rsidRDefault="00B958B1" w:rsidP="009F3B54">
            <w:pPr>
              <w:pStyle w:val="Tabletext"/>
              <w:rPr>
                <w:b/>
                <w:bCs/>
                <w:lang w:eastAsia="en-AU"/>
              </w:rPr>
            </w:pPr>
            <w:r w:rsidRPr="00F74E9E">
              <w:rPr>
                <w:b/>
                <w:bCs/>
                <w:lang w:eastAsia="en-AU"/>
              </w:rPr>
              <w:t>Unapplied previous years appropriation</w:t>
            </w:r>
          </w:p>
        </w:tc>
        <w:tc>
          <w:tcPr>
            <w:tcW w:w="937" w:type="dxa"/>
            <w:tcBorders>
              <w:top w:val="nil"/>
              <w:left w:val="nil"/>
              <w:bottom w:val="nil"/>
              <w:right w:val="nil"/>
            </w:tcBorders>
            <w:shd w:val="solid" w:color="FFFFFF" w:fill="auto"/>
          </w:tcPr>
          <w:p w:rsidR="00B958B1" w:rsidRPr="00F74E9E" w:rsidRDefault="00B958B1" w:rsidP="009F3B54">
            <w:pPr>
              <w:pStyle w:val="TableofFigures"/>
              <w:rPr>
                <w:lang w:eastAsia="en-AU"/>
              </w:rPr>
            </w:pPr>
            <w:r w:rsidRPr="00F74E9E">
              <w:rPr>
                <w:lang w:eastAsia="en-AU"/>
              </w:rPr>
              <w:t xml:space="preserve"> 209.9</w:t>
            </w:r>
          </w:p>
        </w:tc>
        <w:tc>
          <w:tcPr>
            <w:tcW w:w="937" w:type="dxa"/>
            <w:tcBorders>
              <w:top w:val="nil"/>
              <w:left w:val="nil"/>
              <w:bottom w:val="nil"/>
              <w:right w:val="nil"/>
            </w:tcBorders>
            <w:shd w:val="solid" w:color="FFFFFF" w:fill="auto"/>
          </w:tcPr>
          <w:p w:rsidR="00B958B1" w:rsidRPr="00F74E9E" w:rsidRDefault="00B958B1" w:rsidP="009F3B54">
            <w:pPr>
              <w:pStyle w:val="TableofFigures"/>
              <w:rPr>
                <w:lang w:eastAsia="en-AU"/>
              </w:rPr>
            </w:pPr>
            <w:r w:rsidRPr="00F74E9E">
              <w:rPr>
                <w:lang w:eastAsia="en-AU"/>
              </w:rPr>
              <w:t xml:space="preserve"> 153.8</w:t>
            </w:r>
          </w:p>
        </w:tc>
        <w:tc>
          <w:tcPr>
            <w:tcW w:w="938" w:type="dxa"/>
            <w:tcBorders>
              <w:top w:val="nil"/>
              <w:left w:val="nil"/>
              <w:bottom w:val="nil"/>
              <w:right w:val="nil"/>
            </w:tcBorders>
            <w:shd w:val="solid" w:color="FFFFFF" w:fill="auto"/>
          </w:tcPr>
          <w:p w:rsidR="00B958B1" w:rsidRPr="00F74E9E" w:rsidRDefault="00B958B1" w:rsidP="009F3B54">
            <w:pPr>
              <w:pStyle w:val="TableofFigures"/>
              <w:rPr>
                <w:lang w:eastAsia="en-AU"/>
              </w:rPr>
            </w:pPr>
            <w:r w:rsidRPr="00F74E9E">
              <w:rPr>
                <w:lang w:eastAsia="en-AU"/>
              </w:rPr>
              <w:t xml:space="preserve"> 43.1</w:t>
            </w:r>
          </w:p>
        </w:tc>
      </w:tr>
      <w:tr w:rsidR="00B958B1" w:rsidRPr="00F74E9E" w:rsidTr="009F3B54">
        <w:tc>
          <w:tcPr>
            <w:tcW w:w="4964" w:type="dxa"/>
            <w:tcBorders>
              <w:top w:val="nil"/>
              <w:left w:val="nil"/>
              <w:bottom w:val="nil"/>
              <w:right w:val="nil"/>
            </w:tcBorders>
            <w:shd w:val="solid" w:color="FFFFFF" w:fill="auto"/>
          </w:tcPr>
          <w:p w:rsidR="00B958B1" w:rsidRPr="00F74E9E" w:rsidRDefault="00B958B1" w:rsidP="009F3B54">
            <w:pPr>
              <w:pStyle w:val="Tabletext"/>
              <w:rPr>
                <w:lang w:eastAsia="en-AU"/>
              </w:rPr>
            </w:pPr>
            <w:r w:rsidRPr="00F74E9E">
              <w:rPr>
                <w:lang w:eastAsia="en-AU"/>
              </w:rPr>
              <w:t xml:space="preserve"> Provision of outputs</w:t>
            </w:r>
          </w:p>
        </w:tc>
        <w:tc>
          <w:tcPr>
            <w:tcW w:w="937" w:type="dxa"/>
            <w:tcBorders>
              <w:top w:val="nil"/>
              <w:left w:val="nil"/>
              <w:bottom w:val="nil"/>
              <w:right w:val="nil"/>
            </w:tcBorders>
            <w:shd w:val="solid" w:color="FFFFFF" w:fill="auto"/>
          </w:tcPr>
          <w:p w:rsidR="00B958B1" w:rsidRPr="00F74E9E" w:rsidRDefault="00B958B1" w:rsidP="009F3B54">
            <w:pPr>
              <w:pStyle w:val="TableofFigures"/>
              <w:rPr>
                <w:lang w:eastAsia="en-AU"/>
              </w:rPr>
            </w:pPr>
            <w:r w:rsidRPr="00F74E9E">
              <w:rPr>
                <w:lang w:eastAsia="en-AU"/>
              </w:rPr>
              <w:t xml:space="preserve"> 141.3</w:t>
            </w:r>
          </w:p>
        </w:tc>
        <w:tc>
          <w:tcPr>
            <w:tcW w:w="937" w:type="dxa"/>
            <w:tcBorders>
              <w:top w:val="nil"/>
              <w:left w:val="nil"/>
              <w:bottom w:val="nil"/>
              <w:right w:val="nil"/>
            </w:tcBorders>
            <w:shd w:val="solid" w:color="FFFFFF" w:fill="auto"/>
          </w:tcPr>
          <w:p w:rsidR="00B958B1" w:rsidRPr="00F74E9E" w:rsidRDefault="00B958B1" w:rsidP="009F3B54">
            <w:pPr>
              <w:pStyle w:val="TableofFigures"/>
              <w:rPr>
                <w:lang w:eastAsia="en-AU"/>
              </w:rPr>
            </w:pPr>
            <w:r w:rsidRPr="00F74E9E">
              <w:rPr>
                <w:lang w:eastAsia="en-AU"/>
              </w:rPr>
              <w:t xml:space="preserve"> 119.7</w:t>
            </w:r>
          </w:p>
        </w:tc>
        <w:tc>
          <w:tcPr>
            <w:tcW w:w="938" w:type="dxa"/>
            <w:tcBorders>
              <w:top w:val="nil"/>
              <w:left w:val="nil"/>
              <w:bottom w:val="nil"/>
              <w:right w:val="nil"/>
            </w:tcBorders>
            <w:shd w:val="solid" w:color="FFFFFF" w:fill="auto"/>
          </w:tcPr>
          <w:p w:rsidR="00B958B1" w:rsidRPr="00F74E9E" w:rsidRDefault="00B958B1" w:rsidP="009F3B54">
            <w:pPr>
              <w:pStyle w:val="TableofFigures"/>
              <w:rPr>
                <w:lang w:eastAsia="en-AU"/>
              </w:rPr>
            </w:pPr>
            <w:r w:rsidRPr="00F74E9E">
              <w:rPr>
                <w:lang w:eastAsia="en-AU"/>
              </w:rPr>
              <w:t xml:space="preserve"> 43.1</w:t>
            </w:r>
          </w:p>
        </w:tc>
      </w:tr>
      <w:tr w:rsidR="00B958B1" w:rsidRPr="00F74E9E" w:rsidTr="009F3B54">
        <w:tc>
          <w:tcPr>
            <w:tcW w:w="4964" w:type="dxa"/>
            <w:tcBorders>
              <w:top w:val="nil"/>
              <w:left w:val="nil"/>
              <w:bottom w:val="nil"/>
              <w:right w:val="nil"/>
            </w:tcBorders>
            <w:shd w:val="solid" w:color="FFFFFF" w:fill="auto"/>
          </w:tcPr>
          <w:p w:rsidR="00B958B1" w:rsidRPr="00F74E9E" w:rsidRDefault="00B958B1" w:rsidP="009F3B54">
            <w:pPr>
              <w:pStyle w:val="Tabletext"/>
              <w:rPr>
                <w:lang w:eastAsia="en-AU"/>
              </w:rPr>
            </w:pPr>
            <w:r w:rsidRPr="00F74E9E">
              <w:rPr>
                <w:lang w:eastAsia="en-AU"/>
              </w:rPr>
              <w:t xml:space="preserve"> Additions to the net asset base</w:t>
            </w:r>
          </w:p>
        </w:tc>
        <w:tc>
          <w:tcPr>
            <w:tcW w:w="937" w:type="dxa"/>
            <w:tcBorders>
              <w:top w:val="nil"/>
              <w:left w:val="nil"/>
              <w:bottom w:val="nil"/>
              <w:right w:val="nil"/>
            </w:tcBorders>
            <w:shd w:val="solid" w:color="FFFFFF" w:fill="auto"/>
          </w:tcPr>
          <w:p w:rsidR="00B958B1" w:rsidRPr="00F74E9E" w:rsidRDefault="00B958B1" w:rsidP="009F3B54">
            <w:pPr>
              <w:pStyle w:val="TableofFigures"/>
              <w:rPr>
                <w:lang w:eastAsia="en-AU"/>
              </w:rPr>
            </w:pPr>
            <w:r w:rsidRPr="00F74E9E">
              <w:rPr>
                <w:lang w:eastAsia="en-AU"/>
              </w:rPr>
              <w:t xml:space="preserve"> 68.6</w:t>
            </w:r>
          </w:p>
        </w:tc>
        <w:tc>
          <w:tcPr>
            <w:tcW w:w="937" w:type="dxa"/>
            <w:tcBorders>
              <w:top w:val="nil"/>
              <w:left w:val="nil"/>
              <w:bottom w:val="nil"/>
              <w:right w:val="nil"/>
            </w:tcBorders>
            <w:shd w:val="solid" w:color="FFFFFF" w:fill="auto"/>
          </w:tcPr>
          <w:p w:rsidR="00B958B1" w:rsidRPr="00F74E9E" w:rsidRDefault="00B958B1" w:rsidP="009F3B54">
            <w:pPr>
              <w:pStyle w:val="TableofFigures"/>
              <w:rPr>
                <w:lang w:eastAsia="en-AU"/>
              </w:rPr>
            </w:pPr>
            <w:r w:rsidRPr="00F74E9E">
              <w:rPr>
                <w:lang w:eastAsia="en-AU"/>
              </w:rPr>
              <w:t xml:space="preserve"> 34.0</w:t>
            </w:r>
          </w:p>
        </w:tc>
        <w:tc>
          <w:tcPr>
            <w:tcW w:w="938" w:type="dxa"/>
            <w:tcBorders>
              <w:top w:val="nil"/>
              <w:left w:val="nil"/>
              <w:bottom w:val="nil"/>
              <w:right w:val="nil"/>
            </w:tcBorders>
            <w:shd w:val="solid" w:color="FFFFFF" w:fill="auto"/>
          </w:tcPr>
          <w:p w:rsidR="00B958B1" w:rsidRPr="00F74E9E" w:rsidRDefault="00B958B1" w:rsidP="009F3B54">
            <w:pPr>
              <w:pStyle w:val="TableofFigures"/>
              <w:rPr>
                <w:lang w:eastAsia="en-AU"/>
              </w:rPr>
            </w:pPr>
            <w:r w:rsidRPr="00F74E9E">
              <w:rPr>
                <w:lang w:eastAsia="en-AU"/>
              </w:rPr>
              <w:t>..</w:t>
            </w:r>
          </w:p>
        </w:tc>
      </w:tr>
      <w:tr w:rsidR="00B958B1" w:rsidRPr="00F74E9E" w:rsidTr="009F3B54">
        <w:tc>
          <w:tcPr>
            <w:tcW w:w="4964" w:type="dxa"/>
            <w:tcBorders>
              <w:top w:val="nil"/>
              <w:left w:val="nil"/>
              <w:bottom w:val="single" w:sz="6" w:space="0" w:color="auto"/>
              <w:right w:val="nil"/>
            </w:tcBorders>
            <w:shd w:val="solid" w:color="FFFFFF" w:fill="auto"/>
          </w:tcPr>
          <w:p w:rsidR="00B958B1" w:rsidRPr="00F74E9E" w:rsidRDefault="00B958B1" w:rsidP="009F3B54">
            <w:pPr>
              <w:pStyle w:val="Tabletext"/>
              <w:rPr>
                <w:lang w:eastAsia="en-AU"/>
              </w:rPr>
            </w:pPr>
            <w:r w:rsidRPr="00F74E9E">
              <w:rPr>
                <w:lang w:eastAsia="en-AU"/>
              </w:rPr>
              <w:t>Accumulated surplus – previously applied appropriation</w:t>
            </w:r>
          </w:p>
        </w:tc>
        <w:tc>
          <w:tcPr>
            <w:tcW w:w="937" w:type="dxa"/>
            <w:tcBorders>
              <w:top w:val="nil"/>
              <w:left w:val="nil"/>
              <w:bottom w:val="single" w:sz="6" w:space="0" w:color="auto"/>
              <w:right w:val="nil"/>
            </w:tcBorders>
            <w:shd w:val="solid" w:color="FFFFFF" w:fill="auto"/>
          </w:tcPr>
          <w:p w:rsidR="00B958B1" w:rsidRPr="00F74E9E" w:rsidRDefault="00B958B1" w:rsidP="009F3B54">
            <w:pPr>
              <w:pStyle w:val="TableofFigures"/>
              <w:rPr>
                <w:lang w:eastAsia="en-AU"/>
              </w:rPr>
            </w:pPr>
            <w:r w:rsidRPr="00F74E9E">
              <w:rPr>
                <w:lang w:eastAsia="en-AU"/>
              </w:rPr>
              <w:t>..</w:t>
            </w:r>
          </w:p>
        </w:tc>
        <w:tc>
          <w:tcPr>
            <w:tcW w:w="937" w:type="dxa"/>
            <w:tcBorders>
              <w:top w:val="nil"/>
              <w:left w:val="nil"/>
              <w:bottom w:val="single" w:sz="6" w:space="0" w:color="auto"/>
              <w:right w:val="nil"/>
            </w:tcBorders>
            <w:shd w:val="solid" w:color="FFFFFF" w:fill="auto"/>
          </w:tcPr>
          <w:p w:rsidR="00B958B1" w:rsidRPr="00F74E9E" w:rsidRDefault="00B958B1" w:rsidP="009F3B54">
            <w:pPr>
              <w:pStyle w:val="TableofFigures"/>
              <w:rPr>
                <w:lang w:eastAsia="en-AU"/>
              </w:rPr>
            </w:pPr>
            <w:r w:rsidRPr="00F74E9E">
              <w:rPr>
                <w:lang w:eastAsia="en-AU"/>
              </w:rPr>
              <w:t xml:space="preserve"> 98.7</w:t>
            </w:r>
          </w:p>
        </w:tc>
        <w:tc>
          <w:tcPr>
            <w:tcW w:w="938" w:type="dxa"/>
            <w:tcBorders>
              <w:top w:val="nil"/>
              <w:left w:val="nil"/>
              <w:bottom w:val="single" w:sz="6" w:space="0" w:color="auto"/>
              <w:right w:val="nil"/>
            </w:tcBorders>
            <w:shd w:val="solid" w:color="FFFFFF" w:fill="auto"/>
          </w:tcPr>
          <w:p w:rsidR="00B958B1" w:rsidRPr="00F74E9E" w:rsidRDefault="00B958B1" w:rsidP="009F3B54">
            <w:pPr>
              <w:pStyle w:val="TableofFigures"/>
              <w:rPr>
                <w:lang w:eastAsia="en-AU"/>
              </w:rPr>
            </w:pPr>
            <w:r w:rsidRPr="00F74E9E">
              <w:rPr>
                <w:lang w:eastAsia="en-AU"/>
              </w:rPr>
              <w:t>..</w:t>
            </w:r>
          </w:p>
        </w:tc>
      </w:tr>
      <w:tr w:rsidR="00B958B1" w:rsidRPr="00F74E9E" w:rsidTr="009F3B54">
        <w:tc>
          <w:tcPr>
            <w:tcW w:w="4964" w:type="dxa"/>
            <w:tcBorders>
              <w:top w:val="nil"/>
              <w:left w:val="nil"/>
              <w:bottom w:val="nil"/>
              <w:right w:val="nil"/>
            </w:tcBorders>
            <w:shd w:val="solid" w:color="FFFFFF" w:fill="auto"/>
          </w:tcPr>
          <w:p w:rsidR="00B958B1" w:rsidRPr="00F74E9E" w:rsidRDefault="00B958B1" w:rsidP="009F3B54">
            <w:pPr>
              <w:pStyle w:val="Tabletext"/>
              <w:rPr>
                <w:b/>
                <w:bCs/>
                <w:lang w:eastAsia="en-AU"/>
              </w:rPr>
            </w:pPr>
            <w:r w:rsidRPr="00F74E9E">
              <w:rPr>
                <w:b/>
                <w:bCs/>
                <w:lang w:eastAsia="en-AU"/>
              </w:rPr>
              <w:t>Gross annual appropriation</w:t>
            </w:r>
          </w:p>
        </w:tc>
        <w:tc>
          <w:tcPr>
            <w:tcW w:w="937" w:type="dxa"/>
            <w:tcBorders>
              <w:top w:val="nil"/>
              <w:left w:val="nil"/>
              <w:bottom w:val="nil"/>
              <w:right w:val="nil"/>
            </w:tcBorders>
            <w:shd w:val="solid" w:color="FFFFFF" w:fill="auto"/>
          </w:tcPr>
          <w:p w:rsidR="00B958B1" w:rsidRPr="00F74E9E" w:rsidRDefault="00B958B1" w:rsidP="009F3B54">
            <w:pPr>
              <w:pStyle w:val="TableofFigures"/>
              <w:rPr>
                <w:b/>
                <w:bCs/>
                <w:lang w:eastAsia="en-AU"/>
              </w:rPr>
            </w:pPr>
            <w:r w:rsidRPr="00F74E9E">
              <w:rPr>
                <w:b/>
                <w:bCs/>
                <w:lang w:eastAsia="en-AU"/>
              </w:rPr>
              <w:t>10 441.5</w:t>
            </w:r>
          </w:p>
        </w:tc>
        <w:tc>
          <w:tcPr>
            <w:tcW w:w="937" w:type="dxa"/>
            <w:tcBorders>
              <w:top w:val="nil"/>
              <w:left w:val="nil"/>
              <w:bottom w:val="nil"/>
              <w:right w:val="nil"/>
            </w:tcBorders>
            <w:shd w:val="solid" w:color="FFFFFF" w:fill="auto"/>
          </w:tcPr>
          <w:p w:rsidR="00B958B1" w:rsidRPr="00F74E9E" w:rsidRDefault="00B958B1" w:rsidP="009F3B54">
            <w:pPr>
              <w:pStyle w:val="TableofFigures"/>
              <w:rPr>
                <w:b/>
                <w:bCs/>
                <w:lang w:eastAsia="en-AU"/>
              </w:rPr>
            </w:pPr>
            <w:r w:rsidRPr="00F74E9E">
              <w:rPr>
                <w:b/>
                <w:bCs/>
                <w:lang w:eastAsia="en-AU"/>
              </w:rPr>
              <w:t>10 490.3</w:t>
            </w:r>
          </w:p>
        </w:tc>
        <w:tc>
          <w:tcPr>
            <w:tcW w:w="938" w:type="dxa"/>
            <w:tcBorders>
              <w:top w:val="nil"/>
              <w:left w:val="nil"/>
              <w:bottom w:val="nil"/>
              <w:right w:val="nil"/>
            </w:tcBorders>
            <w:shd w:val="solid" w:color="FFFFFF" w:fill="auto"/>
          </w:tcPr>
          <w:p w:rsidR="00B958B1" w:rsidRPr="00F74E9E" w:rsidRDefault="00B958B1" w:rsidP="009F3B54">
            <w:pPr>
              <w:pStyle w:val="TableofFigures"/>
              <w:rPr>
                <w:b/>
                <w:bCs/>
                <w:lang w:eastAsia="en-AU"/>
              </w:rPr>
            </w:pPr>
            <w:r w:rsidRPr="00F74E9E">
              <w:rPr>
                <w:b/>
                <w:bCs/>
                <w:lang w:eastAsia="en-AU"/>
              </w:rPr>
              <w:t>10 314.2</w:t>
            </w:r>
          </w:p>
        </w:tc>
      </w:tr>
      <w:tr w:rsidR="00B958B1" w:rsidRPr="00F74E9E" w:rsidTr="009F3B54">
        <w:tc>
          <w:tcPr>
            <w:tcW w:w="4964" w:type="dxa"/>
            <w:tcBorders>
              <w:top w:val="nil"/>
              <w:left w:val="nil"/>
              <w:bottom w:val="nil"/>
              <w:right w:val="nil"/>
            </w:tcBorders>
            <w:shd w:val="solid" w:color="FFFFFF" w:fill="auto"/>
          </w:tcPr>
          <w:p w:rsidR="00B958B1" w:rsidRPr="00F74E9E" w:rsidRDefault="00B958B1" w:rsidP="009F3B54">
            <w:pPr>
              <w:pStyle w:val="Tabletext"/>
              <w:rPr>
                <w:lang w:eastAsia="en-AU"/>
              </w:rPr>
            </w:pPr>
            <w:r w:rsidRPr="00F74E9E">
              <w:rPr>
                <w:lang w:eastAsia="en-AU"/>
              </w:rPr>
              <w:t>Special appropriations</w:t>
            </w:r>
          </w:p>
        </w:tc>
        <w:tc>
          <w:tcPr>
            <w:tcW w:w="937" w:type="dxa"/>
            <w:tcBorders>
              <w:top w:val="nil"/>
              <w:left w:val="nil"/>
              <w:bottom w:val="nil"/>
              <w:right w:val="nil"/>
            </w:tcBorders>
            <w:shd w:val="solid" w:color="FFFFFF" w:fill="auto"/>
          </w:tcPr>
          <w:p w:rsidR="00B958B1" w:rsidRPr="00F74E9E" w:rsidRDefault="00B958B1" w:rsidP="009F3B54">
            <w:pPr>
              <w:pStyle w:val="TableofFigures"/>
              <w:rPr>
                <w:lang w:eastAsia="en-AU"/>
              </w:rPr>
            </w:pPr>
            <w:r w:rsidRPr="00F74E9E">
              <w:rPr>
                <w:lang w:eastAsia="en-AU"/>
              </w:rPr>
              <w:t xml:space="preserve"> 0.3</w:t>
            </w:r>
          </w:p>
        </w:tc>
        <w:tc>
          <w:tcPr>
            <w:tcW w:w="937" w:type="dxa"/>
            <w:tcBorders>
              <w:top w:val="nil"/>
              <w:left w:val="nil"/>
              <w:bottom w:val="nil"/>
              <w:right w:val="nil"/>
            </w:tcBorders>
            <w:shd w:val="solid" w:color="FFFFFF" w:fill="auto"/>
          </w:tcPr>
          <w:p w:rsidR="00B958B1" w:rsidRPr="00F74E9E" w:rsidRDefault="00B958B1" w:rsidP="009F3B54">
            <w:pPr>
              <w:pStyle w:val="TableofFigures"/>
              <w:rPr>
                <w:lang w:eastAsia="en-AU"/>
              </w:rPr>
            </w:pPr>
            <w:r w:rsidRPr="00F74E9E">
              <w:rPr>
                <w:lang w:eastAsia="en-AU"/>
              </w:rPr>
              <w:t xml:space="preserve"> 18.5</w:t>
            </w:r>
          </w:p>
        </w:tc>
        <w:tc>
          <w:tcPr>
            <w:tcW w:w="938" w:type="dxa"/>
            <w:tcBorders>
              <w:top w:val="nil"/>
              <w:left w:val="nil"/>
              <w:bottom w:val="nil"/>
              <w:right w:val="nil"/>
            </w:tcBorders>
            <w:shd w:val="solid" w:color="FFFFFF" w:fill="auto"/>
          </w:tcPr>
          <w:p w:rsidR="00B958B1" w:rsidRPr="00F74E9E" w:rsidRDefault="00B958B1" w:rsidP="009F3B54">
            <w:pPr>
              <w:pStyle w:val="TableofFigures"/>
              <w:rPr>
                <w:lang w:eastAsia="en-AU"/>
              </w:rPr>
            </w:pPr>
            <w:r w:rsidRPr="00F74E9E">
              <w:rPr>
                <w:lang w:eastAsia="en-AU"/>
              </w:rPr>
              <w:t xml:space="preserve"> 26.5</w:t>
            </w:r>
          </w:p>
        </w:tc>
      </w:tr>
      <w:tr w:rsidR="00B958B1" w:rsidRPr="00F74E9E" w:rsidTr="009F3B54">
        <w:tc>
          <w:tcPr>
            <w:tcW w:w="4964" w:type="dxa"/>
            <w:tcBorders>
              <w:top w:val="nil"/>
              <w:left w:val="nil"/>
              <w:bottom w:val="single" w:sz="6" w:space="0" w:color="auto"/>
              <w:right w:val="nil"/>
            </w:tcBorders>
            <w:shd w:val="solid" w:color="FFFFFF" w:fill="auto"/>
          </w:tcPr>
          <w:p w:rsidR="00B958B1" w:rsidRPr="00F74E9E" w:rsidRDefault="00B958B1" w:rsidP="009F3B54">
            <w:pPr>
              <w:pStyle w:val="Tabletext"/>
              <w:rPr>
                <w:lang w:eastAsia="en-AU"/>
              </w:rPr>
            </w:pPr>
            <w:r w:rsidRPr="00F74E9E">
              <w:rPr>
                <w:lang w:eastAsia="en-AU"/>
              </w:rPr>
              <w:t>Trust funds</w:t>
            </w:r>
          </w:p>
        </w:tc>
        <w:tc>
          <w:tcPr>
            <w:tcW w:w="937" w:type="dxa"/>
            <w:tcBorders>
              <w:top w:val="nil"/>
              <w:left w:val="nil"/>
              <w:bottom w:val="single" w:sz="6" w:space="0" w:color="auto"/>
              <w:right w:val="nil"/>
            </w:tcBorders>
            <w:shd w:val="solid" w:color="FFFFFF" w:fill="auto"/>
          </w:tcPr>
          <w:p w:rsidR="00B958B1" w:rsidRPr="00F74E9E" w:rsidRDefault="00B958B1" w:rsidP="009F3B54">
            <w:pPr>
              <w:pStyle w:val="TableofFigures"/>
              <w:rPr>
                <w:lang w:eastAsia="en-AU"/>
              </w:rPr>
            </w:pPr>
            <w:r w:rsidRPr="00F74E9E">
              <w:rPr>
                <w:lang w:eastAsia="en-AU"/>
              </w:rPr>
              <w:t>2 376.2</w:t>
            </w:r>
          </w:p>
        </w:tc>
        <w:tc>
          <w:tcPr>
            <w:tcW w:w="937" w:type="dxa"/>
            <w:tcBorders>
              <w:top w:val="nil"/>
              <w:left w:val="nil"/>
              <w:bottom w:val="single" w:sz="6" w:space="0" w:color="auto"/>
              <w:right w:val="nil"/>
            </w:tcBorders>
            <w:shd w:val="solid" w:color="FFFFFF" w:fill="auto"/>
          </w:tcPr>
          <w:p w:rsidR="00B958B1" w:rsidRPr="00F74E9E" w:rsidRDefault="00B958B1" w:rsidP="009F3B54">
            <w:pPr>
              <w:pStyle w:val="TableofFigures"/>
              <w:rPr>
                <w:lang w:eastAsia="en-AU"/>
              </w:rPr>
            </w:pPr>
            <w:r w:rsidRPr="00F74E9E">
              <w:rPr>
                <w:lang w:eastAsia="en-AU"/>
              </w:rPr>
              <w:t>2 354.5</w:t>
            </w:r>
          </w:p>
        </w:tc>
        <w:tc>
          <w:tcPr>
            <w:tcW w:w="938" w:type="dxa"/>
            <w:tcBorders>
              <w:top w:val="nil"/>
              <w:left w:val="nil"/>
              <w:bottom w:val="single" w:sz="6" w:space="0" w:color="auto"/>
              <w:right w:val="nil"/>
            </w:tcBorders>
            <w:shd w:val="solid" w:color="FFFFFF" w:fill="auto"/>
          </w:tcPr>
          <w:p w:rsidR="00B958B1" w:rsidRPr="00F74E9E" w:rsidRDefault="00B958B1" w:rsidP="009F3B54">
            <w:pPr>
              <w:pStyle w:val="TableofFigures"/>
              <w:rPr>
                <w:lang w:eastAsia="en-AU"/>
              </w:rPr>
            </w:pPr>
            <w:r w:rsidRPr="00F74E9E">
              <w:rPr>
                <w:lang w:eastAsia="en-AU"/>
              </w:rPr>
              <w:t>2 533.9</w:t>
            </w:r>
          </w:p>
        </w:tc>
      </w:tr>
      <w:tr w:rsidR="00B958B1" w:rsidRPr="00F74E9E" w:rsidTr="009F3B54">
        <w:tc>
          <w:tcPr>
            <w:tcW w:w="4964" w:type="dxa"/>
            <w:tcBorders>
              <w:top w:val="nil"/>
              <w:left w:val="nil"/>
              <w:bottom w:val="single" w:sz="12" w:space="0" w:color="auto"/>
              <w:right w:val="nil"/>
            </w:tcBorders>
            <w:shd w:val="solid" w:color="FFFFFF" w:fill="auto"/>
          </w:tcPr>
          <w:p w:rsidR="00B958B1" w:rsidRPr="00F74E9E" w:rsidRDefault="00B958B1" w:rsidP="009F3B54">
            <w:pPr>
              <w:pStyle w:val="Tabletext"/>
              <w:rPr>
                <w:b/>
                <w:bCs/>
                <w:lang w:eastAsia="en-AU"/>
              </w:rPr>
            </w:pPr>
            <w:r w:rsidRPr="00F74E9E">
              <w:rPr>
                <w:b/>
                <w:bCs/>
                <w:lang w:eastAsia="en-AU"/>
              </w:rPr>
              <w:t>Total parliamentary authority</w:t>
            </w:r>
          </w:p>
        </w:tc>
        <w:tc>
          <w:tcPr>
            <w:tcW w:w="937" w:type="dxa"/>
            <w:tcBorders>
              <w:top w:val="nil"/>
              <w:left w:val="nil"/>
              <w:bottom w:val="single" w:sz="12" w:space="0" w:color="auto"/>
              <w:right w:val="nil"/>
            </w:tcBorders>
            <w:shd w:val="solid" w:color="FFFFFF" w:fill="auto"/>
          </w:tcPr>
          <w:p w:rsidR="00B958B1" w:rsidRPr="00F74E9E" w:rsidRDefault="00B958B1" w:rsidP="009F3B54">
            <w:pPr>
              <w:pStyle w:val="TableofFigures"/>
              <w:rPr>
                <w:b/>
                <w:bCs/>
                <w:lang w:eastAsia="en-AU"/>
              </w:rPr>
            </w:pPr>
            <w:r w:rsidRPr="00F74E9E">
              <w:rPr>
                <w:b/>
                <w:bCs/>
                <w:lang w:eastAsia="en-AU"/>
              </w:rPr>
              <w:t>12 817.9</w:t>
            </w:r>
          </w:p>
        </w:tc>
        <w:tc>
          <w:tcPr>
            <w:tcW w:w="937" w:type="dxa"/>
            <w:tcBorders>
              <w:top w:val="nil"/>
              <w:left w:val="nil"/>
              <w:bottom w:val="single" w:sz="12" w:space="0" w:color="auto"/>
              <w:right w:val="nil"/>
            </w:tcBorders>
            <w:shd w:val="solid" w:color="FFFFFF" w:fill="auto"/>
          </w:tcPr>
          <w:p w:rsidR="00B958B1" w:rsidRPr="00F74E9E" w:rsidRDefault="00B958B1" w:rsidP="009F3B54">
            <w:pPr>
              <w:pStyle w:val="TableofFigures"/>
              <w:rPr>
                <w:b/>
                <w:bCs/>
                <w:lang w:eastAsia="en-AU"/>
              </w:rPr>
            </w:pPr>
            <w:r w:rsidRPr="00F74E9E">
              <w:rPr>
                <w:b/>
                <w:bCs/>
                <w:lang w:eastAsia="en-AU"/>
              </w:rPr>
              <w:t>12 863.3</w:t>
            </w:r>
          </w:p>
        </w:tc>
        <w:tc>
          <w:tcPr>
            <w:tcW w:w="938" w:type="dxa"/>
            <w:tcBorders>
              <w:top w:val="nil"/>
              <w:left w:val="nil"/>
              <w:bottom w:val="single" w:sz="12" w:space="0" w:color="auto"/>
              <w:right w:val="nil"/>
            </w:tcBorders>
            <w:shd w:val="solid" w:color="FFFFFF" w:fill="auto"/>
          </w:tcPr>
          <w:p w:rsidR="00B958B1" w:rsidRPr="00F74E9E" w:rsidRDefault="00B958B1" w:rsidP="009F3B54">
            <w:pPr>
              <w:pStyle w:val="TableofFigures"/>
              <w:rPr>
                <w:b/>
                <w:bCs/>
                <w:lang w:eastAsia="en-AU"/>
              </w:rPr>
            </w:pPr>
            <w:r w:rsidRPr="00F74E9E">
              <w:rPr>
                <w:b/>
                <w:bCs/>
                <w:lang w:eastAsia="en-AU"/>
              </w:rPr>
              <w:t>12 874.6</w:t>
            </w:r>
          </w:p>
        </w:tc>
      </w:tr>
    </w:tbl>
    <w:p w:rsidR="00B958B1" w:rsidRDefault="00B958B1" w:rsidP="009F3B54">
      <w:pPr>
        <w:pStyle w:val="Source"/>
        <w:rPr>
          <w:lang w:eastAsia="en-AU"/>
        </w:rPr>
      </w:pPr>
      <w:r>
        <w:rPr>
          <w:lang w:eastAsia="en-AU"/>
        </w:rPr>
        <w:t>Source: Department of Education and Early Childhood Development and Department of Treasury and Finance</w:t>
      </w:r>
    </w:p>
    <w:p w:rsidR="00B958B1" w:rsidRPr="000B4C04" w:rsidRDefault="00B958B1" w:rsidP="009F3B54">
      <w:pPr>
        <w:pStyle w:val="Source"/>
        <w:rPr>
          <w:lang w:eastAsia="en-AU"/>
        </w:rPr>
      </w:pPr>
      <w:r>
        <w:rPr>
          <w:color w:val="000000"/>
        </w:rPr>
        <w:fldChar w:fldCharType="begin"/>
      </w:r>
      <w:r>
        <w:instrText xml:space="preserve"> XE "</w:instrText>
      </w:r>
      <w:r w:rsidRPr="006236B2">
        <w:instrText>Department of Education and Early Childhood Development:</w:instrText>
      </w:r>
      <w:r w:rsidRPr="00964687">
        <w:rPr>
          <w:lang w:eastAsia="en-AU"/>
        </w:rPr>
        <w:instrText xml:space="preserve"> </w:instrText>
      </w:r>
      <w:r w:rsidRPr="000B4C04">
        <w:rPr>
          <w:lang w:eastAsia="en-AU"/>
        </w:rPr>
        <w:instrText>Parlia</w:instrText>
      </w:r>
      <w:r>
        <w:rPr>
          <w:lang w:eastAsia="en-AU"/>
        </w:rPr>
        <w:instrText>mentary authority for resources</w:instrText>
      </w:r>
      <w:r>
        <w:instrText xml:space="preserve">" </w:instrText>
      </w:r>
      <w:r>
        <w:rPr>
          <w:color w:val="000000"/>
        </w:rPr>
        <w:fldChar w:fldCharType="end"/>
      </w:r>
    </w:p>
    <w:p w:rsidR="00B958B1" w:rsidRPr="00D26769" w:rsidRDefault="00B958B1" w:rsidP="009F3B54">
      <w:pPr>
        <w:rPr>
          <w:lang w:eastAsia="en-AU"/>
        </w:rPr>
      </w:pPr>
    </w:p>
    <w:p w:rsidR="00B958B1" w:rsidRPr="0034321F" w:rsidRDefault="00B958B1" w:rsidP="009F3B54">
      <w:pPr>
        <w:pStyle w:val="OGHeading1"/>
        <w:rPr>
          <w:caps/>
        </w:rPr>
      </w:pPr>
      <w:r>
        <w:rPr>
          <w:lang w:eastAsia="en-AU"/>
        </w:rPr>
        <w:br w:type="page"/>
      </w:r>
      <w:bookmarkStart w:id="91" w:name="BP3DEECDStratRevReg"/>
      <w:r w:rsidRPr="00D32432">
        <w:rPr>
          <w:lang w:eastAsia="en-AU"/>
        </w:rPr>
        <w:t>Strategy, Review and Regulation</w:t>
      </w:r>
    </w:p>
    <w:p w:rsidR="00B958B1" w:rsidRPr="005C542E" w:rsidRDefault="00B958B1" w:rsidP="009F3B54">
      <w:pPr>
        <w:pStyle w:val="OGText"/>
        <w:rPr>
          <w:lang w:eastAsia="en-AU"/>
        </w:rPr>
      </w:pPr>
      <w:r w:rsidRPr="00D32432">
        <w:rPr>
          <w:lang w:eastAsia="en-AU"/>
        </w:rPr>
        <w:t>This output</w:t>
      </w:r>
      <w:r>
        <w:rPr>
          <w:lang w:eastAsia="en-AU"/>
        </w:rPr>
        <w:t xml:space="preserve"> group </w:t>
      </w:r>
      <w:r w:rsidRPr="00D32432">
        <w:rPr>
          <w:lang w:eastAsia="en-AU"/>
        </w:rPr>
        <w:t>develops, plans and monitors strategic policy settings across all stages of learning. It also includes inter</w:t>
      </w:r>
      <w:r w:rsidR="009F0F49">
        <w:rPr>
          <w:lang w:eastAsia="en-AU"/>
        </w:rPr>
        <w:noBreakHyphen/>
      </w:r>
      <w:r w:rsidRPr="00D32432">
        <w:rPr>
          <w:lang w:eastAsia="en-AU"/>
        </w:rPr>
        <w:t xml:space="preserve">governmental negotiations as well as research, data and performance evaluations. This output </w:t>
      </w:r>
      <w:r>
        <w:rPr>
          <w:lang w:eastAsia="en-AU"/>
        </w:rPr>
        <w:t xml:space="preserve">group </w:t>
      </w:r>
      <w:r w:rsidRPr="00D32432">
        <w:rPr>
          <w:lang w:eastAsia="en-AU"/>
        </w:rPr>
        <w:t>also supports regulation that ensures quality education and training is delivered and contributes to all the Department</w:t>
      </w:r>
      <w:r>
        <w:rPr>
          <w:lang w:eastAsia="en-AU"/>
        </w:rPr>
        <w:t>’</w:t>
      </w:r>
      <w:r w:rsidRPr="00D32432">
        <w:rPr>
          <w:lang w:eastAsia="en-AU"/>
        </w:rPr>
        <w:t>s objectives of achievement, engagement, wellbeing and productivity.</w:t>
      </w:r>
    </w:p>
    <w:tbl>
      <w:tblPr>
        <w:tblW w:w="7782" w:type="dxa"/>
        <w:tblInd w:w="29" w:type="dxa"/>
        <w:tblLayout w:type="fixed"/>
        <w:tblCellMar>
          <w:left w:w="43" w:type="dxa"/>
          <w:right w:w="43" w:type="dxa"/>
        </w:tblCellMar>
        <w:tblLook w:val="04A0" w:firstRow="1" w:lastRow="0" w:firstColumn="1" w:lastColumn="0" w:noHBand="0" w:noVBand="1"/>
      </w:tblPr>
      <w:tblGrid>
        <w:gridCol w:w="3114"/>
        <w:gridCol w:w="40"/>
        <w:gridCol w:w="907"/>
        <w:gridCol w:w="6"/>
        <w:gridCol w:w="901"/>
        <w:gridCol w:w="9"/>
        <w:gridCol w:w="985"/>
        <w:gridCol w:w="895"/>
        <w:gridCol w:w="12"/>
        <w:gridCol w:w="907"/>
        <w:gridCol w:w="6"/>
      </w:tblGrid>
      <w:tr w:rsidR="00B958B1" w:rsidRPr="00D32CA4" w:rsidTr="009F3B54">
        <w:trPr>
          <w:gridAfter w:val="1"/>
          <w:wAfter w:w="6" w:type="dxa"/>
          <w:cantSplit/>
        </w:trPr>
        <w:tc>
          <w:tcPr>
            <w:tcW w:w="3154" w:type="dxa"/>
            <w:gridSpan w:val="2"/>
            <w:tcBorders>
              <w:top w:val="single" w:sz="4" w:space="0" w:color="auto"/>
              <w:left w:val="single" w:sz="4" w:space="0" w:color="auto"/>
              <w:bottom w:val="single" w:sz="4" w:space="0" w:color="auto"/>
              <w:right w:val="nil"/>
            </w:tcBorders>
            <w:shd w:val="clear" w:color="auto" w:fill="000000"/>
            <w:vAlign w:val="bottom"/>
          </w:tcPr>
          <w:p w:rsidR="00B958B1" w:rsidRPr="00D32CA4" w:rsidRDefault="00B958B1" w:rsidP="009F3B54">
            <w:pPr>
              <w:pStyle w:val="OGTabColLeft"/>
              <w:rPr>
                <w:i/>
              </w:rPr>
            </w:pPr>
            <w:r w:rsidRPr="00D32CA4">
              <w:t>Major Outputs/Deliverables</w:t>
            </w:r>
            <w:r w:rsidRPr="00D32CA4">
              <w:br/>
            </w:r>
            <w:r w:rsidRPr="0085011C">
              <w:rPr>
                <w:b w:val="0"/>
                <w:i/>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gridSpan w:val="2"/>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4" w:type="dxa"/>
            <w:gridSpan w:val="2"/>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gridSpan w:val="2"/>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807665" w:rsidTr="009F3B54">
        <w:trPr>
          <w:cantSplit/>
        </w:trPr>
        <w:tc>
          <w:tcPr>
            <w:tcW w:w="7782" w:type="dxa"/>
            <w:gridSpan w:val="11"/>
            <w:tcBorders>
              <w:top w:val="nil"/>
              <w:left w:val="nil"/>
              <w:bottom w:val="nil"/>
              <w:right w:val="nil"/>
            </w:tcBorders>
            <w:shd w:val="clear" w:color="auto" w:fill="auto"/>
            <w:vAlign w:val="bottom"/>
          </w:tcPr>
          <w:p w:rsidR="00B958B1" w:rsidRDefault="00B958B1" w:rsidP="009F3B54">
            <w:pPr>
              <w:pStyle w:val="OGHeading2"/>
              <w:rPr>
                <w:sz w:val="20"/>
              </w:rPr>
            </w:pPr>
            <w:r>
              <w:t>Strategy, Review and Regulation</w:t>
            </w:r>
          </w:p>
        </w:tc>
      </w:tr>
      <w:tr w:rsidR="00B958B1" w:rsidRPr="00807665" w:rsidTr="009F3B54">
        <w:trPr>
          <w:cantSplit/>
        </w:trPr>
        <w:tc>
          <w:tcPr>
            <w:tcW w:w="7782" w:type="dxa"/>
            <w:gridSpan w:val="11"/>
            <w:tcBorders>
              <w:top w:val="nil"/>
              <w:left w:val="nil"/>
              <w:bottom w:val="nil"/>
              <w:right w:val="nil"/>
            </w:tcBorders>
            <w:shd w:val="clear" w:color="auto" w:fill="auto"/>
            <w:vAlign w:val="bottom"/>
          </w:tcPr>
          <w:p w:rsidR="00B958B1" w:rsidRDefault="00B958B1" w:rsidP="009F3B54">
            <w:pPr>
              <w:pStyle w:val="OGText"/>
              <w:rPr>
                <w:rFonts w:cs="Calibri"/>
                <w:color w:val="000000"/>
              </w:rPr>
            </w:pPr>
            <w:r>
              <w:t>This output provides Department</w:t>
            </w:r>
            <w:r w:rsidR="009F0F49">
              <w:noBreakHyphen/>
            </w:r>
            <w:r>
              <w:t>wide policy, administrative and strategic advice as well as research and economic analysis, planning, monitoring, reporting and evaluations. It also covers administrative functions and the responsibilities of the Victorian Registration and Qualifications Authority.</w:t>
            </w:r>
          </w:p>
        </w:tc>
      </w:tr>
      <w:tr w:rsidR="00B958B1" w:rsidRPr="00807665" w:rsidTr="009F3B54">
        <w:trPr>
          <w:cantSplit/>
        </w:trPr>
        <w:tc>
          <w:tcPr>
            <w:tcW w:w="3114" w:type="dxa"/>
            <w:tcBorders>
              <w:top w:val="single" w:sz="6" w:space="0" w:color="auto"/>
              <w:left w:val="nil"/>
              <w:bottom w:val="nil"/>
              <w:right w:val="nil"/>
            </w:tcBorders>
            <w:shd w:val="clear" w:color="auto" w:fill="auto"/>
            <w:vAlign w:val="bottom"/>
          </w:tcPr>
          <w:p w:rsidR="00B958B1" w:rsidRDefault="00B958B1" w:rsidP="009F3B54">
            <w:pPr>
              <w:pStyle w:val="OGTabHead"/>
            </w:pPr>
            <w:r>
              <w:t>Quality</w:t>
            </w:r>
          </w:p>
        </w:tc>
        <w:tc>
          <w:tcPr>
            <w:tcW w:w="953" w:type="dxa"/>
            <w:gridSpan w:val="3"/>
            <w:tcBorders>
              <w:top w:val="single" w:sz="6" w:space="0" w:color="auto"/>
              <w:left w:val="nil"/>
              <w:bottom w:val="nil"/>
              <w:right w:val="nil"/>
            </w:tcBorders>
            <w:shd w:val="clear" w:color="auto" w:fill="auto"/>
            <w:noWrap/>
            <w:vAlign w:val="bottom"/>
          </w:tcPr>
          <w:p w:rsidR="00B958B1" w:rsidRDefault="00B958B1" w:rsidP="009F3B54">
            <w:pPr>
              <w:pStyle w:val="OGTabText"/>
            </w:pPr>
          </w:p>
        </w:tc>
        <w:tc>
          <w:tcPr>
            <w:tcW w:w="910" w:type="dxa"/>
            <w:gridSpan w:val="2"/>
            <w:tcBorders>
              <w:top w:val="single" w:sz="6" w:space="0" w:color="auto"/>
              <w:left w:val="nil"/>
              <w:bottom w:val="nil"/>
              <w:right w:val="nil"/>
            </w:tcBorders>
            <w:shd w:val="clear" w:color="auto" w:fill="D9D9D9"/>
            <w:noWrap/>
            <w:vAlign w:val="bottom"/>
          </w:tcPr>
          <w:p w:rsidR="00B958B1" w:rsidRDefault="00B958B1" w:rsidP="009F3B54">
            <w:pPr>
              <w:pStyle w:val="OGTabText"/>
            </w:pPr>
          </w:p>
        </w:tc>
        <w:tc>
          <w:tcPr>
            <w:tcW w:w="985" w:type="dxa"/>
            <w:tcBorders>
              <w:top w:val="single" w:sz="6" w:space="0" w:color="auto"/>
              <w:left w:val="nil"/>
              <w:bottom w:val="nil"/>
              <w:right w:val="nil"/>
            </w:tcBorders>
            <w:shd w:val="clear" w:color="auto" w:fill="auto"/>
            <w:noWrap/>
            <w:vAlign w:val="bottom"/>
          </w:tcPr>
          <w:p w:rsidR="00B958B1" w:rsidRDefault="00B958B1" w:rsidP="009F3B54">
            <w:pPr>
              <w:pStyle w:val="OGTabText"/>
            </w:pPr>
          </w:p>
        </w:tc>
        <w:tc>
          <w:tcPr>
            <w:tcW w:w="895" w:type="dxa"/>
            <w:tcBorders>
              <w:top w:val="single" w:sz="6" w:space="0" w:color="auto"/>
              <w:left w:val="nil"/>
              <w:bottom w:val="nil"/>
              <w:right w:val="nil"/>
            </w:tcBorders>
            <w:shd w:val="clear" w:color="auto" w:fill="auto"/>
            <w:noWrap/>
            <w:vAlign w:val="bottom"/>
          </w:tcPr>
          <w:p w:rsidR="00B958B1" w:rsidRDefault="00B958B1" w:rsidP="009F3B54">
            <w:pPr>
              <w:pStyle w:val="OGTabText"/>
            </w:pPr>
          </w:p>
        </w:tc>
        <w:tc>
          <w:tcPr>
            <w:tcW w:w="925" w:type="dxa"/>
            <w:gridSpan w:val="3"/>
            <w:tcBorders>
              <w:top w:val="single" w:sz="6" w:space="0" w:color="auto"/>
              <w:left w:val="nil"/>
              <w:bottom w:val="nil"/>
              <w:right w:val="nil"/>
            </w:tcBorders>
            <w:shd w:val="clear" w:color="auto" w:fill="auto"/>
            <w:noWrap/>
            <w:vAlign w:val="bottom"/>
          </w:tcPr>
          <w:p w:rsidR="00B958B1" w:rsidRDefault="00B958B1" w:rsidP="009F3B54">
            <w:pPr>
              <w:pStyle w:val="OGTabText"/>
            </w:pPr>
          </w:p>
        </w:tc>
      </w:tr>
      <w:tr w:rsidR="00B958B1" w:rsidRPr="00807665" w:rsidTr="009F3B54">
        <w:trPr>
          <w:cantSplit/>
        </w:trPr>
        <w:tc>
          <w:tcPr>
            <w:tcW w:w="3114" w:type="dxa"/>
            <w:tcBorders>
              <w:top w:val="nil"/>
              <w:left w:val="nil"/>
              <w:bottom w:val="nil"/>
              <w:right w:val="nil"/>
            </w:tcBorders>
            <w:shd w:val="clear" w:color="auto" w:fill="auto"/>
          </w:tcPr>
          <w:p w:rsidR="00B958B1" w:rsidRDefault="00B958B1" w:rsidP="009F3B54">
            <w:pPr>
              <w:pStyle w:val="OGTabText"/>
            </w:pPr>
            <w:r>
              <w:t>Stakeholder satisfaction with the Victorian Registration and Qualifications Authority and its services</w:t>
            </w:r>
          </w:p>
        </w:tc>
        <w:tc>
          <w:tcPr>
            <w:tcW w:w="953" w:type="dxa"/>
            <w:gridSpan w:val="3"/>
            <w:tcBorders>
              <w:top w:val="nil"/>
              <w:left w:val="nil"/>
              <w:bottom w:val="nil"/>
              <w:right w:val="nil"/>
            </w:tcBorders>
            <w:shd w:val="clear" w:color="auto" w:fill="auto"/>
            <w:noWrap/>
          </w:tcPr>
          <w:p w:rsidR="00B958B1" w:rsidRDefault="00B958B1" w:rsidP="009F3B54">
            <w:pPr>
              <w:pStyle w:val="OGUoM"/>
            </w:pPr>
            <w:r>
              <w:t>per cent</w:t>
            </w:r>
          </w:p>
        </w:tc>
        <w:tc>
          <w:tcPr>
            <w:tcW w:w="910" w:type="dxa"/>
            <w:gridSpan w:val="2"/>
            <w:tcBorders>
              <w:top w:val="nil"/>
              <w:left w:val="nil"/>
              <w:bottom w:val="nil"/>
              <w:right w:val="nil"/>
            </w:tcBorders>
            <w:shd w:val="clear" w:color="auto" w:fill="D9D9D9"/>
            <w:noWrap/>
          </w:tcPr>
          <w:p w:rsidR="00B958B1" w:rsidRDefault="00B958B1" w:rsidP="009F3B54">
            <w:pPr>
              <w:pStyle w:val="OGTabText"/>
              <w:jc w:val="right"/>
            </w:pPr>
            <w:r>
              <w:t>60</w:t>
            </w:r>
          </w:p>
        </w:tc>
        <w:tc>
          <w:tcPr>
            <w:tcW w:w="985" w:type="dxa"/>
            <w:tcBorders>
              <w:top w:val="nil"/>
              <w:left w:val="nil"/>
              <w:bottom w:val="nil"/>
              <w:right w:val="nil"/>
            </w:tcBorders>
            <w:shd w:val="clear" w:color="auto" w:fill="auto"/>
            <w:noWrap/>
          </w:tcPr>
          <w:p w:rsidR="00B958B1" w:rsidRDefault="00B958B1" w:rsidP="009F3B54">
            <w:pPr>
              <w:pStyle w:val="OGTabText"/>
              <w:jc w:val="right"/>
            </w:pPr>
            <w:r>
              <w:t>63</w:t>
            </w:r>
          </w:p>
        </w:tc>
        <w:tc>
          <w:tcPr>
            <w:tcW w:w="895" w:type="dxa"/>
            <w:tcBorders>
              <w:top w:val="nil"/>
              <w:left w:val="nil"/>
              <w:bottom w:val="nil"/>
              <w:right w:val="nil"/>
            </w:tcBorders>
            <w:shd w:val="clear" w:color="auto" w:fill="auto"/>
            <w:noWrap/>
          </w:tcPr>
          <w:p w:rsidR="00B958B1" w:rsidRDefault="00B958B1" w:rsidP="009F3B54">
            <w:pPr>
              <w:pStyle w:val="OGTabText"/>
              <w:jc w:val="right"/>
            </w:pPr>
            <w:r>
              <w:t>60</w:t>
            </w:r>
          </w:p>
        </w:tc>
        <w:tc>
          <w:tcPr>
            <w:tcW w:w="925" w:type="dxa"/>
            <w:gridSpan w:val="3"/>
            <w:tcBorders>
              <w:top w:val="nil"/>
              <w:left w:val="nil"/>
              <w:bottom w:val="nil"/>
              <w:right w:val="nil"/>
            </w:tcBorders>
            <w:shd w:val="clear" w:color="auto" w:fill="auto"/>
            <w:noWrap/>
          </w:tcPr>
          <w:p w:rsidR="00B958B1" w:rsidRDefault="00B958B1" w:rsidP="009F3B54">
            <w:pPr>
              <w:pStyle w:val="OGTabText"/>
              <w:jc w:val="right"/>
            </w:pPr>
            <w:r>
              <w:t>nm</w:t>
            </w:r>
          </w:p>
        </w:tc>
      </w:tr>
      <w:tr w:rsidR="00B958B1" w:rsidRPr="00807665" w:rsidTr="009F3B54">
        <w:trPr>
          <w:cantSplit/>
        </w:trPr>
        <w:tc>
          <w:tcPr>
            <w:tcW w:w="7782" w:type="dxa"/>
            <w:gridSpan w:val="11"/>
            <w:tcBorders>
              <w:top w:val="nil"/>
              <w:left w:val="nil"/>
              <w:bottom w:val="nil"/>
              <w:right w:val="nil"/>
            </w:tcBorders>
            <w:shd w:val="clear" w:color="auto" w:fill="auto"/>
          </w:tcPr>
          <w:p w:rsidR="00B958B1" w:rsidRDefault="00B958B1" w:rsidP="009F3B54">
            <w:pPr>
              <w:pStyle w:val="OGNotes"/>
            </w:pPr>
            <w:r>
              <w:t>This performance measure relates to the calendar year.</w:t>
            </w:r>
          </w:p>
        </w:tc>
      </w:tr>
      <w:tr w:rsidR="00B958B1" w:rsidRPr="00807665" w:rsidTr="009F3B54">
        <w:trPr>
          <w:cantSplit/>
        </w:trPr>
        <w:tc>
          <w:tcPr>
            <w:tcW w:w="3114" w:type="dxa"/>
            <w:tcBorders>
              <w:top w:val="single" w:sz="6" w:space="0" w:color="auto"/>
              <w:left w:val="nil"/>
              <w:bottom w:val="nil"/>
              <w:right w:val="nil"/>
            </w:tcBorders>
            <w:shd w:val="clear" w:color="auto" w:fill="auto"/>
            <w:vAlign w:val="bottom"/>
          </w:tcPr>
          <w:p w:rsidR="00B958B1" w:rsidRDefault="00B958B1" w:rsidP="009F3B54">
            <w:pPr>
              <w:pStyle w:val="OGTabHead"/>
            </w:pPr>
            <w:r>
              <w:t>Quantity</w:t>
            </w:r>
          </w:p>
        </w:tc>
        <w:tc>
          <w:tcPr>
            <w:tcW w:w="953" w:type="dxa"/>
            <w:gridSpan w:val="3"/>
            <w:tcBorders>
              <w:top w:val="single" w:sz="6" w:space="0" w:color="auto"/>
              <w:left w:val="nil"/>
              <w:bottom w:val="nil"/>
              <w:right w:val="nil"/>
            </w:tcBorders>
            <w:shd w:val="clear" w:color="auto" w:fill="auto"/>
            <w:noWrap/>
            <w:vAlign w:val="bottom"/>
          </w:tcPr>
          <w:p w:rsidR="00B958B1" w:rsidRDefault="00B958B1" w:rsidP="009F3B54">
            <w:pPr>
              <w:pStyle w:val="OGTabText"/>
            </w:pPr>
          </w:p>
        </w:tc>
        <w:tc>
          <w:tcPr>
            <w:tcW w:w="910" w:type="dxa"/>
            <w:gridSpan w:val="2"/>
            <w:tcBorders>
              <w:top w:val="single" w:sz="6" w:space="0" w:color="auto"/>
              <w:left w:val="nil"/>
              <w:bottom w:val="nil"/>
              <w:right w:val="nil"/>
            </w:tcBorders>
            <w:shd w:val="clear" w:color="auto" w:fill="D9D9D9"/>
            <w:noWrap/>
            <w:vAlign w:val="bottom"/>
          </w:tcPr>
          <w:p w:rsidR="00B958B1" w:rsidRDefault="00B958B1" w:rsidP="009F3B54">
            <w:pPr>
              <w:pStyle w:val="OGTabText"/>
            </w:pPr>
          </w:p>
        </w:tc>
        <w:tc>
          <w:tcPr>
            <w:tcW w:w="985" w:type="dxa"/>
            <w:tcBorders>
              <w:top w:val="single" w:sz="6" w:space="0" w:color="auto"/>
              <w:left w:val="nil"/>
              <w:bottom w:val="nil"/>
              <w:right w:val="nil"/>
            </w:tcBorders>
            <w:shd w:val="clear" w:color="auto" w:fill="auto"/>
            <w:noWrap/>
            <w:vAlign w:val="bottom"/>
          </w:tcPr>
          <w:p w:rsidR="00B958B1" w:rsidRDefault="00B958B1" w:rsidP="009F3B54">
            <w:pPr>
              <w:pStyle w:val="OGTabText"/>
            </w:pPr>
          </w:p>
        </w:tc>
        <w:tc>
          <w:tcPr>
            <w:tcW w:w="895" w:type="dxa"/>
            <w:tcBorders>
              <w:top w:val="single" w:sz="6" w:space="0" w:color="auto"/>
              <w:left w:val="nil"/>
              <w:bottom w:val="nil"/>
              <w:right w:val="nil"/>
            </w:tcBorders>
            <w:shd w:val="clear" w:color="auto" w:fill="auto"/>
            <w:noWrap/>
            <w:vAlign w:val="bottom"/>
          </w:tcPr>
          <w:p w:rsidR="00B958B1" w:rsidRDefault="00B958B1" w:rsidP="009F3B54">
            <w:pPr>
              <w:pStyle w:val="OGTabText"/>
            </w:pPr>
          </w:p>
        </w:tc>
        <w:tc>
          <w:tcPr>
            <w:tcW w:w="925" w:type="dxa"/>
            <w:gridSpan w:val="3"/>
            <w:tcBorders>
              <w:top w:val="single" w:sz="6" w:space="0" w:color="auto"/>
              <w:left w:val="nil"/>
              <w:bottom w:val="nil"/>
              <w:right w:val="nil"/>
            </w:tcBorders>
            <w:shd w:val="clear" w:color="auto" w:fill="auto"/>
            <w:noWrap/>
            <w:vAlign w:val="bottom"/>
          </w:tcPr>
          <w:p w:rsidR="00B958B1" w:rsidRDefault="00B958B1" w:rsidP="009F3B54">
            <w:pPr>
              <w:pStyle w:val="OGTabText"/>
            </w:pPr>
          </w:p>
        </w:tc>
      </w:tr>
      <w:tr w:rsidR="00B958B1" w:rsidRPr="00807665" w:rsidTr="009F3B54">
        <w:trPr>
          <w:cantSplit/>
        </w:trPr>
        <w:tc>
          <w:tcPr>
            <w:tcW w:w="3114" w:type="dxa"/>
            <w:tcBorders>
              <w:top w:val="nil"/>
              <w:left w:val="nil"/>
              <w:bottom w:val="nil"/>
              <w:right w:val="nil"/>
            </w:tcBorders>
            <w:shd w:val="clear" w:color="auto" w:fill="auto"/>
          </w:tcPr>
          <w:p w:rsidR="00B958B1" w:rsidRDefault="00B958B1" w:rsidP="009F3B54">
            <w:pPr>
              <w:pStyle w:val="OGTabText"/>
            </w:pPr>
            <w:r>
              <w:t>Participants benefiting from initiatives to increase the supply of trained/qualified teachers</w:t>
            </w:r>
          </w:p>
        </w:tc>
        <w:tc>
          <w:tcPr>
            <w:tcW w:w="953" w:type="dxa"/>
            <w:gridSpan w:val="3"/>
            <w:tcBorders>
              <w:top w:val="nil"/>
              <w:left w:val="nil"/>
              <w:bottom w:val="nil"/>
              <w:right w:val="nil"/>
            </w:tcBorders>
            <w:shd w:val="clear" w:color="auto" w:fill="auto"/>
            <w:noWrap/>
          </w:tcPr>
          <w:p w:rsidR="00B958B1" w:rsidRDefault="00B958B1" w:rsidP="009F3B54">
            <w:pPr>
              <w:pStyle w:val="OGUoM"/>
            </w:pPr>
            <w:r>
              <w:t>number</w:t>
            </w:r>
          </w:p>
        </w:tc>
        <w:tc>
          <w:tcPr>
            <w:tcW w:w="910" w:type="dxa"/>
            <w:gridSpan w:val="2"/>
            <w:tcBorders>
              <w:top w:val="nil"/>
              <w:left w:val="nil"/>
              <w:bottom w:val="nil"/>
              <w:right w:val="nil"/>
            </w:tcBorders>
            <w:shd w:val="clear" w:color="auto" w:fill="D9D9D9"/>
            <w:noWrap/>
          </w:tcPr>
          <w:p w:rsidR="00B958B1" w:rsidRDefault="00B958B1" w:rsidP="009F3B54">
            <w:pPr>
              <w:pStyle w:val="OGTabText"/>
              <w:jc w:val="right"/>
            </w:pPr>
            <w:r>
              <w:t>640</w:t>
            </w:r>
          </w:p>
        </w:tc>
        <w:tc>
          <w:tcPr>
            <w:tcW w:w="985" w:type="dxa"/>
            <w:tcBorders>
              <w:top w:val="nil"/>
              <w:left w:val="nil"/>
              <w:bottom w:val="nil"/>
              <w:right w:val="nil"/>
            </w:tcBorders>
            <w:shd w:val="clear" w:color="auto" w:fill="auto"/>
            <w:noWrap/>
          </w:tcPr>
          <w:p w:rsidR="00B958B1" w:rsidRDefault="00B958B1" w:rsidP="009F3B54">
            <w:pPr>
              <w:pStyle w:val="OGTabText"/>
              <w:jc w:val="right"/>
            </w:pPr>
            <w:r>
              <w:t>640</w:t>
            </w:r>
          </w:p>
        </w:tc>
        <w:tc>
          <w:tcPr>
            <w:tcW w:w="895" w:type="dxa"/>
            <w:tcBorders>
              <w:top w:val="nil"/>
              <w:left w:val="nil"/>
              <w:bottom w:val="nil"/>
              <w:right w:val="nil"/>
            </w:tcBorders>
            <w:shd w:val="clear" w:color="auto" w:fill="auto"/>
            <w:noWrap/>
          </w:tcPr>
          <w:p w:rsidR="00B958B1" w:rsidRDefault="00B958B1" w:rsidP="009F3B54">
            <w:pPr>
              <w:pStyle w:val="OGTabText"/>
              <w:jc w:val="right"/>
            </w:pPr>
            <w:r>
              <w:t>640</w:t>
            </w:r>
          </w:p>
        </w:tc>
        <w:tc>
          <w:tcPr>
            <w:tcW w:w="925" w:type="dxa"/>
            <w:gridSpan w:val="3"/>
            <w:tcBorders>
              <w:top w:val="nil"/>
              <w:left w:val="nil"/>
              <w:bottom w:val="nil"/>
              <w:right w:val="nil"/>
            </w:tcBorders>
            <w:shd w:val="clear" w:color="auto" w:fill="auto"/>
            <w:noWrap/>
          </w:tcPr>
          <w:p w:rsidR="00B958B1" w:rsidRDefault="00B958B1" w:rsidP="009F3B54">
            <w:pPr>
              <w:pStyle w:val="OGTabText"/>
              <w:jc w:val="right"/>
            </w:pPr>
            <w:r>
              <w:t>637</w:t>
            </w:r>
          </w:p>
        </w:tc>
      </w:tr>
      <w:tr w:rsidR="00B958B1" w:rsidRPr="00807665" w:rsidTr="009F3B54">
        <w:trPr>
          <w:cantSplit/>
        </w:trPr>
        <w:tc>
          <w:tcPr>
            <w:tcW w:w="7782" w:type="dxa"/>
            <w:gridSpan w:val="11"/>
            <w:tcBorders>
              <w:top w:val="nil"/>
              <w:left w:val="nil"/>
              <w:bottom w:val="nil"/>
              <w:right w:val="nil"/>
            </w:tcBorders>
            <w:shd w:val="clear" w:color="auto" w:fill="auto"/>
            <w:vAlign w:val="bottom"/>
          </w:tcPr>
          <w:p w:rsidR="00B958B1" w:rsidRDefault="00B958B1" w:rsidP="009F3B54">
            <w:pPr>
              <w:pStyle w:val="OGNotes"/>
            </w:pPr>
            <w:r>
              <w:t>The 2011</w:t>
            </w:r>
            <w:r w:rsidR="009F0F49">
              <w:noBreakHyphen/>
            </w:r>
            <w:r>
              <w:t>12 Actual includes participants benefiting from the Teach for Australia program. The 2013</w:t>
            </w:r>
            <w:r w:rsidR="009F0F49">
              <w:noBreakHyphen/>
            </w:r>
            <w:r>
              <w:t>14 Target includes Languages Teaching Scholarships.</w:t>
            </w:r>
          </w:p>
          <w:p w:rsidR="00B958B1" w:rsidRDefault="00B958B1" w:rsidP="009F3B54">
            <w:pPr>
              <w:pStyle w:val="OGNotes"/>
            </w:pPr>
            <w:r>
              <w:t>This performance measure supports the Ministerial portfolio responsible for the teaching profession.</w:t>
            </w:r>
          </w:p>
        </w:tc>
      </w:tr>
      <w:tr w:rsidR="00B958B1" w:rsidRPr="00807665" w:rsidTr="009F3B54">
        <w:trPr>
          <w:cantSplit/>
        </w:trPr>
        <w:tc>
          <w:tcPr>
            <w:tcW w:w="3114" w:type="dxa"/>
            <w:tcBorders>
              <w:top w:val="single" w:sz="6" w:space="0" w:color="auto"/>
              <w:left w:val="nil"/>
              <w:bottom w:val="nil"/>
              <w:right w:val="nil"/>
            </w:tcBorders>
            <w:shd w:val="clear" w:color="auto" w:fill="auto"/>
            <w:vAlign w:val="bottom"/>
          </w:tcPr>
          <w:p w:rsidR="00B958B1" w:rsidRDefault="00B958B1" w:rsidP="009F3B54">
            <w:pPr>
              <w:pStyle w:val="OGTabHead"/>
            </w:pPr>
            <w:r>
              <w:t>Cost</w:t>
            </w:r>
          </w:p>
        </w:tc>
        <w:tc>
          <w:tcPr>
            <w:tcW w:w="953" w:type="dxa"/>
            <w:gridSpan w:val="3"/>
            <w:tcBorders>
              <w:top w:val="single" w:sz="6" w:space="0" w:color="auto"/>
              <w:left w:val="nil"/>
              <w:bottom w:val="nil"/>
              <w:right w:val="nil"/>
            </w:tcBorders>
            <w:shd w:val="clear" w:color="auto" w:fill="auto"/>
            <w:noWrap/>
          </w:tcPr>
          <w:p w:rsidR="00B958B1" w:rsidRDefault="00B958B1" w:rsidP="009F3B54">
            <w:pPr>
              <w:pStyle w:val="OGTabText"/>
              <w:jc w:val="center"/>
            </w:pPr>
          </w:p>
        </w:tc>
        <w:tc>
          <w:tcPr>
            <w:tcW w:w="910" w:type="dxa"/>
            <w:gridSpan w:val="2"/>
            <w:tcBorders>
              <w:top w:val="single" w:sz="6" w:space="0" w:color="auto"/>
              <w:left w:val="nil"/>
              <w:bottom w:val="nil"/>
              <w:right w:val="nil"/>
            </w:tcBorders>
            <w:shd w:val="clear" w:color="auto" w:fill="D9D9D9"/>
            <w:noWrap/>
          </w:tcPr>
          <w:p w:rsidR="00B958B1" w:rsidRDefault="00B958B1" w:rsidP="009F3B54">
            <w:pPr>
              <w:pStyle w:val="OGTabText"/>
              <w:jc w:val="right"/>
            </w:pPr>
          </w:p>
        </w:tc>
        <w:tc>
          <w:tcPr>
            <w:tcW w:w="985" w:type="dxa"/>
            <w:tcBorders>
              <w:top w:val="single" w:sz="6" w:space="0" w:color="auto"/>
              <w:left w:val="nil"/>
              <w:bottom w:val="nil"/>
              <w:right w:val="nil"/>
            </w:tcBorders>
            <w:shd w:val="clear" w:color="auto" w:fill="auto"/>
            <w:noWrap/>
          </w:tcPr>
          <w:p w:rsidR="00B958B1" w:rsidRDefault="00B958B1" w:rsidP="009F3B54">
            <w:pPr>
              <w:pStyle w:val="OGTabText"/>
              <w:jc w:val="right"/>
            </w:pPr>
          </w:p>
        </w:tc>
        <w:tc>
          <w:tcPr>
            <w:tcW w:w="895" w:type="dxa"/>
            <w:tcBorders>
              <w:top w:val="single" w:sz="6" w:space="0" w:color="auto"/>
              <w:left w:val="nil"/>
              <w:bottom w:val="nil"/>
              <w:right w:val="nil"/>
            </w:tcBorders>
            <w:shd w:val="clear" w:color="auto" w:fill="auto"/>
            <w:noWrap/>
          </w:tcPr>
          <w:p w:rsidR="00B958B1" w:rsidRDefault="00B958B1" w:rsidP="009F3B54">
            <w:pPr>
              <w:pStyle w:val="OGTabText"/>
              <w:jc w:val="right"/>
            </w:pPr>
          </w:p>
        </w:tc>
        <w:tc>
          <w:tcPr>
            <w:tcW w:w="925" w:type="dxa"/>
            <w:gridSpan w:val="3"/>
            <w:tcBorders>
              <w:top w:val="single" w:sz="6" w:space="0" w:color="auto"/>
              <w:left w:val="nil"/>
              <w:bottom w:val="nil"/>
              <w:right w:val="nil"/>
            </w:tcBorders>
            <w:shd w:val="clear" w:color="auto" w:fill="auto"/>
            <w:noWrap/>
          </w:tcPr>
          <w:p w:rsidR="00B958B1" w:rsidRDefault="00B958B1" w:rsidP="009F3B54">
            <w:pPr>
              <w:pStyle w:val="OGTabText"/>
              <w:jc w:val="right"/>
            </w:pPr>
          </w:p>
        </w:tc>
      </w:tr>
      <w:tr w:rsidR="00B958B1" w:rsidRPr="00BE1917" w:rsidTr="009F3B54">
        <w:trPr>
          <w:cantSplit/>
        </w:trPr>
        <w:tc>
          <w:tcPr>
            <w:tcW w:w="3114" w:type="dxa"/>
            <w:tcBorders>
              <w:top w:val="nil"/>
              <w:left w:val="nil"/>
              <w:right w:val="nil"/>
            </w:tcBorders>
            <w:shd w:val="clear" w:color="auto" w:fill="auto"/>
          </w:tcPr>
          <w:p w:rsidR="00B958B1" w:rsidRDefault="00B958B1" w:rsidP="009F3B54">
            <w:pPr>
              <w:pStyle w:val="OGTabText"/>
            </w:pPr>
            <w:r>
              <w:t>Total output cost</w:t>
            </w:r>
          </w:p>
        </w:tc>
        <w:tc>
          <w:tcPr>
            <w:tcW w:w="953" w:type="dxa"/>
            <w:gridSpan w:val="3"/>
            <w:tcBorders>
              <w:top w:val="nil"/>
              <w:left w:val="nil"/>
              <w:right w:val="nil"/>
            </w:tcBorders>
            <w:shd w:val="clear" w:color="auto" w:fill="auto"/>
            <w:noWrap/>
          </w:tcPr>
          <w:p w:rsidR="00B958B1" w:rsidRDefault="00B958B1" w:rsidP="009F3B54">
            <w:pPr>
              <w:pStyle w:val="OGUoM"/>
            </w:pPr>
            <w:r>
              <w:t>number (million)</w:t>
            </w:r>
          </w:p>
        </w:tc>
        <w:tc>
          <w:tcPr>
            <w:tcW w:w="910" w:type="dxa"/>
            <w:gridSpan w:val="2"/>
            <w:tcBorders>
              <w:top w:val="nil"/>
              <w:left w:val="nil"/>
              <w:right w:val="nil"/>
            </w:tcBorders>
            <w:shd w:val="clear" w:color="auto" w:fill="D9D9D9"/>
            <w:noWrap/>
          </w:tcPr>
          <w:p w:rsidR="00B958B1" w:rsidRDefault="00B958B1" w:rsidP="009F3B54">
            <w:pPr>
              <w:pStyle w:val="OGTabText"/>
              <w:jc w:val="right"/>
            </w:pPr>
            <w:r>
              <w:t>99.9</w:t>
            </w:r>
          </w:p>
        </w:tc>
        <w:tc>
          <w:tcPr>
            <w:tcW w:w="985" w:type="dxa"/>
            <w:tcBorders>
              <w:top w:val="nil"/>
              <w:left w:val="nil"/>
              <w:right w:val="nil"/>
            </w:tcBorders>
            <w:shd w:val="clear" w:color="auto" w:fill="auto"/>
            <w:noWrap/>
          </w:tcPr>
          <w:p w:rsidR="00B958B1" w:rsidRDefault="00B958B1" w:rsidP="009F3B54">
            <w:pPr>
              <w:pStyle w:val="OGTabText"/>
              <w:jc w:val="right"/>
            </w:pPr>
            <w:r>
              <w:t>118.5</w:t>
            </w:r>
          </w:p>
        </w:tc>
        <w:tc>
          <w:tcPr>
            <w:tcW w:w="895" w:type="dxa"/>
            <w:tcBorders>
              <w:top w:val="nil"/>
              <w:left w:val="nil"/>
              <w:right w:val="nil"/>
            </w:tcBorders>
            <w:shd w:val="clear" w:color="auto" w:fill="auto"/>
            <w:noWrap/>
          </w:tcPr>
          <w:p w:rsidR="00B958B1" w:rsidRDefault="00B958B1" w:rsidP="009F3B54">
            <w:pPr>
              <w:pStyle w:val="OGTabText"/>
              <w:jc w:val="right"/>
            </w:pPr>
            <w:r>
              <w:t>116.5</w:t>
            </w:r>
          </w:p>
        </w:tc>
        <w:tc>
          <w:tcPr>
            <w:tcW w:w="925" w:type="dxa"/>
            <w:gridSpan w:val="3"/>
            <w:tcBorders>
              <w:top w:val="nil"/>
              <w:left w:val="nil"/>
              <w:right w:val="nil"/>
            </w:tcBorders>
            <w:shd w:val="clear" w:color="auto" w:fill="auto"/>
            <w:noWrap/>
          </w:tcPr>
          <w:p w:rsidR="00B958B1" w:rsidRPr="004B2922" w:rsidRDefault="00B958B1" w:rsidP="009F3B54">
            <w:pPr>
              <w:pStyle w:val="OGTabText"/>
              <w:jc w:val="right"/>
            </w:pPr>
            <w:r w:rsidRPr="004B2922">
              <w:t>103.7</w:t>
            </w:r>
          </w:p>
        </w:tc>
      </w:tr>
      <w:tr w:rsidR="00B958B1" w:rsidRPr="00807665" w:rsidTr="009F3B54">
        <w:trPr>
          <w:cantSplit/>
        </w:trPr>
        <w:tc>
          <w:tcPr>
            <w:tcW w:w="7782" w:type="dxa"/>
            <w:gridSpan w:val="11"/>
            <w:tcBorders>
              <w:top w:val="nil"/>
              <w:left w:val="nil"/>
              <w:bottom w:val="single" w:sz="12" w:space="0" w:color="auto"/>
              <w:right w:val="nil"/>
            </w:tcBorders>
            <w:shd w:val="clear" w:color="auto" w:fill="auto"/>
            <w:vAlign w:val="bottom"/>
          </w:tcPr>
          <w:p w:rsidR="00B958B1" w:rsidRDefault="00B958B1" w:rsidP="009F3B54">
            <w:pPr>
              <w:pStyle w:val="OGNotes"/>
              <w:rPr>
                <w:rFonts w:cs="Calibri"/>
                <w:color w:val="000000"/>
                <w:sz w:val="20"/>
              </w:rPr>
            </w:pPr>
            <w:r>
              <w:t>The lower 2013</w:t>
            </w:r>
            <w:r w:rsidR="009F0F49">
              <w:noBreakHyphen/>
            </w:r>
            <w:r>
              <w:t xml:space="preserve">14 Target primarily reflects a decrease in Commonwealth National Partnership funding as well as the implementation of </w:t>
            </w:r>
            <w:r w:rsidRPr="004B2922">
              <w:t>productivity efficiencies.</w:t>
            </w:r>
          </w:p>
        </w:tc>
      </w:tr>
    </w:tbl>
    <w:p w:rsidR="00B958B1" w:rsidRDefault="00B958B1" w:rsidP="009F3B54">
      <w:pPr>
        <w:pStyle w:val="Source"/>
        <w:rPr>
          <w:lang w:eastAsia="en-AU"/>
        </w:rPr>
      </w:pPr>
      <w:r>
        <w:rPr>
          <w:lang w:eastAsia="en-AU"/>
        </w:rPr>
        <w:t>Source: Department of Education and Early Childhood Development</w:t>
      </w:r>
    </w:p>
    <w:p w:rsidR="00B958B1" w:rsidRDefault="00B958B1" w:rsidP="009F3B54">
      <w:pPr>
        <w:pStyle w:val="Source"/>
      </w:pPr>
      <w:r>
        <w:fldChar w:fldCharType="begin"/>
      </w:r>
      <w:r>
        <w:instrText xml:space="preserve"> XE "</w:instrText>
      </w:r>
      <w:r w:rsidRPr="00B56D07">
        <w:instrText>Department of Education and Early Childhood Development:Strategy, Review and Regulation</w:instrText>
      </w:r>
      <w:r>
        <w:instrText xml:space="preserve">" \r "BP3DEECDStratRevReg" </w:instrText>
      </w:r>
      <w:r>
        <w:fldChar w:fldCharType="end"/>
      </w:r>
    </w:p>
    <w:bookmarkEnd w:id="91"/>
    <w:p w:rsidR="00B958B1" w:rsidRPr="00807665" w:rsidRDefault="00B958B1" w:rsidP="009F3B54">
      <w:pPr>
        <w:pStyle w:val="OGHeading1"/>
      </w:pPr>
      <w:r>
        <w:br w:type="page"/>
      </w:r>
      <w:bookmarkStart w:id="92" w:name="BP3DEECDEarlyChildhoodDev"/>
      <w:r w:rsidRPr="00807665">
        <w:t>Early Childhood Development</w:t>
      </w:r>
    </w:p>
    <w:p w:rsidR="00B958B1" w:rsidRPr="005C542E" w:rsidRDefault="00B958B1" w:rsidP="009F3B54">
      <w:pPr>
        <w:pStyle w:val="OGText"/>
        <w:rPr>
          <w:lang w:eastAsia="en-AU"/>
        </w:rPr>
      </w:pPr>
      <w:r w:rsidRPr="005C542E">
        <w:rPr>
          <w:lang w:eastAsia="en-AU"/>
        </w:rPr>
        <w:t xml:space="preserve">The early childhood development output group provides funding for a range of services that support children in the </w:t>
      </w:r>
      <w:r w:rsidRPr="00990A74">
        <w:t>early</w:t>
      </w:r>
      <w:r w:rsidRPr="005C542E">
        <w:rPr>
          <w:lang w:eastAsia="en-AU"/>
        </w:rPr>
        <w:t xml:space="preserve"> years, including kindergarten and children</w:t>
      </w:r>
      <w:r>
        <w:rPr>
          <w:lang w:eastAsia="en-AU"/>
        </w:rPr>
        <w:t>’</w:t>
      </w:r>
      <w:r w:rsidRPr="005C542E">
        <w:rPr>
          <w:lang w:eastAsia="en-AU"/>
        </w:rPr>
        <w:t>s services, maternal and child health, and early intervention services for children with a disability. These outputs make a significant contribution to the Government</w:t>
      </w:r>
      <w:r>
        <w:rPr>
          <w:lang w:eastAsia="en-AU"/>
        </w:rPr>
        <w:t>’</w:t>
      </w:r>
      <w:r w:rsidRPr="005C542E">
        <w:rPr>
          <w:lang w:eastAsia="en-AU"/>
        </w:rPr>
        <w:t xml:space="preserve">s key outcomes in early childhood services. This output group and its outputs contribute towards providing and improving services to support all the </w:t>
      </w:r>
      <w:r>
        <w:rPr>
          <w:lang w:eastAsia="en-AU"/>
        </w:rPr>
        <w:t>D</w:t>
      </w:r>
      <w:r w:rsidRPr="005C542E">
        <w:rPr>
          <w:lang w:eastAsia="en-AU"/>
        </w:rPr>
        <w:t>epartment</w:t>
      </w:r>
      <w:r>
        <w:rPr>
          <w:lang w:eastAsia="en-AU"/>
        </w:rPr>
        <w:t>’</w:t>
      </w:r>
      <w:r w:rsidRPr="005C542E">
        <w:rPr>
          <w:lang w:eastAsia="en-AU"/>
        </w:rPr>
        <w:t>s objectives of achievement, engagement, wellbeing and productivity.</w:t>
      </w:r>
    </w:p>
    <w:tbl>
      <w:tblPr>
        <w:tblW w:w="7782" w:type="dxa"/>
        <w:tblInd w:w="29" w:type="dxa"/>
        <w:tblLayout w:type="fixed"/>
        <w:tblCellMar>
          <w:left w:w="43" w:type="dxa"/>
          <w:right w:w="43" w:type="dxa"/>
        </w:tblCellMar>
        <w:tblLook w:val="04A0" w:firstRow="1" w:lastRow="0" w:firstColumn="1" w:lastColumn="0" w:noHBand="0" w:noVBand="1"/>
      </w:tblPr>
      <w:tblGrid>
        <w:gridCol w:w="3114"/>
        <w:gridCol w:w="40"/>
        <w:gridCol w:w="907"/>
        <w:gridCol w:w="6"/>
        <w:gridCol w:w="901"/>
        <w:gridCol w:w="9"/>
        <w:gridCol w:w="985"/>
        <w:gridCol w:w="895"/>
        <w:gridCol w:w="12"/>
        <w:gridCol w:w="907"/>
        <w:gridCol w:w="6"/>
      </w:tblGrid>
      <w:tr w:rsidR="00B958B1" w:rsidRPr="00D32CA4" w:rsidTr="009F3B54">
        <w:trPr>
          <w:gridAfter w:val="1"/>
          <w:wAfter w:w="6" w:type="dxa"/>
          <w:cantSplit/>
          <w:tblHeader/>
        </w:trPr>
        <w:tc>
          <w:tcPr>
            <w:tcW w:w="3154" w:type="dxa"/>
            <w:gridSpan w:val="2"/>
            <w:tcBorders>
              <w:top w:val="single" w:sz="4" w:space="0" w:color="auto"/>
              <w:left w:val="single" w:sz="4" w:space="0" w:color="auto"/>
              <w:bottom w:val="single" w:sz="4" w:space="0" w:color="auto"/>
              <w:right w:val="nil"/>
            </w:tcBorders>
            <w:shd w:val="clear" w:color="auto" w:fill="000000"/>
            <w:vAlign w:val="bottom"/>
          </w:tcPr>
          <w:p w:rsidR="00B958B1" w:rsidRPr="00D32CA4" w:rsidRDefault="00B958B1" w:rsidP="009F3B54">
            <w:pPr>
              <w:pStyle w:val="OGTabColLeft"/>
              <w:rPr>
                <w:i/>
              </w:rPr>
            </w:pPr>
            <w:r w:rsidRPr="00D32CA4">
              <w:t>Major Outputs/Deliverables</w:t>
            </w:r>
            <w:r w:rsidRPr="00D32CA4">
              <w:br/>
            </w:r>
            <w:r w:rsidRPr="0085011C">
              <w:rPr>
                <w:b w:val="0"/>
                <w:i/>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gridSpan w:val="2"/>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4" w:type="dxa"/>
            <w:gridSpan w:val="2"/>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gridSpan w:val="2"/>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Pr="005C542E" w:rsidRDefault="00B958B1" w:rsidP="009F3B54">
            <w:pPr>
              <w:pStyle w:val="OGHeading2"/>
              <w:rPr>
                <w:lang w:eastAsia="en-AU"/>
              </w:rPr>
            </w:pPr>
            <w:r w:rsidRPr="005C542E">
              <w:rPr>
                <w:lang w:eastAsia="en-AU"/>
              </w:rPr>
              <w:t>Early Childhood Development</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Pr="005C542E" w:rsidRDefault="00B958B1" w:rsidP="009F3B54">
            <w:pPr>
              <w:pStyle w:val="OGText"/>
              <w:rPr>
                <w:lang w:eastAsia="en-AU"/>
              </w:rPr>
            </w:pPr>
            <w:r w:rsidRPr="005C542E">
              <w:rPr>
                <w:lang w:eastAsia="en-AU"/>
              </w:rPr>
              <w:t>This output involves the provision of kindergarten and children</w:t>
            </w:r>
            <w:r>
              <w:rPr>
                <w:lang w:eastAsia="en-AU"/>
              </w:rPr>
              <w:t>’</w:t>
            </w:r>
            <w:r w:rsidRPr="005C542E">
              <w:rPr>
                <w:lang w:eastAsia="en-AU"/>
              </w:rPr>
              <w:t>s services. Services include the monitoring of education and care services and specialist services to improve access to kindergartens for disadvantaged children. It also includes community</w:t>
            </w:r>
            <w:r w:rsidR="009F0F49">
              <w:rPr>
                <w:lang w:eastAsia="en-AU"/>
              </w:rPr>
              <w:noBreakHyphen/>
            </w:r>
            <w:r w:rsidRPr="005C542E">
              <w:rPr>
                <w:lang w:eastAsia="en-AU"/>
              </w:rPr>
              <w:t>based maternal and child health services available to all families with children aged 0–6 years. This output provides developmental health surveillance, early intervention, parenting support and health education. It also includes a range of services and support for children with a developmental delay or disability and their families.</w:t>
            </w:r>
          </w:p>
        </w:tc>
      </w:tr>
      <w:tr w:rsidR="00B958B1" w:rsidRPr="005C542E" w:rsidTr="009F3B54">
        <w:trPr>
          <w:cantSplit/>
        </w:trPr>
        <w:tc>
          <w:tcPr>
            <w:tcW w:w="3114" w:type="dxa"/>
            <w:tcBorders>
              <w:top w:val="single" w:sz="6" w:space="0" w:color="auto"/>
              <w:left w:val="nil"/>
              <w:bottom w:val="nil"/>
              <w:right w:val="nil"/>
            </w:tcBorders>
            <w:shd w:val="clear" w:color="auto" w:fill="auto"/>
            <w:vAlign w:val="bottom"/>
            <w:hideMark/>
          </w:tcPr>
          <w:p w:rsidR="00B958B1" w:rsidRPr="005C542E" w:rsidRDefault="00B958B1" w:rsidP="009F3B54">
            <w:pPr>
              <w:pStyle w:val="OGTabHead"/>
              <w:rPr>
                <w:lang w:eastAsia="en-AU"/>
              </w:rPr>
            </w:pPr>
            <w:r w:rsidRPr="005C542E">
              <w:rPr>
                <w:lang w:eastAsia="en-AU"/>
              </w:rPr>
              <w:t>Quality</w:t>
            </w:r>
          </w:p>
        </w:tc>
        <w:tc>
          <w:tcPr>
            <w:tcW w:w="953"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center"/>
              <w:rPr>
                <w:lang w:eastAsia="en-AU"/>
              </w:rPr>
            </w:pPr>
          </w:p>
        </w:tc>
        <w:tc>
          <w:tcPr>
            <w:tcW w:w="910" w:type="dxa"/>
            <w:gridSpan w:val="2"/>
            <w:tcBorders>
              <w:top w:val="single" w:sz="6" w:space="0" w:color="auto"/>
              <w:left w:val="nil"/>
              <w:bottom w:val="nil"/>
              <w:right w:val="nil"/>
            </w:tcBorders>
            <w:shd w:val="clear" w:color="auto" w:fill="D9D9D9"/>
            <w:noWrap/>
            <w:hideMark/>
          </w:tcPr>
          <w:p w:rsidR="00B958B1" w:rsidRPr="005C542E" w:rsidRDefault="00B958B1" w:rsidP="009F3B54">
            <w:pPr>
              <w:pStyle w:val="OGTabText"/>
              <w:jc w:val="right"/>
              <w:rPr>
                <w:lang w:eastAsia="en-AU"/>
              </w:rPr>
            </w:pPr>
          </w:p>
        </w:tc>
        <w:tc>
          <w:tcPr>
            <w:tcW w:w="98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925"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r>
      <w:tr w:rsidR="00B958B1" w:rsidRPr="005C542E" w:rsidTr="009F3B54">
        <w:trPr>
          <w:cantSplit/>
        </w:trPr>
        <w:tc>
          <w:tcPr>
            <w:tcW w:w="3114" w:type="dxa"/>
            <w:tcBorders>
              <w:top w:val="nil"/>
              <w:left w:val="nil"/>
              <w:bottom w:val="nil"/>
              <w:right w:val="nil"/>
            </w:tcBorders>
            <w:shd w:val="clear" w:color="000000" w:fill="FFFFFF"/>
            <w:hideMark/>
          </w:tcPr>
          <w:p w:rsidR="00B958B1" w:rsidRPr="005C542E" w:rsidRDefault="00B958B1" w:rsidP="009F3B54">
            <w:pPr>
              <w:pStyle w:val="OGTabText"/>
              <w:rPr>
                <w:lang w:eastAsia="en-AU"/>
              </w:rPr>
            </w:pPr>
            <w:r w:rsidRPr="005C542E">
              <w:rPr>
                <w:lang w:eastAsia="en-AU"/>
              </w:rPr>
              <w:t>Families who are satisfied with the Early Childhood Intervention Services provided</w:t>
            </w:r>
          </w:p>
        </w:tc>
        <w:tc>
          <w:tcPr>
            <w:tcW w:w="953" w:type="dxa"/>
            <w:gridSpan w:val="3"/>
            <w:tcBorders>
              <w:top w:val="nil"/>
              <w:left w:val="nil"/>
              <w:bottom w:val="nil"/>
              <w:right w:val="nil"/>
            </w:tcBorders>
            <w:shd w:val="clear" w:color="000000" w:fill="FFFFFF"/>
            <w:hideMark/>
          </w:tcPr>
          <w:p w:rsidR="00B958B1" w:rsidRPr="005C542E" w:rsidRDefault="00B958B1" w:rsidP="009F3B54">
            <w:pPr>
              <w:pStyle w:val="OGUoM"/>
            </w:pPr>
            <w:r>
              <w:t>per cent</w:t>
            </w:r>
          </w:p>
        </w:tc>
        <w:tc>
          <w:tcPr>
            <w:tcW w:w="910" w:type="dxa"/>
            <w:gridSpan w:val="2"/>
            <w:tcBorders>
              <w:top w:val="nil"/>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90</w:t>
            </w:r>
          </w:p>
        </w:tc>
        <w:tc>
          <w:tcPr>
            <w:tcW w:w="985" w:type="dxa"/>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90</w:t>
            </w:r>
          </w:p>
        </w:tc>
        <w:tc>
          <w:tcPr>
            <w:tcW w:w="895" w:type="dxa"/>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85</w:t>
            </w:r>
          </w:p>
        </w:tc>
        <w:tc>
          <w:tcPr>
            <w:tcW w:w="925" w:type="dxa"/>
            <w:gridSpan w:val="3"/>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95</w:t>
            </w:r>
          </w:p>
        </w:tc>
      </w:tr>
      <w:tr w:rsidR="00B958B1" w:rsidRPr="005C542E" w:rsidTr="009F3B54">
        <w:trPr>
          <w:cantSplit/>
        </w:trPr>
        <w:tc>
          <w:tcPr>
            <w:tcW w:w="7782" w:type="dxa"/>
            <w:gridSpan w:val="11"/>
            <w:tcBorders>
              <w:top w:val="nil"/>
              <w:left w:val="nil"/>
              <w:bottom w:val="nil"/>
              <w:right w:val="nil"/>
            </w:tcBorders>
            <w:shd w:val="clear" w:color="000000" w:fill="FFFFFF"/>
          </w:tcPr>
          <w:p w:rsidR="00B958B1" w:rsidRPr="00EE26A2" w:rsidRDefault="00B958B1" w:rsidP="009F3B54">
            <w:pPr>
              <w:spacing w:after="60"/>
              <w:ind w:left="363" w:right="113"/>
              <w:rPr>
                <w:rFonts w:ascii="Calibri" w:hAnsi="Calibri"/>
                <w:i/>
                <w:sz w:val="15"/>
                <w:lang w:eastAsia="en-AU"/>
              </w:rPr>
            </w:pPr>
            <w:r w:rsidRPr="00C32A78">
              <w:rPr>
                <w:rFonts w:ascii="Calibri" w:hAnsi="Calibri"/>
                <w:i/>
                <w:sz w:val="15"/>
                <w:lang w:eastAsia="en-AU"/>
              </w:rPr>
              <w:t>The higher 2013</w:t>
            </w:r>
            <w:r w:rsidR="009F0F49">
              <w:rPr>
                <w:rFonts w:ascii="Calibri" w:hAnsi="Calibri"/>
                <w:i/>
                <w:sz w:val="15"/>
                <w:lang w:eastAsia="en-AU"/>
              </w:rPr>
              <w:noBreakHyphen/>
            </w:r>
            <w:r w:rsidRPr="00C32A78">
              <w:rPr>
                <w:rFonts w:ascii="Calibri" w:hAnsi="Calibri"/>
                <w:i/>
                <w:sz w:val="15"/>
                <w:lang w:eastAsia="en-AU"/>
              </w:rPr>
              <w:t>14 Target is due to the sustained achievement above previous target.</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EE26A2" w:rsidRDefault="00B958B1" w:rsidP="009F3B54">
            <w:pPr>
              <w:pStyle w:val="OGTabText"/>
              <w:rPr>
                <w:lang w:eastAsia="en-AU"/>
              </w:rPr>
            </w:pPr>
            <w:r w:rsidRPr="005C542E">
              <w:rPr>
                <w:lang w:eastAsia="en-AU"/>
              </w:rPr>
              <w:t>Funded kindergarten services assessed under the National Quality Framework that have a quality assurance process</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pPr>
            <w:r>
              <w:t>per cent</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100</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100</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100</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97.6</w:t>
            </w:r>
          </w:p>
        </w:tc>
      </w:tr>
      <w:tr w:rsidR="00B958B1" w:rsidRPr="005C542E" w:rsidTr="009F3B54">
        <w:trPr>
          <w:cantSplit/>
        </w:trPr>
        <w:tc>
          <w:tcPr>
            <w:tcW w:w="7782" w:type="dxa"/>
            <w:gridSpan w:val="11"/>
            <w:tcBorders>
              <w:left w:val="nil"/>
              <w:bottom w:val="single" w:sz="6" w:space="0" w:color="auto"/>
              <w:right w:val="nil"/>
            </w:tcBorders>
            <w:shd w:val="clear" w:color="000000" w:fill="FFFFFF"/>
          </w:tcPr>
          <w:p w:rsidR="00B958B1" w:rsidRPr="005C542E" w:rsidRDefault="00B958B1" w:rsidP="009F3B54">
            <w:pPr>
              <w:pStyle w:val="OGNotes"/>
            </w:pPr>
            <w:r w:rsidRPr="00C32A78">
              <w:t>This performance measure relates to the calendar year.</w:t>
            </w:r>
          </w:p>
        </w:tc>
      </w:tr>
      <w:tr w:rsidR="00B958B1" w:rsidRPr="005C542E" w:rsidTr="009F3B54">
        <w:trPr>
          <w:cantSplit/>
        </w:trPr>
        <w:tc>
          <w:tcPr>
            <w:tcW w:w="3114" w:type="dxa"/>
            <w:tcBorders>
              <w:top w:val="single" w:sz="6" w:space="0" w:color="auto"/>
              <w:left w:val="nil"/>
              <w:bottom w:val="nil"/>
              <w:right w:val="nil"/>
            </w:tcBorders>
            <w:shd w:val="clear" w:color="auto" w:fill="auto"/>
            <w:vAlign w:val="bottom"/>
            <w:hideMark/>
          </w:tcPr>
          <w:p w:rsidR="00B958B1" w:rsidRPr="005C542E" w:rsidRDefault="00B958B1" w:rsidP="009F3B54">
            <w:pPr>
              <w:pStyle w:val="OGTabHead"/>
              <w:rPr>
                <w:lang w:eastAsia="en-AU"/>
              </w:rPr>
            </w:pPr>
            <w:r w:rsidRPr="005C542E">
              <w:rPr>
                <w:lang w:eastAsia="en-AU"/>
              </w:rPr>
              <w:t>Quantity</w:t>
            </w:r>
          </w:p>
        </w:tc>
        <w:tc>
          <w:tcPr>
            <w:tcW w:w="953"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center"/>
              <w:rPr>
                <w:lang w:eastAsia="en-AU"/>
              </w:rPr>
            </w:pPr>
          </w:p>
        </w:tc>
        <w:tc>
          <w:tcPr>
            <w:tcW w:w="910" w:type="dxa"/>
            <w:gridSpan w:val="2"/>
            <w:tcBorders>
              <w:top w:val="single" w:sz="6" w:space="0" w:color="auto"/>
              <w:left w:val="nil"/>
              <w:bottom w:val="nil"/>
              <w:right w:val="nil"/>
            </w:tcBorders>
            <w:shd w:val="clear" w:color="auto" w:fill="D9D9D9"/>
            <w:noWrap/>
            <w:hideMark/>
          </w:tcPr>
          <w:p w:rsidR="00B958B1" w:rsidRPr="005C542E" w:rsidRDefault="00B958B1" w:rsidP="009F3B54">
            <w:pPr>
              <w:pStyle w:val="OGTabText"/>
              <w:jc w:val="right"/>
              <w:rPr>
                <w:lang w:eastAsia="en-AU"/>
              </w:rPr>
            </w:pPr>
          </w:p>
        </w:tc>
        <w:tc>
          <w:tcPr>
            <w:tcW w:w="98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925"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r>
      <w:tr w:rsidR="00B958B1" w:rsidRPr="005C542E" w:rsidTr="009F3B54">
        <w:trPr>
          <w:cantSplit/>
        </w:trPr>
        <w:tc>
          <w:tcPr>
            <w:tcW w:w="3114" w:type="dxa"/>
            <w:tcBorders>
              <w:top w:val="nil"/>
              <w:left w:val="nil"/>
              <w:bottom w:val="nil"/>
              <w:right w:val="nil"/>
            </w:tcBorders>
            <w:shd w:val="clear" w:color="000000" w:fill="FFFFFF"/>
            <w:hideMark/>
          </w:tcPr>
          <w:p w:rsidR="00B958B1" w:rsidRPr="005C542E" w:rsidRDefault="00B958B1" w:rsidP="009F3B54">
            <w:pPr>
              <w:pStyle w:val="OGTabText"/>
              <w:rPr>
                <w:lang w:eastAsia="en-AU"/>
              </w:rPr>
            </w:pPr>
            <w:r w:rsidRPr="005C542E">
              <w:rPr>
                <w:lang w:eastAsia="en-AU"/>
              </w:rPr>
              <w:t>Children funded to participate in kindergarten</w:t>
            </w:r>
          </w:p>
        </w:tc>
        <w:tc>
          <w:tcPr>
            <w:tcW w:w="953" w:type="dxa"/>
            <w:gridSpan w:val="3"/>
            <w:tcBorders>
              <w:top w:val="nil"/>
              <w:left w:val="nil"/>
              <w:bottom w:val="nil"/>
              <w:right w:val="nil"/>
            </w:tcBorders>
            <w:shd w:val="clear" w:color="000000" w:fill="FFFFFF"/>
            <w:hideMark/>
          </w:tcPr>
          <w:p w:rsidR="00B958B1" w:rsidRPr="005C542E" w:rsidRDefault="00B958B1" w:rsidP="009F3B54">
            <w:pPr>
              <w:pStyle w:val="OGUoM"/>
              <w:rPr>
                <w:lang w:eastAsia="en-AU"/>
              </w:rPr>
            </w:pPr>
            <w:r w:rsidRPr="005C542E">
              <w:rPr>
                <w:lang w:eastAsia="en-AU"/>
              </w:rPr>
              <w:t>number</w:t>
            </w:r>
          </w:p>
        </w:tc>
        <w:tc>
          <w:tcPr>
            <w:tcW w:w="910" w:type="dxa"/>
            <w:gridSpan w:val="2"/>
            <w:tcBorders>
              <w:top w:val="nil"/>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71</w:t>
            </w:r>
            <w:r>
              <w:rPr>
                <w:lang w:eastAsia="en-AU"/>
              </w:rPr>
              <w:t> </w:t>
            </w:r>
            <w:r w:rsidRPr="005C542E">
              <w:rPr>
                <w:lang w:eastAsia="en-AU"/>
              </w:rPr>
              <w:t>000</w:t>
            </w:r>
          </w:p>
        </w:tc>
        <w:tc>
          <w:tcPr>
            <w:tcW w:w="985" w:type="dxa"/>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72</w:t>
            </w:r>
            <w:r>
              <w:rPr>
                <w:lang w:eastAsia="en-AU"/>
              </w:rPr>
              <w:t> </w:t>
            </w:r>
            <w:r w:rsidRPr="005C542E">
              <w:rPr>
                <w:lang w:eastAsia="en-AU"/>
              </w:rPr>
              <w:t>993</w:t>
            </w:r>
          </w:p>
        </w:tc>
        <w:tc>
          <w:tcPr>
            <w:tcW w:w="895" w:type="dxa"/>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68</w:t>
            </w:r>
            <w:r>
              <w:rPr>
                <w:lang w:eastAsia="en-AU"/>
              </w:rPr>
              <w:t> </w:t>
            </w:r>
            <w:r w:rsidRPr="005C542E">
              <w:rPr>
                <w:lang w:eastAsia="en-AU"/>
              </w:rPr>
              <w:t>750</w:t>
            </w:r>
          </w:p>
        </w:tc>
        <w:tc>
          <w:tcPr>
            <w:tcW w:w="925" w:type="dxa"/>
            <w:gridSpan w:val="3"/>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70</w:t>
            </w:r>
            <w:r>
              <w:rPr>
                <w:lang w:eastAsia="en-AU"/>
              </w:rPr>
              <w:t> </w:t>
            </w:r>
            <w:r w:rsidRPr="005C542E">
              <w:rPr>
                <w:lang w:eastAsia="en-AU"/>
              </w:rPr>
              <w:t>953</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Pr="006E1208" w:rsidRDefault="00B958B1" w:rsidP="009F3B54">
            <w:pPr>
              <w:pStyle w:val="OGNotes"/>
            </w:pPr>
            <w:r w:rsidRPr="006E1208">
              <w:t>This performance measure includes second year participants.</w:t>
            </w:r>
          </w:p>
          <w:p w:rsidR="00B958B1" w:rsidRPr="006E1208" w:rsidRDefault="00B958B1" w:rsidP="009F3B54">
            <w:pPr>
              <w:pStyle w:val="OGNotes"/>
            </w:pPr>
            <w:r w:rsidRPr="006E1208">
              <w:t>The 2012</w:t>
            </w:r>
            <w:r w:rsidR="009F0F49">
              <w:noBreakHyphen/>
            </w:r>
            <w:r w:rsidRPr="006E1208">
              <w:t>13 Expected Outcome is higher than the 2012</w:t>
            </w:r>
            <w:r w:rsidR="009F0F49">
              <w:noBreakHyphen/>
            </w:r>
            <w:r w:rsidRPr="006E1208">
              <w:t>13 Target due to population increase</w:t>
            </w:r>
            <w:r>
              <w:t xml:space="preserve"> and reflects the high</w:t>
            </w:r>
            <w:r w:rsidR="009F0F49">
              <w:noBreakHyphen/>
            </w:r>
            <w:r>
              <w:t>quality service offering</w:t>
            </w:r>
            <w:r w:rsidRPr="006E1208">
              <w:t>. The 2013</w:t>
            </w:r>
            <w:r w:rsidR="009F0F49">
              <w:noBreakHyphen/>
            </w:r>
            <w:r w:rsidRPr="006E1208">
              <w:t>14 Target has been adjusted accordingly.</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rPr>
                <w:lang w:eastAsia="en-AU"/>
              </w:rPr>
            </w:pPr>
            <w:r w:rsidRPr="005C542E">
              <w:rPr>
                <w:lang w:eastAsia="en-AU"/>
              </w:rPr>
              <w:t>Kindergarten participation rate</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keepNext/>
              <w:rPr>
                <w:lang w:eastAsia="en-AU"/>
              </w:rPr>
            </w:pPr>
            <w:r>
              <w:rPr>
                <w:lang w:eastAsia="en-AU"/>
              </w:rPr>
              <w:t>per cent</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keepNext/>
              <w:jc w:val="right"/>
              <w:rPr>
                <w:lang w:eastAsia="en-AU"/>
              </w:rPr>
            </w:pPr>
            <w:r w:rsidRPr="005C542E">
              <w:rPr>
                <w:lang w:eastAsia="en-AU"/>
              </w:rPr>
              <w:t>95</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jc w:val="right"/>
              <w:rPr>
                <w:lang w:eastAsia="en-AU"/>
              </w:rPr>
            </w:pPr>
            <w:r w:rsidRPr="005C542E">
              <w:rPr>
                <w:lang w:eastAsia="en-AU"/>
              </w:rPr>
              <w:t>97.9</w:t>
            </w:r>
          </w:p>
        </w:tc>
        <w:tc>
          <w:tcPr>
            <w:tcW w:w="895" w:type="dxa"/>
            <w:tcBorders>
              <w:top w:val="single" w:sz="6" w:space="0" w:color="auto"/>
              <w:left w:val="nil"/>
              <w:bottom w:val="nil"/>
              <w:right w:val="nil"/>
            </w:tcBorders>
            <w:shd w:val="clear" w:color="000000" w:fill="FFFFFF"/>
            <w:hideMark/>
          </w:tcPr>
          <w:p w:rsidR="00B958B1" w:rsidRPr="006E1208" w:rsidRDefault="00B958B1" w:rsidP="009F3B54">
            <w:pPr>
              <w:pStyle w:val="OGTabText"/>
              <w:keepNext/>
              <w:jc w:val="right"/>
              <w:rPr>
                <w:lang w:eastAsia="en-AU"/>
              </w:rPr>
            </w:pPr>
            <w:r w:rsidRPr="006E1208">
              <w:rPr>
                <w:lang w:eastAsia="en-AU"/>
              </w:rPr>
              <w:t>93.5</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keepNext/>
              <w:jc w:val="right"/>
              <w:rPr>
                <w:lang w:eastAsia="en-AU"/>
              </w:rPr>
            </w:pPr>
            <w:r w:rsidRPr="005C542E">
              <w:rPr>
                <w:lang w:eastAsia="en-AU"/>
              </w:rPr>
              <w:t>94.6</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Pr="006E1208" w:rsidRDefault="00B958B1" w:rsidP="009F3B54">
            <w:pPr>
              <w:pStyle w:val="OGNotes"/>
              <w:keepNext/>
            </w:pPr>
            <w:r w:rsidRPr="006E1208">
              <w:t>This performance measure relates to the calendar year.</w:t>
            </w:r>
          </w:p>
          <w:p w:rsidR="00B958B1" w:rsidRPr="006E1208" w:rsidRDefault="00B958B1" w:rsidP="009F3B54">
            <w:pPr>
              <w:pStyle w:val="OGNotes"/>
              <w:keepNext/>
            </w:pPr>
            <w:r w:rsidRPr="006E1208">
              <w:t>This performance measure excludes second year participants.</w:t>
            </w:r>
          </w:p>
          <w:p w:rsidR="00B958B1" w:rsidRPr="006E1208" w:rsidRDefault="00B958B1" w:rsidP="009F3B54">
            <w:pPr>
              <w:pStyle w:val="OGNotes"/>
              <w:keepNext/>
            </w:pPr>
            <w:r w:rsidRPr="006E1208">
              <w:t>The higher 2013</w:t>
            </w:r>
            <w:r w:rsidR="009F0F49">
              <w:noBreakHyphen/>
            </w:r>
            <w:r w:rsidRPr="006E1208">
              <w:t>14 Target aligns with the National Partnership for Early Childhood Education target of 95</w:t>
            </w:r>
            <w:r>
              <w:t> per cent</w:t>
            </w:r>
            <w:r w:rsidRPr="006E1208">
              <w:t xml:space="preserve"> of children accessing a kindergarten program in the year prior to school</w:t>
            </w:r>
            <w:r>
              <w:t>, and reflects the high</w:t>
            </w:r>
            <w:r w:rsidR="009F0F49">
              <w:noBreakHyphen/>
            </w:r>
            <w:r>
              <w:t>quality service offering</w:t>
            </w:r>
            <w:r w:rsidRPr="006E1208">
              <w:t xml:space="preserve">. </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rPr>
                <w:lang w:eastAsia="en-AU"/>
              </w:rPr>
            </w:pPr>
            <w:r w:rsidRPr="005C542E">
              <w:rPr>
                <w:lang w:eastAsia="en-AU"/>
              </w:rPr>
              <w:t>Maternal and child health clients with children aged 0 to 1 year receiving enhanced maternal and child health services</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keepNext/>
              <w:ind w:left="142"/>
              <w:jc w:val="right"/>
              <w:rPr>
                <w:lang w:eastAsia="en-AU"/>
              </w:rPr>
            </w:pPr>
            <w:r w:rsidRPr="005C542E">
              <w:rPr>
                <w:lang w:eastAsia="en-AU"/>
              </w:rPr>
              <w:t>10</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15</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10</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16.9</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Default="00B958B1" w:rsidP="009F3B54">
            <w:pPr>
              <w:pStyle w:val="OGNotes"/>
            </w:pPr>
            <w:r w:rsidRPr="00B0305D">
              <w:t>The 2011</w:t>
            </w:r>
            <w:r w:rsidR="009F0F49">
              <w:noBreakHyphen/>
            </w:r>
            <w:r w:rsidRPr="00B0305D">
              <w:t>12 Actual is different to the corresponding 2011</w:t>
            </w:r>
            <w:r w:rsidR="009F0F49">
              <w:noBreakHyphen/>
            </w:r>
            <w:r w:rsidRPr="00B0305D">
              <w:t>12 Actual in the DEECD Annual Report 2011</w:t>
            </w:r>
            <w:r w:rsidR="009F0F49">
              <w:noBreakHyphen/>
            </w:r>
            <w:r w:rsidRPr="00B0305D">
              <w:t>12, as the final 2011</w:t>
            </w:r>
            <w:r w:rsidR="009F0F49">
              <w:noBreakHyphen/>
            </w:r>
            <w:r w:rsidRPr="00B0305D">
              <w:t>12 results were not available at the time of Annual Report publication.</w:t>
            </w:r>
          </w:p>
          <w:p w:rsidR="00B958B1" w:rsidRPr="005C542E" w:rsidRDefault="00B958B1" w:rsidP="009F3B54">
            <w:pPr>
              <w:pStyle w:val="OGNotes"/>
              <w:rPr>
                <w:iCs/>
                <w:sz w:val="16"/>
                <w:szCs w:val="16"/>
              </w:rPr>
            </w:pPr>
            <w:r w:rsidRPr="005C542E">
              <w:t>The 2012</w:t>
            </w:r>
            <w:r w:rsidR="009F0F49">
              <w:noBreakHyphen/>
            </w:r>
            <w:r w:rsidRPr="005C542E">
              <w:t>13 Expected Outcome is higher than the 2012</w:t>
            </w:r>
            <w:r w:rsidR="009F0F49">
              <w:noBreakHyphen/>
            </w:r>
            <w:r w:rsidRPr="005C542E">
              <w:t>13 Target and the 2011</w:t>
            </w:r>
            <w:r w:rsidR="009F0F49">
              <w:noBreakHyphen/>
            </w:r>
            <w:r w:rsidRPr="005C542E">
              <w:t>12 Actual due to municipal councils providing services above the target cohort, and increases in birth rates.</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rPr>
                <w:lang w:eastAsia="en-AU"/>
              </w:rPr>
            </w:pPr>
            <w:r w:rsidRPr="005C542E">
              <w:rPr>
                <w:lang w:eastAsia="en-AU"/>
              </w:rPr>
              <w:t>Number of Early Childhood Intervention Service places and packages funded annually</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sidRPr="005C542E">
              <w:rPr>
                <w:lang w:eastAsia="en-AU"/>
              </w:rPr>
              <w:t>number</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keepNext/>
              <w:ind w:left="142"/>
              <w:jc w:val="right"/>
              <w:rPr>
                <w:lang w:eastAsia="en-AU"/>
              </w:rPr>
            </w:pPr>
            <w:r w:rsidRPr="005C542E">
              <w:rPr>
                <w:lang w:eastAsia="en-AU"/>
              </w:rPr>
              <w:t>11</w:t>
            </w:r>
            <w:r>
              <w:rPr>
                <w:lang w:eastAsia="en-AU"/>
              </w:rPr>
              <w:t> </w:t>
            </w:r>
            <w:r w:rsidRPr="005C542E">
              <w:rPr>
                <w:lang w:eastAsia="en-AU"/>
              </w:rPr>
              <w:t>258</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10</w:t>
            </w:r>
            <w:r>
              <w:rPr>
                <w:lang w:eastAsia="en-AU"/>
              </w:rPr>
              <w:t> </w:t>
            </w:r>
            <w:r w:rsidRPr="005C542E">
              <w:rPr>
                <w:lang w:eastAsia="en-AU"/>
              </w:rPr>
              <w:t>758</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10</w:t>
            </w:r>
            <w:r>
              <w:rPr>
                <w:lang w:eastAsia="en-AU"/>
              </w:rPr>
              <w:t> </w:t>
            </w:r>
            <w:r w:rsidRPr="005C542E">
              <w:rPr>
                <w:lang w:eastAsia="en-AU"/>
              </w:rPr>
              <w:t>325</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10</w:t>
            </w:r>
            <w:r>
              <w:rPr>
                <w:lang w:eastAsia="en-AU"/>
              </w:rPr>
              <w:t> </w:t>
            </w:r>
            <w:r w:rsidRPr="005C542E">
              <w:rPr>
                <w:lang w:eastAsia="en-AU"/>
              </w:rPr>
              <w:t>325</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Default="00B958B1" w:rsidP="009F3B54">
            <w:pPr>
              <w:pStyle w:val="OGNotes"/>
            </w:pPr>
            <w:r w:rsidRPr="005C542E">
              <w:t>The higher 2013</w:t>
            </w:r>
            <w:r w:rsidR="009F0F49">
              <w:noBreakHyphen/>
            </w:r>
            <w:r w:rsidRPr="005C542E">
              <w:t>14 Target reflects additional funding provided to increase the number of Early Childhood Intervention Service (ECIS) places.</w:t>
            </w:r>
          </w:p>
          <w:p w:rsidR="00B958B1" w:rsidRDefault="00B958B1" w:rsidP="009F3B54">
            <w:pPr>
              <w:pStyle w:val="OGNotes"/>
            </w:pPr>
            <w:r w:rsidRPr="005C542E">
              <w:t>This performance measure refers to both ECIS Places and Flexible Support Packages.</w:t>
            </w:r>
          </w:p>
          <w:p w:rsidR="00B958B1" w:rsidRPr="005C542E" w:rsidRDefault="00B958B1" w:rsidP="009F3B54">
            <w:pPr>
              <w:pStyle w:val="OGNotes"/>
            </w:pPr>
            <w:r w:rsidRPr="005C542E">
              <w:t>The 2012</w:t>
            </w:r>
            <w:r w:rsidR="009F0F49">
              <w:noBreakHyphen/>
            </w:r>
            <w:r w:rsidRPr="005C542E">
              <w:t>13 Expected Outcome is higher than the 2012</w:t>
            </w:r>
            <w:r w:rsidR="009F0F49">
              <w:noBreakHyphen/>
            </w:r>
            <w:r w:rsidRPr="005C542E">
              <w:t>13 Target due to additional allocation of ECIS places in</w:t>
            </w:r>
            <w:r>
              <w:t> </w:t>
            </w:r>
            <w:r w:rsidRPr="005C542E">
              <w:t>2012</w:t>
            </w:r>
            <w:r w:rsidR="009F0F49">
              <w:noBreakHyphen/>
            </w:r>
            <w:r w:rsidRPr="005C542E">
              <w:t>13.</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rPr>
                <w:lang w:eastAsia="en-AU"/>
              </w:rPr>
            </w:pPr>
            <w:r w:rsidRPr="005C542E">
              <w:rPr>
                <w:lang w:eastAsia="en-AU"/>
              </w:rPr>
              <w:t>Total number of Maternal and Child Health Service clients (aged 0 to 1 year)</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sidRPr="005C542E">
              <w:rPr>
                <w:lang w:eastAsia="en-AU"/>
              </w:rPr>
              <w:t>number</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keepNext/>
              <w:ind w:left="142"/>
              <w:jc w:val="right"/>
              <w:rPr>
                <w:lang w:eastAsia="en-AU"/>
              </w:rPr>
            </w:pPr>
            <w:r w:rsidRPr="005C542E">
              <w:rPr>
                <w:lang w:eastAsia="en-AU"/>
              </w:rPr>
              <w:t>73</w:t>
            </w:r>
            <w:r>
              <w:rPr>
                <w:lang w:eastAsia="en-AU"/>
              </w:rPr>
              <w:t> </w:t>
            </w:r>
            <w:r w:rsidRPr="005C542E">
              <w:rPr>
                <w:lang w:eastAsia="en-AU"/>
              </w:rPr>
              <w:t>000</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73</w:t>
            </w:r>
            <w:r>
              <w:rPr>
                <w:lang w:eastAsia="en-AU"/>
              </w:rPr>
              <w:t> </w:t>
            </w:r>
            <w:r w:rsidRPr="005C542E">
              <w:rPr>
                <w:lang w:eastAsia="en-AU"/>
              </w:rPr>
              <w:t>000</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70</w:t>
            </w:r>
            <w:r>
              <w:rPr>
                <w:lang w:eastAsia="en-AU"/>
              </w:rPr>
              <w:t> </w:t>
            </w:r>
            <w:r w:rsidRPr="005C542E">
              <w:rPr>
                <w:lang w:eastAsia="en-AU"/>
              </w:rPr>
              <w:t>000</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73</w:t>
            </w:r>
            <w:r>
              <w:rPr>
                <w:lang w:eastAsia="en-AU"/>
              </w:rPr>
              <w:t> </w:t>
            </w:r>
            <w:r w:rsidRPr="005C542E">
              <w:rPr>
                <w:lang w:eastAsia="en-AU"/>
              </w:rPr>
              <w:t>844</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Default="00B958B1" w:rsidP="009F3B54">
            <w:pPr>
              <w:pStyle w:val="OGNotes"/>
            </w:pPr>
            <w:r w:rsidRPr="00B0305D">
              <w:t>The 2011</w:t>
            </w:r>
            <w:r w:rsidR="009F0F49">
              <w:noBreakHyphen/>
            </w:r>
            <w:r w:rsidRPr="00B0305D">
              <w:t>12 Actual is different to the corresponding 2011</w:t>
            </w:r>
            <w:r w:rsidR="009F0F49">
              <w:noBreakHyphen/>
            </w:r>
            <w:r w:rsidRPr="00B0305D">
              <w:t>12 Actual in the DEECD Annual Report 2011</w:t>
            </w:r>
            <w:r w:rsidR="009F0F49">
              <w:noBreakHyphen/>
            </w:r>
            <w:r w:rsidRPr="00B0305D">
              <w:t>12, as the final 2011</w:t>
            </w:r>
            <w:r w:rsidR="009F0F49">
              <w:noBreakHyphen/>
            </w:r>
            <w:r w:rsidRPr="00B0305D">
              <w:t>12 results were not available at the time of Annual Report publication.</w:t>
            </w:r>
          </w:p>
          <w:p w:rsidR="00B958B1" w:rsidRDefault="00B958B1" w:rsidP="009F3B54">
            <w:pPr>
              <w:pStyle w:val="OGNotes"/>
            </w:pPr>
            <w:r w:rsidRPr="005C542E">
              <w:t>The higher 2013</w:t>
            </w:r>
            <w:r w:rsidR="009F0F49">
              <w:noBreakHyphen/>
            </w:r>
            <w:r w:rsidRPr="005C542E">
              <w:t>14 Target is due to sustained population increases.</w:t>
            </w:r>
          </w:p>
          <w:p w:rsidR="00B958B1" w:rsidRPr="005C542E" w:rsidRDefault="00B958B1" w:rsidP="009F3B54">
            <w:pPr>
              <w:pStyle w:val="OGNotes"/>
              <w:rPr>
                <w:iCs/>
                <w:sz w:val="16"/>
                <w:szCs w:val="16"/>
              </w:rPr>
            </w:pPr>
            <w:r w:rsidRPr="005C542E">
              <w:t>The 2012</w:t>
            </w:r>
            <w:r w:rsidR="009F0F49">
              <w:noBreakHyphen/>
            </w:r>
            <w:r w:rsidRPr="005C542E">
              <w:t>13 Expected Outcome is higher than the 2012</w:t>
            </w:r>
            <w:r w:rsidR="009F0F49">
              <w:noBreakHyphen/>
            </w:r>
            <w:r w:rsidRPr="005C542E">
              <w:t>13 Target due to sustained population increases.</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rPr>
                <w:lang w:eastAsia="en-AU"/>
              </w:rPr>
            </w:pPr>
            <w:r w:rsidRPr="005C542E">
              <w:rPr>
                <w:lang w:eastAsia="en-AU"/>
              </w:rPr>
              <w:t>Total number of children receiving Early Childhood Intervention Services</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sidRPr="005C542E">
              <w:rPr>
                <w:lang w:eastAsia="en-AU"/>
              </w:rPr>
              <w:t>number</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14</w:t>
            </w:r>
            <w:r>
              <w:rPr>
                <w:lang w:eastAsia="en-AU"/>
              </w:rPr>
              <w:t> </w:t>
            </w:r>
            <w:r w:rsidRPr="005C542E">
              <w:rPr>
                <w:lang w:eastAsia="en-AU"/>
              </w:rPr>
              <w:t>000</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13</w:t>
            </w:r>
            <w:r>
              <w:rPr>
                <w:lang w:eastAsia="en-AU"/>
              </w:rPr>
              <w:t> </w:t>
            </w:r>
            <w:r w:rsidRPr="005C542E">
              <w:rPr>
                <w:lang w:eastAsia="en-AU"/>
              </w:rPr>
              <w:t>500</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12</w:t>
            </w:r>
            <w:r>
              <w:rPr>
                <w:lang w:eastAsia="en-AU"/>
              </w:rPr>
              <w:t> </w:t>
            </w:r>
            <w:r w:rsidRPr="005C542E">
              <w:rPr>
                <w:lang w:eastAsia="en-AU"/>
              </w:rPr>
              <w:t>650</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13</w:t>
            </w:r>
            <w:r>
              <w:rPr>
                <w:lang w:eastAsia="en-AU"/>
              </w:rPr>
              <w:t> </w:t>
            </w:r>
            <w:r w:rsidRPr="005C542E">
              <w:rPr>
                <w:lang w:eastAsia="en-AU"/>
              </w:rPr>
              <w:t>460</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0305D">
              <w:t>The 2011</w:t>
            </w:r>
            <w:r w:rsidR="009F0F49">
              <w:noBreakHyphen/>
            </w:r>
            <w:r w:rsidRPr="00B0305D">
              <w:t>12 Actual is different to the corresponding 2011</w:t>
            </w:r>
            <w:r w:rsidR="009F0F49">
              <w:noBreakHyphen/>
            </w:r>
            <w:r w:rsidRPr="00B0305D">
              <w:t>12 Actual in the DEECD Annual Report 2011</w:t>
            </w:r>
            <w:r w:rsidR="009F0F49">
              <w:noBreakHyphen/>
            </w:r>
            <w:r w:rsidRPr="00B0305D">
              <w:t>12, as the final 2011</w:t>
            </w:r>
            <w:r w:rsidR="009F0F49">
              <w:noBreakHyphen/>
            </w:r>
            <w:r w:rsidRPr="00B0305D">
              <w:t>12 results were not available at the time of Annual Report publication.</w:t>
            </w:r>
          </w:p>
          <w:p w:rsidR="00B958B1" w:rsidRDefault="00B958B1" w:rsidP="009F3B54">
            <w:pPr>
              <w:pStyle w:val="OGNotes"/>
            </w:pPr>
            <w:r w:rsidRPr="005C542E">
              <w:t>The higher 2013</w:t>
            </w:r>
            <w:r w:rsidR="009F0F49">
              <w:noBreakHyphen/>
            </w:r>
            <w:r w:rsidRPr="005C542E">
              <w:t>14 Target reflects additional funding provided to increase the number of ECIS places and continued growth in the number of children receiving ECIS.</w:t>
            </w:r>
          </w:p>
          <w:p w:rsidR="00B958B1" w:rsidRPr="005C542E" w:rsidRDefault="00B958B1" w:rsidP="009F3B54">
            <w:pPr>
              <w:pStyle w:val="OGNotes"/>
              <w:rPr>
                <w:iCs/>
                <w:sz w:val="16"/>
                <w:szCs w:val="16"/>
              </w:rPr>
            </w:pPr>
            <w:r w:rsidRPr="005C542E">
              <w:t>The 2012</w:t>
            </w:r>
            <w:r w:rsidR="009F0F49">
              <w:noBreakHyphen/>
            </w:r>
            <w:r w:rsidRPr="005C542E">
              <w:t>13 Expected Outcome is higher than the 2012</w:t>
            </w:r>
            <w:r w:rsidR="009F0F49">
              <w:noBreakHyphen/>
            </w:r>
            <w:r w:rsidRPr="005C542E">
              <w:t>13 Target due to additional funding in 2012</w:t>
            </w:r>
            <w:r w:rsidR="009F0F49">
              <w:noBreakHyphen/>
            </w:r>
            <w:r w:rsidRPr="005C542E">
              <w:t>13 and continued growth in the number of children receiving ECIS.</w:t>
            </w:r>
          </w:p>
        </w:tc>
      </w:tr>
      <w:tr w:rsidR="00B958B1" w:rsidRPr="005C542E" w:rsidTr="009F3B54">
        <w:trPr>
          <w:cantSplit/>
        </w:trPr>
        <w:tc>
          <w:tcPr>
            <w:tcW w:w="3114" w:type="dxa"/>
            <w:tcBorders>
              <w:top w:val="single" w:sz="6" w:space="0" w:color="auto"/>
              <w:left w:val="nil"/>
              <w:bottom w:val="nil"/>
              <w:right w:val="nil"/>
            </w:tcBorders>
            <w:shd w:val="clear" w:color="auto" w:fill="auto"/>
            <w:vAlign w:val="bottom"/>
            <w:hideMark/>
          </w:tcPr>
          <w:p w:rsidR="00B958B1" w:rsidRPr="005C542E" w:rsidRDefault="00B958B1" w:rsidP="009F3B54">
            <w:pPr>
              <w:pStyle w:val="OGTabHead"/>
              <w:rPr>
                <w:lang w:eastAsia="en-AU"/>
              </w:rPr>
            </w:pPr>
            <w:r w:rsidRPr="005C542E">
              <w:rPr>
                <w:lang w:eastAsia="en-AU"/>
              </w:rPr>
              <w:t>Timeliness</w:t>
            </w:r>
          </w:p>
        </w:tc>
        <w:tc>
          <w:tcPr>
            <w:tcW w:w="953"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center"/>
              <w:rPr>
                <w:lang w:eastAsia="en-AU"/>
              </w:rPr>
            </w:pPr>
          </w:p>
        </w:tc>
        <w:tc>
          <w:tcPr>
            <w:tcW w:w="910" w:type="dxa"/>
            <w:gridSpan w:val="2"/>
            <w:tcBorders>
              <w:top w:val="single" w:sz="6" w:space="0" w:color="auto"/>
              <w:left w:val="nil"/>
              <w:bottom w:val="nil"/>
              <w:right w:val="nil"/>
            </w:tcBorders>
            <w:shd w:val="clear" w:color="auto" w:fill="D9D9D9"/>
            <w:noWrap/>
            <w:hideMark/>
          </w:tcPr>
          <w:p w:rsidR="00B958B1" w:rsidRPr="005C542E" w:rsidRDefault="00B958B1" w:rsidP="009F3B54">
            <w:pPr>
              <w:pStyle w:val="OGTabText"/>
              <w:jc w:val="right"/>
              <w:rPr>
                <w:lang w:eastAsia="en-AU"/>
              </w:rPr>
            </w:pPr>
          </w:p>
        </w:tc>
        <w:tc>
          <w:tcPr>
            <w:tcW w:w="98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925"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r>
      <w:tr w:rsidR="00B958B1" w:rsidRPr="005C542E" w:rsidTr="009F3B54">
        <w:trPr>
          <w:cantSplit/>
        </w:trPr>
        <w:tc>
          <w:tcPr>
            <w:tcW w:w="3114" w:type="dxa"/>
            <w:tcBorders>
              <w:top w:val="nil"/>
              <w:left w:val="nil"/>
              <w:right w:val="nil"/>
            </w:tcBorders>
            <w:shd w:val="clear" w:color="000000" w:fill="FFFFFF"/>
            <w:hideMark/>
          </w:tcPr>
          <w:p w:rsidR="00B958B1" w:rsidRPr="005C542E" w:rsidRDefault="00B958B1" w:rsidP="009F3B54">
            <w:pPr>
              <w:pStyle w:val="OGTabText"/>
              <w:rPr>
                <w:lang w:eastAsia="en-AU"/>
              </w:rPr>
            </w:pPr>
            <w:r w:rsidRPr="005C542E">
              <w:rPr>
                <w:lang w:eastAsia="en-AU"/>
              </w:rPr>
              <w:t>Children aged 0 to 1 month enrolled at maternal and child health services from birth notifications</w:t>
            </w:r>
          </w:p>
        </w:tc>
        <w:tc>
          <w:tcPr>
            <w:tcW w:w="953" w:type="dxa"/>
            <w:gridSpan w:val="3"/>
            <w:tcBorders>
              <w:top w:val="nil"/>
              <w:left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nil"/>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98.5</w:t>
            </w:r>
          </w:p>
        </w:tc>
        <w:tc>
          <w:tcPr>
            <w:tcW w:w="985" w:type="dxa"/>
            <w:tcBorders>
              <w:top w:val="nil"/>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99</w:t>
            </w:r>
          </w:p>
        </w:tc>
        <w:tc>
          <w:tcPr>
            <w:tcW w:w="895" w:type="dxa"/>
            <w:tcBorders>
              <w:top w:val="nil"/>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98.5</w:t>
            </w:r>
          </w:p>
        </w:tc>
        <w:tc>
          <w:tcPr>
            <w:tcW w:w="925" w:type="dxa"/>
            <w:gridSpan w:val="3"/>
            <w:tcBorders>
              <w:top w:val="nil"/>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99.3</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Pr="004B2922" w:rsidRDefault="00B958B1" w:rsidP="009F3B54">
            <w:pPr>
              <w:pStyle w:val="OGNotes"/>
              <w:rPr>
                <w:iCs/>
                <w:sz w:val="16"/>
                <w:szCs w:val="16"/>
              </w:rPr>
            </w:pPr>
            <w:r w:rsidRPr="00B0305D">
              <w:t>The 2011</w:t>
            </w:r>
            <w:r w:rsidR="009F0F49">
              <w:noBreakHyphen/>
            </w:r>
            <w:r w:rsidRPr="00B0305D">
              <w:t>12 Actual is different to the corresponding 2011</w:t>
            </w:r>
            <w:r w:rsidR="009F0F49">
              <w:noBreakHyphen/>
            </w:r>
            <w:r w:rsidRPr="00B0305D">
              <w:t>12 Actual in the DEECD Annual Report 2011</w:t>
            </w:r>
            <w:r w:rsidR="009F0F49">
              <w:noBreakHyphen/>
            </w:r>
            <w:r w:rsidRPr="00B0305D">
              <w:t>12, as the final 2011</w:t>
            </w:r>
            <w:r w:rsidR="009F0F49">
              <w:noBreakHyphen/>
            </w:r>
            <w:r w:rsidRPr="00B0305D">
              <w:t>12 results were not available at the time of Annual Report publication.</w:t>
            </w:r>
          </w:p>
        </w:tc>
      </w:tr>
      <w:tr w:rsidR="00B958B1" w:rsidRPr="005C542E" w:rsidTr="009F3B54">
        <w:trPr>
          <w:cantSplit/>
        </w:trPr>
        <w:tc>
          <w:tcPr>
            <w:tcW w:w="3114" w:type="dxa"/>
            <w:tcBorders>
              <w:top w:val="single" w:sz="6" w:space="0" w:color="auto"/>
              <w:left w:val="nil"/>
              <w:bottom w:val="nil"/>
              <w:right w:val="nil"/>
            </w:tcBorders>
            <w:shd w:val="clear" w:color="auto" w:fill="auto"/>
            <w:vAlign w:val="bottom"/>
            <w:hideMark/>
          </w:tcPr>
          <w:p w:rsidR="00B958B1" w:rsidRPr="005C542E" w:rsidRDefault="00B958B1" w:rsidP="009F3B54">
            <w:pPr>
              <w:pStyle w:val="OGTabHead"/>
              <w:rPr>
                <w:lang w:eastAsia="en-AU"/>
              </w:rPr>
            </w:pPr>
            <w:r w:rsidRPr="005C542E">
              <w:rPr>
                <w:lang w:eastAsia="en-AU"/>
              </w:rPr>
              <w:t>Cost</w:t>
            </w:r>
          </w:p>
        </w:tc>
        <w:tc>
          <w:tcPr>
            <w:tcW w:w="953"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keepNext/>
              <w:jc w:val="center"/>
              <w:rPr>
                <w:lang w:eastAsia="en-AU"/>
              </w:rPr>
            </w:pPr>
          </w:p>
        </w:tc>
        <w:tc>
          <w:tcPr>
            <w:tcW w:w="910" w:type="dxa"/>
            <w:gridSpan w:val="2"/>
            <w:tcBorders>
              <w:top w:val="single" w:sz="6" w:space="0" w:color="auto"/>
              <w:left w:val="nil"/>
              <w:bottom w:val="nil"/>
              <w:right w:val="nil"/>
            </w:tcBorders>
            <w:shd w:val="clear" w:color="auto" w:fill="D9D9D9"/>
            <w:noWrap/>
            <w:hideMark/>
          </w:tcPr>
          <w:p w:rsidR="00B958B1" w:rsidRPr="005C542E" w:rsidRDefault="00B958B1" w:rsidP="009F3B54">
            <w:pPr>
              <w:pStyle w:val="OGTabText"/>
              <w:keepNext/>
              <w:jc w:val="right"/>
              <w:rPr>
                <w:lang w:eastAsia="en-AU"/>
              </w:rPr>
            </w:pPr>
          </w:p>
        </w:tc>
        <w:tc>
          <w:tcPr>
            <w:tcW w:w="985" w:type="dxa"/>
            <w:tcBorders>
              <w:top w:val="single" w:sz="6" w:space="0" w:color="auto"/>
              <w:left w:val="nil"/>
              <w:bottom w:val="nil"/>
              <w:right w:val="nil"/>
            </w:tcBorders>
            <w:shd w:val="clear" w:color="auto" w:fill="auto"/>
            <w:noWrap/>
            <w:hideMark/>
          </w:tcPr>
          <w:p w:rsidR="00B958B1" w:rsidRPr="005C542E" w:rsidRDefault="00B958B1" w:rsidP="009F3B54">
            <w:pPr>
              <w:pStyle w:val="OGTabText"/>
              <w:keepNext/>
              <w:jc w:val="right"/>
              <w:rPr>
                <w:lang w:eastAsia="en-AU"/>
              </w:rPr>
            </w:pPr>
          </w:p>
        </w:tc>
        <w:tc>
          <w:tcPr>
            <w:tcW w:w="895" w:type="dxa"/>
            <w:tcBorders>
              <w:top w:val="single" w:sz="6" w:space="0" w:color="auto"/>
              <w:left w:val="nil"/>
              <w:bottom w:val="nil"/>
              <w:right w:val="nil"/>
            </w:tcBorders>
            <w:shd w:val="clear" w:color="auto" w:fill="auto"/>
            <w:noWrap/>
            <w:hideMark/>
          </w:tcPr>
          <w:p w:rsidR="00B958B1" w:rsidRPr="005C542E" w:rsidRDefault="00B958B1" w:rsidP="009F3B54">
            <w:pPr>
              <w:pStyle w:val="OGTabText"/>
              <w:keepNext/>
              <w:jc w:val="right"/>
              <w:rPr>
                <w:lang w:eastAsia="en-AU"/>
              </w:rPr>
            </w:pPr>
          </w:p>
        </w:tc>
        <w:tc>
          <w:tcPr>
            <w:tcW w:w="925"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keepNext/>
              <w:jc w:val="right"/>
              <w:rPr>
                <w:lang w:eastAsia="en-AU"/>
              </w:rPr>
            </w:pPr>
          </w:p>
        </w:tc>
      </w:tr>
      <w:tr w:rsidR="00B958B1" w:rsidRPr="005C542E" w:rsidTr="009F3B54">
        <w:trPr>
          <w:cantSplit/>
        </w:trPr>
        <w:tc>
          <w:tcPr>
            <w:tcW w:w="3114" w:type="dxa"/>
            <w:tcBorders>
              <w:top w:val="nil"/>
              <w:left w:val="nil"/>
              <w:right w:val="nil"/>
            </w:tcBorders>
            <w:shd w:val="clear" w:color="000000" w:fill="FFFFFF"/>
            <w:hideMark/>
          </w:tcPr>
          <w:p w:rsidR="00B958B1" w:rsidRPr="005C542E" w:rsidRDefault="00B958B1" w:rsidP="009F3B54">
            <w:pPr>
              <w:pStyle w:val="OGTabText"/>
              <w:keepNext/>
              <w:rPr>
                <w:lang w:eastAsia="en-AU"/>
              </w:rPr>
            </w:pPr>
            <w:r w:rsidRPr="005C542E">
              <w:rPr>
                <w:lang w:eastAsia="en-AU"/>
              </w:rPr>
              <w:t>Total output cost</w:t>
            </w:r>
          </w:p>
        </w:tc>
        <w:tc>
          <w:tcPr>
            <w:tcW w:w="953" w:type="dxa"/>
            <w:gridSpan w:val="3"/>
            <w:tcBorders>
              <w:top w:val="nil"/>
              <w:left w:val="nil"/>
              <w:right w:val="nil"/>
            </w:tcBorders>
            <w:shd w:val="clear" w:color="000000" w:fill="FFFFFF"/>
            <w:hideMark/>
          </w:tcPr>
          <w:p w:rsidR="00B958B1" w:rsidRPr="005C542E" w:rsidRDefault="00B958B1" w:rsidP="009F3B54">
            <w:pPr>
              <w:pStyle w:val="OGUoM"/>
              <w:rPr>
                <w:lang w:eastAsia="en-AU"/>
              </w:rPr>
            </w:pPr>
            <w:r w:rsidRPr="005C542E">
              <w:rPr>
                <w:lang w:eastAsia="en-AU"/>
              </w:rPr>
              <w:t>number (million)</w:t>
            </w:r>
          </w:p>
        </w:tc>
        <w:tc>
          <w:tcPr>
            <w:tcW w:w="910" w:type="dxa"/>
            <w:gridSpan w:val="2"/>
            <w:tcBorders>
              <w:top w:val="nil"/>
              <w:left w:val="nil"/>
              <w:right w:val="nil"/>
            </w:tcBorders>
            <w:shd w:val="clear" w:color="auto" w:fill="D9D9D9"/>
            <w:hideMark/>
          </w:tcPr>
          <w:p w:rsidR="00B958B1" w:rsidRPr="005C542E" w:rsidRDefault="00B958B1" w:rsidP="009F3B54">
            <w:pPr>
              <w:pStyle w:val="OGTabText"/>
              <w:keepNext/>
              <w:jc w:val="right"/>
              <w:rPr>
                <w:lang w:eastAsia="en-AU"/>
              </w:rPr>
            </w:pPr>
            <w:r w:rsidRPr="005C542E">
              <w:rPr>
                <w:lang w:eastAsia="en-AU"/>
              </w:rPr>
              <w:t>543</w:t>
            </w:r>
          </w:p>
        </w:tc>
        <w:tc>
          <w:tcPr>
            <w:tcW w:w="985" w:type="dxa"/>
            <w:tcBorders>
              <w:top w:val="nil"/>
              <w:left w:val="nil"/>
              <w:right w:val="nil"/>
            </w:tcBorders>
            <w:shd w:val="clear" w:color="000000" w:fill="FFFFFF"/>
            <w:hideMark/>
          </w:tcPr>
          <w:p w:rsidR="00B958B1" w:rsidRPr="005C542E" w:rsidRDefault="00B958B1" w:rsidP="009F3B54">
            <w:pPr>
              <w:pStyle w:val="OGTabText"/>
              <w:keepNext/>
              <w:jc w:val="right"/>
              <w:rPr>
                <w:lang w:eastAsia="en-AU"/>
              </w:rPr>
            </w:pPr>
            <w:r w:rsidRPr="005C542E">
              <w:rPr>
                <w:lang w:eastAsia="en-AU"/>
              </w:rPr>
              <w:t>542.6</w:t>
            </w:r>
          </w:p>
        </w:tc>
        <w:tc>
          <w:tcPr>
            <w:tcW w:w="895" w:type="dxa"/>
            <w:tcBorders>
              <w:top w:val="nil"/>
              <w:left w:val="nil"/>
              <w:right w:val="nil"/>
            </w:tcBorders>
            <w:shd w:val="clear" w:color="000000" w:fill="FFFFFF"/>
            <w:hideMark/>
          </w:tcPr>
          <w:p w:rsidR="00B958B1" w:rsidRPr="005C542E" w:rsidRDefault="00B958B1" w:rsidP="009F3B54">
            <w:pPr>
              <w:pStyle w:val="OGTabText"/>
              <w:keepNext/>
              <w:jc w:val="right"/>
              <w:rPr>
                <w:lang w:eastAsia="en-AU"/>
              </w:rPr>
            </w:pPr>
            <w:r w:rsidRPr="005C542E">
              <w:rPr>
                <w:lang w:eastAsia="en-AU"/>
              </w:rPr>
              <w:t>507</w:t>
            </w:r>
          </w:p>
        </w:tc>
        <w:tc>
          <w:tcPr>
            <w:tcW w:w="925" w:type="dxa"/>
            <w:gridSpan w:val="3"/>
            <w:tcBorders>
              <w:top w:val="nil"/>
              <w:left w:val="nil"/>
              <w:right w:val="nil"/>
            </w:tcBorders>
            <w:shd w:val="clear" w:color="000000" w:fill="FFFFFF"/>
            <w:hideMark/>
          </w:tcPr>
          <w:p w:rsidR="00B958B1" w:rsidRPr="005C542E" w:rsidRDefault="00B958B1" w:rsidP="009F3B54">
            <w:pPr>
              <w:pStyle w:val="OGTabText"/>
              <w:keepNext/>
              <w:jc w:val="right"/>
              <w:rPr>
                <w:lang w:eastAsia="en-AU"/>
              </w:rPr>
            </w:pPr>
            <w:r w:rsidRPr="005C542E">
              <w:rPr>
                <w:lang w:eastAsia="en-AU"/>
              </w:rPr>
              <w:t>372.4</w:t>
            </w:r>
          </w:p>
        </w:tc>
      </w:tr>
      <w:tr w:rsidR="00B958B1" w:rsidRPr="005C542E" w:rsidTr="009F3B54">
        <w:trPr>
          <w:cantSplit/>
        </w:trPr>
        <w:tc>
          <w:tcPr>
            <w:tcW w:w="7782" w:type="dxa"/>
            <w:gridSpan w:val="11"/>
            <w:tcBorders>
              <w:top w:val="nil"/>
              <w:left w:val="nil"/>
              <w:bottom w:val="single" w:sz="12" w:space="0" w:color="auto"/>
              <w:right w:val="nil"/>
            </w:tcBorders>
            <w:shd w:val="clear" w:color="auto" w:fill="auto"/>
            <w:vAlign w:val="bottom"/>
            <w:hideMark/>
          </w:tcPr>
          <w:p w:rsidR="00B958B1" w:rsidRDefault="00B958B1" w:rsidP="009F3B54">
            <w:pPr>
              <w:pStyle w:val="OGNotes"/>
            </w:pPr>
            <w:r w:rsidRPr="005C542E">
              <w:t>The 2012</w:t>
            </w:r>
            <w:r w:rsidR="009F0F49">
              <w:noBreakHyphen/>
            </w:r>
            <w:r w:rsidRPr="005C542E">
              <w:t>13 Expected Outcome is higher than the 2012</w:t>
            </w:r>
            <w:r w:rsidR="009F0F49">
              <w:noBreakHyphen/>
            </w:r>
            <w:r w:rsidRPr="005C542E">
              <w:t>13 Target primarily due to anticipated increases in Commonwealth National Partnership spending.</w:t>
            </w:r>
          </w:p>
          <w:p w:rsidR="00B958B1" w:rsidRPr="005C542E" w:rsidRDefault="00B958B1" w:rsidP="009F3B54">
            <w:pPr>
              <w:pStyle w:val="OGNotes"/>
            </w:pPr>
            <w:r w:rsidRPr="005C542E">
              <w:t>The 2013</w:t>
            </w:r>
            <w:r w:rsidR="009F0F49">
              <w:noBreakHyphen/>
            </w:r>
            <w:r w:rsidRPr="005C542E">
              <w:t>14 Target is higher than the 2012</w:t>
            </w:r>
            <w:r w:rsidR="009F0F49">
              <w:noBreakHyphen/>
            </w:r>
            <w:r w:rsidRPr="005C542E">
              <w:t>13 Target primarily due to new funding approvals and price escalation.</w:t>
            </w:r>
          </w:p>
        </w:tc>
      </w:tr>
    </w:tbl>
    <w:p w:rsidR="00B958B1" w:rsidRDefault="00B958B1" w:rsidP="009F3B54">
      <w:pPr>
        <w:pStyle w:val="Source"/>
        <w:rPr>
          <w:lang w:eastAsia="en-AU"/>
        </w:rPr>
      </w:pPr>
      <w:r>
        <w:rPr>
          <w:lang w:eastAsia="en-AU"/>
        </w:rPr>
        <w:t>Source: Department of Education and Early Childhood Development</w:t>
      </w:r>
    </w:p>
    <w:p w:rsidR="00B958B1" w:rsidRPr="00964687" w:rsidRDefault="00B958B1" w:rsidP="009F3B54">
      <w:pPr>
        <w:pStyle w:val="Source"/>
        <w:rPr>
          <w:lang w:eastAsia="en-AU"/>
        </w:rPr>
      </w:pPr>
      <w:r>
        <w:rPr>
          <w:lang w:eastAsia="en-AU"/>
        </w:rPr>
        <w:fldChar w:fldCharType="begin"/>
      </w:r>
      <w:r>
        <w:instrText xml:space="preserve"> XE "</w:instrText>
      </w:r>
      <w:r w:rsidRPr="00093FF0">
        <w:instrText>Department of Education and Early Childhood Development:Early Childhood Development</w:instrText>
      </w:r>
      <w:r>
        <w:instrText xml:space="preserve">" \r "BP3DEECDEarlyChildhoodDev" </w:instrText>
      </w:r>
      <w:r>
        <w:rPr>
          <w:lang w:eastAsia="en-AU"/>
        </w:rPr>
        <w:fldChar w:fldCharType="end"/>
      </w:r>
    </w:p>
    <w:bookmarkEnd w:id="92"/>
    <w:p w:rsidR="00B958B1" w:rsidRPr="005C542E" w:rsidRDefault="00B958B1" w:rsidP="009F3B54">
      <w:pPr>
        <w:pStyle w:val="OGHeading1"/>
        <w:rPr>
          <w:lang w:eastAsia="en-AU"/>
        </w:rPr>
      </w:pPr>
      <w:r>
        <w:rPr>
          <w:lang w:eastAsia="en-AU"/>
        </w:rPr>
        <w:br w:type="page"/>
      </w:r>
      <w:bookmarkStart w:id="93" w:name="BP3DEECDSchoolEducation"/>
      <w:r w:rsidRPr="005C542E">
        <w:rPr>
          <w:lang w:eastAsia="en-AU"/>
        </w:rPr>
        <w:t>School Education</w:t>
      </w:r>
    </w:p>
    <w:p w:rsidR="00B958B1" w:rsidRPr="005C542E" w:rsidRDefault="00B958B1" w:rsidP="009F3B54">
      <w:pPr>
        <w:pStyle w:val="OGText"/>
        <w:rPr>
          <w:lang w:eastAsia="en-AU"/>
        </w:rPr>
      </w:pPr>
      <w:r w:rsidRPr="005C542E">
        <w:rPr>
          <w:lang w:eastAsia="en-AU"/>
        </w:rPr>
        <w:t xml:space="preserve">The school education output group consists of two outputs. The School Education – Primary output provides services to develop essential skills and learning experiences to engage young minds in the primary sector. The School Education – Secondary output delivers services to consolidate literacy and numeracy competencies including creative and critical thinking, as well as physical, social, emotional and intellectual development in adolescence. It also provides education services as well as varied pathways and support for transition across sectors to further study or employment. This output group contributes towards providing and improving services to support all the </w:t>
      </w:r>
      <w:r>
        <w:rPr>
          <w:lang w:eastAsia="en-AU"/>
        </w:rPr>
        <w:t>D</w:t>
      </w:r>
      <w:r w:rsidRPr="005C542E">
        <w:rPr>
          <w:lang w:eastAsia="en-AU"/>
        </w:rPr>
        <w:t>epartment</w:t>
      </w:r>
      <w:r>
        <w:rPr>
          <w:lang w:eastAsia="en-AU"/>
        </w:rPr>
        <w:t>’</w:t>
      </w:r>
      <w:r w:rsidRPr="005C542E">
        <w:rPr>
          <w:lang w:eastAsia="en-AU"/>
        </w:rPr>
        <w:t>s objectives of achievement, engagement, wellbeing and productivity.</w:t>
      </w:r>
    </w:p>
    <w:tbl>
      <w:tblPr>
        <w:tblW w:w="7782" w:type="dxa"/>
        <w:tblInd w:w="29" w:type="dxa"/>
        <w:tblLayout w:type="fixed"/>
        <w:tblCellMar>
          <w:left w:w="43" w:type="dxa"/>
          <w:right w:w="43" w:type="dxa"/>
        </w:tblCellMar>
        <w:tblLook w:val="04A0" w:firstRow="1" w:lastRow="0" w:firstColumn="1" w:lastColumn="0" w:noHBand="0" w:noVBand="1"/>
      </w:tblPr>
      <w:tblGrid>
        <w:gridCol w:w="3114"/>
        <w:gridCol w:w="40"/>
        <w:gridCol w:w="907"/>
        <w:gridCol w:w="6"/>
        <w:gridCol w:w="901"/>
        <w:gridCol w:w="9"/>
        <w:gridCol w:w="985"/>
        <w:gridCol w:w="895"/>
        <w:gridCol w:w="12"/>
        <w:gridCol w:w="907"/>
        <w:gridCol w:w="6"/>
      </w:tblGrid>
      <w:tr w:rsidR="00B958B1" w:rsidRPr="00D32CA4" w:rsidTr="009F3B54">
        <w:trPr>
          <w:gridAfter w:val="1"/>
          <w:wAfter w:w="6" w:type="dxa"/>
          <w:cantSplit/>
          <w:tblHeader/>
        </w:trPr>
        <w:tc>
          <w:tcPr>
            <w:tcW w:w="3154" w:type="dxa"/>
            <w:gridSpan w:val="2"/>
            <w:tcBorders>
              <w:top w:val="single" w:sz="4" w:space="0" w:color="auto"/>
              <w:left w:val="single" w:sz="4" w:space="0" w:color="auto"/>
              <w:bottom w:val="single" w:sz="4" w:space="0" w:color="auto"/>
              <w:right w:val="nil"/>
            </w:tcBorders>
            <w:shd w:val="clear" w:color="auto" w:fill="000000"/>
            <w:vAlign w:val="bottom"/>
          </w:tcPr>
          <w:p w:rsidR="00B958B1" w:rsidRPr="00D32CA4" w:rsidRDefault="00B958B1" w:rsidP="009F3B54">
            <w:pPr>
              <w:pStyle w:val="OGTabColLeft"/>
              <w:rPr>
                <w:i/>
              </w:rPr>
            </w:pPr>
            <w:r w:rsidRPr="00D32CA4">
              <w:t>Major Outputs/Deliverables</w:t>
            </w:r>
            <w:r w:rsidRPr="00D32CA4">
              <w:br/>
            </w:r>
            <w:r w:rsidRPr="0085011C">
              <w:rPr>
                <w:b w:val="0"/>
                <w:i/>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gridSpan w:val="2"/>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4" w:type="dxa"/>
            <w:gridSpan w:val="2"/>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gridSpan w:val="2"/>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Pr="005C542E" w:rsidRDefault="00B958B1" w:rsidP="009F3B54">
            <w:pPr>
              <w:pStyle w:val="OGHeading2"/>
              <w:rPr>
                <w:lang w:eastAsia="en-AU"/>
              </w:rPr>
            </w:pPr>
            <w:r w:rsidRPr="005C542E">
              <w:rPr>
                <w:lang w:eastAsia="en-AU"/>
              </w:rPr>
              <w:t>School Education</w:t>
            </w:r>
            <w:r>
              <w:rPr>
                <w:lang w:eastAsia="en-AU"/>
              </w:rPr>
              <w:t xml:space="preserve"> – </w:t>
            </w:r>
            <w:r w:rsidRPr="005C542E">
              <w:rPr>
                <w:lang w:eastAsia="en-AU"/>
              </w:rPr>
              <w:t>Primary</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Pr="005C542E" w:rsidRDefault="00B958B1" w:rsidP="009F3B54">
            <w:pPr>
              <w:pStyle w:val="OGText"/>
              <w:rPr>
                <w:lang w:eastAsia="en-AU"/>
              </w:rPr>
            </w:pPr>
            <w:r w:rsidRPr="005C542E">
              <w:rPr>
                <w:lang w:eastAsia="en-AU"/>
              </w:rPr>
              <w:t>This output provides education and other associated services designed to improve the quality of learning of students in Prep to Year</w:t>
            </w:r>
            <w:r>
              <w:rPr>
                <w:lang w:eastAsia="en-AU"/>
              </w:rPr>
              <w:t> </w:t>
            </w:r>
            <w:r w:rsidRPr="005C542E">
              <w:rPr>
                <w:lang w:eastAsia="en-AU"/>
              </w:rPr>
              <w:t>6 in government and non</w:t>
            </w:r>
            <w:r w:rsidR="009F0F49">
              <w:rPr>
                <w:lang w:eastAsia="en-AU"/>
              </w:rPr>
              <w:noBreakHyphen/>
            </w:r>
            <w:r w:rsidRPr="005C542E">
              <w:rPr>
                <w:lang w:eastAsia="en-AU"/>
              </w:rPr>
              <w:t>government schools.</w:t>
            </w:r>
          </w:p>
        </w:tc>
      </w:tr>
      <w:tr w:rsidR="00B958B1" w:rsidRPr="005C542E" w:rsidTr="009F3B54">
        <w:trPr>
          <w:cantSplit/>
        </w:trPr>
        <w:tc>
          <w:tcPr>
            <w:tcW w:w="3114" w:type="dxa"/>
            <w:tcBorders>
              <w:top w:val="single" w:sz="6" w:space="0" w:color="auto"/>
              <w:left w:val="nil"/>
              <w:bottom w:val="nil"/>
              <w:right w:val="nil"/>
            </w:tcBorders>
            <w:shd w:val="clear" w:color="auto" w:fill="auto"/>
            <w:vAlign w:val="bottom"/>
            <w:hideMark/>
          </w:tcPr>
          <w:p w:rsidR="00B958B1" w:rsidRPr="005C542E" w:rsidRDefault="00B958B1" w:rsidP="009F3B54">
            <w:pPr>
              <w:pStyle w:val="OGTabHead"/>
              <w:rPr>
                <w:lang w:eastAsia="en-AU"/>
              </w:rPr>
            </w:pPr>
            <w:r w:rsidRPr="005C542E">
              <w:rPr>
                <w:lang w:eastAsia="en-AU"/>
              </w:rPr>
              <w:t>Quality</w:t>
            </w:r>
          </w:p>
        </w:tc>
        <w:tc>
          <w:tcPr>
            <w:tcW w:w="953"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center"/>
              <w:rPr>
                <w:lang w:eastAsia="en-AU"/>
              </w:rPr>
            </w:pPr>
          </w:p>
        </w:tc>
        <w:tc>
          <w:tcPr>
            <w:tcW w:w="910" w:type="dxa"/>
            <w:gridSpan w:val="2"/>
            <w:tcBorders>
              <w:top w:val="single" w:sz="6" w:space="0" w:color="auto"/>
              <w:left w:val="nil"/>
              <w:bottom w:val="nil"/>
              <w:right w:val="nil"/>
            </w:tcBorders>
            <w:shd w:val="clear" w:color="auto" w:fill="D9D9D9"/>
            <w:noWrap/>
            <w:hideMark/>
          </w:tcPr>
          <w:p w:rsidR="00B958B1" w:rsidRPr="005C542E" w:rsidRDefault="00B958B1" w:rsidP="009F3B54">
            <w:pPr>
              <w:pStyle w:val="OGTabText"/>
              <w:jc w:val="right"/>
              <w:rPr>
                <w:lang w:eastAsia="en-AU"/>
              </w:rPr>
            </w:pPr>
          </w:p>
        </w:tc>
        <w:tc>
          <w:tcPr>
            <w:tcW w:w="98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925"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r>
      <w:tr w:rsidR="00B958B1" w:rsidRPr="005C542E" w:rsidTr="009F3B54">
        <w:trPr>
          <w:cantSplit/>
        </w:trPr>
        <w:tc>
          <w:tcPr>
            <w:tcW w:w="3114" w:type="dxa"/>
            <w:tcBorders>
              <w:top w:val="nil"/>
              <w:left w:val="nil"/>
              <w:bottom w:val="nil"/>
              <w:right w:val="nil"/>
            </w:tcBorders>
            <w:shd w:val="clear" w:color="000000" w:fill="FFFFFF"/>
            <w:hideMark/>
          </w:tcPr>
          <w:p w:rsidR="00B958B1" w:rsidRPr="005C542E" w:rsidRDefault="00B958B1" w:rsidP="009F3B54">
            <w:pPr>
              <w:pStyle w:val="OGTabText"/>
              <w:rPr>
                <w:lang w:eastAsia="en-AU"/>
              </w:rPr>
            </w:pPr>
            <w:r w:rsidRPr="005C542E">
              <w:rPr>
                <w:lang w:eastAsia="en-AU"/>
              </w:rPr>
              <w:t>Parent satisfaction with primary schooling on a 100</w:t>
            </w:r>
            <w:r w:rsidR="009F0F49">
              <w:rPr>
                <w:lang w:eastAsia="en-AU"/>
              </w:rPr>
              <w:noBreakHyphen/>
            </w:r>
            <w:r w:rsidRPr="005C542E">
              <w:rPr>
                <w:lang w:eastAsia="en-AU"/>
              </w:rPr>
              <w:t>point scale</w:t>
            </w:r>
          </w:p>
        </w:tc>
        <w:tc>
          <w:tcPr>
            <w:tcW w:w="953" w:type="dxa"/>
            <w:gridSpan w:val="3"/>
            <w:tcBorders>
              <w:top w:val="nil"/>
              <w:left w:val="nil"/>
              <w:bottom w:val="nil"/>
              <w:right w:val="nil"/>
            </w:tcBorders>
            <w:shd w:val="clear" w:color="000000" w:fill="FFFFFF"/>
            <w:hideMark/>
          </w:tcPr>
          <w:p w:rsidR="00B958B1" w:rsidRPr="005C542E" w:rsidRDefault="00B958B1" w:rsidP="009F3B54">
            <w:pPr>
              <w:pStyle w:val="OGUoM"/>
              <w:rPr>
                <w:lang w:eastAsia="en-AU"/>
              </w:rPr>
            </w:pPr>
            <w:r w:rsidRPr="005C542E">
              <w:rPr>
                <w:lang w:eastAsia="en-AU"/>
              </w:rPr>
              <w:t>100</w:t>
            </w:r>
            <w:r w:rsidR="009F0F49">
              <w:rPr>
                <w:lang w:eastAsia="en-AU"/>
              </w:rPr>
              <w:noBreakHyphen/>
            </w:r>
            <w:r w:rsidRPr="005C542E">
              <w:rPr>
                <w:lang w:eastAsia="en-AU"/>
              </w:rPr>
              <w:t>point scale</w:t>
            </w:r>
          </w:p>
        </w:tc>
        <w:tc>
          <w:tcPr>
            <w:tcW w:w="910" w:type="dxa"/>
            <w:gridSpan w:val="2"/>
            <w:tcBorders>
              <w:top w:val="nil"/>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81</w:t>
            </w:r>
          </w:p>
        </w:tc>
        <w:tc>
          <w:tcPr>
            <w:tcW w:w="985" w:type="dxa"/>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83</w:t>
            </w:r>
          </w:p>
        </w:tc>
        <w:tc>
          <w:tcPr>
            <w:tcW w:w="895" w:type="dxa"/>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80</w:t>
            </w:r>
          </w:p>
        </w:tc>
        <w:tc>
          <w:tcPr>
            <w:tcW w:w="925" w:type="dxa"/>
            <w:gridSpan w:val="3"/>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82</w:t>
            </w:r>
          </w:p>
        </w:tc>
      </w:tr>
      <w:tr w:rsidR="00B958B1" w:rsidRPr="005C542E" w:rsidTr="009F3B54">
        <w:trPr>
          <w:cantSplit/>
        </w:trPr>
        <w:tc>
          <w:tcPr>
            <w:tcW w:w="7782" w:type="dxa"/>
            <w:gridSpan w:val="11"/>
            <w:tcBorders>
              <w:top w:val="nil"/>
              <w:left w:val="nil"/>
              <w:bottom w:val="nil"/>
              <w:right w:val="nil"/>
            </w:tcBorders>
            <w:shd w:val="clear" w:color="000000" w:fill="FFFFFF"/>
          </w:tcPr>
          <w:p w:rsidR="00B958B1" w:rsidRDefault="00B958B1" w:rsidP="009F3B54">
            <w:pPr>
              <w:pStyle w:val="OGNotes"/>
            </w:pPr>
            <w:r w:rsidRPr="00BF40B1">
              <w:t>This performance measure relates to the calendar year.</w:t>
            </w:r>
          </w:p>
          <w:p w:rsidR="00B958B1" w:rsidRPr="005C542E" w:rsidRDefault="00B958B1" w:rsidP="009F3B54">
            <w:pPr>
              <w:pStyle w:val="OGNotes"/>
            </w:pPr>
            <w:r w:rsidRPr="006E1208">
              <w:t>The higher 2013</w:t>
            </w:r>
            <w:r w:rsidR="009F0F49">
              <w:noBreakHyphen/>
            </w:r>
            <w:r w:rsidRPr="006E1208">
              <w:t>14 Target reflects forecast improvements in performance.</w:t>
            </w:r>
            <w:r>
              <w:t xml:space="preserve"> </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rPr>
                <w:lang w:eastAsia="en-AU"/>
              </w:rPr>
            </w:pPr>
            <w:r>
              <w:rPr>
                <w:lang w:eastAsia="en-AU"/>
              </w:rPr>
              <w:t>Percentage</w:t>
            </w:r>
            <w:r w:rsidRPr="005C542E">
              <w:rPr>
                <w:lang w:eastAsia="en-AU"/>
              </w:rPr>
              <w:t xml:space="preserve"> of Indigenous students meeting the national minimum standard for numeracy in Year 3 (National Assessment Program Literacy and Numeracy – NAPLAN testing)</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89.4</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85.9</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88</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89.6</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rPr>
                <w:iCs/>
                <w:sz w:val="16"/>
                <w:szCs w:val="16"/>
              </w:rPr>
            </w:pPr>
            <w:r w:rsidRPr="006E1208">
              <w:t>The higher 2013</w:t>
            </w:r>
            <w:r w:rsidR="009F0F49">
              <w:noBreakHyphen/>
            </w:r>
            <w:r w:rsidRPr="006E1208">
              <w:t>14 Target reflects forecast improvements in performance. These</w:t>
            </w:r>
            <w:r w:rsidRPr="005C542E">
              <w:t xml:space="preserve"> NAPLAN performance measures, targets, expected outcomes and results have 95</w:t>
            </w:r>
            <w:r>
              <w:t> per cent</w:t>
            </w:r>
            <w:r w:rsidRPr="005C542E">
              <w:t xml:space="preserve"> confidence intervals as high as +4.5</w:t>
            </w:r>
            <w:r>
              <w:t> per cent</w:t>
            </w:r>
            <w:r w:rsidRPr="005C542E">
              <w:t xml:space="preserve"> and </w:t>
            </w:r>
            <w:r w:rsidR="009F0F49">
              <w:noBreakHyphen/>
            </w:r>
            <w:r w:rsidRPr="005C542E">
              <w:t>4.5</w:t>
            </w:r>
            <w:r>
              <w:t> per cent</w:t>
            </w:r>
            <w:r w:rsidRPr="005C542E">
              <w:t>.</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rPr>
                <w:lang w:eastAsia="en-AU"/>
              </w:rPr>
            </w:pPr>
            <w:r>
              <w:rPr>
                <w:lang w:eastAsia="en-AU"/>
              </w:rPr>
              <w:t>Percentage</w:t>
            </w:r>
            <w:r w:rsidRPr="005C542E">
              <w:rPr>
                <w:lang w:eastAsia="en-AU"/>
              </w:rPr>
              <w:t xml:space="preserve"> of Indigenous students meeting the national minimum standard for numeracy in Year 5 (NAPLAN testing)</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83.9</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83.2</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83</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86.1</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rPr>
                <w:iCs/>
                <w:sz w:val="16"/>
                <w:szCs w:val="16"/>
              </w:rPr>
            </w:pPr>
            <w:r w:rsidRPr="006E1208">
              <w:t>The higher 2013</w:t>
            </w:r>
            <w:r w:rsidR="009F0F49">
              <w:noBreakHyphen/>
            </w:r>
            <w:r w:rsidRPr="006E1208">
              <w:t>14 Target reflects forecast improvements in performance. These</w:t>
            </w:r>
            <w:r w:rsidRPr="005C542E">
              <w:t xml:space="preserve"> NAPLAN performance measures, targets, expected outcomes and results have 95</w:t>
            </w:r>
            <w:r>
              <w:t> per cent</w:t>
            </w:r>
            <w:r w:rsidRPr="005C542E">
              <w:t xml:space="preserve"> confidence intervals as high as +4.5</w:t>
            </w:r>
            <w:r>
              <w:t> per cent</w:t>
            </w:r>
            <w:r w:rsidRPr="005C542E">
              <w:t xml:space="preserve"> and </w:t>
            </w:r>
            <w:r w:rsidR="009F0F49">
              <w:noBreakHyphen/>
            </w:r>
            <w:r w:rsidRPr="005C542E">
              <w:t>4.5</w:t>
            </w:r>
            <w:r>
              <w:t> per cent</w:t>
            </w:r>
            <w:r w:rsidRPr="005C542E">
              <w:t>.</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pageBreakBefore/>
              <w:rPr>
                <w:lang w:eastAsia="en-AU"/>
              </w:rPr>
            </w:pPr>
            <w:r>
              <w:rPr>
                <w:lang w:eastAsia="en-AU"/>
              </w:rPr>
              <w:t>Percentage</w:t>
            </w:r>
            <w:r w:rsidRPr="005C542E">
              <w:rPr>
                <w:lang w:eastAsia="en-AU"/>
              </w:rPr>
              <w:t xml:space="preserve"> of Indigenous students meeting the national minimum standard for reading in Year 3 (NAPLAN testing)</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87.8</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84.9</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87</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88.2</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rPr>
                <w:iCs/>
                <w:sz w:val="16"/>
                <w:szCs w:val="16"/>
              </w:rPr>
            </w:pPr>
            <w:r w:rsidRPr="006E1208">
              <w:t>The higher 2013</w:t>
            </w:r>
            <w:r w:rsidR="009F0F49">
              <w:noBreakHyphen/>
            </w:r>
            <w:r w:rsidRPr="006E1208">
              <w:t>14 Target reflects forecast improvements in performance. These</w:t>
            </w:r>
            <w:r w:rsidRPr="005C542E">
              <w:t xml:space="preserve"> NAPLAN performance measures, targets, expected outcomes and results have 95</w:t>
            </w:r>
            <w:r>
              <w:t> per cent</w:t>
            </w:r>
            <w:r w:rsidRPr="005C542E">
              <w:t xml:space="preserve"> confidence intervals as high as +4.5</w:t>
            </w:r>
            <w:r>
              <w:t> per cent</w:t>
            </w:r>
            <w:r w:rsidRPr="005C542E">
              <w:t xml:space="preserve"> and </w:t>
            </w:r>
            <w:r w:rsidR="009F0F49">
              <w:noBreakHyphen/>
            </w:r>
            <w:r w:rsidRPr="005C542E">
              <w:t>4.5</w:t>
            </w:r>
            <w:r>
              <w:t> per cent</w:t>
            </w:r>
            <w:r w:rsidRPr="005C542E">
              <w:t>.</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rPr>
                <w:lang w:eastAsia="en-AU"/>
              </w:rPr>
            </w:pPr>
            <w:r>
              <w:rPr>
                <w:lang w:eastAsia="en-AU"/>
              </w:rPr>
              <w:t>Percentage</w:t>
            </w:r>
            <w:r w:rsidRPr="005C542E">
              <w:rPr>
                <w:lang w:eastAsia="en-AU"/>
              </w:rPr>
              <w:t xml:space="preserve"> of Indigenous students meeting the national minimum standard for reading in Year 5 (NAPLAN testing)</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keepNext/>
              <w:ind w:left="142"/>
              <w:jc w:val="right"/>
              <w:rPr>
                <w:lang w:eastAsia="en-AU"/>
              </w:rPr>
            </w:pPr>
            <w:r w:rsidRPr="005C542E">
              <w:rPr>
                <w:lang w:eastAsia="en-AU"/>
              </w:rPr>
              <w:t>83.9</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81.4</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83</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83.1</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rPr>
                <w:iCs/>
                <w:sz w:val="16"/>
                <w:szCs w:val="16"/>
              </w:rPr>
            </w:pPr>
            <w:r w:rsidRPr="006E1208">
              <w:t>The higher 2013</w:t>
            </w:r>
            <w:r w:rsidR="009F0F49">
              <w:noBreakHyphen/>
            </w:r>
            <w:r w:rsidRPr="006E1208">
              <w:t>14 Target reflects forecast improvements in performance. These</w:t>
            </w:r>
            <w:r w:rsidRPr="005C542E">
              <w:t xml:space="preserve"> NAPLAN performance measures, targets, expected outcomes and results have 95</w:t>
            </w:r>
            <w:r>
              <w:t> per cent</w:t>
            </w:r>
            <w:r w:rsidRPr="005C542E">
              <w:t xml:space="preserve"> confidence intervals as high as +4.5</w:t>
            </w:r>
            <w:r>
              <w:t> per cent</w:t>
            </w:r>
            <w:r w:rsidRPr="005C542E">
              <w:t xml:space="preserve"> and </w:t>
            </w:r>
            <w:r w:rsidR="009F0F49">
              <w:noBreakHyphen/>
            </w:r>
            <w:r w:rsidRPr="005C542E">
              <w:t>4.5</w:t>
            </w:r>
            <w:r>
              <w:t> per cent</w:t>
            </w:r>
            <w:r w:rsidRPr="005C542E">
              <w:t>.</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rPr>
                <w:lang w:eastAsia="en-AU"/>
              </w:rPr>
            </w:pPr>
            <w:r>
              <w:rPr>
                <w:lang w:eastAsia="en-AU"/>
              </w:rPr>
              <w:t>Percentage</w:t>
            </w:r>
            <w:r w:rsidRPr="005C542E">
              <w:rPr>
                <w:lang w:eastAsia="en-AU"/>
              </w:rPr>
              <w:t xml:space="preserve"> of students meeting the national minimum standard for numeracy in Year 3 (NAPLAN testing)</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95</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95.6</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95</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96.2</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pPr>
            <w:r w:rsidRPr="005C542E">
              <w:t>These NAPLAN performance measures, targets, expected outcomes and results have 95</w:t>
            </w:r>
            <w:r>
              <w:t> per cent</w:t>
            </w:r>
            <w:r w:rsidRPr="005C542E">
              <w:t xml:space="preserve"> confidence intervals of +/</w:t>
            </w:r>
            <w:r w:rsidR="009F0F49">
              <w:noBreakHyphen/>
            </w:r>
            <w:r w:rsidRPr="005C542E">
              <w:t xml:space="preserve"> 1</w:t>
            </w:r>
            <w:r>
              <w:t> per cent</w:t>
            </w:r>
            <w:r w:rsidRPr="005C542E">
              <w:t>.</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rPr>
                <w:lang w:eastAsia="en-AU"/>
              </w:rPr>
            </w:pPr>
            <w:r>
              <w:rPr>
                <w:lang w:eastAsia="en-AU"/>
              </w:rPr>
              <w:t>Percentage</w:t>
            </w:r>
            <w:r w:rsidRPr="005C542E">
              <w:rPr>
                <w:lang w:eastAsia="en-AU"/>
              </w:rPr>
              <w:t xml:space="preserve"> of students meeting the national minimum standard for numeracy in Year 5 (NAPLAN testing)</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95</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95</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94</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95.6</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Pr="006E1208" w:rsidRDefault="00B958B1" w:rsidP="009F3B54">
            <w:pPr>
              <w:pStyle w:val="OGNotes"/>
            </w:pPr>
            <w:r w:rsidRPr="006E1208">
              <w:t>This performance measure relates to the calendar year.</w:t>
            </w:r>
          </w:p>
          <w:p w:rsidR="00B958B1" w:rsidRPr="005C542E" w:rsidRDefault="00B958B1" w:rsidP="009F3B54">
            <w:pPr>
              <w:pStyle w:val="OGNotes"/>
            </w:pPr>
            <w:r w:rsidRPr="006E1208">
              <w:t>The higher 2013</w:t>
            </w:r>
            <w:r w:rsidR="009F0F49">
              <w:noBreakHyphen/>
            </w:r>
            <w:r w:rsidRPr="006E1208">
              <w:t>14 Target reflects forecast improvements in performance.</w:t>
            </w:r>
            <w:r>
              <w:t xml:space="preserve"> </w:t>
            </w:r>
            <w:r w:rsidRPr="005C542E">
              <w:t>These NAPLAN performance measures, targets, expected outcomes and results have 95</w:t>
            </w:r>
            <w:r>
              <w:t> per cent</w:t>
            </w:r>
            <w:r w:rsidRPr="005C542E">
              <w:t xml:space="preserve"> confidence intervals of +/</w:t>
            </w:r>
            <w:r w:rsidR="009F0F49">
              <w:noBreakHyphen/>
            </w:r>
            <w:r w:rsidRPr="005C542E">
              <w:t xml:space="preserve"> 1</w:t>
            </w:r>
            <w:r>
              <w:t> per cent</w:t>
            </w:r>
            <w:r w:rsidRPr="005C542E">
              <w:t>.</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rPr>
                <w:lang w:eastAsia="en-AU"/>
              </w:rPr>
            </w:pPr>
            <w:r>
              <w:rPr>
                <w:lang w:eastAsia="en-AU"/>
              </w:rPr>
              <w:t>Percentage</w:t>
            </w:r>
            <w:r w:rsidRPr="005C542E">
              <w:rPr>
                <w:lang w:eastAsia="en-AU"/>
              </w:rPr>
              <w:t xml:space="preserve"> of students meeting the national minimum standard for reading in Year 3 (NAPLAN testing)</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95</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95.2</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94.5</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95.3</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pPr>
            <w:r w:rsidRPr="006E1208">
              <w:t>The higher 2013</w:t>
            </w:r>
            <w:r w:rsidR="009F0F49">
              <w:noBreakHyphen/>
            </w:r>
            <w:r w:rsidRPr="006E1208">
              <w:t>14 Target reflects forecast improvements in performance. These</w:t>
            </w:r>
            <w:r w:rsidRPr="005C542E">
              <w:t xml:space="preserve"> NAPLAN performance measures, targets, expected outcomes and results have 95</w:t>
            </w:r>
            <w:r>
              <w:t> per cent</w:t>
            </w:r>
            <w:r w:rsidRPr="005C542E">
              <w:t xml:space="preserve"> confidence intervals of +/</w:t>
            </w:r>
            <w:r w:rsidR="009F0F49">
              <w:noBreakHyphen/>
            </w:r>
            <w:r w:rsidRPr="005C542E">
              <w:t xml:space="preserve"> 1</w:t>
            </w:r>
            <w:r>
              <w:t> per cent</w:t>
            </w:r>
            <w:r w:rsidRPr="005C542E">
              <w:t>.</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rPr>
                <w:lang w:eastAsia="en-AU"/>
              </w:rPr>
            </w:pPr>
            <w:r>
              <w:rPr>
                <w:lang w:eastAsia="en-AU"/>
              </w:rPr>
              <w:t>Percentage</w:t>
            </w:r>
            <w:r w:rsidRPr="005C542E">
              <w:rPr>
                <w:lang w:eastAsia="en-AU"/>
              </w:rPr>
              <w:t xml:space="preserve"> of students meeting the national minimum standard for reading in Year 5 (NAPLAN testing)</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94</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94.1</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93.5</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94.3</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pPr>
            <w:r w:rsidRPr="006E1208">
              <w:t>The higher 2013</w:t>
            </w:r>
            <w:r w:rsidR="009F0F49">
              <w:noBreakHyphen/>
            </w:r>
            <w:r w:rsidRPr="006E1208">
              <w:t>14 Target reflects forecast improvements in performance.</w:t>
            </w:r>
            <w:r>
              <w:t xml:space="preserve"> </w:t>
            </w:r>
            <w:r w:rsidRPr="005C542E">
              <w:t>These NAPLAN performance measures, targets, expected outcomes and results have 95</w:t>
            </w:r>
            <w:r>
              <w:t> per cent</w:t>
            </w:r>
            <w:r w:rsidRPr="005C542E">
              <w:t xml:space="preserve"> confidence intervals of +/</w:t>
            </w:r>
            <w:r w:rsidR="009F0F49">
              <w:noBreakHyphen/>
            </w:r>
            <w:r w:rsidRPr="005C542E">
              <w:t xml:space="preserve"> 1</w:t>
            </w:r>
            <w:r>
              <w:t> per cent</w:t>
            </w:r>
            <w:r w:rsidRPr="005C542E">
              <w:t>.</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pageBreakBefore/>
              <w:rPr>
                <w:lang w:eastAsia="en-AU"/>
              </w:rPr>
            </w:pPr>
            <w:r w:rsidRPr="005C542E">
              <w:rPr>
                <w:lang w:eastAsia="en-AU"/>
              </w:rPr>
              <w:t>Years 5</w:t>
            </w:r>
            <w:r>
              <w:rPr>
                <w:lang w:eastAsia="en-AU"/>
              </w:rPr>
              <w:t>–</w:t>
            </w:r>
            <w:r w:rsidRPr="005C542E">
              <w:rPr>
                <w:lang w:eastAsia="en-AU"/>
              </w:rPr>
              <w:t>6 students</w:t>
            </w:r>
            <w:r>
              <w:rPr>
                <w:lang w:eastAsia="en-AU"/>
              </w:rPr>
              <w:t>’</w:t>
            </w:r>
            <w:r w:rsidRPr="005C542E">
              <w:rPr>
                <w:lang w:eastAsia="en-AU"/>
              </w:rPr>
              <w:t xml:space="preserve"> opinion of their connectedness with the school</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sidRPr="005C542E">
              <w:rPr>
                <w:lang w:eastAsia="en-AU"/>
              </w:rPr>
              <w:t>number (1</w:t>
            </w:r>
            <w:r w:rsidR="009F0F49">
              <w:rPr>
                <w:lang w:eastAsia="en-AU"/>
              </w:rPr>
              <w:noBreakHyphen/>
            </w:r>
            <w:r w:rsidRPr="005C542E">
              <w:rPr>
                <w:lang w:eastAsia="en-AU"/>
              </w:rPr>
              <w:t>5)</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4.3</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4.4</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4.3</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4.4</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rPr>
                <w:iCs/>
                <w:sz w:val="16"/>
                <w:szCs w:val="16"/>
              </w:rPr>
            </w:pPr>
            <w:r w:rsidRPr="005C542E">
              <w:t>Data is drawn from the Attitudes to School Survey, where a higher score represents a higher level of connectedness (where students feel they belong and enjoy attending school).</w:t>
            </w:r>
          </w:p>
        </w:tc>
      </w:tr>
      <w:tr w:rsidR="00B958B1" w:rsidRPr="005C542E" w:rsidTr="009F3B54">
        <w:trPr>
          <w:cantSplit/>
        </w:trPr>
        <w:tc>
          <w:tcPr>
            <w:tcW w:w="3114" w:type="dxa"/>
            <w:tcBorders>
              <w:top w:val="single" w:sz="6" w:space="0" w:color="auto"/>
              <w:left w:val="nil"/>
              <w:bottom w:val="nil"/>
              <w:right w:val="nil"/>
            </w:tcBorders>
            <w:shd w:val="clear" w:color="auto" w:fill="auto"/>
            <w:vAlign w:val="bottom"/>
            <w:hideMark/>
          </w:tcPr>
          <w:p w:rsidR="00B958B1" w:rsidRPr="005C542E" w:rsidRDefault="00B958B1" w:rsidP="009F3B54">
            <w:pPr>
              <w:pStyle w:val="OGTabHead"/>
              <w:rPr>
                <w:lang w:eastAsia="en-AU"/>
              </w:rPr>
            </w:pPr>
            <w:r w:rsidRPr="005C542E">
              <w:rPr>
                <w:lang w:eastAsia="en-AU"/>
              </w:rPr>
              <w:t>Quantity</w:t>
            </w:r>
          </w:p>
        </w:tc>
        <w:tc>
          <w:tcPr>
            <w:tcW w:w="953"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center"/>
              <w:rPr>
                <w:lang w:eastAsia="en-AU"/>
              </w:rPr>
            </w:pPr>
          </w:p>
        </w:tc>
        <w:tc>
          <w:tcPr>
            <w:tcW w:w="910" w:type="dxa"/>
            <w:gridSpan w:val="2"/>
            <w:tcBorders>
              <w:top w:val="single" w:sz="6" w:space="0" w:color="auto"/>
              <w:left w:val="nil"/>
              <w:bottom w:val="nil"/>
              <w:right w:val="nil"/>
            </w:tcBorders>
            <w:shd w:val="clear" w:color="auto" w:fill="D9D9D9"/>
            <w:noWrap/>
            <w:hideMark/>
          </w:tcPr>
          <w:p w:rsidR="00B958B1" w:rsidRPr="005C542E" w:rsidRDefault="00B958B1" w:rsidP="009F3B54">
            <w:pPr>
              <w:pStyle w:val="OGTabText"/>
              <w:jc w:val="right"/>
              <w:rPr>
                <w:lang w:eastAsia="en-AU"/>
              </w:rPr>
            </w:pPr>
          </w:p>
        </w:tc>
        <w:tc>
          <w:tcPr>
            <w:tcW w:w="98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925"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r>
      <w:tr w:rsidR="00B958B1" w:rsidRPr="005C542E" w:rsidTr="009F3B54">
        <w:trPr>
          <w:cantSplit/>
        </w:trPr>
        <w:tc>
          <w:tcPr>
            <w:tcW w:w="3114" w:type="dxa"/>
            <w:tcBorders>
              <w:top w:val="nil"/>
              <w:left w:val="nil"/>
              <w:right w:val="nil"/>
            </w:tcBorders>
            <w:shd w:val="clear" w:color="000000" w:fill="FFFFFF"/>
            <w:hideMark/>
          </w:tcPr>
          <w:p w:rsidR="00B958B1" w:rsidRPr="005C542E" w:rsidRDefault="00B958B1" w:rsidP="009F3B54">
            <w:pPr>
              <w:pStyle w:val="OGTabText"/>
              <w:rPr>
                <w:lang w:eastAsia="en-AU"/>
              </w:rPr>
            </w:pPr>
            <w:r w:rsidRPr="005C542E">
              <w:rPr>
                <w:lang w:eastAsia="en-AU"/>
              </w:rPr>
              <w:t>Average Prep</w:t>
            </w:r>
            <w:r>
              <w:rPr>
                <w:rFonts w:cs="Calibri"/>
                <w:lang w:eastAsia="en-AU"/>
              </w:rPr>
              <w:t>–</w:t>
            </w:r>
            <w:r w:rsidRPr="005C542E">
              <w:rPr>
                <w:lang w:eastAsia="en-AU"/>
              </w:rPr>
              <w:t>Year 2 class size</w:t>
            </w:r>
          </w:p>
        </w:tc>
        <w:tc>
          <w:tcPr>
            <w:tcW w:w="953" w:type="dxa"/>
            <w:gridSpan w:val="3"/>
            <w:tcBorders>
              <w:top w:val="nil"/>
              <w:left w:val="nil"/>
              <w:right w:val="nil"/>
            </w:tcBorders>
            <w:shd w:val="clear" w:color="000000" w:fill="FFFFFF"/>
            <w:hideMark/>
          </w:tcPr>
          <w:p w:rsidR="00B958B1" w:rsidRPr="005C542E" w:rsidRDefault="00B958B1" w:rsidP="009F3B54">
            <w:pPr>
              <w:pStyle w:val="OGUoM"/>
              <w:rPr>
                <w:lang w:eastAsia="en-AU"/>
              </w:rPr>
            </w:pPr>
            <w:r w:rsidRPr="005C542E">
              <w:rPr>
                <w:lang w:eastAsia="en-AU"/>
              </w:rPr>
              <w:t>number</w:t>
            </w:r>
          </w:p>
        </w:tc>
        <w:tc>
          <w:tcPr>
            <w:tcW w:w="910" w:type="dxa"/>
            <w:gridSpan w:val="2"/>
            <w:tcBorders>
              <w:top w:val="nil"/>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21</w:t>
            </w:r>
          </w:p>
        </w:tc>
        <w:tc>
          <w:tcPr>
            <w:tcW w:w="985" w:type="dxa"/>
            <w:tcBorders>
              <w:top w:val="nil"/>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20.7</w:t>
            </w:r>
          </w:p>
        </w:tc>
        <w:tc>
          <w:tcPr>
            <w:tcW w:w="895" w:type="dxa"/>
            <w:tcBorders>
              <w:top w:val="nil"/>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21</w:t>
            </w:r>
          </w:p>
        </w:tc>
        <w:tc>
          <w:tcPr>
            <w:tcW w:w="925" w:type="dxa"/>
            <w:gridSpan w:val="3"/>
            <w:tcBorders>
              <w:top w:val="nil"/>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20.5</w:t>
            </w:r>
          </w:p>
        </w:tc>
      </w:tr>
      <w:tr w:rsidR="00B958B1" w:rsidRPr="005C542E" w:rsidTr="009F3B54">
        <w:trPr>
          <w:cantSplit/>
        </w:trPr>
        <w:tc>
          <w:tcPr>
            <w:tcW w:w="7782" w:type="dxa"/>
            <w:gridSpan w:val="11"/>
            <w:tcBorders>
              <w:top w:val="nil"/>
              <w:left w:val="nil"/>
              <w:bottom w:val="single" w:sz="6" w:space="0" w:color="auto"/>
              <w:right w:val="nil"/>
            </w:tcBorders>
            <w:shd w:val="clear" w:color="000000" w:fill="FFFFFF"/>
          </w:tcPr>
          <w:p w:rsidR="00B958B1" w:rsidRPr="005C542E" w:rsidRDefault="00B958B1" w:rsidP="009F3B54">
            <w:pPr>
              <w:pStyle w:val="OGNotes"/>
            </w:pPr>
            <w:r w:rsidRPr="00BF40B1">
              <w:t>This performance measure relates to the calendar year.</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rPr>
                <w:lang w:eastAsia="en-AU"/>
              </w:rPr>
            </w:pPr>
            <w:r w:rsidRPr="005C542E">
              <w:rPr>
                <w:lang w:eastAsia="en-AU"/>
              </w:rPr>
              <w:t>Average rate of student attendance at Year</w:t>
            </w:r>
            <w:r>
              <w:rPr>
                <w:lang w:eastAsia="en-AU"/>
              </w:rPr>
              <w:t> </w:t>
            </w:r>
            <w:r w:rsidRPr="005C542E">
              <w:rPr>
                <w:lang w:eastAsia="en-AU"/>
              </w:rPr>
              <w:t>5</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94</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94</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94</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93</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pPr>
            <w:r w:rsidRPr="005C542E">
              <w:t>The attendance rate covers all absences, including those due to illness and approved family holidays.</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rPr>
                <w:lang w:eastAsia="en-AU"/>
              </w:rPr>
            </w:pPr>
            <w:r w:rsidRPr="005C542E">
              <w:rPr>
                <w:lang w:eastAsia="en-AU"/>
              </w:rPr>
              <w:t>Average rate of student attendance at Year</w:t>
            </w:r>
            <w:r>
              <w:rPr>
                <w:lang w:eastAsia="en-AU"/>
              </w:rPr>
              <w:t> </w:t>
            </w:r>
            <w:r w:rsidRPr="005C542E">
              <w:rPr>
                <w:lang w:eastAsia="en-AU"/>
              </w:rPr>
              <w:t>6</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94</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94</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94</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93</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pPr>
            <w:r w:rsidRPr="005C542E">
              <w:t>The attendance rate covers all absences, including those due to illness and approved family holidays.</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rPr>
                <w:lang w:eastAsia="en-AU"/>
              </w:rPr>
            </w:pPr>
            <w:r w:rsidRPr="005C542E">
              <w:rPr>
                <w:lang w:eastAsia="en-AU"/>
              </w:rPr>
              <w:t>Investment in non</w:t>
            </w:r>
            <w:r w:rsidR="009F0F49">
              <w:rPr>
                <w:lang w:eastAsia="en-AU"/>
              </w:rPr>
              <w:noBreakHyphen/>
            </w:r>
            <w:r w:rsidRPr="005C542E">
              <w:rPr>
                <w:lang w:eastAsia="en-AU"/>
              </w:rPr>
              <w:t>government schools (</w:t>
            </w:r>
            <w:r>
              <w:rPr>
                <w:lang w:eastAsia="en-AU"/>
              </w:rPr>
              <w:t>p</w:t>
            </w:r>
            <w:r w:rsidRPr="005C542E">
              <w:rPr>
                <w:lang w:eastAsia="en-AU"/>
              </w:rPr>
              <w:t>rimary)</w:t>
            </w:r>
          </w:p>
        </w:tc>
        <w:tc>
          <w:tcPr>
            <w:tcW w:w="953" w:type="dxa"/>
            <w:gridSpan w:val="3"/>
            <w:tcBorders>
              <w:top w:val="single" w:sz="6" w:space="0" w:color="auto"/>
              <w:left w:val="nil"/>
              <w:right w:val="nil"/>
            </w:tcBorders>
            <w:shd w:val="clear" w:color="000000" w:fill="FFFFFF"/>
            <w:hideMark/>
          </w:tcPr>
          <w:p w:rsidR="00B958B1" w:rsidRDefault="00B958B1" w:rsidP="009F3B54">
            <w:pPr>
              <w:pStyle w:val="OGUoM"/>
              <w:rPr>
                <w:lang w:eastAsia="en-AU"/>
              </w:rPr>
            </w:pPr>
            <w:r w:rsidRPr="005C542E">
              <w:rPr>
                <w:lang w:eastAsia="en-AU"/>
              </w:rPr>
              <w:t>number (million)</w:t>
            </w:r>
          </w:p>
          <w:p w:rsidR="00B958B1" w:rsidRPr="005C542E" w:rsidRDefault="00B958B1" w:rsidP="009F3B54">
            <w:pPr>
              <w:pStyle w:val="OGUoM"/>
              <w:rPr>
                <w:lang w:eastAsia="en-AU"/>
              </w:rPr>
            </w:pP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320.5</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314.7</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314.3</w:t>
            </w:r>
          </w:p>
        </w:tc>
        <w:tc>
          <w:tcPr>
            <w:tcW w:w="925" w:type="dxa"/>
            <w:gridSpan w:val="3"/>
            <w:tcBorders>
              <w:top w:val="single" w:sz="6" w:space="0" w:color="auto"/>
              <w:left w:val="nil"/>
              <w:right w:val="nil"/>
            </w:tcBorders>
            <w:shd w:val="clear" w:color="000000" w:fill="FFFFFF"/>
            <w:hideMark/>
          </w:tcPr>
          <w:p w:rsidR="00B958B1" w:rsidRPr="004B2922" w:rsidRDefault="00B958B1" w:rsidP="009F3B54">
            <w:pPr>
              <w:pStyle w:val="OGTabText"/>
              <w:jc w:val="right"/>
              <w:rPr>
                <w:lang w:eastAsia="en-AU"/>
              </w:rPr>
            </w:pPr>
            <w:r w:rsidRPr="004B2922">
              <w:rPr>
                <w:lang w:eastAsia="en-AU"/>
              </w:rPr>
              <w:t>291.1</w:t>
            </w:r>
          </w:p>
        </w:tc>
      </w:tr>
      <w:tr w:rsidR="00B958B1" w:rsidRPr="005C542E" w:rsidTr="009F3B54">
        <w:trPr>
          <w:cantSplit/>
        </w:trPr>
        <w:tc>
          <w:tcPr>
            <w:tcW w:w="7782" w:type="dxa"/>
            <w:gridSpan w:val="11"/>
            <w:tcBorders>
              <w:left w:val="nil"/>
              <w:bottom w:val="single" w:sz="6" w:space="0" w:color="auto"/>
              <w:right w:val="nil"/>
            </w:tcBorders>
            <w:shd w:val="clear" w:color="000000" w:fill="FFFFFF"/>
          </w:tcPr>
          <w:p w:rsidR="00B958B1" w:rsidRPr="004B2922" w:rsidRDefault="00B958B1" w:rsidP="009F3B54">
            <w:pPr>
              <w:pStyle w:val="OGTabText"/>
              <w:ind w:left="397"/>
              <w:rPr>
                <w:lang w:eastAsia="en-AU"/>
              </w:rPr>
            </w:pPr>
            <w:r w:rsidRPr="006E1208">
              <w:rPr>
                <w:i/>
                <w:sz w:val="15"/>
                <w:szCs w:val="20"/>
                <w:lang w:eastAsia="en-AU"/>
              </w:rPr>
              <w:t>The 2013</w:t>
            </w:r>
            <w:r w:rsidR="009F0F49">
              <w:rPr>
                <w:i/>
                <w:sz w:val="15"/>
                <w:szCs w:val="20"/>
                <w:lang w:eastAsia="en-AU"/>
              </w:rPr>
              <w:noBreakHyphen/>
            </w:r>
            <w:r w:rsidRPr="006E1208">
              <w:rPr>
                <w:i/>
                <w:sz w:val="15"/>
                <w:szCs w:val="20"/>
                <w:lang w:eastAsia="en-AU"/>
              </w:rPr>
              <w:t xml:space="preserve">14 Target </w:t>
            </w:r>
            <w:r>
              <w:rPr>
                <w:i/>
                <w:sz w:val="15"/>
                <w:szCs w:val="20"/>
                <w:lang w:eastAsia="en-AU"/>
              </w:rPr>
              <w:t>is higher than the 2012</w:t>
            </w:r>
            <w:r w:rsidR="009F0F49">
              <w:rPr>
                <w:i/>
                <w:sz w:val="15"/>
                <w:szCs w:val="20"/>
                <w:lang w:eastAsia="en-AU"/>
              </w:rPr>
              <w:noBreakHyphen/>
            </w:r>
            <w:r>
              <w:rPr>
                <w:i/>
                <w:sz w:val="15"/>
                <w:szCs w:val="20"/>
                <w:lang w:eastAsia="en-AU"/>
              </w:rPr>
              <w:t>13 Target primarily due to price escalation.</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rPr>
                <w:lang w:eastAsia="en-AU"/>
              </w:rPr>
            </w:pPr>
            <w:r w:rsidRPr="005C542E">
              <w:rPr>
                <w:lang w:eastAsia="en-AU"/>
              </w:rPr>
              <w:t>Number of Assistant Principals, aspiring leaders and leadership teams participating in leadership development programs</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sidRPr="005C542E">
              <w:rPr>
                <w:lang w:eastAsia="en-AU"/>
              </w:rPr>
              <w:t>number</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keepNext/>
              <w:ind w:left="142"/>
              <w:jc w:val="right"/>
              <w:rPr>
                <w:lang w:eastAsia="en-AU"/>
              </w:rPr>
            </w:pPr>
            <w:r w:rsidRPr="005C542E">
              <w:rPr>
                <w:lang w:eastAsia="en-AU"/>
              </w:rPr>
              <w:t>700</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674</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600</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654</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rPr>
                <w:iCs/>
                <w:sz w:val="16"/>
                <w:szCs w:val="16"/>
              </w:rPr>
            </w:pPr>
            <w:r w:rsidRPr="005C542E">
              <w:t>The higher 2012</w:t>
            </w:r>
            <w:r w:rsidR="009F0F49">
              <w:noBreakHyphen/>
            </w:r>
            <w:r w:rsidRPr="005C542E">
              <w:t>13 Expected Outcome</w:t>
            </w:r>
            <w:r>
              <w:t xml:space="preserve"> </w:t>
            </w:r>
            <w:r w:rsidRPr="005C542E">
              <w:t>and higher 2013</w:t>
            </w:r>
            <w:r w:rsidR="009F0F49">
              <w:noBreakHyphen/>
            </w:r>
            <w:r w:rsidRPr="005C542E">
              <w:t>14 Target reflects additional learning opportunities offered and an increased number of courses targeted for principal class members, assisting them with the expectations of the reforms</w:t>
            </w:r>
            <w:r>
              <w:t xml:space="preserve"> </w:t>
            </w:r>
            <w:r w:rsidRPr="005C542E">
              <w:t xml:space="preserve">outlined in </w:t>
            </w:r>
            <w:r w:rsidRPr="00A86326">
              <w:rPr>
                <w:i w:val="0"/>
              </w:rPr>
              <w:t>Towards Victoria as a Learning Community</w:t>
            </w:r>
            <w:r>
              <w:t xml:space="preserve"> policy.</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rPr>
                <w:lang w:eastAsia="en-AU"/>
              </w:rPr>
            </w:pPr>
            <w:r w:rsidRPr="005C542E">
              <w:rPr>
                <w:lang w:eastAsia="en-AU"/>
              </w:rPr>
              <w:t>Number of Principals participating in statewide, centrally funded leadership development programs</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sidRPr="005C542E">
              <w:rPr>
                <w:lang w:eastAsia="en-AU"/>
              </w:rPr>
              <w:t>number</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350</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339</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320</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328</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rPr>
                <w:iCs/>
                <w:sz w:val="16"/>
                <w:szCs w:val="16"/>
              </w:rPr>
            </w:pPr>
            <w:r w:rsidRPr="005C542E">
              <w:t>The higher 2012</w:t>
            </w:r>
            <w:r w:rsidR="009F0F49">
              <w:noBreakHyphen/>
            </w:r>
            <w:r w:rsidRPr="005C542E">
              <w:t>13 Expected Outcome</w:t>
            </w:r>
            <w:r>
              <w:t xml:space="preserve"> </w:t>
            </w:r>
            <w:r w:rsidRPr="005C542E">
              <w:t>and higher 2013</w:t>
            </w:r>
            <w:r w:rsidR="009F0F49">
              <w:noBreakHyphen/>
            </w:r>
            <w:r w:rsidRPr="005C542E">
              <w:t>14 Target reflects additional learning opportunities offered and an increased number of courses targeted for principal class members, assisting them with the expectations of the reforms</w:t>
            </w:r>
            <w:r>
              <w:t xml:space="preserve"> </w:t>
            </w:r>
            <w:r w:rsidRPr="005C542E">
              <w:t xml:space="preserve">outlined in </w:t>
            </w:r>
            <w:r w:rsidRPr="00A86326">
              <w:rPr>
                <w:i w:val="0"/>
              </w:rPr>
              <w:t>Towards Victoria as a Learning Community</w:t>
            </w:r>
            <w:r w:rsidRPr="005C542E">
              <w:t xml:space="preserve"> policy. </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rPr>
                <w:lang w:eastAsia="en-AU"/>
              </w:rPr>
            </w:pPr>
            <w:r w:rsidRPr="005C542E">
              <w:rPr>
                <w:lang w:eastAsia="en-AU"/>
              </w:rPr>
              <w:t>Statewide computer to student ratio: primary</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sidRPr="005C542E">
              <w:rPr>
                <w:lang w:eastAsia="en-AU"/>
              </w:rPr>
              <w:t>ratio</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1:2.5</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1:3</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1:3</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1:2.</w:t>
            </w:r>
            <w:r>
              <w:rPr>
                <w:lang w:eastAsia="en-AU"/>
              </w:rPr>
              <w:t>16</w:t>
            </w:r>
          </w:p>
        </w:tc>
      </w:tr>
      <w:tr w:rsidR="00B958B1" w:rsidRPr="005C542E" w:rsidTr="009F3B54">
        <w:trPr>
          <w:cantSplit/>
        </w:trPr>
        <w:tc>
          <w:tcPr>
            <w:tcW w:w="7782" w:type="dxa"/>
            <w:gridSpan w:val="11"/>
            <w:tcBorders>
              <w:left w:val="nil"/>
              <w:bottom w:val="single" w:sz="6" w:space="0" w:color="auto"/>
              <w:right w:val="nil"/>
            </w:tcBorders>
            <w:shd w:val="clear" w:color="000000" w:fill="FFFFFF"/>
          </w:tcPr>
          <w:p w:rsidR="00B958B1" w:rsidRPr="005C542E" w:rsidRDefault="00B958B1" w:rsidP="009F3B54">
            <w:pPr>
              <w:pStyle w:val="OGTabText"/>
              <w:rPr>
                <w:lang w:eastAsia="en-AU"/>
              </w:rPr>
            </w:pPr>
            <w:r w:rsidRPr="006E1208">
              <w:rPr>
                <w:i/>
                <w:sz w:val="15"/>
                <w:szCs w:val="20"/>
                <w:lang w:eastAsia="en-AU"/>
              </w:rPr>
              <w:t xml:space="preserve">      The higher 2013</w:t>
            </w:r>
            <w:r w:rsidR="009F0F49">
              <w:rPr>
                <w:i/>
                <w:sz w:val="15"/>
                <w:szCs w:val="20"/>
                <w:lang w:eastAsia="en-AU"/>
              </w:rPr>
              <w:noBreakHyphen/>
            </w:r>
            <w:r w:rsidRPr="006E1208">
              <w:rPr>
                <w:i/>
                <w:sz w:val="15"/>
                <w:szCs w:val="20"/>
                <w:lang w:eastAsia="en-AU"/>
              </w:rPr>
              <w:t>14 Target reflects forecast improvements in performance.</w:t>
            </w:r>
          </w:p>
        </w:tc>
      </w:tr>
      <w:tr w:rsidR="00B958B1" w:rsidRPr="005C542E" w:rsidTr="009F3B54">
        <w:trPr>
          <w:cantSplit/>
        </w:trPr>
        <w:tc>
          <w:tcPr>
            <w:tcW w:w="3114" w:type="dxa"/>
            <w:tcBorders>
              <w:top w:val="single" w:sz="6" w:space="0" w:color="auto"/>
              <w:left w:val="nil"/>
              <w:right w:val="nil"/>
            </w:tcBorders>
            <w:shd w:val="clear" w:color="auto" w:fill="auto"/>
            <w:vAlign w:val="bottom"/>
            <w:hideMark/>
          </w:tcPr>
          <w:p w:rsidR="00B958B1" w:rsidRPr="005C542E" w:rsidRDefault="00B958B1" w:rsidP="009F3B54">
            <w:pPr>
              <w:pStyle w:val="OGTabHead"/>
              <w:rPr>
                <w:lang w:eastAsia="en-AU"/>
              </w:rPr>
            </w:pPr>
            <w:r w:rsidRPr="005C542E">
              <w:rPr>
                <w:lang w:eastAsia="en-AU"/>
              </w:rPr>
              <w:t>Cost</w:t>
            </w:r>
          </w:p>
        </w:tc>
        <w:tc>
          <w:tcPr>
            <w:tcW w:w="953" w:type="dxa"/>
            <w:gridSpan w:val="3"/>
            <w:tcBorders>
              <w:top w:val="single" w:sz="6" w:space="0" w:color="auto"/>
              <w:left w:val="nil"/>
              <w:right w:val="nil"/>
            </w:tcBorders>
            <w:shd w:val="clear" w:color="auto" w:fill="auto"/>
            <w:noWrap/>
            <w:hideMark/>
          </w:tcPr>
          <w:p w:rsidR="00B958B1" w:rsidRPr="005C542E" w:rsidRDefault="00B958B1" w:rsidP="009F3B54">
            <w:pPr>
              <w:pStyle w:val="OGTabText"/>
              <w:jc w:val="center"/>
              <w:rPr>
                <w:lang w:eastAsia="en-AU"/>
              </w:rPr>
            </w:pPr>
          </w:p>
        </w:tc>
        <w:tc>
          <w:tcPr>
            <w:tcW w:w="910" w:type="dxa"/>
            <w:gridSpan w:val="2"/>
            <w:tcBorders>
              <w:top w:val="single" w:sz="6" w:space="0" w:color="auto"/>
              <w:left w:val="nil"/>
              <w:right w:val="nil"/>
            </w:tcBorders>
            <w:shd w:val="clear" w:color="auto" w:fill="D9D9D9"/>
            <w:noWrap/>
            <w:hideMark/>
          </w:tcPr>
          <w:p w:rsidR="00B958B1" w:rsidRPr="005C542E" w:rsidRDefault="00B958B1" w:rsidP="009F3B54">
            <w:pPr>
              <w:pStyle w:val="OGTabText"/>
              <w:jc w:val="right"/>
              <w:rPr>
                <w:lang w:eastAsia="en-AU"/>
              </w:rPr>
            </w:pPr>
          </w:p>
        </w:tc>
        <w:tc>
          <w:tcPr>
            <w:tcW w:w="985" w:type="dxa"/>
            <w:tcBorders>
              <w:top w:val="single" w:sz="6" w:space="0" w:color="auto"/>
              <w:left w:val="nil"/>
              <w:right w:val="nil"/>
            </w:tcBorders>
            <w:shd w:val="clear" w:color="auto" w:fill="auto"/>
            <w:noWrap/>
            <w:hideMark/>
          </w:tcPr>
          <w:p w:rsidR="00B958B1" w:rsidRPr="005C542E" w:rsidRDefault="00B958B1" w:rsidP="009F3B54">
            <w:pPr>
              <w:pStyle w:val="OGTabText"/>
              <w:jc w:val="right"/>
              <w:rPr>
                <w:lang w:eastAsia="en-AU"/>
              </w:rPr>
            </w:pPr>
          </w:p>
        </w:tc>
        <w:tc>
          <w:tcPr>
            <w:tcW w:w="895" w:type="dxa"/>
            <w:tcBorders>
              <w:top w:val="single" w:sz="6" w:space="0" w:color="auto"/>
              <w:left w:val="nil"/>
              <w:right w:val="nil"/>
            </w:tcBorders>
            <w:shd w:val="clear" w:color="auto" w:fill="auto"/>
            <w:noWrap/>
            <w:hideMark/>
          </w:tcPr>
          <w:p w:rsidR="00B958B1" w:rsidRPr="005C542E" w:rsidRDefault="00B958B1" w:rsidP="009F3B54">
            <w:pPr>
              <w:pStyle w:val="OGTabText"/>
              <w:jc w:val="right"/>
              <w:rPr>
                <w:lang w:eastAsia="en-AU"/>
              </w:rPr>
            </w:pPr>
          </w:p>
        </w:tc>
        <w:tc>
          <w:tcPr>
            <w:tcW w:w="925" w:type="dxa"/>
            <w:gridSpan w:val="3"/>
            <w:tcBorders>
              <w:top w:val="single" w:sz="6" w:space="0" w:color="auto"/>
              <w:left w:val="nil"/>
              <w:right w:val="nil"/>
            </w:tcBorders>
            <w:shd w:val="clear" w:color="auto" w:fill="auto"/>
            <w:noWrap/>
            <w:hideMark/>
          </w:tcPr>
          <w:p w:rsidR="00B958B1" w:rsidRPr="005C542E" w:rsidRDefault="00B958B1" w:rsidP="009F3B54">
            <w:pPr>
              <w:pStyle w:val="OGTabText"/>
              <w:jc w:val="right"/>
              <w:rPr>
                <w:lang w:eastAsia="en-AU"/>
              </w:rPr>
            </w:pPr>
          </w:p>
        </w:tc>
      </w:tr>
      <w:tr w:rsidR="00B958B1" w:rsidRPr="005C542E" w:rsidTr="009F3B54">
        <w:trPr>
          <w:cantSplit/>
        </w:trPr>
        <w:tc>
          <w:tcPr>
            <w:tcW w:w="3114" w:type="dxa"/>
            <w:tcBorders>
              <w:top w:val="nil"/>
              <w:left w:val="nil"/>
              <w:right w:val="nil"/>
            </w:tcBorders>
            <w:shd w:val="clear" w:color="000000" w:fill="FFFFFF"/>
            <w:hideMark/>
          </w:tcPr>
          <w:p w:rsidR="00B958B1" w:rsidRPr="005C542E" w:rsidRDefault="00B958B1" w:rsidP="009F3B54">
            <w:pPr>
              <w:pStyle w:val="OGTabText"/>
              <w:rPr>
                <w:lang w:eastAsia="en-AU"/>
              </w:rPr>
            </w:pPr>
            <w:r w:rsidRPr="005C542E">
              <w:rPr>
                <w:lang w:eastAsia="en-AU"/>
              </w:rPr>
              <w:t>Total output cost</w:t>
            </w:r>
          </w:p>
        </w:tc>
        <w:tc>
          <w:tcPr>
            <w:tcW w:w="953" w:type="dxa"/>
            <w:gridSpan w:val="3"/>
            <w:tcBorders>
              <w:top w:val="nil"/>
              <w:left w:val="nil"/>
              <w:right w:val="nil"/>
            </w:tcBorders>
            <w:shd w:val="clear" w:color="000000" w:fill="FFFFFF"/>
            <w:hideMark/>
          </w:tcPr>
          <w:p w:rsidR="00B958B1" w:rsidRPr="005C542E" w:rsidRDefault="00B958B1" w:rsidP="009F3B54">
            <w:pPr>
              <w:pStyle w:val="OGUoM"/>
              <w:rPr>
                <w:lang w:eastAsia="en-AU"/>
              </w:rPr>
            </w:pPr>
            <w:r w:rsidRPr="005C542E">
              <w:rPr>
                <w:lang w:eastAsia="en-AU"/>
              </w:rPr>
              <w:t>number (million)</w:t>
            </w:r>
          </w:p>
        </w:tc>
        <w:tc>
          <w:tcPr>
            <w:tcW w:w="910" w:type="dxa"/>
            <w:gridSpan w:val="2"/>
            <w:tcBorders>
              <w:top w:val="nil"/>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4</w:t>
            </w:r>
            <w:r>
              <w:rPr>
                <w:lang w:eastAsia="en-AU"/>
              </w:rPr>
              <w:t> </w:t>
            </w:r>
            <w:r w:rsidRPr="005C542E">
              <w:rPr>
                <w:lang w:eastAsia="en-AU"/>
              </w:rPr>
              <w:t>072.7</w:t>
            </w:r>
          </w:p>
        </w:tc>
        <w:tc>
          <w:tcPr>
            <w:tcW w:w="985" w:type="dxa"/>
            <w:tcBorders>
              <w:top w:val="nil"/>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4028</w:t>
            </w:r>
          </w:p>
        </w:tc>
        <w:tc>
          <w:tcPr>
            <w:tcW w:w="895" w:type="dxa"/>
            <w:tcBorders>
              <w:top w:val="nil"/>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4</w:t>
            </w:r>
            <w:r>
              <w:rPr>
                <w:lang w:eastAsia="en-AU"/>
              </w:rPr>
              <w:t> </w:t>
            </w:r>
            <w:r w:rsidRPr="005C542E">
              <w:rPr>
                <w:lang w:eastAsia="en-AU"/>
              </w:rPr>
              <w:t>013.3</w:t>
            </w:r>
          </w:p>
        </w:tc>
        <w:tc>
          <w:tcPr>
            <w:tcW w:w="925" w:type="dxa"/>
            <w:gridSpan w:val="3"/>
            <w:tcBorders>
              <w:top w:val="nil"/>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w:t>
            </w:r>
            <w:r>
              <w:rPr>
                <w:lang w:eastAsia="en-AU"/>
              </w:rPr>
              <w:t> </w:t>
            </w:r>
            <w:r w:rsidRPr="005C542E">
              <w:rPr>
                <w:lang w:eastAsia="en-AU"/>
              </w:rPr>
              <w:t>978.9</w:t>
            </w:r>
          </w:p>
        </w:tc>
      </w:tr>
      <w:tr w:rsidR="00B958B1" w:rsidRPr="005C542E" w:rsidTr="009F3B54">
        <w:trPr>
          <w:cantSplit/>
        </w:trPr>
        <w:tc>
          <w:tcPr>
            <w:tcW w:w="7782" w:type="dxa"/>
            <w:gridSpan w:val="11"/>
            <w:tcBorders>
              <w:top w:val="nil"/>
              <w:left w:val="nil"/>
              <w:bottom w:val="single" w:sz="6" w:space="0" w:color="auto"/>
              <w:right w:val="nil"/>
            </w:tcBorders>
            <w:shd w:val="clear" w:color="000000" w:fill="FFFFFF"/>
          </w:tcPr>
          <w:p w:rsidR="00B958B1" w:rsidRPr="005C542E" w:rsidRDefault="00B958B1" w:rsidP="009F3B54">
            <w:pPr>
              <w:pStyle w:val="OGTabText"/>
              <w:rPr>
                <w:lang w:eastAsia="en-AU"/>
              </w:rPr>
            </w:pPr>
            <w:r>
              <w:rPr>
                <w:i/>
                <w:sz w:val="15"/>
                <w:szCs w:val="20"/>
                <w:lang w:eastAsia="en-AU"/>
              </w:rPr>
              <w:t xml:space="preserve">      The 2013</w:t>
            </w:r>
            <w:r w:rsidR="009F0F49">
              <w:rPr>
                <w:i/>
                <w:sz w:val="15"/>
                <w:szCs w:val="20"/>
                <w:lang w:eastAsia="en-AU"/>
              </w:rPr>
              <w:noBreakHyphen/>
            </w:r>
            <w:r w:rsidRPr="006E1208">
              <w:rPr>
                <w:i/>
                <w:sz w:val="15"/>
                <w:szCs w:val="20"/>
                <w:lang w:eastAsia="en-AU"/>
              </w:rPr>
              <w:t>14</w:t>
            </w:r>
            <w:r>
              <w:rPr>
                <w:i/>
                <w:sz w:val="15"/>
                <w:szCs w:val="20"/>
                <w:lang w:eastAsia="en-AU"/>
              </w:rPr>
              <w:t xml:space="preserve"> Target is higher than the 2012</w:t>
            </w:r>
            <w:r w:rsidR="009F0F49">
              <w:rPr>
                <w:i/>
                <w:sz w:val="15"/>
                <w:szCs w:val="20"/>
                <w:lang w:eastAsia="en-AU"/>
              </w:rPr>
              <w:noBreakHyphen/>
            </w:r>
            <w:r w:rsidRPr="006E1208">
              <w:rPr>
                <w:i/>
                <w:sz w:val="15"/>
                <w:szCs w:val="20"/>
                <w:lang w:eastAsia="en-AU"/>
              </w:rPr>
              <w:t>13 Target primarily due to new funding approvals and price escalation.</w:t>
            </w:r>
          </w:p>
        </w:tc>
      </w:tr>
      <w:tr w:rsidR="00B958B1" w:rsidRPr="005C542E" w:rsidTr="009F3B54">
        <w:trPr>
          <w:cantSplit/>
        </w:trPr>
        <w:tc>
          <w:tcPr>
            <w:tcW w:w="7782" w:type="dxa"/>
            <w:gridSpan w:val="11"/>
            <w:tcBorders>
              <w:top w:val="single" w:sz="6" w:space="0" w:color="auto"/>
              <w:left w:val="nil"/>
              <w:bottom w:val="nil"/>
              <w:right w:val="nil"/>
            </w:tcBorders>
            <w:shd w:val="clear" w:color="auto" w:fill="auto"/>
            <w:vAlign w:val="bottom"/>
            <w:hideMark/>
          </w:tcPr>
          <w:p w:rsidR="00B958B1" w:rsidRPr="005C542E" w:rsidRDefault="00B958B1" w:rsidP="009F3B54">
            <w:pPr>
              <w:pStyle w:val="OGHeading2"/>
              <w:rPr>
                <w:lang w:eastAsia="en-AU"/>
              </w:rPr>
            </w:pPr>
            <w:r w:rsidRPr="005C542E">
              <w:rPr>
                <w:lang w:eastAsia="en-AU"/>
              </w:rPr>
              <w:t>School Education</w:t>
            </w:r>
            <w:r>
              <w:rPr>
                <w:lang w:eastAsia="en-AU"/>
              </w:rPr>
              <w:t xml:space="preserve"> – </w:t>
            </w:r>
            <w:r w:rsidRPr="005C542E">
              <w:rPr>
                <w:lang w:eastAsia="en-AU"/>
              </w:rPr>
              <w:t>Secondary</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Pr="005C542E" w:rsidRDefault="00B958B1" w:rsidP="009F3B54">
            <w:pPr>
              <w:pStyle w:val="OGText"/>
              <w:rPr>
                <w:lang w:eastAsia="en-AU"/>
              </w:rPr>
            </w:pPr>
            <w:r w:rsidRPr="005C542E">
              <w:rPr>
                <w:lang w:eastAsia="en-AU"/>
              </w:rPr>
              <w:t>This output involves provision of education and other associated services designed to improve the quality of student learning and transition of students in Years 7 to 12 in government and non</w:t>
            </w:r>
            <w:r w:rsidR="009F0F49">
              <w:rPr>
                <w:lang w:eastAsia="en-AU"/>
              </w:rPr>
              <w:noBreakHyphen/>
            </w:r>
            <w:r w:rsidRPr="005C542E">
              <w:rPr>
                <w:lang w:eastAsia="en-AU"/>
              </w:rPr>
              <w:t>government schools. It also covers the provision of cross</w:t>
            </w:r>
            <w:r w:rsidR="009F0F49">
              <w:rPr>
                <w:lang w:eastAsia="en-AU"/>
              </w:rPr>
              <w:noBreakHyphen/>
            </w:r>
            <w:r w:rsidRPr="005C542E">
              <w:rPr>
                <w:lang w:eastAsia="en-AU"/>
              </w:rPr>
              <w:t>sectoral services to improve the transition to further education, training and employment.</w:t>
            </w:r>
          </w:p>
        </w:tc>
      </w:tr>
      <w:tr w:rsidR="00B958B1" w:rsidRPr="005C542E" w:rsidTr="009F3B54">
        <w:trPr>
          <w:cantSplit/>
        </w:trPr>
        <w:tc>
          <w:tcPr>
            <w:tcW w:w="3114" w:type="dxa"/>
            <w:tcBorders>
              <w:top w:val="single" w:sz="6" w:space="0" w:color="auto"/>
              <w:left w:val="nil"/>
              <w:bottom w:val="nil"/>
              <w:right w:val="nil"/>
            </w:tcBorders>
            <w:shd w:val="clear" w:color="auto" w:fill="auto"/>
            <w:vAlign w:val="bottom"/>
            <w:hideMark/>
          </w:tcPr>
          <w:p w:rsidR="00B958B1" w:rsidRPr="005C542E" w:rsidRDefault="00B958B1" w:rsidP="009F3B54">
            <w:pPr>
              <w:pStyle w:val="OGTabHead"/>
              <w:rPr>
                <w:lang w:eastAsia="en-AU"/>
              </w:rPr>
            </w:pPr>
            <w:r w:rsidRPr="005C542E">
              <w:rPr>
                <w:lang w:eastAsia="en-AU"/>
              </w:rPr>
              <w:t>Quality</w:t>
            </w:r>
          </w:p>
        </w:tc>
        <w:tc>
          <w:tcPr>
            <w:tcW w:w="953"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center"/>
              <w:rPr>
                <w:lang w:eastAsia="en-AU"/>
              </w:rPr>
            </w:pPr>
          </w:p>
        </w:tc>
        <w:tc>
          <w:tcPr>
            <w:tcW w:w="910" w:type="dxa"/>
            <w:gridSpan w:val="2"/>
            <w:tcBorders>
              <w:top w:val="single" w:sz="6" w:space="0" w:color="auto"/>
              <w:left w:val="nil"/>
              <w:bottom w:val="nil"/>
              <w:right w:val="nil"/>
            </w:tcBorders>
            <w:shd w:val="clear" w:color="auto" w:fill="D9D9D9"/>
            <w:noWrap/>
            <w:hideMark/>
          </w:tcPr>
          <w:p w:rsidR="00B958B1" w:rsidRPr="005C542E" w:rsidRDefault="00B958B1" w:rsidP="009F3B54">
            <w:pPr>
              <w:pStyle w:val="OGTabText"/>
              <w:jc w:val="right"/>
              <w:rPr>
                <w:lang w:eastAsia="en-AU"/>
              </w:rPr>
            </w:pPr>
          </w:p>
        </w:tc>
        <w:tc>
          <w:tcPr>
            <w:tcW w:w="98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925"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r>
      <w:tr w:rsidR="00B958B1" w:rsidRPr="005C542E" w:rsidTr="009F3B54">
        <w:trPr>
          <w:cantSplit/>
        </w:trPr>
        <w:tc>
          <w:tcPr>
            <w:tcW w:w="3114" w:type="dxa"/>
            <w:tcBorders>
              <w:top w:val="nil"/>
              <w:left w:val="nil"/>
              <w:right w:val="nil"/>
            </w:tcBorders>
            <w:shd w:val="clear" w:color="000000" w:fill="FFFFFF"/>
            <w:hideMark/>
          </w:tcPr>
          <w:p w:rsidR="00B958B1" w:rsidRPr="005C542E" w:rsidRDefault="00B958B1" w:rsidP="009F3B54">
            <w:pPr>
              <w:pStyle w:val="OGTabText"/>
              <w:rPr>
                <w:lang w:eastAsia="en-AU"/>
              </w:rPr>
            </w:pPr>
            <w:r w:rsidRPr="005C542E">
              <w:rPr>
                <w:lang w:eastAsia="en-AU"/>
              </w:rPr>
              <w:t>Average rate of student attendance in Years 11 and 12</w:t>
            </w:r>
          </w:p>
        </w:tc>
        <w:tc>
          <w:tcPr>
            <w:tcW w:w="953" w:type="dxa"/>
            <w:gridSpan w:val="3"/>
            <w:tcBorders>
              <w:top w:val="nil"/>
              <w:left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nil"/>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91</w:t>
            </w:r>
          </w:p>
        </w:tc>
        <w:tc>
          <w:tcPr>
            <w:tcW w:w="985" w:type="dxa"/>
            <w:tcBorders>
              <w:top w:val="nil"/>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91</w:t>
            </w:r>
          </w:p>
        </w:tc>
        <w:tc>
          <w:tcPr>
            <w:tcW w:w="895" w:type="dxa"/>
            <w:tcBorders>
              <w:top w:val="nil"/>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91</w:t>
            </w:r>
          </w:p>
        </w:tc>
        <w:tc>
          <w:tcPr>
            <w:tcW w:w="925" w:type="dxa"/>
            <w:gridSpan w:val="3"/>
            <w:tcBorders>
              <w:top w:val="nil"/>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92</w:t>
            </w:r>
          </w:p>
        </w:tc>
      </w:tr>
      <w:tr w:rsidR="00B958B1" w:rsidRPr="005C542E" w:rsidTr="009F3B54">
        <w:trPr>
          <w:cantSplit/>
        </w:trPr>
        <w:tc>
          <w:tcPr>
            <w:tcW w:w="7782" w:type="dxa"/>
            <w:gridSpan w:val="11"/>
            <w:tcBorders>
              <w:top w:val="nil"/>
              <w:left w:val="nil"/>
              <w:bottom w:val="single" w:sz="6" w:space="0" w:color="auto"/>
              <w:right w:val="nil"/>
            </w:tcBorders>
            <w:shd w:val="clear" w:color="000000" w:fill="FFFFFF"/>
          </w:tcPr>
          <w:p w:rsidR="00B958B1" w:rsidRPr="005C542E" w:rsidRDefault="00B958B1" w:rsidP="009F3B54">
            <w:pPr>
              <w:pStyle w:val="OGNotes"/>
            </w:pPr>
            <w:r w:rsidRPr="00BF40B1">
              <w:t>This performance measure relates to the calendar year.</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rPr>
                <w:lang w:eastAsia="en-AU"/>
              </w:rPr>
            </w:pPr>
            <w:r w:rsidRPr="005C542E">
              <w:rPr>
                <w:lang w:eastAsia="en-AU"/>
              </w:rPr>
              <w:t>Average rate of student attendance in Years 7</w:t>
            </w:r>
            <w:r>
              <w:t>–</w:t>
            </w:r>
            <w:r w:rsidRPr="005C542E">
              <w:rPr>
                <w:lang w:eastAsia="en-AU"/>
              </w:rPr>
              <w:t>10</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91</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91</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91</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90</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pPr>
            <w:r w:rsidRPr="005C542E">
              <w:t>The attendance rate covers all absences, including those due to illness and approved family holidays.</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rPr>
                <w:lang w:eastAsia="en-AU"/>
              </w:rPr>
            </w:pPr>
            <w:r w:rsidRPr="005C542E">
              <w:rPr>
                <w:lang w:eastAsia="en-AU"/>
              </w:rPr>
              <w:t>Enrolments in units of accredited vocational programs in schools as a proportion of total VCE unit enrolments in schools</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8.6</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9.2</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8.6</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Default="00B958B1" w:rsidP="009F3B54">
            <w:pPr>
              <w:pStyle w:val="OGNotes"/>
            </w:pPr>
            <w:r w:rsidRPr="005C542E">
              <w:t>This performance measure includes</w:t>
            </w:r>
            <w:r>
              <w:t xml:space="preserve"> government and</w:t>
            </w:r>
            <w:r w:rsidRPr="005C542E">
              <w:t xml:space="preserve"> non</w:t>
            </w:r>
            <w:r w:rsidR="009F0F49">
              <w:noBreakHyphen/>
            </w:r>
            <w:r w:rsidRPr="005C542E">
              <w:t>government schools.</w:t>
            </w:r>
          </w:p>
          <w:p w:rsidR="00B958B1" w:rsidRPr="005C542E" w:rsidRDefault="00B958B1" w:rsidP="009F3B54">
            <w:pPr>
              <w:pStyle w:val="OGNotes"/>
            </w:pPr>
            <w:r w:rsidRPr="005C542E">
              <w:t>The 2013</w:t>
            </w:r>
            <w:r w:rsidR="009F0F49">
              <w:noBreakHyphen/>
            </w:r>
            <w:r w:rsidRPr="005C542E">
              <w:t>14 Target has not been increased due to the uncertain impact of changes in the range of vocational programs offered by some training providers and their availability to school enrolled students.</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rPr>
                <w:lang w:eastAsia="en-AU"/>
              </w:rPr>
            </w:pPr>
            <w:r w:rsidRPr="005C542E">
              <w:rPr>
                <w:lang w:eastAsia="en-AU"/>
              </w:rPr>
              <w:t>Median VCE study score</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sidRPr="005C542E">
              <w:rPr>
                <w:lang w:eastAsia="en-AU"/>
              </w:rPr>
              <w:t>number</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29</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29</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29</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28</w:t>
            </w:r>
          </w:p>
        </w:tc>
      </w:tr>
      <w:tr w:rsidR="00B958B1" w:rsidRPr="005C542E" w:rsidTr="009F3B54">
        <w:trPr>
          <w:cantSplit/>
        </w:trPr>
        <w:tc>
          <w:tcPr>
            <w:tcW w:w="7782" w:type="dxa"/>
            <w:gridSpan w:val="11"/>
            <w:tcBorders>
              <w:left w:val="nil"/>
              <w:bottom w:val="single" w:sz="6" w:space="0" w:color="auto"/>
              <w:right w:val="nil"/>
            </w:tcBorders>
            <w:shd w:val="clear" w:color="000000" w:fill="FFFFFF"/>
          </w:tcPr>
          <w:p w:rsidR="00B958B1" w:rsidRDefault="00B958B1" w:rsidP="009F3B54">
            <w:pPr>
              <w:pStyle w:val="OGNotes"/>
            </w:pPr>
            <w:r w:rsidRPr="00317C24">
              <w:t>This performance measure relates to the calendar year.</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rPr>
                <w:lang w:eastAsia="en-AU"/>
              </w:rPr>
            </w:pPr>
            <w:r w:rsidRPr="005C542E">
              <w:rPr>
                <w:lang w:eastAsia="en-AU"/>
              </w:rPr>
              <w:t>Parent satisfaction with secondary schooling on a 100</w:t>
            </w:r>
            <w:r w:rsidR="009F0F49">
              <w:rPr>
                <w:lang w:eastAsia="en-AU"/>
              </w:rPr>
              <w:noBreakHyphen/>
            </w:r>
            <w:r w:rsidRPr="005C542E">
              <w:rPr>
                <w:lang w:eastAsia="en-AU"/>
              </w:rPr>
              <w:t>point scale</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sidRPr="005C542E">
              <w:rPr>
                <w:lang w:eastAsia="en-AU"/>
              </w:rPr>
              <w:t>100</w:t>
            </w:r>
            <w:r w:rsidR="009F0F49">
              <w:rPr>
                <w:lang w:eastAsia="en-AU"/>
              </w:rPr>
              <w:noBreakHyphen/>
            </w:r>
            <w:r w:rsidRPr="005C542E">
              <w:rPr>
                <w:lang w:eastAsia="en-AU"/>
              </w:rPr>
              <w:t>point scale</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73</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75</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72</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74</w:t>
            </w:r>
          </w:p>
        </w:tc>
      </w:tr>
      <w:tr w:rsidR="00B958B1" w:rsidRPr="00F90034" w:rsidTr="009F3B54">
        <w:trPr>
          <w:cantSplit/>
        </w:trPr>
        <w:tc>
          <w:tcPr>
            <w:tcW w:w="7782" w:type="dxa"/>
            <w:gridSpan w:val="11"/>
            <w:tcBorders>
              <w:left w:val="nil"/>
              <w:bottom w:val="single" w:sz="6" w:space="0" w:color="auto"/>
              <w:right w:val="nil"/>
            </w:tcBorders>
            <w:shd w:val="clear" w:color="000000" w:fill="FFFFFF"/>
          </w:tcPr>
          <w:p w:rsidR="00B958B1" w:rsidRDefault="00B958B1" w:rsidP="009F3B54">
            <w:pPr>
              <w:pStyle w:val="OGNotes"/>
            </w:pPr>
            <w:r w:rsidRPr="00F90034">
              <w:t>This performance measure relates to the calendar year.</w:t>
            </w:r>
          </w:p>
          <w:p w:rsidR="00B958B1" w:rsidRPr="00F90034" w:rsidRDefault="00B958B1" w:rsidP="009F3B54">
            <w:pPr>
              <w:pStyle w:val="OGNotes"/>
            </w:pPr>
            <w:r w:rsidRPr="006E1208">
              <w:t>The higher 2013</w:t>
            </w:r>
            <w:r w:rsidR="009F0F49">
              <w:noBreakHyphen/>
            </w:r>
            <w:r w:rsidRPr="006E1208">
              <w:t>14 Target reflects forecast improvements in performance.</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rPr>
                <w:lang w:eastAsia="en-AU"/>
              </w:rPr>
            </w:pPr>
            <w:r>
              <w:rPr>
                <w:lang w:eastAsia="en-AU"/>
              </w:rPr>
              <w:t>Percentage</w:t>
            </w:r>
            <w:r w:rsidRPr="005C542E">
              <w:rPr>
                <w:lang w:eastAsia="en-AU"/>
              </w:rPr>
              <w:t xml:space="preserve"> of Indigenous students meeting the national minimum standard for numeracy in Year 7 (NAPLAN testing)</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85.5</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85.7</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84</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86.3</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rPr>
                <w:iCs/>
                <w:sz w:val="16"/>
                <w:szCs w:val="16"/>
              </w:rPr>
            </w:pPr>
            <w:r w:rsidRPr="006E1208">
              <w:t>The higher 2013</w:t>
            </w:r>
            <w:r w:rsidR="009F0F49">
              <w:noBreakHyphen/>
            </w:r>
            <w:r w:rsidRPr="006E1208">
              <w:t>14 Target reflects forecast improvements in performance. These</w:t>
            </w:r>
            <w:r w:rsidRPr="005C542E">
              <w:t xml:space="preserve"> NAPLAN performance measures, targets, expected outcomes and results have 95</w:t>
            </w:r>
            <w:r>
              <w:t> per cent</w:t>
            </w:r>
            <w:r w:rsidRPr="005C542E">
              <w:t xml:space="preserve"> confidence intervals as high as +4.5</w:t>
            </w:r>
            <w:r>
              <w:t> per cent</w:t>
            </w:r>
            <w:r w:rsidRPr="005C542E">
              <w:t xml:space="preserve"> and </w:t>
            </w:r>
            <w:r w:rsidR="009F0F49">
              <w:noBreakHyphen/>
            </w:r>
            <w:r w:rsidRPr="005C542E">
              <w:t>4.5</w:t>
            </w:r>
            <w:r>
              <w:t> per cent</w:t>
            </w:r>
            <w:r w:rsidRPr="005C542E">
              <w:t>.</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pageBreakBefore/>
              <w:rPr>
                <w:lang w:eastAsia="en-AU"/>
              </w:rPr>
            </w:pPr>
            <w:r>
              <w:rPr>
                <w:lang w:eastAsia="en-AU"/>
              </w:rPr>
              <w:t>Percentage</w:t>
            </w:r>
            <w:r w:rsidRPr="005C542E">
              <w:rPr>
                <w:lang w:eastAsia="en-AU"/>
              </w:rPr>
              <w:t xml:space="preserve"> of Indigenous students meeting the national minimum standard for numeracy in Year 9 (NAPLAN testing)</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sidRPr="0044562B">
              <w:t>per</w:t>
            </w:r>
            <w:r>
              <w:rPr>
                <w:lang w:eastAsia="en-AU"/>
              </w:rPr>
              <w:t xml:space="preserve"> cent</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80.6</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83.1</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80</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80.3</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rPr>
                <w:iCs/>
                <w:sz w:val="16"/>
                <w:szCs w:val="16"/>
              </w:rPr>
            </w:pPr>
            <w:r w:rsidRPr="006E1208">
              <w:t>The higher 2013</w:t>
            </w:r>
            <w:r w:rsidR="009F0F49">
              <w:noBreakHyphen/>
            </w:r>
            <w:r w:rsidRPr="006E1208">
              <w:t>14 Target reflects forecast improvements in performance.</w:t>
            </w:r>
            <w:r>
              <w:t xml:space="preserve"> </w:t>
            </w:r>
            <w:r w:rsidRPr="005C542E">
              <w:t>These NAPLAN performance measures, targets, expected outcomes and results have 95</w:t>
            </w:r>
            <w:r>
              <w:t> per cent</w:t>
            </w:r>
            <w:r w:rsidRPr="005C542E">
              <w:t xml:space="preserve"> confidence intervals as high as +4.5</w:t>
            </w:r>
            <w:r>
              <w:t> per cent</w:t>
            </w:r>
            <w:r w:rsidRPr="005C542E">
              <w:t xml:space="preserve"> and </w:t>
            </w:r>
            <w:r w:rsidR="009F0F49">
              <w:noBreakHyphen/>
            </w:r>
            <w:r w:rsidRPr="005C542E">
              <w:t>4.5</w:t>
            </w:r>
            <w:r>
              <w:t> per cent</w:t>
            </w:r>
            <w:r w:rsidRPr="005C542E">
              <w:t>.</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rPr>
                <w:lang w:eastAsia="en-AU"/>
              </w:rPr>
            </w:pPr>
            <w:r>
              <w:rPr>
                <w:lang w:eastAsia="en-AU"/>
              </w:rPr>
              <w:t>Percent</w:t>
            </w:r>
            <w:r w:rsidRPr="005C542E">
              <w:rPr>
                <w:lang w:eastAsia="en-AU"/>
              </w:rPr>
              <w:t>age of Indigenous students meeting the national minimum standard for reading in Year 7 (NAPLAN testing)</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86.9</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87.8</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85</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87.8</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rPr>
                <w:iCs/>
                <w:sz w:val="16"/>
                <w:szCs w:val="16"/>
              </w:rPr>
            </w:pPr>
            <w:r w:rsidRPr="006E1208">
              <w:t>The higher 2013</w:t>
            </w:r>
            <w:r w:rsidR="009F0F49">
              <w:noBreakHyphen/>
            </w:r>
            <w:r w:rsidRPr="006E1208">
              <w:t>14 Target reflects forecast improvements in performance.</w:t>
            </w:r>
            <w:r>
              <w:t xml:space="preserve"> </w:t>
            </w:r>
            <w:r w:rsidRPr="005C542E">
              <w:t>These NAPLAN performance measures, targets, expected outcomes and results have 95</w:t>
            </w:r>
            <w:r>
              <w:t> per cent</w:t>
            </w:r>
            <w:r w:rsidRPr="005C542E">
              <w:t xml:space="preserve"> confidence intervals as high as +4.5</w:t>
            </w:r>
            <w:r>
              <w:t> per cent</w:t>
            </w:r>
            <w:r w:rsidRPr="005C542E">
              <w:t xml:space="preserve"> and </w:t>
            </w:r>
            <w:r w:rsidR="009F0F49">
              <w:noBreakHyphen/>
            </w:r>
            <w:r w:rsidRPr="005C542E">
              <w:t>4.5</w:t>
            </w:r>
            <w:r>
              <w:t> per cent</w:t>
            </w:r>
            <w:r w:rsidRPr="005C542E">
              <w:t>.</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rPr>
                <w:lang w:eastAsia="en-AU"/>
              </w:rPr>
            </w:pPr>
            <w:r>
              <w:rPr>
                <w:lang w:eastAsia="en-AU"/>
              </w:rPr>
              <w:t>Percent</w:t>
            </w:r>
            <w:r w:rsidRPr="005C542E">
              <w:rPr>
                <w:lang w:eastAsia="en-AU"/>
              </w:rPr>
              <w:t>age of Indigenous students meeting the national minimum standard for reading in Year 9 (NAPLAN testing)</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81.9</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80.7</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80</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83.2</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rPr>
                <w:iCs/>
                <w:sz w:val="16"/>
                <w:szCs w:val="16"/>
              </w:rPr>
            </w:pPr>
            <w:r w:rsidRPr="006E1208">
              <w:t>The higher 2013</w:t>
            </w:r>
            <w:r w:rsidR="009F0F49">
              <w:noBreakHyphen/>
            </w:r>
            <w:r w:rsidRPr="006E1208">
              <w:t>14 Target reflects forecast improvements in performance.</w:t>
            </w:r>
            <w:r>
              <w:t xml:space="preserve"> </w:t>
            </w:r>
            <w:r w:rsidRPr="005C542E">
              <w:t>These NAPLAN performance measures, targets, expected outcomes and results have 95</w:t>
            </w:r>
            <w:r>
              <w:t> per cent</w:t>
            </w:r>
            <w:r w:rsidRPr="005C542E">
              <w:t xml:space="preserve"> confidence intervals as high as +4.5</w:t>
            </w:r>
            <w:r>
              <w:t> per cent</w:t>
            </w:r>
            <w:r w:rsidRPr="005C542E">
              <w:t xml:space="preserve"> and </w:t>
            </w:r>
            <w:r w:rsidR="009F0F49">
              <w:noBreakHyphen/>
            </w:r>
            <w:r w:rsidRPr="005C542E">
              <w:t>4.5</w:t>
            </w:r>
            <w:r>
              <w:t> per cent</w:t>
            </w:r>
            <w:r w:rsidRPr="005C542E">
              <w:t>.</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rPr>
                <w:lang w:eastAsia="en-AU"/>
              </w:rPr>
            </w:pPr>
            <w:r>
              <w:rPr>
                <w:lang w:eastAsia="en-AU"/>
              </w:rPr>
              <w:t>Percentage</w:t>
            </w:r>
            <w:r w:rsidRPr="005C542E">
              <w:rPr>
                <w:lang w:eastAsia="en-AU"/>
              </w:rPr>
              <w:t xml:space="preserve"> of Victorian Certificate of Applied Learning Certificates satisfactorily completed by school students</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keepNext/>
              <w:ind w:left="142"/>
              <w:jc w:val="right"/>
              <w:rPr>
                <w:lang w:eastAsia="en-AU"/>
              </w:rPr>
            </w:pPr>
            <w:r w:rsidRPr="005C542E">
              <w:rPr>
                <w:lang w:eastAsia="en-AU"/>
              </w:rPr>
              <w:t>75</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77.6</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71</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74</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Default="00B958B1" w:rsidP="009F3B54">
            <w:pPr>
              <w:pStyle w:val="OGNotes"/>
            </w:pPr>
            <w:r w:rsidRPr="005C542E">
              <w:t>This performance measure includes</w:t>
            </w:r>
            <w:r>
              <w:t xml:space="preserve"> government and</w:t>
            </w:r>
            <w:r w:rsidRPr="005C542E">
              <w:t xml:space="preserve"> non</w:t>
            </w:r>
            <w:r w:rsidR="009F0F49">
              <w:noBreakHyphen/>
            </w:r>
            <w:r w:rsidRPr="005C542E">
              <w:t>government schools.</w:t>
            </w:r>
          </w:p>
          <w:p w:rsidR="00B958B1" w:rsidRPr="005C542E" w:rsidRDefault="00B958B1" w:rsidP="009F3B54">
            <w:pPr>
              <w:pStyle w:val="OGNotes"/>
            </w:pPr>
            <w:r w:rsidRPr="005C542E">
              <w:t>The 2012</w:t>
            </w:r>
            <w:r w:rsidR="009F0F49">
              <w:noBreakHyphen/>
            </w:r>
            <w:r w:rsidRPr="005C542E">
              <w:t>13 Expected Outcome is higher than the 2012</w:t>
            </w:r>
            <w:r w:rsidR="009F0F49">
              <w:noBreakHyphen/>
            </w:r>
            <w:r w:rsidRPr="005C542E">
              <w:t>13 Target due to higher than anticipated completion trends. An increasing proportion of students are undertaking VCAL at Intermediate and Senior levels as VCAL becomes more established as an alternative qualification to the VCE. The 2013</w:t>
            </w:r>
            <w:r w:rsidR="009F0F49">
              <w:noBreakHyphen/>
            </w:r>
            <w:r w:rsidRPr="005C542E">
              <w:t>14 Target has been increased to reflect a likely continuation of this trend.</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rPr>
                <w:lang w:eastAsia="en-AU"/>
              </w:rPr>
            </w:pPr>
            <w:r>
              <w:rPr>
                <w:lang w:eastAsia="en-AU"/>
              </w:rPr>
              <w:t>Percentage</w:t>
            </w:r>
            <w:r w:rsidRPr="005C542E">
              <w:rPr>
                <w:lang w:eastAsia="en-AU"/>
              </w:rPr>
              <w:t xml:space="preserve"> of Year 9 students reach</w:t>
            </w:r>
            <w:r>
              <w:rPr>
                <w:lang w:eastAsia="en-AU"/>
              </w:rPr>
              <w:t>ing the top two Bands (Bands 9 a</w:t>
            </w:r>
            <w:r w:rsidRPr="005C542E">
              <w:rPr>
                <w:lang w:eastAsia="en-AU"/>
              </w:rPr>
              <w:t>nd 10) in NAPLAN Numeracy</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24</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24.7</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23</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25</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Default="00B958B1" w:rsidP="009F3B54">
            <w:pPr>
              <w:pStyle w:val="OGNotes"/>
            </w:pPr>
            <w:r w:rsidRPr="006E1208">
              <w:t>The higher 2013</w:t>
            </w:r>
            <w:r w:rsidR="009F0F49">
              <w:noBreakHyphen/>
            </w:r>
            <w:r w:rsidRPr="006E1208">
              <w:t>14 Target reflects forecast improvements in performance. These</w:t>
            </w:r>
            <w:r w:rsidRPr="005C542E">
              <w:t xml:space="preserve"> NAPLAN performance measures, targets, expected outcomes and results have 95</w:t>
            </w:r>
            <w:r>
              <w:t> per cent</w:t>
            </w:r>
            <w:r w:rsidRPr="005C542E">
              <w:t xml:space="preserve"> confidence intervals as high as +4.5</w:t>
            </w:r>
            <w:r>
              <w:t> per cent</w:t>
            </w:r>
            <w:r w:rsidRPr="005C542E">
              <w:t xml:space="preserve"> and </w:t>
            </w:r>
            <w:r w:rsidR="009F0F49">
              <w:noBreakHyphen/>
            </w:r>
            <w:r w:rsidRPr="005C542E">
              <w:t>4.5</w:t>
            </w:r>
            <w:r>
              <w:t> per cent</w:t>
            </w:r>
            <w:r w:rsidRPr="005C542E">
              <w:t>.</w:t>
            </w:r>
          </w:p>
          <w:p w:rsidR="00B958B1" w:rsidRPr="005C542E" w:rsidRDefault="00B958B1" w:rsidP="009F3B54">
            <w:pPr>
              <w:pStyle w:val="OGNotes"/>
              <w:rPr>
                <w:iCs/>
                <w:sz w:val="16"/>
                <w:szCs w:val="16"/>
              </w:rPr>
            </w:pPr>
            <w:r w:rsidRPr="005C542E">
              <w:t>The scale for each domain is divided into ten bands to cover the full range of student achievement in the tests. The bands map the increasing complexity of the skills assessed by NAPLAN.</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rPr>
                <w:lang w:eastAsia="en-AU"/>
              </w:rPr>
            </w:pPr>
            <w:r>
              <w:rPr>
                <w:lang w:eastAsia="en-AU"/>
              </w:rPr>
              <w:t>Percentage</w:t>
            </w:r>
            <w:r w:rsidRPr="005C542E">
              <w:rPr>
                <w:lang w:eastAsia="en-AU"/>
              </w:rPr>
              <w:t xml:space="preserve"> of Year 9 students reaching the top two Bands (Bands 9 and 10) in NAPLAN Reading</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keepNext/>
              <w:ind w:left="142"/>
              <w:jc w:val="right"/>
              <w:rPr>
                <w:lang w:eastAsia="en-AU"/>
              </w:rPr>
            </w:pPr>
            <w:r w:rsidRPr="005C542E">
              <w:rPr>
                <w:lang w:eastAsia="en-AU"/>
              </w:rPr>
              <w:t>20.4</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20.4</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20</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21.6</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Default="00B958B1" w:rsidP="009F3B54">
            <w:pPr>
              <w:pStyle w:val="OGNotes"/>
            </w:pPr>
            <w:r w:rsidRPr="006E1208">
              <w:t>The higher 2013</w:t>
            </w:r>
            <w:r w:rsidR="009F0F49">
              <w:noBreakHyphen/>
            </w:r>
            <w:r w:rsidRPr="006E1208">
              <w:t>14 Target reflects forecast improvements in performance. These</w:t>
            </w:r>
            <w:r w:rsidRPr="005C542E">
              <w:t xml:space="preserve"> NAPLAN performance measures, targets, expected outcomes and results have 95</w:t>
            </w:r>
            <w:r>
              <w:t> per cent</w:t>
            </w:r>
            <w:r w:rsidRPr="005C542E">
              <w:t xml:space="preserve"> confidence intervals as high as +4.5</w:t>
            </w:r>
            <w:r>
              <w:t> per cent</w:t>
            </w:r>
            <w:r w:rsidRPr="005C542E">
              <w:t xml:space="preserve"> and </w:t>
            </w:r>
            <w:r w:rsidR="009F0F49">
              <w:noBreakHyphen/>
            </w:r>
            <w:r w:rsidRPr="005C542E">
              <w:t>4.5</w:t>
            </w:r>
            <w:r>
              <w:t> per cent</w:t>
            </w:r>
            <w:r w:rsidRPr="005C542E">
              <w:t>.</w:t>
            </w:r>
          </w:p>
          <w:p w:rsidR="00B958B1" w:rsidRPr="005C542E" w:rsidRDefault="00B958B1" w:rsidP="009F3B54">
            <w:pPr>
              <w:pStyle w:val="OGNotes"/>
              <w:rPr>
                <w:iCs/>
                <w:sz w:val="16"/>
                <w:szCs w:val="16"/>
              </w:rPr>
            </w:pPr>
            <w:r w:rsidRPr="005C542E">
              <w:t>The scale for each domain is divided into ten bands to cover the full range of student achievement in the tests. The bands map the increasing complexity of the skills assessed by NAPLAN.</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rPr>
                <w:lang w:eastAsia="en-AU"/>
              </w:rPr>
            </w:pPr>
            <w:r>
              <w:rPr>
                <w:lang w:eastAsia="en-AU"/>
              </w:rPr>
              <w:t>Percentage</w:t>
            </w:r>
            <w:r w:rsidRPr="005C542E">
              <w:rPr>
                <w:lang w:eastAsia="en-AU"/>
              </w:rPr>
              <w:t xml:space="preserve"> of school leavers completing a VCE VET certificate program in a school progressing to further education, training or work</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91.6</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91.6</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91.6</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96.6</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pPr>
            <w:r w:rsidRPr="005C542E">
              <w:t>This performance measure includes</w:t>
            </w:r>
            <w:r>
              <w:t xml:space="preserve"> government and</w:t>
            </w:r>
            <w:r w:rsidRPr="005C542E">
              <w:t xml:space="preserve"> non</w:t>
            </w:r>
            <w:r w:rsidR="009F0F49">
              <w:noBreakHyphen/>
            </w:r>
            <w:r w:rsidRPr="005C542E">
              <w:t>government schools.</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rPr>
                <w:lang w:eastAsia="en-AU"/>
              </w:rPr>
            </w:pPr>
            <w:r>
              <w:rPr>
                <w:lang w:eastAsia="en-AU"/>
              </w:rPr>
              <w:t>Percentage</w:t>
            </w:r>
            <w:r w:rsidRPr="005C542E">
              <w:rPr>
                <w:lang w:eastAsia="en-AU"/>
              </w:rPr>
              <w:t xml:space="preserve"> of school leavers completing an Intermediate or Senior Victorian Certificate of Applied Learning Certificate in a school progressing to further education, training or work</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82.9</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82.9</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82.9</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86.9</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pPr>
            <w:r w:rsidRPr="005C542E">
              <w:t>This performance measure includes</w:t>
            </w:r>
            <w:r>
              <w:t xml:space="preserve"> government and</w:t>
            </w:r>
            <w:r w:rsidRPr="005C542E">
              <w:t xml:space="preserve"> non</w:t>
            </w:r>
            <w:r w:rsidR="009F0F49">
              <w:noBreakHyphen/>
            </w:r>
            <w:r w:rsidRPr="005C542E">
              <w:t>government schools.</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rPr>
                <w:lang w:eastAsia="en-AU"/>
              </w:rPr>
            </w:pPr>
            <w:r>
              <w:rPr>
                <w:lang w:eastAsia="en-AU"/>
              </w:rPr>
              <w:t>Percentage</w:t>
            </w:r>
            <w:r w:rsidRPr="005C542E">
              <w:rPr>
                <w:lang w:eastAsia="en-AU"/>
              </w:rPr>
              <w:t xml:space="preserve"> of students meeting the national minimum standard for numeracy in Year 7 (NAPLAN testing)</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95</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95</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95</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95.8</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pPr>
            <w:r w:rsidRPr="005C542E">
              <w:t>These NAPLAN performance measures, targets, expected outcomes and results have 95</w:t>
            </w:r>
            <w:r>
              <w:t> per cent</w:t>
            </w:r>
            <w:r w:rsidRPr="005C542E">
              <w:t xml:space="preserve"> confidence intervals of +/</w:t>
            </w:r>
            <w:r w:rsidR="009F0F49">
              <w:noBreakHyphen/>
            </w:r>
            <w:r w:rsidRPr="005C542E">
              <w:t xml:space="preserve"> 1</w:t>
            </w:r>
            <w:r>
              <w:t> per cent</w:t>
            </w:r>
            <w:r w:rsidRPr="005C542E">
              <w:t>.</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rPr>
                <w:lang w:eastAsia="en-AU"/>
              </w:rPr>
            </w:pPr>
            <w:r>
              <w:rPr>
                <w:lang w:eastAsia="en-AU"/>
              </w:rPr>
              <w:t>Percentage</w:t>
            </w:r>
            <w:r w:rsidRPr="005C542E">
              <w:rPr>
                <w:lang w:eastAsia="en-AU"/>
              </w:rPr>
              <w:t xml:space="preserve"> of students meeting the national minimum standard for numeracy in Year 9 (NAPLAN testing)</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94</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95</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93.5</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94.6</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Pr="006E1208" w:rsidRDefault="00B958B1" w:rsidP="009F3B54">
            <w:pPr>
              <w:pStyle w:val="OGNotes"/>
            </w:pPr>
            <w:r w:rsidRPr="006E1208">
              <w:t>This performance measure relates to the calendar year.</w:t>
            </w:r>
          </w:p>
          <w:p w:rsidR="00B958B1" w:rsidRPr="005C542E" w:rsidRDefault="00B958B1" w:rsidP="009F3B54">
            <w:pPr>
              <w:pStyle w:val="OGNotes"/>
            </w:pPr>
            <w:r w:rsidRPr="006E1208">
              <w:t>The higher 2013</w:t>
            </w:r>
            <w:r w:rsidR="009F0F49">
              <w:noBreakHyphen/>
            </w:r>
            <w:r w:rsidRPr="006E1208">
              <w:t>14 Target reflects forecast improvements in performance.</w:t>
            </w:r>
            <w:r>
              <w:t xml:space="preserve"> </w:t>
            </w:r>
            <w:r w:rsidRPr="005C542E">
              <w:t>These NAPLAN performance measures, targets, expected outcomes and results have 95</w:t>
            </w:r>
            <w:r>
              <w:t> per cent</w:t>
            </w:r>
            <w:r w:rsidRPr="005C542E">
              <w:t xml:space="preserve"> confidence intervals of +/</w:t>
            </w:r>
            <w:r w:rsidR="009F0F49">
              <w:noBreakHyphen/>
            </w:r>
            <w:r w:rsidRPr="005C542E">
              <w:t xml:space="preserve"> 1</w:t>
            </w:r>
            <w:r>
              <w:t> per cent</w:t>
            </w:r>
            <w:r w:rsidRPr="005C542E">
              <w:t>.</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rPr>
                <w:lang w:eastAsia="en-AU"/>
              </w:rPr>
            </w:pPr>
            <w:r>
              <w:rPr>
                <w:lang w:eastAsia="en-AU"/>
              </w:rPr>
              <w:t>Percentage</w:t>
            </w:r>
            <w:r w:rsidRPr="005C542E">
              <w:rPr>
                <w:lang w:eastAsia="en-AU"/>
              </w:rPr>
              <w:t xml:space="preserve"> of students meeting the national minimum standard for reading in Year 7 (NAPLAN testing)</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95</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95.5</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94.3</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95.8</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pPr>
            <w:r w:rsidRPr="006E1208">
              <w:t>The higher 2013</w:t>
            </w:r>
            <w:r w:rsidR="009F0F49">
              <w:noBreakHyphen/>
            </w:r>
            <w:r w:rsidRPr="006E1208">
              <w:t>14 Target reflects forecast improvements in performance. These</w:t>
            </w:r>
            <w:r w:rsidRPr="005C542E">
              <w:t xml:space="preserve"> NAPLAN performance measures, targets, expected outcomes and results have 95</w:t>
            </w:r>
            <w:r>
              <w:t> per cent</w:t>
            </w:r>
            <w:r w:rsidRPr="005C542E">
              <w:t xml:space="preserve"> confidence intervals of +/</w:t>
            </w:r>
            <w:r w:rsidR="009F0F49">
              <w:noBreakHyphen/>
            </w:r>
            <w:r w:rsidRPr="005C542E">
              <w:t xml:space="preserve"> 1</w:t>
            </w:r>
            <w:r>
              <w:t> per cent</w:t>
            </w:r>
            <w:r w:rsidRPr="005C542E">
              <w:t>.</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keepNext/>
              <w:ind w:left="142"/>
              <w:rPr>
                <w:lang w:eastAsia="en-AU"/>
              </w:rPr>
            </w:pPr>
            <w:r>
              <w:rPr>
                <w:lang w:eastAsia="en-AU"/>
              </w:rPr>
              <w:t>Percentage</w:t>
            </w:r>
            <w:r w:rsidRPr="005C542E">
              <w:rPr>
                <w:lang w:eastAsia="en-AU"/>
              </w:rPr>
              <w:t xml:space="preserve"> of students meeting the national minimum standard for reading in Year 9 (NAPLAN testing)</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keepNext/>
              <w:ind w:left="142"/>
              <w:jc w:val="right"/>
              <w:rPr>
                <w:lang w:eastAsia="en-AU"/>
              </w:rPr>
            </w:pPr>
            <w:r w:rsidRPr="005C542E">
              <w:rPr>
                <w:lang w:eastAsia="en-AU"/>
              </w:rPr>
              <w:t>93</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93</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93</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94</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pPr>
            <w:r w:rsidRPr="005C542E">
              <w:t>These NAPLAN performance measures, targets, expected outcomes and results have 95</w:t>
            </w:r>
            <w:r>
              <w:t> per cent</w:t>
            </w:r>
            <w:r w:rsidRPr="005C542E">
              <w:t xml:space="preserve"> confidence intervals of +/</w:t>
            </w:r>
            <w:r w:rsidR="009F0F49">
              <w:noBreakHyphen/>
            </w:r>
            <w:r w:rsidRPr="005C542E">
              <w:t xml:space="preserve"> 1</w:t>
            </w:r>
            <w:r>
              <w:t> per cent</w:t>
            </w:r>
            <w:r w:rsidRPr="005C542E">
              <w:t>.</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keepNext/>
              <w:ind w:left="142"/>
              <w:rPr>
                <w:lang w:eastAsia="en-AU"/>
              </w:rPr>
            </w:pPr>
            <w:r w:rsidRPr="005C542E">
              <w:rPr>
                <w:lang w:eastAsia="en-AU"/>
              </w:rPr>
              <w:t>Statewide rate of transition from Year 10 to Year 11</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keepNext/>
              <w:ind w:left="142"/>
              <w:jc w:val="right"/>
              <w:rPr>
                <w:lang w:eastAsia="en-AU"/>
              </w:rPr>
            </w:pPr>
            <w:r w:rsidRPr="005C542E">
              <w:rPr>
                <w:lang w:eastAsia="en-AU"/>
              </w:rPr>
              <w:t>97</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97.9</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97</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97</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Default="00B958B1" w:rsidP="009F3B54">
            <w:pPr>
              <w:pStyle w:val="OGNotes"/>
            </w:pPr>
            <w:r w:rsidRPr="005C542E">
              <w:t>Data based on the February school census.</w:t>
            </w:r>
          </w:p>
          <w:p w:rsidR="00B958B1" w:rsidRPr="005C542E" w:rsidRDefault="00B958B1" w:rsidP="009F3B54">
            <w:pPr>
              <w:pStyle w:val="OGNotes"/>
            </w:pPr>
            <w:r w:rsidRPr="005C542E">
              <w:t>This performance measure captures government schools only.</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rPr>
                <w:lang w:eastAsia="en-AU"/>
              </w:rPr>
            </w:pPr>
            <w:r w:rsidRPr="005C542E">
              <w:rPr>
                <w:lang w:eastAsia="en-AU"/>
              </w:rPr>
              <w:t>Years 7</w:t>
            </w:r>
            <w:r>
              <w:t>–</w:t>
            </w:r>
            <w:r w:rsidRPr="005C542E">
              <w:rPr>
                <w:lang w:eastAsia="en-AU"/>
              </w:rPr>
              <w:t>9 students</w:t>
            </w:r>
            <w:r>
              <w:rPr>
                <w:lang w:eastAsia="en-AU"/>
              </w:rPr>
              <w:t>’</w:t>
            </w:r>
            <w:r w:rsidRPr="005C542E">
              <w:rPr>
                <w:lang w:eastAsia="en-AU"/>
              </w:rPr>
              <w:t xml:space="preserve"> opinion of their connectedness with the school</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sidRPr="005C542E">
              <w:rPr>
                <w:lang w:eastAsia="en-AU"/>
              </w:rPr>
              <w:t>number (1</w:t>
            </w:r>
            <w:r>
              <w:rPr>
                <w:lang w:eastAsia="en-AU"/>
              </w:rPr>
              <w:t>–</w:t>
            </w:r>
            <w:r w:rsidRPr="005C542E">
              <w:rPr>
                <w:lang w:eastAsia="en-AU"/>
              </w:rPr>
              <w:t>5)</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3.6</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3.7</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3.6</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3.7</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rPr>
                <w:iCs/>
                <w:sz w:val="16"/>
                <w:szCs w:val="16"/>
              </w:rPr>
            </w:pPr>
            <w:r w:rsidRPr="005C542E">
              <w:t>Data is drawn from the Attitudes to School Survey, where a higher score represents a higher level of connectedness (where students feel they belong and enjoy attending school).</w:t>
            </w:r>
          </w:p>
        </w:tc>
      </w:tr>
      <w:tr w:rsidR="00B958B1" w:rsidRPr="005C542E" w:rsidTr="009F3B54">
        <w:trPr>
          <w:cantSplit/>
        </w:trPr>
        <w:tc>
          <w:tcPr>
            <w:tcW w:w="3114" w:type="dxa"/>
            <w:tcBorders>
              <w:top w:val="single" w:sz="6" w:space="0" w:color="auto"/>
              <w:left w:val="nil"/>
              <w:bottom w:val="nil"/>
              <w:right w:val="nil"/>
            </w:tcBorders>
            <w:shd w:val="clear" w:color="auto" w:fill="auto"/>
            <w:vAlign w:val="bottom"/>
            <w:hideMark/>
          </w:tcPr>
          <w:p w:rsidR="00B958B1" w:rsidRPr="005C542E" w:rsidRDefault="00B958B1" w:rsidP="009F3B54">
            <w:pPr>
              <w:pStyle w:val="OGTabHead"/>
              <w:rPr>
                <w:lang w:eastAsia="en-AU"/>
              </w:rPr>
            </w:pPr>
            <w:r w:rsidRPr="005C542E">
              <w:rPr>
                <w:lang w:eastAsia="en-AU"/>
              </w:rPr>
              <w:t>Quantity</w:t>
            </w:r>
          </w:p>
        </w:tc>
        <w:tc>
          <w:tcPr>
            <w:tcW w:w="953"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center"/>
              <w:rPr>
                <w:lang w:eastAsia="en-AU"/>
              </w:rPr>
            </w:pPr>
          </w:p>
        </w:tc>
        <w:tc>
          <w:tcPr>
            <w:tcW w:w="910" w:type="dxa"/>
            <w:gridSpan w:val="2"/>
            <w:tcBorders>
              <w:top w:val="single" w:sz="6" w:space="0" w:color="auto"/>
              <w:left w:val="nil"/>
              <w:bottom w:val="nil"/>
              <w:right w:val="nil"/>
            </w:tcBorders>
            <w:shd w:val="clear" w:color="auto" w:fill="D9D9D9"/>
            <w:noWrap/>
            <w:hideMark/>
          </w:tcPr>
          <w:p w:rsidR="00B958B1" w:rsidRPr="005C542E" w:rsidRDefault="00B958B1" w:rsidP="009F3B54">
            <w:pPr>
              <w:pStyle w:val="OGTabText"/>
              <w:jc w:val="right"/>
              <w:rPr>
                <w:lang w:eastAsia="en-AU"/>
              </w:rPr>
            </w:pPr>
          </w:p>
        </w:tc>
        <w:tc>
          <w:tcPr>
            <w:tcW w:w="98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925"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r>
      <w:tr w:rsidR="00B958B1" w:rsidRPr="005C542E" w:rsidTr="009F3B54">
        <w:trPr>
          <w:cantSplit/>
        </w:trPr>
        <w:tc>
          <w:tcPr>
            <w:tcW w:w="3114" w:type="dxa"/>
            <w:tcBorders>
              <w:top w:val="nil"/>
              <w:left w:val="nil"/>
              <w:bottom w:val="nil"/>
              <w:right w:val="nil"/>
            </w:tcBorders>
            <w:shd w:val="clear" w:color="000000" w:fill="FFFFFF"/>
            <w:hideMark/>
          </w:tcPr>
          <w:p w:rsidR="00B958B1" w:rsidRPr="005C542E" w:rsidRDefault="00B958B1" w:rsidP="009F3B54">
            <w:pPr>
              <w:pStyle w:val="OGTabText"/>
              <w:rPr>
                <w:lang w:eastAsia="en-AU"/>
              </w:rPr>
            </w:pPr>
            <w:r w:rsidRPr="005C542E">
              <w:rPr>
                <w:lang w:eastAsia="en-AU"/>
              </w:rPr>
              <w:t>Investment in non</w:t>
            </w:r>
            <w:r w:rsidR="009F0F49">
              <w:rPr>
                <w:lang w:eastAsia="en-AU"/>
              </w:rPr>
              <w:noBreakHyphen/>
            </w:r>
            <w:r w:rsidRPr="005C542E">
              <w:rPr>
                <w:lang w:eastAsia="en-AU"/>
              </w:rPr>
              <w:t>government schools (Secondary)</w:t>
            </w:r>
          </w:p>
        </w:tc>
        <w:tc>
          <w:tcPr>
            <w:tcW w:w="953" w:type="dxa"/>
            <w:gridSpan w:val="3"/>
            <w:tcBorders>
              <w:top w:val="nil"/>
              <w:left w:val="nil"/>
              <w:bottom w:val="nil"/>
              <w:right w:val="nil"/>
            </w:tcBorders>
            <w:shd w:val="clear" w:color="000000" w:fill="FFFFFF"/>
            <w:hideMark/>
          </w:tcPr>
          <w:p w:rsidR="00B958B1" w:rsidRPr="005C542E" w:rsidRDefault="00B958B1" w:rsidP="009F3B54">
            <w:pPr>
              <w:pStyle w:val="OGUoM"/>
              <w:rPr>
                <w:lang w:eastAsia="en-AU"/>
              </w:rPr>
            </w:pPr>
            <w:r w:rsidRPr="005C542E">
              <w:rPr>
                <w:lang w:eastAsia="en-AU"/>
              </w:rPr>
              <w:t>number (million)</w:t>
            </w:r>
          </w:p>
        </w:tc>
        <w:tc>
          <w:tcPr>
            <w:tcW w:w="910" w:type="dxa"/>
            <w:gridSpan w:val="2"/>
            <w:tcBorders>
              <w:top w:val="nil"/>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337.2</w:t>
            </w:r>
          </w:p>
        </w:tc>
        <w:tc>
          <w:tcPr>
            <w:tcW w:w="985" w:type="dxa"/>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331.1</w:t>
            </w:r>
          </w:p>
        </w:tc>
        <w:tc>
          <w:tcPr>
            <w:tcW w:w="895" w:type="dxa"/>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330.2</w:t>
            </w:r>
          </w:p>
        </w:tc>
        <w:tc>
          <w:tcPr>
            <w:tcW w:w="925" w:type="dxa"/>
            <w:gridSpan w:val="3"/>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307.7</w:t>
            </w:r>
          </w:p>
        </w:tc>
      </w:tr>
      <w:tr w:rsidR="00B958B1" w:rsidRPr="005C542E" w:rsidTr="009F3B54">
        <w:trPr>
          <w:cantSplit/>
        </w:trPr>
        <w:tc>
          <w:tcPr>
            <w:tcW w:w="7782" w:type="dxa"/>
            <w:gridSpan w:val="11"/>
            <w:tcBorders>
              <w:top w:val="nil"/>
              <w:left w:val="nil"/>
              <w:bottom w:val="nil"/>
              <w:right w:val="nil"/>
            </w:tcBorders>
            <w:shd w:val="clear" w:color="000000" w:fill="FFFFFF"/>
          </w:tcPr>
          <w:p w:rsidR="00B958B1" w:rsidRPr="005C542E" w:rsidRDefault="00B958B1" w:rsidP="009F3B54">
            <w:pPr>
              <w:pStyle w:val="OGTabText"/>
              <w:ind w:left="397"/>
              <w:rPr>
                <w:lang w:eastAsia="en-AU"/>
              </w:rPr>
            </w:pPr>
            <w:r w:rsidRPr="006E1208">
              <w:rPr>
                <w:i/>
                <w:sz w:val="15"/>
                <w:szCs w:val="20"/>
                <w:lang w:eastAsia="en-AU"/>
              </w:rPr>
              <w:t>The 2013</w:t>
            </w:r>
            <w:r w:rsidR="009F0F49">
              <w:rPr>
                <w:i/>
                <w:sz w:val="15"/>
                <w:szCs w:val="20"/>
                <w:lang w:eastAsia="en-AU"/>
              </w:rPr>
              <w:noBreakHyphen/>
            </w:r>
            <w:r w:rsidRPr="006E1208">
              <w:rPr>
                <w:i/>
                <w:sz w:val="15"/>
                <w:szCs w:val="20"/>
                <w:lang w:eastAsia="en-AU"/>
              </w:rPr>
              <w:t xml:space="preserve">14 Target </w:t>
            </w:r>
            <w:r>
              <w:rPr>
                <w:i/>
                <w:sz w:val="15"/>
                <w:szCs w:val="20"/>
                <w:lang w:eastAsia="en-AU"/>
              </w:rPr>
              <w:t>is higher than the 2012</w:t>
            </w:r>
            <w:r w:rsidR="009F0F49">
              <w:rPr>
                <w:i/>
                <w:sz w:val="15"/>
                <w:szCs w:val="20"/>
                <w:lang w:eastAsia="en-AU"/>
              </w:rPr>
              <w:noBreakHyphen/>
            </w:r>
            <w:r>
              <w:rPr>
                <w:i/>
                <w:sz w:val="15"/>
                <w:szCs w:val="20"/>
                <w:lang w:eastAsia="en-AU"/>
              </w:rPr>
              <w:t>13 Target primarily due to price escalation.</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rPr>
                <w:lang w:eastAsia="en-AU"/>
              </w:rPr>
            </w:pPr>
            <w:r w:rsidRPr="005C542E">
              <w:rPr>
                <w:lang w:eastAsia="en-AU"/>
              </w:rPr>
              <w:t>Number of certificate enrolments in accredited vocational programs in schools</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sidRPr="005C542E">
              <w:rPr>
                <w:lang w:eastAsia="en-AU"/>
              </w:rPr>
              <w:t>number</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50</w:t>
            </w:r>
            <w:r>
              <w:rPr>
                <w:lang w:eastAsia="en-AU"/>
              </w:rPr>
              <w:t> </w:t>
            </w:r>
            <w:r w:rsidRPr="005C542E">
              <w:rPr>
                <w:lang w:eastAsia="en-AU"/>
              </w:rPr>
              <w:t>000</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58</w:t>
            </w:r>
            <w:r>
              <w:rPr>
                <w:lang w:eastAsia="en-AU"/>
              </w:rPr>
              <w:t> </w:t>
            </w:r>
            <w:r w:rsidRPr="005C542E">
              <w:rPr>
                <w:lang w:eastAsia="en-AU"/>
              </w:rPr>
              <w:t>045</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50</w:t>
            </w:r>
            <w:r>
              <w:rPr>
                <w:lang w:eastAsia="en-AU"/>
              </w:rPr>
              <w:t> </w:t>
            </w:r>
            <w:r w:rsidRPr="005C542E">
              <w:rPr>
                <w:lang w:eastAsia="en-AU"/>
              </w:rPr>
              <w:t>000</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57</w:t>
            </w:r>
            <w:r>
              <w:rPr>
                <w:lang w:eastAsia="en-AU"/>
              </w:rPr>
              <w:t> </w:t>
            </w:r>
            <w:r w:rsidRPr="005C542E">
              <w:rPr>
                <w:lang w:eastAsia="en-AU"/>
              </w:rPr>
              <w:t>352</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Default="00B958B1" w:rsidP="009F3B54">
            <w:pPr>
              <w:pStyle w:val="OGNotes"/>
            </w:pPr>
            <w:r w:rsidRPr="005C542E">
              <w:t>Th</w:t>
            </w:r>
            <w:r>
              <w:t xml:space="preserve">is performance measure includes government and </w:t>
            </w:r>
            <w:r w:rsidRPr="005C542E">
              <w:t>non</w:t>
            </w:r>
            <w:r w:rsidR="009F0F49">
              <w:noBreakHyphen/>
            </w:r>
            <w:r w:rsidRPr="005C542E">
              <w:t>government schools.</w:t>
            </w:r>
          </w:p>
          <w:p w:rsidR="00B958B1" w:rsidRPr="005C542E" w:rsidRDefault="00B958B1" w:rsidP="009F3B54">
            <w:pPr>
              <w:pStyle w:val="OGNotes"/>
            </w:pPr>
            <w:r>
              <w:t>The 2012</w:t>
            </w:r>
            <w:r w:rsidR="009F0F49">
              <w:noBreakHyphen/>
            </w:r>
            <w:r>
              <w:t>13 Expected Outcome is higher than the 2012</w:t>
            </w:r>
            <w:r w:rsidR="009F0F49">
              <w:noBreakHyphen/>
            </w:r>
            <w:r>
              <w:t xml:space="preserve">13 Target due to higher than anticipated demand. </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rPr>
                <w:lang w:eastAsia="en-AU"/>
              </w:rPr>
            </w:pPr>
            <w:r w:rsidRPr="005C542E">
              <w:rPr>
                <w:lang w:eastAsia="en-AU"/>
              </w:rPr>
              <w:t>Number of school students enrolled in Victorian Certificate of Applied Learning</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sidRPr="005C542E">
              <w:rPr>
                <w:lang w:eastAsia="en-AU"/>
              </w:rPr>
              <w:t>number</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15</w:t>
            </w:r>
            <w:r>
              <w:rPr>
                <w:lang w:eastAsia="en-AU"/>
              </w:rPr>
              <w:t> </w:t>
            </w:r>
            <w:r w:rsidRPr="005C542E">
              <w:rPr>
                <w:lang w:eastAsia="en-AU"/>
              </w:rPr>
              <w:t>900</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17</w:t>
            </w:r>
            <w:r>
              <w:rPr>
                <w:lang w:eastAsia="en-AU"/>
              </w:rPr>
              <w:t> </w:t>
            </w:r>
            <w:r w:rsidRPr="005C542E">
              <w:rPr>
                <w:lang w:eastAsia="en-AU"/>
              </w:rPr>
              <w:t>026</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15</w:t>
            </w:r>
            <w:r>
              <w:rPr>
                <w:lang w:eastAsia="en-AU"/>
              </w:rPr>
              <w:t> </w:t>
            </w:r>
            <w:r w:rsidRPr="005C542E">
              <w:rPr>
                <w:lang w:eastAsia="en-AU"/>
              </w:rPr>
              <w:t>900</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16</w:t>
            </w:r>
            <w:r>
              <w:rPr>
                <w:lang w:eastAsia="en-AU"/>
              </w:rPr>
              <w:t> </w:t>
            </w:r>
            <w:r w:rsidRPr="005C542E">
              <w:rPr>
                <w:lang w:eastAsia="en-AU"/>
              </w:rPr>
              <w:t>691</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Default="00B958B1" w:rsidP="009F3B54">
            <w:pPr>
              <w:pStyle w:val="OGNotes"/>
            </w:pPr>
            <w:r w:rsidRPr="005C542E">
              <w:t>Th</w:t>
            </w:r>
            <w:r>
              <w:t xml:space="preserve">is performance measure includes government and </w:t>
            </w:r>
            <w:r w:rsidRPr="005C542E">
              <w:t>non</w:t>
            </w:r>
            <w:r w:rsidR="009F0F49">
              <w:noBreakHyphen/>
            </w:r>
            <w:r w:rsidRPr="005C542E">
              <w:t>government schools.</w:t>
            </w:r>
          </w:p>
          <w:p w:rsidR="00B958B1" w:rsidRPr="005C542E" w:rsidRDefault="00B958B1" w:rsidP="009F3B54">
            <w:pPr>
              <w:pStyle w:val="OGNotes"/>
            </w:pPr>
            <w:r>
              <w:t>The 2012</w:t>
            </w:r>
            <w:r w:rsidR="009F0F49">
              <w:noBreakHyphen/>
            </w:r>
            <w:r>
              <w:t>13 Expected Outcome is higher than the 2012</w:t>
            </w:r>
            <w:r w:rsidR="009F0F49">
              <w:noBreakHyphen/>
            </w:r>
            <w:r>
              <w:t xml:space="preserve">13 Target due to higher than anticipated demand. </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rPr>
                <w:lang w:eastAsia="en-AU"/>
              </w:rPr>
            </w:pPr>
            <w:r w:rsidRPr="005C542E">
              <w:rPr>
                <w:lang w:eastAsia="en-AU"/>
              </w:rPr>
              <w:t>Number of school students participating in accredited vocational programs</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sidRPr="005C542E">
              <w:rPr>
                <w:lang w:eastAsia="en-AU"/>
              </w:rPr>
              <w:t>number</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39</w:t>
            </w:r>
            <w:r>
              <w:rPr>
                <w:lang w:eastAsia="en-AU"/>
              </w:rPr>
              <w:t> </w:t>
            </w:r>
            <w:r w:rsidRPr="005C542E">
              <w:rPr>
                <w:lang w:eastAsia="en-AU"/>
              </w:rPr>
              <w:t>000</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45</w:t>
            </w:r>
            <w:r>
              <w:rPr>
                <w:lang w:eastAsia="en-AU"/>
              </w:rPr>
              <w:t> </w:t>
            </w:r>
            <w:r w:rsidRPr="005C542E">
              <w:rPr>
                <w:lang w:eastAsia="en-AU"/>
              </w:rPr>
              <w:t>907</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39</w:t>
            </w:r>
            <w:r>
              <w:rPr>
                <w:lang w:eastAsia="en-AU"/>
              </w:rPr>
              <w:t> </w:t>
            </w:r>
            <w:r w:rsidRPr="005C542E">
              <w:rPr>
                <w:lang w:eastAsia="en-AU"/>
              </w:rPr>
              <w:t>000</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44</w:t>
            </w:r>
            <w:r>
              <w:rPr>
                <w:lang w:eastAsia="en-AU"/>
              </w:rPr>
              <w:t> </w:t>
            </w:r>
            <w:r w:rsidRPr="005C542E">
              <w:rPr>
                <w:lang w:eastAsia="en-AU"/>
              </w:rPr>
              <w:t>716</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Default="00B958B1" w:rsidP="009F3B54">
            <w:pPr>
              <w:pStyle w:val="OGNotes"/>
            </w:pPr>
            <w:r w:rsidRPr="005C542E">
              <w:t>Th</w:t>
            </w:r>
            <w:r>
              <w:t xml:space="preserve">is performance measure includes government and </w:t>
            </w:r>
            <w:r w:rsidRPr="005C542E">
              <w:t>non</w:t>
            </w:r>
            <w:r w:rsidR="009F0F49">
              <w:noBreakHyphen/>
            </w:r>
            <w:r w:rsidRPr="005C542E">
              <w:t>government schools.</w:t>
            </w:r>
          </w:p>
          <w:p w:rsidR="00B958B1" w:rsidRPr="005C542E" w:rsidRDefault="00B958B1" w:rsidP="009F3B54">
            <w:pPr>
              <w:pStyle w:val="OGNotes"/>
            </w:pPr>
            <w:r>
              <w:t>The 2012</w:t>
            </w:r>
            <w:r w:rsidR="009F0F49">
              <w:noBreakHyphen/>
            </w:r>
            <w:r>
              <w:t>13 Expected Outcome is higher than the 2012</w:t>
            </w:r>
            <w:r w:rsidR="009F0F49">
              <w:noBreakHyphen/>
            </w:r>
            <w:r>
              <w:t xml:space="preserve">13 Target due to higher than anticipated demand. </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pageBreakBefore/>
              <w:rPr>
                <w:lang w:eastAsia="en-AU"/>
              </w:rPr>
            </w:pPr>
            <w:r w:rsidRPr="005C542E">
              <w:rPr>
                <w:lang w:eastAsia="en-AU"/>
              </w:rPr>
              <w:t>Number of school students satisfactorily completing at least one Victorian Certificate of Applied Learning certificate</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sidRPr="005C542E">
              <w:rPr>
                <w:lang w:eastAsia="en-AU"/>
              </w:rPr>
              <w:t>number</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9</w:t>
            </w:r>
            <w:r>
              <w:rPr>
                <w:lang w:eastAsia="en-AU"/>
              </w:rPr>
              <w:t> </w:t>
            </w:r>
            <w:r w:rsidRPr="005C542E">
              <w:rPr>
                <w:lang w:eastAsia="en-AU"/>
              </w:rPr>
              <w:t>200</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w:t>
            </w:r>
            <w:r>
              <w:rPr>
                <w:lang w:eastAsia="en-AU"/>
              </w:rPr>
              <w:t> </w:t>
            </w:r>
            <w:r w:rsidRPr="005C542E">
              <w:rPr>
                <w:lang w:eastAsia="en-AU"/>
              </w:rPr>
              <w:t>765</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w:t>
            </w:r>
            <w:r>
              <w:rPr>
                <w:lang w:eastAsia="en-AU"/>
              </w:rPr>
              <w:t> </w:t>
            </w:r>
            <w:r w:rsidRPr="005C542E">
              <w:rPr>
                <w:lang w:eastAsia="en-AU"/>
              </w:rPr>
              <w:t>700</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w:t>
            </w:r>
            <w:r>
              <w:rPr>
                <w:lang w:eastAsia="en-AU"/>
              </w:rPr>
              <w:t> </w:t>
            </w:r>
            <w:r w:rsidRPr="005C542E">
              <w:rPr>
                <w:lang w:eastAsia="en-AU"/>
              </w:rPr>
              <w:t>197</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Default="00B958B1" w:rsidP="009F3B54">
            <w:pPr>
              <w:pStyle w:val="OGNotes"/>
            </w:pPr>
            <w:r w:rsidRPr="005C542E">
              <w:t>Th</w:t>
            </w:r>
            <w:r>
              <w:t xml:space="preserve">is performance measure includes government and </w:t>
            </w:r>
            <w:r w:rsidRPr="005C542E">
              <w:t>non</w:t>
            </w:r>
            <w:r w:rsidR="009F0F49">
              <w:noBreakHyphen/>
            </w:r>
            <w:r w:rsidRPr="005C542E">
              <w:t>government schools.</w:t>
            </w:r>
          </w:p>
          <w:p w:rsidR="00B958B1" w:rsidRPr="005C542E" w:rsidRDefault="00B958B1" w:rsidP="009F3B54">
            <w:pPr>
              <w:pStyle w:val="OGNotes"/>
            </w:pPr>
            <w:r>
              <w:t>The 2012</w:t>
            </w:r>
            <w:r w:rsidR="009F0F49">
              <w:noBreakHyphen/>
            </w:r>
            <w:r>
              <w:t>13 Expected Outcome is higher than the 2012</w:t>
            </w:r>
            <w:r w:rsidR="009F0F49">
              <w:noBreakHyphen/>
            </w:r>
            <w:r>
              <w:t xml:space="preserve">13 Target due to higher than anticipated demand. </w:t>
            </w:r>
            <w:r w:rsidRPr="005C542E">
              <w:t>An increasing proportion of students are undertaking VCAL at Intermediate and Senior levels as VCAL becomes more established as an alternative qualification to the VCE</w:t>
            </w:r>
            <w:r>
              <w:t xml:space="preserve">. </w:t>
            </w:r>
            <w:r w:rsidRPr="005C542E">
              <w:t>The 2013</w:t>
            </w:r>
            <w:r w:rsidR="009F0F49">
              <w:noBreakHyphen/>
            </w:r>
            <w:r w:rsidRPr="005C542E">
              <w:t>14 Target has been increased to reflect a likely continuation of this trend.</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rPr>
                <w:lang w:eastAsia="en-AU"/>
              </w:rPr>
            </w:pPr>
            <w:r w:rsidRPr="005C542E">
              <w:rPr>
                <w:lang w:eastAsia="en-AU"/>
              </w:rPr>
              <w:t>Number of school</w:t>
            </w:r>
            <w:r w:rsidR="009F0F49">
              <w:rPr>
                <w:lang w:eastAsia="en-AU"/>
              </w:rPr>
              <w:noBreakHyphen/>
            </w:r>
            <w:r w:rsidRPr="005C542E">
              <w:rPr>
                <w:lang w:eastAsia="en-AU"/>
              </w:rPr>
              <w:t>based apprentices/trainees</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sidRPr="005C542E">
              <w:rPr>
                <w:lang w:eastAsia="en-AU"/>
              </w:rPr>
              <w:t>number</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keepNext/>
              <w:ind w:left="142"/>
              <w:jc w:val="right"/>
              <w:rPr>
                <w:lang w:eastAsia="en-AU"/>
              </w:rPr>
            </w:pPr>
            <w:r w:rsidRPr="005C542E">
              <w:rPr>
                <w:lang w:eastAsia="en-AU"/>
              </w:rPr>
              <w:t>4</w:t>
            </w:r>
            <w:r>
              <w:rPr>
                <w:lang w:eastAsia="en-AU"/>
              </w:rPr>
              <w:t> </w:t>
            </w:r>
            <w:r w:rsidRPr="005C542E">
              <w:rPr>
                <w:lang w:eastAsia="en-AU"/>
              </w:rPr>
              <w:t>500</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4</w:t>
            </w:r>
            <w:r>
              <w:rPr>
                <w:lang w:eastAsia="en-AU"/>
              </w:rPr>
              <w:t> </w:t>
            </w:r>
            <w:r w:rsidRPr="005C542E">
              <w:rPr>
                <w:lang w:eastAsia="en-AU"/>
              </w:rPr>
              <w:t>169</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3</w:t>
            </w:r>
            <w:r>
              <w:rPr>
                <w:lang w:eastAsia="en-AU"/>
              </w:rPr>
              <w:t> </w:t>
            </w:r>
            <w:r w:rsidRPr="005C542E">
              <w:rPr>
                <w:lang w:eastAsia="en-AU"/>
              </w:rPr>
              <w:t>600</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3</w:t>
            </w:r>
            <w:r>
              <w:rPr>
                <w:lang w:eastAsia="en-AU"/>
              </w:rPr>
              <w:t> </w:t>
            </w:r>
            <w:r w:rsidRPr="005C542E">
              <w:rPr>
                <w:lang w:eastAsia="en-AU"/>
              </w:rPr>
              <w:t>770</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Default="00B958B1" w:rsidP="009F3B54">
            <w:pPr>
              <w:pStyle w:val="OGNotes"/>
            </w:pPr>
            <w:r w:rsidRPr="005C542E">
              <w:t>This performance measure includes non</w:t>
            </w:r>
            <w:r w:rsidR="009F0F49">
              <w:noBreakHyphen/>
            </w:r>
            <w:r w:rsidRPr="005C542E">
              <w:t>government schools.</w:t>
            </w:r>
          </w:p>
          <w:p w:rsidR="00B958B1" w:rsidRPr="005C542E" w:rsidRDefault="00B958B1" w:rsidP="009F3B54">
            <w:pPr>
              <w:pStyle w:val="OGNotes"/>
            </w:pPr>
            <w:r w:rsidRPr="005C542E">
              <w:t>The 2012</w:t>
            </w:r>
            <w:r w:rsidR="009F0F49">
              <w:noBreakHyphen/>
            </w:r>
            <w:r w:rsidRPr="005C542E">
              <w:t>13 Expected Outcome is higher than the 2012</w:t>
            </w:r>
            <w:r w:rsidR="009F0F49">
              <w:noBreakHyphen/>
            </w:r>
            <w:r w:rsidRPr="005C542E">
              <w:t>13 Target due to higher than anticipated demand in the number of full</w:t>
            </w:r>
            <w:r w:rsidR="009F0F49">
              <w:noBreakHyphen/>
            </w:r>
            <w:r w:rsidRPr="005C542E">
              <w:t>time traineeships</w:t>
            </w:r>
            <w:r>
              <w:t xml:space="preserve">. </w:t>
            </w:r>
            <w:r w:rsidRPr="005C542E">
              <w:t>Up until 2012</w:t>
            </w:r>
            <w:r w:rsidR="009F0F49">
              <w:noBreakHyphen/>
            </w:r>
            <w:r w:rsidRPr="005C542E">
              <w:t>13 this measure related only to full</w:t>
            </w:r>
            <w:r w:rsidR="009F0F49">
              <w:noBreakHyphen/>
            </w:r>
            <w:r w:rsidRPr="005C542E">
              <w:t>time apprenticeships and traineeships entered by schools on the Victorian Assessment Software System</w:t>
            </w:r>
            <w:r>
              <w:t xml:space="preserve"> </w:t>
            </w:r>
            <w:r w:rsidRPr="005C542E">
              <w:t>(VASS system). For 2013</w:t>
            </w:r>
            <w:r w:rsidR="009F0F49">
              <w:noBreakHyphen/>
            </w:r>
            <w:r w:rsidRPr="005C542E">
              <w:t>14, the data collected on the VASS system may include full</w:t>
            </w:r>
            <w:r w:rsidR="009F0F49">
              <w:noBreakHyphen/>
            </w:r>
            <w:r w:rsidRPr="005C542E">
              <w:t>time and part</w:t>
            </w:r>
            <w:r w:rsidR="009F0F49">
              <w:noBreakHyphen/>
            </w:r>
            <w:r w:rsidRPr="005C542E">
              <w:t>time apprenticeships and traineeships. The 2013</w:t>
            </w:r>
            <w:r w:rsidR="009F0F49">
              <w:noBreakHyphen/>
            </w:r>
            <w:r w:rsidRPr="005C542E">
              <w:t>14 Target has been increased to take account of this change.</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keepNext/>
              <w:ind w:left="142"/>
              <w:rPr>
                <w:lang w:eastAsia="en-AU"/>
              </w:rPr>
            </w:pPr>
            <w:r w:rsidRPr="005C542E">
              <w:rPr>
                <w:lang w:eastAsia="en-AU"/>
              </w:rPr>
              <w:t>Statewide computer to student ratio: secondary</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sidRPr="005C542E">
              <w:rPr>
                <w:lang w:eastAsia="en-AU"/>
              </w:rPr>
              <w:t>ratio</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keepNext/>
              <w:ind w:left="142"/>
              <w:jc w:val="right"/>
              <w:rPr>
                <w:lang w:eastAsia="en-AU"/>
              </w:rPr>
            </w:pPr>
            <w:r w:rsidRPr="005C542E">
              <w:rPr>
                <w:lang w:eastAsia="en-AU"/>
              </w:rPr>
              <w:t>1:1.5</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keepNext/>
              <w:ind w:left="142"/>
              <w:jc w:val="right"/>
              <w:rPr>
                <w:lang w:eastAsia="en-AU"/>
              </w:rPr>
            </w:pPr>
            <w:r>
              <w:rPr>
                <w:lang w:eastAsia="en-AU"/>
              </w:rPr>
              <w:t>1:</w:t>
            </w:r>
            <w:r w:rsidRPr="005C542E">
              <w:rPr>
                <w:lang w:eastAsia="en-AU"/>
              </w:rPr>
              <w:t>2</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keepNext/>
              <w:ind w:left="142"/>
              <w:jc w:val="right"/>
              <w:rPr>
                <w:lang w:eastAsia="en-AU"/>
              </w:rPr>
            </w:pPr>
            <w:r>
              <w:rPr>
                <w:lang w:eastAsia="en-AU"/>
              </w:rPr>
              <w:t>1:</w:t>
            </w:r>
            <w:r w:rsidRPr="005C542E">
              <w:rPr>
                <w:lang w:eastAsia="en-AU"/>
              </w:rPr>
              <w:t>2</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keepNext/>
              <w:ind w:left="142"/>
              <w:jc w:val="right"/>
              <w:rPr>
                <w:lang w:eastAsia="en-AU"/>
              </w:rPr>
            </w:pPr>
            <w:r>
              <w:rPr>
                <w:lang w:eastAsia="en-AU"/>
              </w:rPr>
              <w:t>1:</w:t>
            </w:r>
            <w:r w:rsidRPr="005C542E">
              <w:rPr>
                <w:lang w:eastAsia="en-AU"/>
              </w:rPr>
              <w:t>1.1</w:t>
            </w:r>
          </w:p>
        </w:tc>
      </w:tr>
      <w:tr w:rsidR="00B958B1" w:rsidRPr="005C542E" w:rsidTr="009F3B54">
        <w:trPr>
          <w:cantSplit/>
        </w:trPr>
        <w:tc>
          <w:tcPr>
            <w:tcW w:w="7782" w:type="dxa"/>
            <w:gridSpan w:val="11"/>
            <w:tcBorders>
              <w:left w:val="nil"/>
              <w:bottom w:val="single" w:sz="6" w:space="0" w:color="auto"/>
              <w:right w:val="nil"/>
            </w:tcBorders>
            <w:shd w:val="clear" w:color="000000" w:fill="FFFFFF"/>
          </w:tcPr>
          <w:p w:rsidR="00B958B1" w:rsidRDefault="00B958B1" w:rsidP="009F3B54">
            <w:pPr>
              <w:pStyle w:val="OGNotes"/>
            </w:pPr>
            <w:r w:rsidRPr="006E1208">
              <w:t>The higher 2013</w:t>
            </w:r>
            <w:r w:rsidR="009F0F49">
              <w:noBreakHyphen/>
            </w:r>
            <w:r w:rsidRPr="006E1208">
              <w:t>14 Target reflects forecast improvements in performance</w:t>
            </w:r>
          </w:p>
        </w:tc>
      </w:tr>
      <w:tr w:rsidR="00B958B1" w:rsidRPr="005C542E" w:rsidTr="009F3B54">
        <w:trPr>
          <w:cantSplit/>
        </w:trPr>
        <w:tc>
          <w:tcPr>
            <w:tcW w:w="3114" w:type="dxa"/>
            <w:tcBorders>
              <w:top w:val="single" w:sz="6" w:space="0" w:color="auto"/>
              <w:left w:val="nil"/>
              <w:right w:val="nil"/>
            </w:tcBorders>
            <w:shd w:val="clear" w:color="auto" w:fill="auto"/>
            <w:vAlign w:val="bottom"/>
            <w:hideMark/>
          </w:tcPr>
          <w:p w:rsidR="00B958B1" w:rsidRPr="005C542E" w:rsidRDefault="00B958B1" w:rsidP="009F3B54">
            <w:pPr>
              <w:pStyle w:val="OGTabHead"/>
              <w:rPr>
                <w:lang w:eastAsia="en-AU"/>
              </w:rPr>
            </w:pPr>
            <w:r w:rsidRPr="005C542E">
              <w:rPr>
                <w:lang w:eastAsia="en-AU"/>
              </w:rPr>
              <w:t>Cost</w:t>
            </w:r>
          </w:p>
        </w:tc>
        <w:tc>
          <w:tcPr>
            <w:tcW w:w="953" w:type="dxa"/>
            <w:gridSpan w:val="3"/>
            <w:tcBorders>
              <w:top w:val="single" w:sz="6" w:space="0" w:color="auto"/>
              <w:left w:val="nil"/>
              <w:right w:val="nil"/>
            </w:tcBorders>
            <w:shd w:val="clear" w:color="auto" w:fill="auto"/>
            <w:noWrap/>
            <w:hideMark/>
          </w:tcPr>
          <w:p w:rsidR="00B958B1" w:rsidRPr="005C542E" w:rsidRDefault="00B958B1" w:rsidP="009F3B54">
            <w:pPr>
              <w:pStyle w:val="OGTabText"/>
              <w:jc w:val="center"/>
              <w:rPr>
                <w:lang w:eastAsia="en-AU"/>
              </w:rPr>
            </w:pPr>
          </w:p>
        </w:tc>
        <w:tc>
          <w:tcPr>
            <w:tcW w:w="910" w:type="dxa"/>
            <w:gridSpan w:val="2"/>
            <w:tcBorders>
              <w:top w:val="single" w:sz="6" w:space="0" w:color="auto"/>
              <w:left w:val="nil"/>
              <w:right w:val="nil"/>
            </w:tcBorders>
            <w:shd w:val="clear" w:color="auto" w:fill="D9D9D9"/>
            <w:noWrap/>
            <w:hideMark/>
          </w:tcPr>
          <w:p w:rsidR="00B958B1" w:rsidRPr="005C542E" w:rsidRDefault="00B958B1" w:rsidP="009F3B54">
            <w:pPr>
              <w:pStyle w:val="OGTabText"/>
              <w:jc w:val="right"/>
              <w:rPr>
                <w:lang w:eastAsia="en-AU"/>
              </w:rPr>
            </w:pPr>
          </w:p>
        </w:tc>
        <w:tc>
          <w:tcPr>
            <w:tcW w:w="985" w:type="dxa"/>
            <w:tcBorders>
              <w:top w:val="single" w:sz="6" w:space="0" w:color="auto"/>
              <w:left w:val="nil"/>
              <w:right w:val="nil"/>
            </w:tcBorders>
            <w:shd w:val="clear" w:color="auto" w:fill="auto"/>
            <w:noWrap/>
            <w:hideMark/>
          </w:tcPr>
          <w:p w:rsidR="00B958B1" w:rsidRPr="005C542E" w:rsidRDefault="00B958B1" w:rsidP="009F3B54">
            <w:pPr>
              <w:pStyle w:val="OGTabText"/>
              <w:jc w:val="right"/>
              <w:rPr>
                <w:lang w:eastAsia="en-AU"/>
              </w:rPr>
            </w:pPr>
          </w:p>
        </w:tc>
        <w:tc>
          <w:tcPr>
            <w:tcW w:w="895" w:type="dxa"/>
            <w:tcBorders>
              <w:top w:val="single" w:sz="6" w:space="0" w:color="auto"/>
              <w:left w:val="nil"/>
              <w:right w:val="nil"/>
            </w:tcBorders>
            <w:shd w:val="clear" w:color="auto" w:fill="auto"/>
            <w:noWrap/>
            <w:hideMark/>
          </w:tcPr>
          <w:p w:rsidR="00B958B1" w:rsidRPr="005C542E" w:rsidRDefault="00B958B1" w:rsidP="009F3B54">
            <w:pPr>
              <w:pStyle w:val="OGTabText"/>
              <w:jc w:val="right"/>
              <w:rPr>
                <w:lang w:eastAsia="en-AU"/>
              </w:rPr>
            </w:pPr>
          </w:p>
        </w:tc>
        <w:tc>
          <w:tcPr>
            <w:tcW w:w="925" w:type="dxa"/>
            <w:gridSpan w:val="3"/>
            <w:tcBorders>
              <w:top w:val="single" w:sz="6" w:space="0" w:color="auto"/>
              <w:left w:val="nil"/>
              <w:right w:val="nil"/>
            </w:tcBorders>
            <w:shd w:val="clear" w:color="auto" w:fill="auto"/>
            <w:noWrap/>
            <w:hideMark/>
          </w:tcPr>
          <w:p w:rsidR="00B958B1" w:rsidRPr="005C542E" w:rsidRDefault="00B958B1" w:rsidP="009F3B54">
            <w:pPr>
              <w:pStyle w:val="OGTabText"/>
              <w:jc w:val="right"/>
              <w:rPr>
                <w:lang w:eastAsia="en-AU"/>
              </w:rPr>
            </w:pPr>
          </w:p>
        </w:tc>
      </w:tr>
      <w:tr w:rsidR="00B958B1" w:rsidRPr="0094085B" w:rsidTr="009F3B54">
        <w:trPr>
          <w:cantSplit/>
        </w:trPr>
        <w:tc>
          <w:tcPr>
            <w:tcW w:w="3114" w:type="dxa"/>
            <w:tcBorders>
              <w:top w:val="nil"/>
              <w:left w:val="nil"/>
              <w:bottom w:val="nil"/>
              <w:right w:val="nil"/>
            </w:tcBorders>
            <w:shd w:val="clear" w:color="000000" w:fill="FFFFFF"/>
            <w:hideMark/>
          </w:tcPr>
          <w:p w:rsidR="00B958B1" w:rsidRPr="005C542E" w:rsidRDefault="00B958B1" w:rsidP="009F3B54">
            <w:pPr>
              <w:pStyle w:val="OGTabText"/>
              <w:rPr>
                <w:lang w:eastAsia="en-AU"/>
              </w:rPr>
            </w:pPr>
            <w:r w:rsidRPr="005C542E">
              <w:rPr>
                <w:lang w:eastAsia="en-AU"/>
              </w:rPr>
              <w:t>Total output cost</w:t>
            </w:r>
          </w:p>
        </w:tc>
        <w:tc>
          <w:tcPr>
            <w:tcW w:w="953" w:type="dxa"/>
            <w:gridSpan w:val="3"/>
            <w:tcBorders>
              <w:top w:val="nil"/>
              <w:left w:val="nil"/>
              <w:bottom w:val="nil"/>
              <w:right w:val="nil"/>
            </w:tcBorders>
            <w:shd w:val="clear" w:color="000000" w:fill="FFFFFF"/>
            <w:hideMark/>
          </w:tcPr>
          <w:p w:rsidR="00B958B1" w:rsidRPr="005C542E" w:rsidRDefault="00B958B1" w:rsidP="009F3B54">
            <w:pPr>
              <w:pStyle w:val="OGUoM"/>
              <w:rPr>
                <w:lang w:eastAsia="en-AU"/>
              </w:rPr>
            </w:pPr>
            <w:r w:rsidRPr="005C542E">
              <w:rPr>
                <w:lang w:eastAsia="en-AU"/>
              </w:rPr>
              <w:t>number (million)</w:t>
            </w:r>
          </w:p>
        </w:tc>
        <w:tc>
          <w:tcPr>
            <w:tcW w:w="910" w:type="dxa"/>
            <w:gridSpan w:val="2"/>
            <w:tcBorders>
              <w:top w:val="nil"/>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3</w:t>
            </w:r>
            <w:r>
              <w:rPr>
                <w:lang w:eastAsia="en-AU"/>
              </w:rPr>
              <w:t> </w:t>
            </w:r>
            <w:r w:rsidRPr="005C542E">
              <w:rPr>
                <w:lang w:eastAsia="en-AU"/>
              </w:rPr>
              <w:t>507.7</w:t>
            </w:r>
          </w:p>
        </w:tc>
        <w:tc>
          <w:tcPr>
            <w:tcW w:w="985" w:type="dxa"/>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w:t>
            </w:r>
            <w:r>
              <w:rPr>
                <w:lang w:eastAsia="en-AU"/>
              </w:rPr>
              <w:t> </w:t>
            </w:r>
            <w:r w:rsidRPr="005C542E">
              <w:rPr>
                <w:lang w:eastAsia="en-AU"/>
              </w:rPr>
              <w:t>462.8</w:t>
            </w:r>
          </w:p>
        </w:tc>
        <w:tc>
          <w:tcPr>
            <w:tcW w:w="895" w:type="dxa"/>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w:t>
            </w:r>
            <w:r>
              <w:rPr>
                <w:lang w:eastAsia="en-AU"/>
              </w:rPr>
              <w:t> </w:t>
            </w:r>
            <w:r w:rsidRPr="005C542E">
              <w:rPr>
                <w:lang w:eastAsia="en-AU"/>
              </w:rPr>
              <w:t>456</w:t>
            </w:r>
          </w:p>
        </w:tc>
        <w:tc>
          <w:tcPr>
            <w:tcW w:w="925" w:type="dxa"/>
            <w:gridSpan w:val="3"/>
            <w:tcBorders>
              <w:top w:val="nil"/>
              <w:left w:val="nil"/>
              <w:bottom w:val="nil"/>
              <w:right w:val="nil"/>
            </w:tcBorders>
            <w:shd w:val="clear" w:color="000000" w:fill="FFFFFF"/>
            <w:hideMark/>
          </w:tcPr>
          <w:p w:rsidR="00B958B1" w:rsidRPr="004B2922" w:rsidRDefault="00B958B1" w:rsidP="009F3B54">
            <w:pPr>
              <w:pStyle w:val="OGTabText"/>
              <w:jc w:val="right"/>
              <w:rPr>
                <w:lang w:eastAsia="en-AU"/>
              </w:rPr>
            </w:pPr>
            <w:r w:rsidRPr="004B2922">
              <w:rPr>
                <w:lang w:eastAsia="en-AU"/>
              </w:rPr>
              <w:t>3 422.4</w:t>
            </w:r>
          </w:p>
        </w:tc>
      </w:tr>
      <w:tr w:rsidR="00B958B1" w:rsidRPr="0060479C" w:rsidTr="009F3B54">
        <w:trPr>
          <w:cantSplit/>
        </w:trPr>
        <w:tc>
          <w:tcPr>
            <w:tcW w:w="7782" w:type="dxa"/>
            <w:gridSpan w:val="11"/>
            <w:tcBorders>
              <w:top w:val="nil"/>
              <w:left w:val="nil"/>
              <w:bottom w:val="single" w:sz="12" w:space="0" w:color="auto"/>
              <w:right w:val="nil"/>
            </w:tcBorders>
            <w:shd w:val="clear" w:color="000000" w:fill="FFFFFF"/>
          </w:tcPr>
          <w:p w:rsidR="00B958B1" w:rsidRPr="0060479C" w:rsidRDefault="00B958B1" w:rsidP="009F3B54">
            <w:pPr>
              <w:pStyle w:val="OGNotes"/>
              <w:rPr>
                <w:highlight w:val="yellow"/>
              </w:rPr>
            </w:pPr>
            <w:r w:rsidRPr="006E1208">
              <w:t>The 2013</w:t>
            </w:r>
            <w:r w:rsidR="009F0F49">
              <w:noBreakHyphen/>
            </w:r>
            <w:r w:rsidRPr="006E1208">
              <w:t>14 Target is higher than the 2012</w:t>
            </w:r>
            <w:r w:rsidR="009F0F49">
              <w:noBreakHyphen/>
            </w:r>
            <w:r w:rsidRPr="006E1208">
              <w:t>13 Target primarily due to new funding approvals and price escalatio</w:t>
            </w:r>
            <w:r w:rsidRPr="000627B5">
              <w:t>n.</w:t>
            </w:r>
          </w:p>
        </w:tc>
      </w:tr>
    </w:tbl>
    <w:p w:rsidR="00B958B1" w:rsidRDefault="00B958B1" w:rsidP="009F3B54">
      <w:pPr>
        <w:pStyle w:val="Source"/>
        <w:rPr>
          <w:lang w:eastAsia="en-AU"/>
        </w:rPr>
      </w:pPr>
      <w:r>
        <w:rPr>
          <w:lang w:eastAsia="en-AU"/>
        </w:rPr>
        <w:t>Source: Department of Education and Early Childhood Development</w:t>
      </w:r>
    </w:p>
    <w:p w:rsidR="00B958B1" w:rsidRDefault="00B958B1" w:rsidP="009F3B54">
      <w:pPr>
        <w:pStyle w:val="Source"/>
        <w:rPr>
          <w:lang w:eastAsia="en-AU"/>
        </w:rPr>
      </w:pPr>
      <w:r>
        <w:rPr>
          <w:lang w:eastAsia="en-AU"/>
        </w:rPr>
        <w:fldChar w:fldCharType="begin"/>
      </w:r>
      <w:r>
        <w:instrText xml:space="preserve"> XE "</w:instrText>
      </w:r>
      <w:r w:rsidRPr="00DC497A">
        <w:instrText>D</w:instrText>
      </w:r>
      <w:r w:rsidRPr="00641A8D">
        <w:instrText>epartment of Education and Early Childhood Development</w:instrText>
      </w:r>
      <w:r w:rsidRPr="00DC497A">
        <w:instrText>:School Education</w:instrText>
      </w:r>
      <w:r>
        <w:instrText xml:space="preserve">" \r "BP3DEECDSchoolEducation" </w:instrText>
      </w:r>
      <w:r>
        <w:rPr>
          <w:lang w:eastAsia="en-AU"/>
        </w:rPr>
        <w:fldChar w:fldCharType="end"/>
      </w:r>
    </w:p>
    <w:bookmarkEnd w:id="93"/>
    <w:p w:rsidR="00B958B1" w:rsidRPr="005C542E" w:rsidRDefault="00B958B1" w:rsidP="009F3B54">
      <w:pPr>
        <w:pStyle w:val="OGHeading1"/>
        <w:rPr>
          <w:lang w:eastAsia="en-AU"/>
        </w:rPr>
      </w:pPr>
      <w:r>
        <w:rPr>
          <w:lang w:eastAsia="en-AU"/>
        </w:rPr>
        <w:br w:type="page"/>
      </w:r>
      <w:bookmarkStart w:id="94" w:name="BP3DEECDHigherEduSkills"/>
      <w:r>
        <w:rPr>
          <w:lang w:eastAsia="en-AU"/>
        </w:rPr>
        <w:t>H</w:t>
      </w:r>
      <w:r w:rsidRPr="005C542E">
        <w:rPr>
          <w:lang w:eastAsia="en-AU"/>
        </w:rPr>
        <w:t>igher Education and Skills</w:t>
      </w:r>
    </w:p>
    <w:p w:rsidR="00B958B1" w:rsidRPr="005C542E" w:rsidRDefault="00B958B1" w:rsidP="009F3B54">
      <w:pPr>
        <w:pStyle w:val="OGText"/>
        <w:rPr>
          <w:lang w:eastAsia="en-AU"/>
        </w:rPr>
      </w:pPr>
      <w:r w:rsidRPr="005C542E">
        <w:rPr>
          <w:lang w:eastAsia="en-AU"/>
        </w:rPr>
        <w:t>The Higher Education and Skills output responds to the labour and skills needs of individuals and industry. This output covers the system design, contracting and monitoring of vocational education and training services. It also involves the development and implementation of effective strategies for accredited and pre</w:t>
      </w:r>
      <w:r w:rsidR="009F0F49">
        <w:rPr>
          <w:lang w:eastAsia="en-AU"/>
        </w:rPr>
        <w:noBreakHyphen/>
      </w:r>
      <w:r w:rsidRPr="005C542E">
        <w:rPr>
          <w:lang w:eastAsia="en-AU"/>
        </w:rPr>
        <w:t xml:space="preserve">accredited vocational education and training through adult community education. This output group contributes towards providing and improving services to support all the </w:t>
      </w:r>
      <w:r>
        <w:rPr>
          <w:lang w:eastAsia="en-AU"/>
        </w:rPr>
        <w:t>D</w:t>
      </w:r>
      <w:r w:rsidRPr="005C542E">
        <w:rPr>
          <w:lang w:eastAsia="en-AU"/>
        </w:rPr>
        <w:t>epartment</w:t>
      </w:r>
      <w:r>
        <w:rPr>
          <w:lang w:eastAsia="en-AU"/>
        </w:rPr>
        <w:t>’</w:t>
      </w:r>
      <w:r w:rsidRPr="005C542E">
        <w:rPr>
          <w:lang w:eastAsia="en-AU"/>
        </w:rPr>
        <w:t>s objectives of achievement, engagement, wellbeing and productivity.</w:t>
      </w:r>
    </w:p>
    <w:tbl>
      <w:tblPr>
        <w:tblW w:w="7782" w:type="dxa"/>
        <w:tblInd w:w="29" w:type="dxa"/>
        <w:tblLayout w:type="fixed"/>
        <w:tblCellMar>
          <w:left w:w="43" w:type="dxa"/>
          <w:right w:w="43" w:type="dxa"/>
        </w:tblCellMar>
        <w:tblLook w:val="04A0" w:firstRow="1" w:lastRow="0" w:firstColumn="1" w:lastColumn="0" w:noHBand="0" w:noVBand="1"/>
      </w:tblPr>
      <w:tblGrid>
        <w:gridCol w:w="3114"/>
        <w:gridCol w:w="40"/>
        <w:gridCol w:w="907"/>
        <w:gridCol w:w="6"/>
        <w:gridCol w:w="901"/>
        <w:gridCol w:w="9"/>
        <w:gridCol w:w="985"/>
        <w:gridCol w:w="895"/>
        <w:gridCol w:w="12"/>
        <w:gridCol w:w="907"/>
        <w:gridCol w:w="6"/>
      </w:tblGrid>
      <w:tr w:rsidR="00B958B1" w:rsidRPr="00D32CA4" w:rsidTr="009F3B54">
        <w:trPr>
          <w:gridAfter w:val="1"/>
          <w:wAfter w:w="6" w:type="dxa"/>
          <w:cantSplit/>
          <w:tblHeader/>
        </w:trPr>
        <w:tc>
          <w:tcPr>
            <w:tcW w:w="3154" w:type="dxa"/>
            <w:gridSpan w:val="2"/>
            <w:tcBorders>
              <w:top w:val="single" w:sz="4" w:space="0" w:color="auto"/>
              <w:left w:val="single" w:sz="4" w:space="0" w:color="auto"/>
              <w:bottom w:val="single" w:sz="4" w:space="0" w:color="auto"/>
              <w:right w:val="nil"/>
            </w:tcBorders>
            <w:shd w:val="clear" w:color="auto" w:fill="000000"/>
            <w:vAlign w:val="bottom"/>
          </w:tcPr>
          <w:p w:rsidR="00B958B1" w:rsidRPr="00D32CA4" w:rsidRDefault="00B958B1" w:rsidP="009F3B54">
            <w:pPr>
              <w:pStyle w:val="OGTabColLeft"/>
              <w:rPr>
                <w:i/>
              </w:rPr>
            </w:pPr>
            <w:r w:rsidRPr="00D32CA4">
              <w:t>Major Outputs/Deliverables</w:t>
            </w:r>
            <w:r w:rsidRPr="00D32CA4">
              <w:br/>
            </w:r>
            <w:r w:rsidRPr="0085011C">
              <w:rPr>
                <w:b w:val="0"/>
                <w:i/>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gridSpan w:val="2"/>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4" w:type="dxa"/>
            <w:gridSpan w:val="2"/>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gridSpan w:val="2"/>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Pr="005C542E" w:rsidRDefault="00B958B1" w:rsidP="009F3B54">
            <w:pPr>
              <w:pStyle w:val="OGHeading2"/>
              <w:rPr>
                <w:lang w:eastAsia="en-AU"/>
              </w:rPr>
            </w:pPr>
            <w:r w:rsidRPr="005C542E">
              <w:rPr>
                <w:lang w:eastAsia="en-AU"/>
              </w:rPr>
              <w:t>Higher Education and Skills</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Text"/>
              <w:rPr>
                <w:lang w:eastAsia="en-AU"/>
              </w:rPr>
            </w:pPr>
            <w:r w:rsidRPr="005C542E">
              <w:rPr>
                <w:lang w:eastAsia="en-AU"/>
              </w:rPr>
              <w:t>This output ensures quality of service and supports increased participation in training in Victoria by:</w:t>
            </w:r>
          </w:p>
          <w:p w:rsidR="00B958B1" w:rsidRPr="00A67FD5" w:rsidRDefault="00B958B1" w:rsidP="009F3B54">
            <w:pPr>
              <w:pStyle w:val="OGBullet"/>
            </w:pPr>
            <w:r w:rsidRPr="00A67FD5">
              <w:t>developing strategic advice on Victoria</w:t>
            </w:r>
            <w:r>
              <w:t>’</w:t>
            </w:r>
            <w:r w:rsidRPr="00A67FD5">
              <w:t>s skill requirements;</w:t>
            </w:r>
          </w:p>
          <w:p w:rsidR="00B958B1" w:rsidRPr="00A67FD5" w:rsidRDefault="00B958B1" w:rsidP="009F3B54">
            <w:pPr>
              <w:pStyle w:val="OGBullet"/>
            </w:pPr>
            <w:r w:rsidRPr="00A67FD5">
              <w:t>contracting training services provided by TAFE institutes and private registered training organisations;</w:t>
            </w:r>
          </w:p>
          <w:p w:rsidR="00B958B1" w:rsidRPr="00A67FD5" w:rsidRDefault="00B958B1" w:rsidP="009F3B54">
            <w:pPr>
              <w:pStyle w:val="OGBullet"/>
            </w:pPr>
            <w:r w:rsidRPr="00A67FD5">
              <w:t>building the capability and competitiveness of the vocational education and training system; and</w:t>
            </w:r>
          </w:p>
          <w:p w:rsidR="00B958B1" w:rsidRPr="005C542E" w:rsidRDefault="00B958B1" w:rsidP="009F3B54">
            <w:pPr>
              <w:pStyle w:val="OGBullet"/>
            </w:pPr>
            <w:r w:rsidRPr="00A67FD5">
              <w:t>developing and implementing effective strategies for accredited and pre</w:t>
            </w:r>
            <w:r w:rsidR="009F0F49">
              <w:noBreakHyphen/>
            </w:r>
            <w:r w:rsidRPr="00A67FD5">
              <w:t>accredited vocational education and training through adult community education and youth transition pathways to ensure access to and increased participation in life</w:t>
            </w:r>
            <w:r w:rsidR="009F0F49">
              <w:noBreakHyphen/>
            </w:r>
            <w:r w:rsidRPr="00A67FD5">
              <w:t>long skills development</w:t>
            </w:r>
            <w:r w:rsidRPr="005C542E">
              <w:t>.</w:t>
            </w:r>
          </w:p>
        </w:tc>
      </w:tr>
      <w:tr w:rsidR="00B958B1" w:rsidRPr="005C542E" w:rsidTr="009F3B54">
        <w:trPr>
          <w:cantSplit/>
        </w:trPr>
        <w:tc>
          <w:tcPr>
            <w:tcW w:w="3114" w:type="dxa"/>
            <w:tcBorders>
              <w:top w:val="single" w:sz="6" w:space="0" w:color="auto"/>
              <w:left w:val="nil"/>
              <w:bottom w:val="nil"/>
              <w:right w:val="nil"/>
            </w:tcBorders>
            <w:shd w:val="clear" w:color="auto" w:fill="auto"/>
            <w:vAlign w:val="bottom"/>
            <w:hideMark/>
          </w:tcPr>
          <w:p w:rsidR="00B958B1" w:rsidRPr="005C542E" w:rsidRDefault="00B958B1" w:rsidP="009F3B54">
            <w:pPr>
              <w:pStyle w:val="OGTabHead"/>
              <w:rPr>
                <w:lang w:eastAsia="en-AU"/>
              </w:rPr>
            </w:pPr>
            <w:r w:rsidRPr="005C542E">
              <w:rPr>
                <w:lang w:eastAsia="en-AU"/>
              </w:rPr>
              <w:t>Quality</w:t>
            </w:r>
          </w:p>
        </w:tc>
        <w:tc>
          <w:tcPr>
            <w:tcW w:w="953"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center"/>
              <w:rPr>
                <w:lang w:eastAsia="en-AU"/>
              </w:rPr>
            </w:pPr>
          </w:p>
        </w:tc>
        <w:tc>
          <w:tcPr>
            <w:tcW w:w="910" w:type="dxa"/>
            <w:gridSpan w:val="2"/>
            <w:tcBorders>
              <w:top w:val="single" w:sz="6" w:space="0" w:color="auto"/>
              <w:left w:val="nil"/>
              <w:bottom w:val="nil"/>
              <w:right w:val="nil"/>
            </w:tcBorders>
            <w:shd w:val="clear" w:color="auto" w:fill="D9D9D9"/>
            <w:noWrap/>
            <w:hideMark/>
          </w:tcPr>
          <w:p w:rsidR="00B958B1" w:rsidRPr="005C542E" w:rsidRDefault="00B958B1" w:rsidP="009F3B54">
            <w:pPr>
              <w:pStyle w:val="OGTabText"/>
              <w:jc w:val="right"/>
              <w:rPr>
                <w:lang w:eastAsia="en-AU"/>
              </w:rPr>
            </w:pPr>
          </w:p>
        </w:tc>
        <w:tc>
          <w:tcPr>
            <w:tcW w:w="98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925"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r>
      <w:tr w:rsidR="00B958B1" w:rsidRPr="005C542E" w:rsidTr="009F3B54">
        <w:trPr>
          <w:cantSplit/>
        </w:trPr>
        <w:tc>
          <w:tcPr>
            <w:tcW w:w="3114" w:type="dxa"/>
            <w:tcBorders>
              <w:top w:val="nil"/>
              <w:left w:val="nil"/>
              <w:bottom w:val="nil"/>
              <w:right w:val="nil"/>
            </w:tcBorders>
            <w:shd w:val="clear" w:color="000000" w:fill="FFFFFF"/>
            <w:hideMark/>
          </w:tcPr>
          <w:p w:rsidR="00B958B1" w:rsidRPr="005C542E" w:rsidRDefault="00B958B1" w:rsidP="009F3B54">
            <w:pPr>
              <w:pStyle w:val="OGTabText"/>
              <w:rPr>
                <w:lang w:eastAsia="en-AU"/>
              </w:rPr>
            </w:pPr>
            <w:r w:rsidRPr="005C542E">
              <w:rPr>
                <w:lang w:eastAsia="en-AU"/>
              </w:rPr>
              <w:t>Participation rate of 15</w:t>
            </w:r>
            <w:r>
              <w:rPr>
                <w:lang w:eastAsia="en-AU"/>
              </w:rPr>
              <w:t>–</w:t>
            </w:r>
            <w:r w:rsidRPr="005C542E">
              <w:rPr>
                <w:lang w:eastAsia="en-AU"/>
              </w:rPr>
              <w:t>24 year olds in training and further education in Victoria</w:t>
            </w:r>
          </w:p>
        </w:tc>
        <w:tc>
          <w:tcPr>
            <w:tcW w:w="953" w:type="dxa"/>
            <w:gridSpan w:val="3"/>
            <w:tcBorders>
              <w:top w:val="nil"/>
              <w:left w:val="nil"/>
              <w:bottom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nil"/>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36.6</w:t>
            </w:r>
          </w:p>
        </w:tc>
        <w:tc>
          <w:tcPr>
            <w:tcW w:w="985" w:type="dxa"/>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36.6</w:t>
            </w:r>
          </w:p>
        </w:tc>
        <w:tc>
          <w:tcPr>
            <w:tcW w:w="895" w:type="dxa"/>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32.4</w:t>
            </w:r>
          </w:p>
        </w:tc>
        <w:tc>
          <w:tcPr>
            <w:tcW w:w="925" w:type="dxa"/>
            <w:gridSpan w:val="3"/>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32.4</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r>
              <w:t xml:space="preserve"> </w:t>
            </w:r>
          </w:p>
          <w:p w:rsidR="00B958B1" w:rsidRPr="005C542E" w:rsidRDefault="00B958B1" w:rsidP="009F3B54">
            <w:pPr>
              <w:pStyle w:val="OGNotes"/>
              <w:rPr>
                <w:iCs/>
                <w:sz w:val="16"/>
                <w:szCs w:val="16"/>
              </w:rPr>
            </w:pPr>
            <w:r w:rsidRPr="00DA2402">
              <w:t>The 2012</w:t>
            </w:r>
            <w:r w:rsidR="009F0F49">
              <w:noBreakHyphen/>
            </w:r>
            <w:r w:rsidRPr="00DA2402">
              <w:t>13 Expected Outcome and the 2013</w:t>
            </w:r>
            <w:r w:rsidR="009F0F49">
              <w:noBreakHyphen/>
            </w:r>
            <w:r w:rsidRPr="00DA2402">
              <w:t>14 Target are higher than the 2012</w:t>
            </w:r>
            <w:r w:rsidR="009F0F49">
              <w:noBreakHyphen/>
            </w:r>
            <w:r w:rsidRPr="00DA2402">
              <w:t>13 Target due to more people accessing training places through the Victorian Training Guarantee. Victorian Training Guarantee course funding is available to Victorians who meet a set of eligibility criteria.</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rPr>
                <w:lang w:eastAsia="en-AU"/>
              </w:rPr>
            </w:pPr>
            <w:r w:rsidRPr="005C542E">
              <w:rPr>
                <w:lang w:eastAsia="en-AU"/>
              </w:rPr>
              <w:t>Participation rate of 25</w:t>
            </w:r>
            <w:r>
              <w:rPr>
                <w:rFonts w:cs="Calibri"/>
                <w:lang w:eastAsia="en-AU"/>
              </w:rPr>
              <w:t>–</w:t>
            </w:r>
            <w:r w:rsidRPr="005C542E">
              <w:rPr>
                <w:lang w:eastAsia="en-AU"/>
              </w:rPr>
              <w:t>64 year olds in training and further education in Victoria</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12.8</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12.8</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11.2</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11.2</w:t>
            </w:r>
          </w:p>
        </w:tc>
      </w:tr>
      <w:tr w:rsidR="00B958B1" w:rsidRPr="005C542E" w:rsidTr="009F3B54">
        <w:trPr>
          <w:cantSplit/>
        </w:trPr>
        <w:tc>
          <w:tcPr>
            <w:tcW w:w="7782" w:type="dxa"/>
            <w:gridSpan w:val="11"/>
            <w:tcBorders>
              <w:left w:val="nil"/>
              <w:bottom w:val="single" w:sz="6" w:space="0" w:color="auto"/>
              <w:right w:val="nil"/>
            </w:tcBorders>
            <w:shd w:val="clear" w:color="000000" w:fill="FFFFFF"/>
          </w:tcPr>
          <w:p w:rsidR="00B958B1" w:rsidRDefault="00B958B1" w:rsidP="009F3B54">
            <w:pPr>
              <w:spacing w:after="60"/>
              <w:ind w:left="363" w:right="113"/>
              <w:rPr>
                <w:rFonts w:ascii="Calibri" w:hAnsi="Calibri"/>
                <w:i/>
                <w:sz w:val="15"/>
                <w:lang w:eastAsia="en-AU"/>
              </w:rPr>
            </w:pPr>
            <w:r w:rsidRPr="00BF40B1">
              <w:rPr>
                <w:rFonts w:ascii="Calibri" w:hAnsi="Calibri"/>
                <w:i/>
                <w:sz w:val="15"/>
                <w:lang w:eastAsia="en-AU"/>
              </w:rPr>
              <w:t>This performance measure relates to the calendar year.</w:t>
            </w:r>
          </w:p>
          <w:p w:rsidR="00B958B1" w:rsidRPr="005C542E" w:rsidRDefault="00B958B1" w:rsidP="009F3B54">
            <w:pPr>
              <w:pStyle w:val="OGNotes"/>
            </w:pPr>
            <w:r w:rsidRPr="006E1208">
              <w:t>The higher 2013</w:t>
            </w:r>
            <w:r w:rsidR="009F0F49">
              <w:noBreakHyphen/>
            </w:r>
            <w:r w:rsidRPr="006E1208">
              <w:t>14 Target reflects forecast improvements in performance.</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rPr>
                <w:lang w:eastAsia="en-AU"/>
              </w:rPr>
            </w:pPr>
            <w:r>
              <w:rPr>
                <w:lang w:eastAsia="en-AU"/>
              </w:rPr>
              <w:t>Percentage</w:t>
            </w:r>
            <w:r w:rsidRPr="005C542E">
              <w:rPr>
                <w:lang w:eastAsia="en-AU"/>
              </w:rPr>
              <w:t xml:space="preserve"> of VET graduates who rate quality of training as four or more out of five</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88.5</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87.6</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88.5</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88.9</w:t>
            </w:r>
          </w:p>
        </w:tc>
      </w:tr>
      <w:tr w:rsidR="00B958B1" w:rsidRPr="005C542E" w:rsidTr="009F3B54">
        <w:trPr>
          <w:cantSplit/>
        </w:trPr>
        <w:tc>
          <w:tcPr>
            <w:tcW w:w="7782" w:type="dxa"/>
            <w:gridSpan w:val="11"/>
            <w:tcBorders>
              <w:left w:val="nil"/>
              <w:bottom w:val="single" w:sz="6" w:space="0" w:color="auto"/>
              <w:right w:val="nil"/>
            </w:tcBorders>
            <w:shd w:val="clear" w:color="000000" w:fill="FFFFFF"/>
          </w:tcPr>
          <w:p w:rsidR="00B958B1" w:rsidRPr="005C542E" w:rsidRDefault="00B958B1" w:rsidP="009F3B54">
            <w:pPr>
              <w:pStyle w:val="OGNotes"/>
            </w:pPr>
            <w:r w:rsidRPr="00BF40B1">
              <w:t>This performance measure relates to the calendar year.</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pageBreakBefore/>
              <w:rPr>
                <w:lang w:eastAsia="en-AU"/>
              </w:rPr>
            </w:pPr>
            <w:r w:rsidRPr="005C542E">
              <w:rPr>
                <w:lang w:eastAsia="en-AU"/>
              </w:rPr>
              <w:t>Successful training completions as measured by module load completion rate</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83.5</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83.5</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77.9</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82.2</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rPr>
                <w:iCs/>
                <w:sz w:val="16"/>
                <w:szCs w:val="16"/>
              </w:rPr>
            </w:pPr>
            <w:r w:rsidRPr="00DA2402">
              <w:t>The 2012</w:t>
            </w:r>
            <w:r w:rsidR="009F0F49">
              <w:noBreakHyphen/>
            </w:r>
            <w:r w:rsidRPr="00DA2402">
              <w:t>13 Expected Outcome and the 2013</w:t>
            </w:r>
            <w:r w:rsidR="009F0F49">
              <w:noBreakHyphen/>
            </w:r>
            <w:r w:rsidRPr="00DA2402">
              <w:t>14 Target are higher than the 2012</w:t>
            </w:r>
            <w:r w:rsidR="009F0F49">
              <w:noBreakHyphen/>
            </w:r>
            <w:r w:rsidRPr="00DA2402">
              <w:t>13 Target due to more people accessing training places through the Victorian Training Guarantee. Victorian Training Guarantee course funding is available to Victorians who meet a set of eligibility criteria.</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rPr>
                <w:lang w:eastAsia="en-AU"/>
              </w:rPr>
            </w:pPr>
            <w:r w:rsidRPr="005C542E">
              <w:rPr>
                <w:lang w:eastAsia="en-AU"/>
              </w:rPr>
              <w:t>VET graduates in employment six months following graduation</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78.5</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75.3</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78.5</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78.6</w:t>
            </w:r>
          </w:p>
        </w:tc>
      </w:tr>
      <w:tr w:rsidR="00B958B1" w:rsidRPr="005C542E" w:rsidTr="009F3B54">
        <w:trPr>
          <w:cantSplit/>
        </w:trPr>
        <w:tc>
          <w:tcPr>
            <w:tcW w:w="7782" w:type="dxa"/>
            <w:gridSpan w:val="11"/>
            <w:tcBorders>
              <w:left w:val="nil"/>
              <w:bottom w:val="single" w:sz="6" w:space="0" w:color="auto"/>
              <w:right w:val="nil"/>
            </w:tcBorders>
            <w:shd w:val="clear" w:color="000000" w:fill="FFFFFF"/>
          </w:tcPr>
          <w:p w:rsidR="00B958B1" w:rsidRPr="005C542E" w:rsidRDefault="00B958B1" w:rsidP="009F3B54">
            <w:pPr>
              <w:spacing w:after="60"/>
              <w:ind w:left="363" w:right="113"/>
            </w:pPr>
            <w:r w:rsidRPr="00BF40B1">
              <w:rPr>
                <w:rFonts w:ascii="Calibri" w:hAnsi="Calibri"/>
                <w:i/>
                <w:sz w:val="15"/>
                <w:lang w:eastAsia="en-AU"/>
              </w:rPr>
              <w:t>This performance measure relates to the calendar year.</w:t>
            </w:r>
          </w:p>
        </w:tc>
      </w:tr>
      <w:tr w:rsidR="00B958B1" w:rsidRPr="005C542E" w:rsidTr="009F3B54">
        <w:trPr>
          <w:cantSplit/>
        </w:trPr>
        <w:tc>
          <w:tcPr>
            <w:tcW w:w="3114" w:type="dxa"/>
            <w:tcBorders>
              <w:top w:val="single" w:sz="6" w:space="0" w:color="auto"/>
              <w:left w:val="nil"/>
              <w:bottom w:val="nil"/>
              <w:right w:val="nil"/>
            </w:tcBorders>
            <w:shd w:val="clear" w:color="auto" w:fill="auto"/>
            <w:vAlign w:val="bottom"/>
            <w:hideMark/>
          </w:tcPr>
          <w:p w:rsidR="00B958B1" w:rsidRPr="005C542E" w:rsidRDefault="00B958B1" w:rsidP="009F3B54">
            <w:pPr>
              <w:pStyle w:val="OGTabHead"/>
              <w:rPr>
                <w:lang w:eastAsia="en-AU"/>
              </w:rPr>
            </w:pPr>
            <w:r w:rsidRPr="005C542E">
              <w:rPr>
                <w:lang w:eastAsia="en-AU"/>
              </w:rPr>
              <w:t>Quantity</w:t>
            </w:r>
          </w:p>
        </w:tc>
        <w:tc>
          <w:tcPr>
            <w:tcW w:w="953"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center"/>
              <w:rPr>
                <w:lang w:eastAsia="en-AU"/>
              </w:rPr>
            </w:pPr>
          </w:p>
        </w:tc>
        <w:tc>
          <w:tcPr>
            <w:tcW w:w="910" w:type="dxa"/>
            <w:gridSpan w:val="2"/>
            <w:tcBorders>
              <w:top w:val="single" w:sz="6" w:space="0" w:color="auto"/>
              <w:left w:val="nil"/>
              <w:bottom w:val="nil"/>
              <w:right w:val="nil"/>
            </w:tcBorders>
            <w:shd w:val="clear" w:color="auto" w:fill="D9D9D9"/>
            <w:noWrap/>
            <w:hideMark/>
          </w:tcPr>
          <w:p w:rsidR="00B958B1" w:rsidRPr="005C542E" w:rsidRDefault="00B958B1" w:rsidP="009F3B54">
            <w:pPr>
              <w:pStyle w:val="OGTabText"/>
              <w:jc w:val="right"/>
              <w:rPr>
                <w:lang w:eastAsia="en-AU"/>
              </w:rPr>
            </w:pPr>
          </w:p>
        </w:tc>
        <w:tc>
          <w:tcPr>
            <w:tcW w:w="98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925"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r>
      <w:tr w:rsidR="00B958B1" w:rsidRPr="005C542E" w:rsidTr="009F3B54">
        <w:trPr>
          <w:cantSplit/>
        </w:trPr>
        <w:tc>
          <w:tcPr>
            <w:tcW w:w="3114" w:type="dxa"/>
            <w:tcBorders>
              <w:top w:val="nil"/>
              <w:left w:val="nil"/>
              <w:right w:val="nil"/>
            </w:tcBorders>
            <w:shd w:val="clear" w:color="000000" w:fill="FFFFFF"/>
            <w:hideMark/>
          </w:tcPr>
          <w:p w:rsidR="00B958B1" w:rsidRPr="005C542E" w:rsidRDefault="00B958B1" w:rsidP="009F3B54">
            <w:pPr>
              <w:pStyle w:val="OGTabText"/>
              <w:rPr>
                <w:lang w:eastAsia="en-AU"/>
              </w:rPr>
            </w:pPr>
            <w:r w:rsidRPr="005C542E">
              <w:rPr>
                <w:lang w:eastAsia="en-AU"/>
              </w:rPr>
              <w:t>Annual government</w:t>
            </w:r>
            <w:r w:rsidR="009F0F49">
              <w:rPr>
                <w:lang w:eastAsia="en-AU"/>
              </w:rPr>
              <w:noBreakHyphen/>
            </w:r>
            <w:r w:rsidRPr="005C542E">
              <w:rPr>
                <w:lang w:eastAsia="en-AU"/>
              </w:rPr>
              <w:t>funded module enrolments</w:t>
            </w:r>
          </w:p>
        </w:tc>
        <w:tc>
          <w:tcPr>
            <w:tcW w:w="953" w:type="dxa"/>
            <w:gridSpan w:val="3"/>
            <w:tcBorders>
              <w:top w:val="nil"/>
              <w:left w:val="nil"/>
              <w:right w:val="nil"/>
            </w:tcBorders>
            <w:shd w:val="clear" w:color="000000" w:fill="FFFFFF"/>
            <w:hideMark/>
          </w:tcPr>
          <w:p w:rsidR="00B958B1" w:rsidRPr="005C542E" w:rsidRDefault="00B958B1" w:rsidP="009F3B54">
            <w:pPr>
              <w:pStyle w:val="OGUoM"/>
              <w:rPr>
                <w:lang w:eastAsia="en-AU"/>
              </w:rPr>
            </w:pPr>
            <w:r w:rsidRPr="005C542E">
              <w:rPr>
                <w:lang w:eastAsia="en-AU"/>
              </w:rPr>
              <w:t>number (million)</w:t>
            </w:r>
          </w:p>
        </w:tc>
        <w:tc>
          <w:tcPr>
            <w:tcW w:w="910" w:type="dxa"/>
            <w:gridSpan w:val="2"/>
            <w:tcBorders>
              <w:top w:val="nil"/>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5.8</w:t>
            </w:r>
          </w:p>
        </w:tc>
        <w:tc>
          <w:tcPr>
            <w:tcW w:w="985" w:type="dxa"/>
            <w:tcBorders>
              <w:top w:val="nil"/>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5.8</w:t>
            </w:r>
          </w:p>
        </w:tc>
        <w:tc>
          <w:tcPr>
            <w:tcW w:w="895" w:type="dxa"/>
            <w:tcBorders>
              <w:top w:val="nil"/>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4.8</w:t>
            </w:r>
          </w:p>
        </w:tc>
        <w:tc>
          <w:tcPr>
            <w:tcW w:w="925" w:type="dxa"/>
            <w:gridSpan w:val="3"/>
            <w:tcBorders>
              <w:top w:val="nil"/>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4.8</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rPr>
                <w:iCs/>
                <w:sz w:val="16"/>
                <w:szCs w:val="16"/>
              </w:rPr>
            </w:pPr>
            <w:r w:rsidRPr="00DA2402">
              <w:t>The 2012</w:t>
            </w:r>
            <w:r w:rsidR="009F0F49">
              <w:noBreakHyphen/>
            </w:r>
            <w:r w:rsidRPr="00DA2402">
              <w:t>13 Expected Outcome and the 2013</w:t>
            </w:r>
            <w:r w:rsidR="009F0F49">
              <w:noBreakHyphen/>
            </w:r>
            <w:r w:rsidRPr="00DA2402">
              <w:t>14 Target are higher than the 2012</w:t>
            </w:r>
            <w:r w:rsidR="009F0F49">
              <w:noBreakHyphen/>
            </w:r>
            <w:r w:rsidRPr="00DA2402">
              <w:t>13 Target due to more people accessing training places through the Victorian Training Guarantee. Victorian Training Guarantee course funding is available to Victorians who meet a set of eligibility criteria.</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rPr>
                <w:lang w:eastAsia="en-AU"/>
              </w:rPr>
            </w:pPr>
            <w:r w:rsidRPr="005C542E">
              <w:rPr>
                <w:lang w:eastAsia="en-AU"/>
              </w:rPr>
              <w:t>Government</w:t>
            </w:r>
            <w:r w:rsidR="009F0F49">
              <w:rPr>
                <w:lang w:eastAsia="en-AU"/>
              </w:rPr>
              <w:noBreakHyphen/>
            </w:r>
            <w:r w:rsidRPr="005C542E">
              <w:rPr>
                <w:lang w:eastAsia="en-AU"/>
              </w:rPr>
              <w:t>funded student contact hours of training and further education provided</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sidRPr="005C542E">
              <w:rPr>
                <w:lang w:eastAsia="en-AU"/>
              </w:rPr>
              <w:t>number (million)</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keepNext/>
              <w:ind w:left="142"/>
              <w:jc w:val="right"/>
              <w:rPr>
                <w:lang w:eastAsia="en-AU"/>
              </w:rPr>
            </w:pPr>
            <w:r w:rsidRPr="005C542E">
              <w:rPr>
                <w:lang w:eastAsia="en-AU"/>
              </w:rPr>
              <w:t>189</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189</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147</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147</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rPr>
                <w:iCs/>
                <w:sz w:val="16"/>
                <w:szCs w:val="16"/>
              </w:rPr>
            </w:pPr>
            <w:r w:rsidRPr="00DA2402">
              <w:t>The 2012</w:t>
            </w:r>
            <w:r w:rsidR="009F0F49">
              <w:noBreakHyphen/>
            </w:r>
            <w:r w:rsidRPr="00DA2402">
              <w:t>13 Expected Outcome and the 2013</w:t>
            </w:r>
            <w:r w:rsidR="009F0F49">
              <w:noBreakHyphen/>
            </w:r>
            <w:r w:rsidRPr="00DA2402">
              <w:t>14 Target are higher than the 2012</w:t>
            </w:r>
            <w:r w:rsidR="009F0F49">
              <w:noBreakHyphen/>
            </w:r>
            <w:r w:rsidRPr="00DA2402">
              <w:t>13 Target due to more people accessing training places through the Victorian Training Guarantee. Victorian Training Guarantee course funding is available to Victorians who meet a set of eligibility criteria.</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rPr>
                <w:lang w:eastAsia="en-AU"/>
              </w:rPr>
            </w:pPr>
            <w:r w:rsidRPr="005C542E">
              <w:rPr>
                <w:lang w:eastAsia="en-AU"/>
              </w:rPr>
              <w:t>Number of apprenticeship/ traineeship commencements by new employees</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sidRPr="005C542E">
              <w:rPr>
                <w:lang w:eastAsia="en-AU"/>
              </w:rPr>
              <w:t>number</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51</w:t>
            </w:r>
            <w:r>
              <w:rPr>
                <w:lang w:eastAsia="en-AU"/>
              </w:rPr>
              <w:t> </w:t>
            </w:r>
            <w:r w:rsidRPr="005C542E">
              <w:rPr>
                <w:lang w:eastAsia="en-AU"/>
              </w:rPr>
              <w:t>000</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51</w:t>
            </w:r>
            <w:r>
              <w:rPr>
                <w:lang w:eastAsia="en-AU"/>
              </w:rPr>
              <w:t> </w:t>
            </w:r>
            <w:r w:rsidRPr="005C542E">
              <w:rPr>
                <w:lang w:eastAsia="en-AU"/>
              </w:rPr>
              <w:t>000</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56</w:t>
            </w:r>
            <w:r>
              <w:rPr>
                <w:lang w:eastAsia="en-AU"/>
              </w:rPr>
              <w:t> </w:t>
            </w:r>
            <w:r w:rsidRPr="005C542E">
              <w:rPr>
                <w:lang w:eastAsia="en-AU"/>
              </w:rPr>
              <w:t>000</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61</w:t>
            </w:r>
            <w:r>
              <w:rPr>
                <w:lang w:eastAsia="en-AU"/>
              </w:rPr>
              <w:t> </w:t>
            </w:r>
            <w:r w:rsidRPr="005C542E">
              <w:rPr>
                <w:lang w:eastAsia="en-AU"/>
              </w:rPr>
              <w:t>360</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Pr="005C542E" w:rsidRDefault="00B958B1" w:rsidP="009F3B54">
            <w:pPr>
              <w:pStyle w:val="OGNotes"/>
            </w:pPr>
            <w:r w:rsidRPr="005C542E">
              <w:t>The lower 2012</w:t>
            </w:r>
            <w:r w:rsidR="009F0F49">
              <w:noBreakHyphen/>
            </w:r>
            <w:r w:rsidRPr="005C542E">
              <w:t>13 Expected Outcome and 2013</w:t>
            </w:r>
            <w:r w:rsidR="009F0F49">
              <w:noBreakHyphen/>
            </w:r>
            <w:r w:rsidRPr="005C542E">
              <w:t xml:space="preserve">14 Target reflects lower than anticipated commencements due to </w:t>
            </w:r>
            <w:r w:rsidRPr="004B2922">
              <w:t>subdued business conditions in the Construction sector.</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rPr>
                <w:lang w:eastAsia="en-AU"/>
              </w:rPr>
            </w:pPr>
            <w:r w:rsidRPr="005C542E">
              <w:rPr>
                <w:lang w:eastAsia="en-AU"/>
              </w:rPr>
              <w:t>Number of apprenticeships/ trainees who qualify for the completion bonus</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sidRPr="005C542E">
              <w:rPr>
                <w:lang w:eastAsia="en-AU"/>
              </w:rPr>
              <w:t>number</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7</w:t>
            </w:r>
            <w:r>
              <w:rPr>
                <w:lang w:eastAsia="en-AU"/>
              </w:rPr>
              <w:t> </w:t>
            </w:r>
            <w:r w:rsidRPr="005C542E">
              <w:rPr>
                <w:lang w:eastAsia="en-AU"/>
              </w:rPr>
              <w:t>000</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w:t>
            </w:r>
            <w:r>
              <w:rPr>
                <w:lang w:eastAsia="en-AU"/>
              </w:rPr>
              <w:t> </w:t>
            </w:r>
            <w:r w:rsidRPr="005C542E">
              <w:rPr>
                <w:lang w:eastAsia="en-AU"/>
              </w:rPr>
              <w:t>750</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11</w:t>
            </w:r>
            <w:r>
              <w:rPr>
                <w:lang w:eastAsia="en-AU"/>
              </w:rPr>
              <w:t> </w:t>
            </w:r>
            <w:r w:rsidRPr="005C542E">
              <w:rPr>
                <w:lang w:eastAsia="en-AU"/>
              </w:rPr>
              <w:t>000</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20</w:t>
            </w:r>
            <w:r>
              <w:rPr>
                <w:lang w:eastAsia="en-AU"/>
              </w:rPr>
              <w:t> </w:t>
            </w:r>
            <w:r w:rsidRPr="005C542E">
              <w:rPr>
                <w:lang w:eastAsia="en-AU"/>
              </w:rPr>
              <w:t>578</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Pr="005C542E" w:rsidRDefault="00B958B1" w:rsidP="009F3B54">
            <w:pPr>
              <w:pStyle w:val="OGNotes"/>
            </w:pPr>
            <w:r w:rsidRPr="005C542E">
              <w:t>The lower 2012</w:t>
            </w:r>
            <w:r w:rsidR="009F0F49">
              <w:noBreakHyphen/>
            </w:r>
            <w:r w:rsidRPr="005C542E">
              <w:t>13 Expected Outcome and 2013</w:t>
            </w:r>
            <w:r w:rsidR="009F0F49">
              <w:noBreakHyphen/>
            </w:r>
            <w:r w:rsidRPr="005C542E">
              <w:t>14 Target reflects the higher number of apprentices/trainees who completed their apprenticeships/traineeships ahead of time in 2011</w:t>
            </w:r>
            <w:r w:rsidR="009F0F49">
              <w:noBreakHyphen/>
            </w:r>
            <w:r w:rsidRPr="005C542E">
              <w:t>12.</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rPr>
                <w:lang w:eastAsia="en-AU"/>
              </w:rPr>
            </w:pPr>
            <w:r w:rsidRPr="005C542E">
              <w:rPr>
                <w:lang w:eastAsia="en-AU"/>
              </w:rPr>
              <w:t>Number of government</w:t>
            </w:r>
            <w:r w:rsidR="009F0F49">
              <w:rPr>
                <w:lang w:eastAsia="en-AU"/>
              </w:rPr>
              <w:noBreakHyphen/>
            </w:r>
            <w:r w:rsidRPr="005C542E">
              <w:rPr>
                <w:lang w:eastAsia="en-AU"/>
              </w:rPr>
              <w:t xml:space="preserve">funded course enrolments in qualifications at </w:t>
            </w:r>
            <w:r>
              <w:rPr>
                <w:lang w:eastAsia="en-AU"/>
              </w:rPr>
              <w:t>d</w:t>
            </w:r>
            <w:r w:rsidRPr="005C542E">
              <w:rPr>
                <w:lang w:eastAsia="en-AU"/>
              </w:rPr>
              <w:t>iploma level or above</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sidRPr="005C542E">
              <w:rPr>
                <w:lang w:eastAsia="en-AU"/>
              </w:rPr>
              <w:t>number</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94</w:t>
            </w:r>
            <w:r>
              <w:rPr>
                <w:lang w:eastAsia="en-AU"/>
              </w:rPr>
              <w:t> </w:t>
            </w:r>
            <w:r w:rsidRPr="005C542E">
              <w:rPr>
                <w:lang w:eastAsia="en-AU"/>
              </w:rPr>
              <w:t>000</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94</w:t>
            </w:r>
            <w:r>
              <w:rPr>
                <w:lang w:eastAsia="en-AU"/>
              </w:rPr>
              <w:t> </w:t>
            </w:r>
            <w:r w:rsidRPr="005C542E">
              <w:rPr>
                <w:lang w:eastAsia="en-AU"/>
              </w:rPr>
              <w:t>428</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86</w:t>
            </w:r>
            <w:r>
              <w:rPr>
                <w:lang w:eastAsia="en-AU"/>
              </w:rPr>
              <w:t> </w:t>
            </w:r>
            <w:r w:rsidRPr="005C542E">
              <w:rPr>
                <w:lang w:eastAsia="en-AU"/>
              </w:rPr>
              <w:t>000</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86</w:t>
            </w:r>
            <w:r>
              <w:rPr>
                <w:lang w:eastAsia="en-AU"/>
              </w:rPr>
              <w:t> </w:t>
            </w:r>
            <w:r w:rsidRPr="005C542E">
              <w:rPr>
                <w:lang w:eastAsia="en-AU"/>
              </w:rPr>
              <w:t>000</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5C542E" w:rsidRDefault="00B958B1" w:rsidP="009F3B54">
            <w:pPr>
              <w:pStyle w:val="OGNotes"/>
              <w:rPr>
                <w:iCs/>
                <w:sz w:val="16"/>
                <w:szCs w:val="16"/>
              </w:rPr>
            </w:pPr>
            <w:r w:rsidRPr="00DA2402">
              <w:t>The 2012</w:t>
            </w:r>
            <w:r w:rsidR="009F0F49">
              <w:noBreakHyphen/>
            </w:r>
            <w:r w:rsidRPr="00DA2402">
              <w:t>13 Expected Outcome and the 2013</w:t>
            </w:r>
            <w:r w:rsidR="009F0F49">
              <w:noBreakHyphen/>
            </w:r>
            <w:r w:rsidRPr="00DA2402">
              <w:t>14 Target are higher than the 2012</w:t>
            </w:r>
            <w:r w:rsidR="009F0F49">
              <w:noBreakHyphen/>
            </w:r>
            <w:r w:rsidRPr="00DA2402">
              <w:t>13 Target due to more people accessing training places through the Victorian Training Guarantee. Victorian Training Guarantee course funding is available to Victorians who meet a set of eligibility criteria.</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4B2922" w:rsidRDefault="00B958B1" w:rsidP="009F3B54">
            <w:pPr>
              <w:pStyle w:val="OGTabText"/>
              <w:rPr>
                <w:lang w:eastAsia="en-AU"/>
              </w:rPr>
            </w:pPr>
            <w:r w:rsidRPr="004B2922">
              <w:rPr>
                <w:lang w:eastAsia="en-AU"/>
              </w:rPr>
              <w:t>Number of pre</w:t>
            </w:r>
            <w:r w:rsidR="009F0F49">
              <w:rPr>
                <w:lang w:eastAsia="en-AU"/>
              </w:rPr>
              <w:noBreakHyphen/>
            </w:r>
            <w:r w:rsidRPr="004B2922">
              <w:rPr>
                <w:lang w:eastAsia="en-AU"/>
              </w:rPr>
              <w:t>accredited module enrolments government</w:t>
            </w:r>
            <w:r w:rsidR="009F0F49">
              <w:rPr>
                <w:lang w:eastAsia="en-AU"/>
              </w:rPr>
              <w:noBreakHyphen/>
            </w:r>
            <w:r w:rsidRPr="004B2922">
              <w:rPr>
                <w:lang w:eastAsia="en-AU"/>
              </w:rPr>
              <w:t>funded through the Adult Community and Further Education (ACFE) Board – Adult Community Education organisations and Australian Education Internationals</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sidRPr="005C542E">
              <w:rPr>
                <w:lang w:eastAsia="en-AU"/>
              </w:rPr>
              <w:t>number</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33</w:t>
            </w:r>
            <w:r>
              <w:rPr>
                <w:lang w:eastAsia="en-AU"/>
              </w:rPr>
              <w:t> </w:t>
            </w:r>
            <w:r w:rsidRPr="005C542E">
              <w:rPr>
                <w:lang w:eastAsia="en-AU"/>
              </w:rPr>
              <w:t>000</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36</w:t>
            </w:r>
            <w:r>
              <w:rPr>
                <w:lang w:eastAsia="en-AU"/>
              </w:rPr>
              <w:t> </w:t>
            </w:r>
            <w:r w:rsidRPr="005C542E">
              <w:rPr>
                <w:lang w:eastAsia="en-AU"/>
              </w:rPr>
              <w:t>618</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33</w:t>
            </w:r>
            <w:r>
              <w:rPr>
                <w:lang w:eastAsia="en-AU"/>
              </w:rPr>
              <w:t> </w:t>
            </w:r>
            <w:r w:rsidRPr="005C542E">
              <w:rPr>
                <w:lang w:eastAsia="en-AU"/>
              </w:rPr>
              <w:t>000</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33</w:t>
            </w:r>
            <w:r>
              <w:rPr>
                <w:lang w:eastAsia="en-AU"/>
              </w:rPr>
              <w:t> </w:t>
            </w:r>
            <w:r w:rsidRPr="005C542E">
              <w:rPr>
                <w:lang w:eastAsia="en-AU"/>
              </w:rPr>
              <w:t>365</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4B2922" w:rsidRDefault="00B958B1" w:rsidP="009F3B54">
            <w:pPr>
              <w:pStyle w:val="OGNotes"/>
            </w:pPr>
            <w:r w:rsidRPr="004B2922">
              <w:t>The 2012</w:t>
            </w:r>
            <w:r w:rsidR="009F0F49">
              <w:noBreakHyphen/>
            </w:r>
            <w:r w:rsidRPr="004B2922">
              <w:t>13 Expected Outcome is higher than the 2012</w:t>
            </w:r>
            <w:r w:rsidR="009F0F49">
              <w:noBreakHyphen/>
            </w:r>
            <w:r w:rsidRPr="004B2922">
              <w:t xml:space="preserve">13 Target due to time limited reprioritisation </w:t>
            </w:r>
            <w:r>
              <w:t xml:space="preserve">resulting </w:t>
            </w:r>
            <w:r w:rsidRPr="004B2922">
              <w:t>in additional funding by the ACFE Board.</w:t>
            </w:r>
          </w:p>
        </w:tc>
      </w:tr>
      <w:tr w:rsidR="00B958B1" w:rsidRPr="005C542E" w:rsidTr="009F3B54">
        <w:trPr>
          <w:cantSplit/>
        </w:trPr>
        <w:tc>
          <w:tcPr>
            <w:tcW w:w="3114" w:type="dxa"/>
            <w:tcBorders>
              <w:top w:val="single" w:sz="6" w:space="0" w:color="auto"/>
              <w:left w:val="nil"/>
              <w:bottom w:val="nil"/>
              <w:right w:val="nil"/>
            </w:tcBorders>
            <w:shd w:val="clear" w:color="auto" w:fill="auto"/>
            <w:vAlign w:val="bottom"/>
            <w:hideMark/>
          </w:tcPr>
          <w:p w:rsidR="00B958B1" w:rsidRPr="005C542E" w:rsidRDefault="00B958B1" w:rsidP="009F3B54">
            <w:pPr>
              <w:pStyle w:val="OGTabHead"/>
              <w:rPr>
                <w:lang w:eastAsia="en-AU"/>
              </w:rPr>
            </w:pPr>
            <w:r w:rsidRPr="005C542E">
              <w:rPr>
                <w:lang w:eastAsia="en-AU"/>
              </w:rPr>
              <w:t>Cost</w:t>
            </w:r>
          </w:p>
        </w:tc>
        <w:tc>
          <w:tcPr>
            <w:tcW w:w="953"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center"/>
              <w:rPr>
                <w:lang w:eastAsia="en-AU"/>
              </w:rPr>
            </w:pPr>
          </w:p>
        </w:tc>
        <w:tc>
          <w:tcPr>
            <w:tcW w:w="910" w:type="dxa"/>
            <w:gridSpan w:val="2"/>
            <w:tcBorders>
              <w:top w:val="single" w:sz="6" w:space="0" w:color="auto"/>
              <w:left w:val="nil"/>
              <w:bottom w:val="nil"/>
              <w:right w:val="nil"/>
            </w:tcBorders>
            <w:shd w:val="clear" w:color="auto" w:fill="D9D9D9"/>
            <w:noWrap/>
            <w:hideMark/>
          </w:tcPr>
          <w:p w:rsidR="00B958B1" w:rsidRPr="005C542E" w:rsidRDefault="00B958B1" w:rsidP="009F3B54">
            <w:pPr>
              <w:pStyle w:val="OGTabText"/>
              <w:jc w:val="right"/>
              <w:rPr>
                <w:lang w:eastAsia="en-AU"/>
              </w:rPr>
            </w:pPr>
          </w:p>
        </w:tc>
        <w:tc>
          <w:tcPr>
            <w:tcW w:w="98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925"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r>
      <w:tr w:rsidR="00B958B1" w:rsidRPr="005C542E" w:rsidTr="009F3B54">
        <w:trPr>
          <w:cantSplit/>
        </w:trPr>
        <w:tc>
          <w:tcPr>
            <w:tcW w:w="3114" w:type="dxa"/>
            <w:tcBorders>
              <w:top w:val="nil"/>
              <w:left w:val="nil"/>
              <w:right w:val="nil"/>
            </w:tcBorders>
            <w:shd w:val="clear" w:color="000000" w:fill="FFFFFF"/>
            <w:hideMark/>
          </w:tcPr>
          <w:p w:rsidR="00B958B1" w:rsidRPr="005C542E" w:rsidRDefault="00B958B1" w:rsidP="009F3B54">
            <w:pPr>
              <w:pStyle w:val="OGTabText"/>
              <w:rPr>
                <w:lang w:eastAsia="en-AU"/>
              </w:rPr>
            </w:pPr>
            <w:r w:rsidRPr="005C542E">
              <w:rPr>
                <w:lang w:eastAsia="en-AU"/>
              </w:rPr>
              <w:t>Total output cost</w:t>
            </w:r>
          </w:p>
        </w:tc>
        <w:tc>
          <w:tcPr>
            <w:tcW w:w="953" w:type="dxa"/>
            <w:gridSpan w:val="3"/>
            <w:tcBorders>
              <w:top w:val="nil"/>
              <w:left w:val="nil"/>
              <w:right w:val="nil"/>
            </w:tcBorders>
            <w:shd w:val="clear" w:color="000000" w:fill="FFFFFF"/>
            <w:hideMark/>
          </w:tcPr>
          <w:p w:rsidR="00B958B1" w:rsidRPr="005C542E" w:rsidRDefault="00B958B1" w:rsidP="009F3B54">
            <w:pPr>
              <w:pStyle w:val="OGUoM"/>
              <w:rPr>
                <w:lang w:eastAsia="en-AU"/>
              </w:rPr>
            </w:pPr>
            <w:r w:rsidRPr="005C542E">
              <w:rPr>
                <w:lang w:eastAsia="en-AU"/>
              </w:rPr>
              <w:t>number (million)</w:t>
            </w:r>
          </w:p>
        </w:tc>
        <w:tc>
          <w:tcPr>
            <w:tcW w:w="910" w:type="dxa"/>
            <w:gridSpan w:val="2"/>
            <w:tcBorders>
              <w:top w:val="nil"/>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2</w:t>
            </w:r>
            <w:r>
              <w:rPr>
                <w:lang w:eastAsia="en-AU"/>
              </w:rPr>
              <w:t> </w:t>
            </w:r>
            <w:r w:rsidRPr="005C542E">
              <w:rPr>
                <w:lang w:eastAsia="en-AU"/>
              </w:rPr>
              <w:t>268.2</w:t>
            </w:r>
          </w:p>
        </w:tc>
        <w:tc>
          <w:tcPr>
            <w:tcW w:w="985" w:type="dxa"/>
            <w:tcBorders>
              <w:top w:val="nil"/>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2</w:t>
            </w:r>
            <w:r>
              <w:rPr>
                <w:lang w:eastAsia="en-AU"/>
              </w:rPr>
              <w:t> </w:t>
            </w:r>
            <w:r w:rsidRPr="005C542E">
              <w:rPr>
                <w:lang w:eastAsia="en-AU"/>
              </w:rPr>
              <w:t>450.2</w:t>
            </w:r>
          </w:p>
        </w:tc>
        <w:tc>
          <w:tcPr>
            <w:tcW w:w="895" w:type="dxa"/>
            <w:tcBorders>
              <w:top w:val="nil"/>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2</w:t>
            </w:r>
            <w:r>
              <w:rPr>
                <w:lang w:eastAsia="en-AU"/>
              </w:rPr>
              <w:t> </w:t>
            </w:r>
            <w:r w:rsidRPr="005C542E">
              <w:rPr>
                <w:lang w:eastAsia="en-AU"/>
              </w:rPr>
              <w:t>437.7</w:t>
            </w:r>
          </w:p>
        </w:tc>
        <w:tc>
          <w:tcPr>
            <w:tcW w:w="925" w:type="dxa"/>
            <w:gridSpan w:val="3"/>
            <w:tcBorders>
              <w:top w:val="nil"/>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2</w:t>
            </w:r>
            <w:r>
              <w:rPr>
                <w:lang w:eastAsia="en-AU"/>
              </w:rPr>
              <w:t> </w:t>
            </w:r>
            <w:r w:rsidRPr="005C542E">
              <w:rPr>
                <w:lang w:eastAsia="en-AU"/>
              </w:rPr>
              <w:t>662.2</w:t>
            </w:r>
          </w:p>
        </w:tc>
      </w:tr>
      <w:tr w:rsidR="00B958B1" w:rsidRPr="005C542E" w:rsidTr="009F3B54">
        <w:trPr>
          <w:cantSplit/>
        </w:trPr>
        <w:tc>
          <w:tcPr>
            <w:tcW w:w="7782" w:type="dxa"/>
            <w:gridSpan w:val="11"/>
            <w:tcBorders>
              <w:top w:val="nil"/>
              <w:left w:val="nil"/>
              <w:bottom w:val="single" w:sz="12" w:space="0" w:color="auto"/>
              <w:right w:val="nil"/>
            </w:tcBorders>
            <w:shd w:val="clear" w:color="auto" w:fill="auto"/>
            <w:vAlign w:val="bottom"/>
            <w:hideMark/>
          </w:tcPr>
          <w:p w:rsidR="00B958B1" w:rsidRPr="004B2922" w:rsidRDefault="00B958B1" w:rsidP="009F3B54">
            <w:pPr>
              <w:pStyle w:val="OGNotes"/>
            </w:pPr>
            <w:r w:rsidRPr="0049223D">
              <w:t>The lower 2013</w:t>
            </w:r>
            <w:r w:rsidR="009F0F49">
              <w:noBreakHyphen/>
            </w:r>
            <w:r w:rsidRPr="0049223D">
              <w:t xml:space="preserve">14 </w:t>
            </w:r>
            <w:r>
              <w:t>Target</w:t>
            </w:r>
            <w:r w:rsidRPr="0049223D">
              <w:t xml:space="preserve"> primarily reflects the funding profile of the Refocusing Vocational Education in Victoria i</w:t>
            </w:r>
            <w:r>
              <w:t>nitiative announced in the 2012</w:t>
            </w:r>
            <w:r w:rsidR="009F0F49">
              <w:noBreakHyphen/>
            </w:r>
            <w:r w:rsidRPr="0049223D">
              <w:t>13 Budget.</w:t>
            </w:r>
          </w:p>
        </w:tc>
      </w:tr>
    </w:tbl>
    <w:p w:rsidR="00B958B1" w:rsidRDefault="00B958B1" w:rsidP="009F3B54">
      <w:pPr>
        <w:pStyle w:val="Source"/>
        <w:rPr>
          <w:lang w:eastAsia="en-AU"/>
        </w:rPr>
      </w:pPr>
      <w:r>
        <w:rPr>
          <w:lang w:eastAsia="en-AU"/>
        </w:rPr>
        <w:t>Source: Department of Education and Early Childhood Development</w:t>
      </w:r>
    </w:p>
    <w:p w:rsidR="00B958B1" w:rsidRPr="00964687" w:rsidRDefault="00B958B1" w:rsidP="009F3B54">
      <w:pPr>
        <w:pStyle w:val="Source"/>
        <w:rPr>
          <w:lang w:eastAsia="en-AU"/>
        </w:rPr>
      </w:pPr>
      <w:r>
        <w:rPr>
          <w:lang w:eastAsia="en-AU"/>
        </w:rPr>
        <w:fldChar w:fldCharType="begin"/>
      </w:r>
      <w:r>
        <w:instrText xml:space="preserve"> XE "</w:instrText>
      </w:r>
      <w:r w:rsidRPr="005B6951">
        <w:instrText>D</w:instrText>
      </w:r>
      <w:r w:rsidRPr="00641A8D">
        <w:instrText>epartment of Education and Early Childhood Development</w:instrText>
      </w:r>
      <w:r w:rsidRPr="005B6951">
        <w:instrText>:Higher Education and Skills</w:instrText>
      </w:r>
      <w:r>
        <w:instrText xml:space="preserve">" \r "BP3DEECDHigherEduSkills" </w:instrText>
      </w:r>
      <w:r>
        <w:rPr>
          <w:lang w:eastAsia="en-AU"/>
        </w:rPr>
        <w:fldChar w:fldCharType="end"/>
      </w:r>
    </w:p>
    <w:bookmarkEnd w:id="94"/>
    <w:p w:rsidR="00B958B1" w:rsidRPr="005C542E" w:rsidRDefault="00B958B1" w:rsidP="009F3B54">
      <w:pPr>
        <w:pStyle w:val="OGHeading1"/>
        <w:rPr>
          <w:lang w:eastAsia="en-AU"/>
        </w:rPr>
      </w:pPr>
      <w:r>
        <w:rPr>
          <w:lang w:eastAsia="en-AU"/>
        </w:rPr>
        <w:br w:type="page"/>
      </w:r>
      <w:bookmarkStart w:id="95" w:name="BP3DEECDSupportServicesDeliv"/>
      <w:r w:rsidRPr="005C542E">
        <w:rPr>
          <w:lang w:eastAsia="en-AU"/>
        </w:rPr>
        <w:t>Support Services Delivery</w:t>
      </w:r>
    </w:p>
    <w:p w:rsidR="00B958B1" w:rsidRPr="005C542E" w:rsidRDefault="00B958B1" w:rsidP="009F3B54">
      <w:pPr>
        <w:pStyle w:val="OGText"/>
        <w:rPr>
          <w:lang w:eastAsia="en-AU"/>
        </w:rPr>
      </w:pPr>
      <w:r w:rsidRPr="005C542E">
        <w:rPr>
          <w:lang w:eastAsia="en-AU"/>
        </w:rPr>
        <w:t xml:space="preserve">The Support Services Delivery output </w:t>
      </w:r>
      <w:r>
        <w:rPr>
          <w:lang w:eastAsia="en-AU"/>
        </w:rPr>
        <w:t xml:space="preserve">group </w:t>
      </w:r>
      <w:r w:rsidRPr="005C542E">
        <w:rPr>
          <w:lang w:eastAsia="en-AU"/>
        </w:rPr>
        <w:t>covers the Regional Support Group and provides student welfare and support, education maintenance allowance, student transport (excluding transport for special need</w:t>
      </w:r>
      <w:r>
        <w:rPr>
          <w:lang w:eastAsia="en-AU"/>
        </w:rPr>
        <w:t>s</w:t>
      </w:r>
      <w:r w:rsidRPr="005C542E">
        <w:rPr>
          <w:lang w:eastAsia="en-AU"/>
        </w:rPr>
        <w:t xml:space="preserve"> students) and health services. This output group contributes towards providing and improving services to support all the </w:t>
      </w:r>
      <w:r>
        <w:rPr>
          <w:lang w:eastAsia="en-AU"/>
        </w:rPr>
        <w:t>D</w:t>
      </w:r>
      <w:r w:rsidRPr="005C542E">
        <w:rPr>
          <w:lang w:eastAsia="en-AU"/>
        </w:rPr>
        <w:t>epartment</w:t>
      </w:r>
      <w:r>
        <w:rPr>
          <w:lang w:eastAsia="en-AU"/>
        </w:rPr>
        <w:t>’</w:t>
      </w:r>
      <w:r w:rsidRPr="005C542E">
        <w:rPr>
          <w:lang w:eastAsia="en-AU"/>
        </w:rPr>
        <w:t>s objectives of achievement, engagement, wellbeing and productivity.</w:t>
      </w:r>
    </w:p>
    <w:tbl>
      <w:tblPr>
        <w:tblW w:w="7782" w:type="dxa"/>
        <w:tblInd w:w="29" w:type="dxa"/>
        <w:tblLayout w:type="fixed"/>
        <w:tblCellMar>
          <w:left w:w="43" w:type="dxa"/>
          <w:right w:w="43" w:type="dxa"/>
        </w:tblCellMar>
        <w:tblLook w:val="04A0" w:firstRow="1" w:lastRow="0" w:firstColumn="1" w:lastColumn="0" w:noHBand="0" w:noVBand="1"/>
      </w:tblPr>
      <w:tblGrid>
        <w:gridCol w:w="3114"/>
        <w:gridCol w:w="40"/>
        <w:gridCol w:w="907"/>
        <w:gridCol w:w="6"/>
        <w:gridCol w:w="901"/>
        <w:gridCol w:w="9"/>
        <w:gridCol w:w="985"/>
        <w:gridCol w:w="895"/>
        <w:gridCol w:w="12"/>
        <w:gridCol w:w="907"/>
        <w:gridCol w:w="6"/>
      </w:tblGrid>
      <w:tr w:rsidR="00B958B1" w:rsidRPr="00D32CA4" w:rsidTr="009F3B54">
        <w:trPr>
          <w:gridAfter w:val="1"/>
          <w:wAfter w:w="6" w:type="dxa"/>
          <w:cantSplit/>
          <w:tblHeader/>
        </w:trPr>
        <w:tc>
          <w:tcPr>
            <w:tcW w:w="3154" w:type="dxa"/>
            <w:gridSpan w:val="2"/>
            <w:tcBorders>
              <w:top w:val="single" w:sz="4" w:space="0" w:color="auto"/>
              <w:left w:val="single" w:sz="4" w:space="0" w:color="auto"/>
              <w:bottom w:val="single" w:sz="4" w:space="0" w:color="auto"/>
              <w:right w:val="nil"/>
            </w:tcBorders>
            <w:shd w:val="clear" w:color="auto" w:fill="000000"/>
            <w:vAlign w:val="bottom"/>
          </w:tcPr>
          <w:p w:rsidR="00B958B1" w:rsidRPr="00D32CA4" w:rsidRDefault="00B958B1" w:rsidP="009F3B54">
            <w:pPr>
              <w:pStyle w:val="OGTabColLeft"/>
              <w:rPr>
                <w:i/>
              </w:rPr>
            </w:pPr>
            <w:r w:rsidRPr="00D32CA4">
              <w:t>Major Outputs/Deliverables</w:t>
            </w:r>
            <w:r w:rsidRPr="00D32CA4">
              <w:br/>
            </w:r>
            <w:r w:rsidRPr="0085011C">
              <w:rPr>
                <w:b w:val="0"/>
                <w:i/>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gridSpan w:val="2"/>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4" w:type="dxa"/>
            <w:gridSpan w:val="2"/>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gridSpan w:val="2"/>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Pr="005C542E" w:rsidRDefault="00B958B1" w:rsidP="009F3B54">
            <w:pPr>
              <w:pStyle w:val="OGHeading2"/>
              <w:rPr>
                <w:lang w:eastAsia="en-AU"/>
              </w:rPr>
            </w:pPr>
            <w:r w:rsidRPr="005C542E">
              <w:rPr>
                <w:lang w:eastAsia="en-AU"/>
              </w:rPr>
              <w:t>Support Services Delivery</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Pr="005C542E" w:rsidRDefault="00B958B1" w:rsidP="009F3B54">
            <w:pPr>
              <w:pStyle w:val="OGText"/>
              <w:rPr>
                <w:lang w:eastAsia="en-AU"/>
              </w:rPr>
            </w:pPr>
            <w:r w:rsidRPr="005C542E">
              <w:rPr>
                <w:lang w:eastAsia="en-AU"/>
              </w:rPr>
              <w:t>This output includes the Regional Support Group and delivers services for student welfare and support, education maintenance allowance and student transport (excluding transport for special need students). It also covers school nursing services.</w:t>
            </w:r>
          </w:p>
        </w:tc>
      </w:tr>
      <w:tr w:rsidR="00B958B1" w:rsidRPr="005C542E" w:rsidTr="009F3B54">
        <w:trPr>
          <w:cantSplit/>
        </w:trPr>
        <w:tc>
          <w:tcPr>
            <w:tcW w:w="3114" w:type="dxa"/>
            <w:tcBorders>
              <w:top w:val="single" w:sz="6" w:space="0" w:color="auto"/>
              <w:left w:val="nil"/>
              <w:bottom w:val="nil"/>
              <w:right w:val="nil"/>
            </w:tcBorders>
            <w:shd w:val="clear" w:color="auto" w:fill="auto"/>
            <w:vAlign w:val="bottom"/>
            <w:hideMark/>
          </w:tcPr>
          <w:p w:rsidR="00B958B1" w:rsidRPr="005C542E" w:rsidRDefault="00B958B1" w:rsidP="009F3B54">
            <w:pPr>
              <w:pStyle w:val="OGTabHead"/>
              <w:rPr>
                <w:lang w:eastAsia="en-AU"/>
              </w:rPr>
            </w:pPr>
            <w:r w:rsidRPr="005C542E">
              <w:rPr>
                <w:lang w:eastAsia="en-AU"/>
              </w:rPr>
              <w:t>Quality</w:t>
            </w:r>
          </w:p>
        </w:tc>
        <w:tc>
          <w:tcPr>
            <w:tcW w:w="953"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center"/>
              <w:rPr>
                <w:lang w:eastAsia="en-AU"/>
              </w:rPr>
            </w:pPr>
          </w:p>
        </w:tc>
        <w:tc>
          <w:tcPr>
            <w:tcW w:w="910" w:type="dxa"/>
            <w:gridSpan w:val="2"/>
            <w:tcBorders>
              <w:top w:val="single" w:sz="6" w:space="0" w:color="auto"/>
              <w:left w:val="nil"/>
              <w:bottom w:val="nil"/>
              <w:right w:val="nil"/>
            </w:tcBorders>
            <w:shd w:val="clear" w:color="auto" w:fill="D9D9D9"/>
            <w:noWrap/>
            <w:hideMark/>
          </w:tcPr>
          <w:p w:rsidR="00B958B1" w:rsidRPr="005C542E" w:rsidRDefault="00B958B1" w:rsidP="009F3B54">
            <w:pPr>
              <w:pStyle w:val="OGTabText"/>
              <w:jc w:val="right"/>
              <w:rPr>
                <w:lang w:eastAsia="en-AU"/>
              </w:rPr>
            </w:pPr>
          </w:p>
        </w:tc>
        <w:tc>
          <w:tcPr>
            <w:tcW w:w="98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925"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r>
      <w:tr w:rsidR="00B958B1" w:rsidRPr="005C542E" w:rsidTr="009F3B54">
        <w:trPr>
          <w:cantSplit/>
        </w:trPr>
        <w:tc>
          <w:tcPr>
            <w:tcW w:w="3114" w:type="dxa"/>
            <w:tcBorders>
              <w:top w:val="nil"/>
              <w:left w:val="nil"/>
              <w:bottom w:val="nil"/>
              <w:right w:val="nil"/>
            </w:tcBorders>
            <w:shd w:val="clear" w:color="000000" w:fill="FFFFFF"/>
            <w:hideMark/>
          </w:tcPr>
          <w:p w:rsidR="00B958B1" w:rsidRPr="005C542E" w:rsidRDefault="00B958B1" w:rsidP="009F3B54">
            <w:pPr>
              <w:pStyle w:val="OGTabText"/>
              <w:rPr>
                <w:lang w:eastAsia="en-AU"/>
              </w:rPr>
            </w:pPr>
            <w:r w:rsidRPr="005C542E">
              <w:rPr>
                <w:lang w:eastAsia="en-AU"/>
              </w:rPr>
              <w:t>School satisfaction with student support services</w:t>
            </w:r>
          </w:p>
        </w:tc>
        <w:tc>
          <w:tcPr>
            <w:tcW w:w="953" w:type="dxa"/>
            <w:gridSpan w:val="3"/>
            <w:tcBorders>
              <w:top w:val="nil"/>
              <w:left w:val="nil"/>
              <w:bottom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nil"/>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80</w:t>
            </w:r>
          </w:p>
        </w:tc>
        <w:tc>
          <w:tcPr>
            <w:tcW w:w="985" w:type="dxa"/>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85.1</w:t>
            </w:r>
          </w:p>
        </w:tc>
        <w:tc>
          <w:tcPr>
            <w:tcW w:w="895" w:type="dxa"/>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75</w:t>
            </w:r>
          </w:p>
        </w:tc>
        <w:tc>
          <w:tcPr>
            <w:tcW w:w="925" w:type="dxa"/>
            <w:gridSpan w:val="3"/>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78.5</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4B2922" w:rsidRDefault="00B958B1" w:rsidP="009F3B54">
            <w:pPr>
              <w:pStyle w:val="OGNotes"/>
              <w:rPr>
                <w:iCs/>
                <w:sz w:val="16"/>
                <w:szCs w:val="16"/>
              </w:rPr>
            </w:pPr>
            <w:r w:rsidRPr="004B2922">
              <w:t>The 2012</w:t>
            </w:r>
            <w:r w:rsidR="009F0F49">
              <w:noBreakHyphen/>
            </w:r>
            <w:r w:rsidRPr="004B2922">
              <w:t>13 Expected Outcome and 2013</w:t>
            </w:r>
            <w:r w:rsidR="009F0F49">
              <w:noBreakHyphen/>
            </w:r>
            <w:r w:rsidRPr="004B2922">
              <w:t>14 Target is higher than the 2012</w:t>
            </w:r>
            <w:r w:rsidR="009F0F49">
              <w:noBreakHyphen/>
            </w:r>
            <w:r w:rsidRPr="004B2922">
              <w:t>13 Target due to the impact of reforms to the Student Support Services program during the period of the school surveys. Schools</w:t>
            </w:r>
            <w:r>
              <w:t>’</w:t>
            </w:r>
            <w:r w:rsidRPr="004B2922">
              <w:t xml:space="preserve"> perceptions of Student Support Services may have been affected by the introduction of the new model and industrial action. </w:t>
            </w:r>
            <w:r>
              <w:t>F</w:t>
            </w:r>
            <w:r w:rsidRPr="004B2922">
              <w:t>luctuations in perceptions could be expected during this time.</w:t>
            </w:r>
          </w:p>
        </w:tc>
      </w:tr>
      <w:tr w:rsidR="00B958B1" w:rsidRPr="005C542E" w:rsidTr="009F3B54">
        <w:trPr>
          <w:cantSplit/>
        </w:trPr>
        <w:tc>
          <w:tcPr>
            <w:tcW w:w="3114" w:type="dxa"/>
            <w:tcBorders>
              <w:top w:val="single" w:sz="6" w:space="0" w:color="auto"/>
              <w:left w:val="nil"/>
              <w:bottom w:val="nil"/>
              <w:right w:val="nil"/>
            </w:tcBorders>
            <w:shd w:val="clear" w:color="auto" w:fill="auto"/>
            <w:vAlign w:val="bottom"/>
            <w:hideMark/>
          </w:tcPr>
          <w:p w:rsidR="00B958B1" w:rsidRPr="005C542E" w:rsidRDefault="00B958B1" w:rsidP="009F3B54">
            <w:pPr>
              <w:pStyle w:val="OGTabHead"/>
              <w:rPr>
                <w:lang w:eastAsia="en-AU"/>
              </w:rPr>
            </w:pPr>
            <w:r w:rsidRPr="005C542E">
              <w:rPr>
                <w:lang w:eastAsia="en-AU"/>
              </w:rPr>
              <w:t>Quantity</w:t>
            </w:r>
          </w:p>
        </w:tc>
        <w:tc>
          <w:tcPr>
            <w:tcW w:w="953"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center"/>
              <w:rPr>
                <w:lang w:eastAsia="en-AU"/>
              </w:rPr>
            </w:pPr>
          </w:p>
        </w:tc>
        <w:tc>
          <w:tcPr>
            <w:tcW w:w="910" w:type="dxa"/>
            <w:gridSpan w:val="2"/>
            <w:tcBorders>
              <w:top w:val="single" w:sz="6" w:space="0" w:color="auto"/>
              <w:left w:val="nil"/>
              <w:bottom w:val="nil"/>
              <w:right w:val="nil"/>
            </w:tcBorders>
            <w:shd w:val="clear" w:color="auto" w:fill="D9D9D9"/>
            <w:noWrap/>
            <w:hideMark/>
          </w:tcPr>
          <w:p w:rsidR="00B958B1" w:rsidRPr="005C542E" w:rsidRDefault="00B958B1" w:rsidP="009F3B54">
            <w:pPr>
              <w:pStyle w:val="OGTabText"/>
              <w:jc w:val="right"/>
              <w:rPr>
                <w:lang w:eastAsia="en-AU"/>
              </w:rPr>
            </w:pPr>
          </w:p>
        </w:tc>
        <w:tc>
          <w:tcPr>
            <w:tcW w:w="98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925"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r>
      <w:tr w:rsidR="00B958B1" w:rsidRPr="005C542E" w:rsidTr="009F3B54">
        <w:trPr>
          <w:cantSplit/>
        </w:trPr>
        <w:tc>
          <w:tcPr>
            <w:tcW w:w="3114" w:type="dxa"/>
            <w:tcBorders>
              <w:top w:val="nil"/>
              <w:left w:val="nil"/>
              <w:bottom w:val="nil"/>
              <w:right w:val="nil"/>
            </w:tcBorders>
            <w:shd w:val="clear" w:color="000000" w:fill="FFFFFF"/>
            <w:hideMark/>
          </w:tcPr>
          <w:p w:rsidR="00B958B1" w:rsidRPr="005C542E" w:rsidRDefault="00B958B1" w:rsidP="009F3B54">
            <w:pPr>
              <w:pStyle w:val="OGTabText"/>
              <w:rPr>
                <w:lang w:eastAsia="en-AU"/>
              </w:rPr>
            </w:pPr>
            <w:r w:rsidRPr="005C542E">
              <w:rPr>
                <w:lang w:eastAsia="en-AU"/>
              </w:rPr>
              <w:t>Investment in student transport (excludes special need students)</w:t>
            </w:r>
          </w:p>
        </w:tc>
        <w:tc>
          <w:tcPr>
            <w:tcW w:w="953" w:type="dxa"/>
            <w:gridSpan w:val="3"/>
            <w:tcBorders>
              <w:top w:val="nil"/>
              <w:left w:val="nil"/>
              <w:bottom w:val="nil"/>
              <w:right w:val="nil"/>
            </w:tcBorders>
            <w:shd w:val="clear" w:color="000000" w:fill="FFFFFF"/>
            <w:hideMark/>
          </w:tcPr>
          <w:p w:rsidR="00B958B1" w:rsidRPr="005C542E" w:rsidRDefault="00B958B1" w:rsidP="009F3B54">
            <w:pPr>
              <w:pStyle w:val="OGUoM"/>
              <w:rPr>
                <w:lang w:eastAsia="en-AU"/>
              </w:rPr>
            </w:pPr>
            <w:r w:rsidRPr="005C542E">
              <w:rPr>
                <w:lang w:eastAsia="en-AU"/>
              </w:rPr>
              <w:t>number (million)</w:t>
            </w:r>
          </w:p>
        </w:tc>
        <w:tc>
          <w:tcPr>
            <w:tcW w:w="910" w:type="dxa"/>
            <w:gridSpan w:val="2"/>
            <w:tcBorders>
              <w:top w:val="nil"/>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45.4</w:t>
            </w:r>
          </w:p>
        </w:tc>
        <w:tc>
          <w:tcPr>
            <w:tcW w:w="985" w:type="dxa"/>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46.4</w:t>
            </w:r>
          </w:p>
        </w:tc>
        <w:tc>
          <w:tcPr>
            <w:tcW w:w="895" w:type="dxa"/>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47</w:t>
            </w:r>
          </w:p>
        </w:tc>
        <w:tc>
          <w:tcPr>
            <w:tcW w:w="925" w:type="dxa"/>
            <w:gridSpan w:val="3"/>
            <w:tcBorders>
              <w:top w:val="nil"/>
              <w:left w:val="nil"/>
              <w:bottom w:val="nil"/>
              <w:right w:val="nil"/>
            </w:tcBorders>
            <w:shd w:val="clear" w:color="000000" w:fill="FFFFFF"/>
            <w:hideMark/>
          </w:tcPr>
          <w:p w:rsidR="00B958B1" w:rsidRPr="004B2922" w:rsidRDefault="00B958B1" w:rsidP="009F3B54">
            <w:pPr>
              <w:pStyle w:val="OGTabText"/>
              <w:jc w:val="right"/>
              <w:rPr>
                <w:lang w:eastAsia="en-AU"/>
              </w:rPr>
            </w:pPr>
            <w:r w:rsidRPr="004B2922">
              <w:rPr>
                <w:lang w:eastAsia="en-AU"/>
              </w:rPr>
              <w:t>47.7</w:t>
            </w:r>
          </w:p>
        </w:tc>
      </w:tr>
      <w:tr w:rsidR="00B958B1" w:rsidRPr="005C542E" w:rsidTr="009F3B54">
        <w:trPr>
          <w:cantSplit/>
        </w:trPr>
        <w:tc>
          <w:tcPr>
            <w:tcW w:w="7782" w:type="dxa"/>
            <w:gridSpan w:val="11"/>
            <w:tcBorders>
              <w:top w:val="nil"/>
              <w:left w:val="nil"/>
              <w:bottom w:val="nil"/>
            </w:tcBorders>
            <w:shd w:val="clear" w:color="000000" w:fill="FFFFFF"/>
          </w:tcPr>
          <w:p w:rsidR="00B958B1" w:rsidRPr="004B2922" w:rsidRDefault="00B958B1" w:rsidP="009F3B54">
            <w:pPr>
              <w:pStyle w:val="OGTabText"/>
              <w:rPr>
                <w:lang w:eastAsia="en-AU"/>
              </w:rPr>
            </w:pPr>
            <w:r w:rsidRPr="006E1208">
              <w:rPr>
                <w:i/>
                <w:sz w:val="15"/>
                <w:szCs w:val="20"/>
                <w:lang w:eastAsia="en-AU"/>
              </w:rPr>
              <w:t xml:space="preserve">      The lower 2013</w:t>
            </w:r>
            <w:r w:rsidR="009F0F49">
              <w:rPr>
                <w:i/>
                <w:sz w:val="15"/>
                <w:szCs w:val="20"/>
                <w:lang w:eastAsia="en-AU"/>
              </w:rPr>
              <w:noBreakHyphen/>
            </w:r>
            <w:r w:rsidRPr="006E1208">
              <w:rPr>
                <w:i/>
                <w:sz w:val="15"/>
                <w:szCs w:val="20"/>
                <w:lang w:eastAsia="en-AU"/>
              </w:rPr>
              <w:t>14 Target reflects the changes to the conveyance allowance.</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rPr>
                <w:lang w:eastAsia="en-AU"/>
              </w:rPr>
            </w:pPr>
            <w:r w:rsidRPr="005C542E">
              <w:rPr>
                <w:lang w:eastAsia="en-AU"/>
              </w:rPr>
              <w:t>Investment in student welfare and support</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sidRPr="005C542E">
              <w:rPr>
                <w:lang w:eastAsia="en-AU"/>
              </w:rPr>
              <w:t>number (million)</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210.6</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216.9</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207.8</w:t>
            </w:r>
          </w:p>
        </w:tc>
        <w:tc>
          <w:tcPr>
            <w:tcW w:w="925" w:type="dxa"/>
            <w:gridSpan w:val="3"/>
            <w:tcBorders>
              <w:top w:val="single" w:sz="6" w:space="0" w:color="auto"/>
              <w:left w:val="nil"/>
              <w:right w:val="nil"/>
            </w:tcBorders>
            <w:shd w:val="clear" w:color="000000" w:fill="FFFFFF"/>
            <w:hideMark/>
          </w:tcPr>
          <w:p w:rsidR="00B958B1" w:rsidRPr="00FB31D1" w:rsidRDefault="00B958B1" w:rsidP="009F3B54">
            <w:pPr>
              <w:pStyle w:val="OGTabText"/>
              <w:jc w:val="right"/>
              <w:rPr>
                <w:highlight w:val="yellow"/>
                <w:lang w:eastAsia="en-AU"/>
              </w:rPr>
            </w:pPr>
            <w:r w:rsidRPr="004B2922">
              <w:rPr>
                <w:lang w:eastAsia="en-AU"/>
              </w:rPr>
              <w:t>233</w:t>
            </w:r>
          </w:p>
        </w:tc>
      </w:tr>
      <w:tr w:rsidR="00B958B1" w:rsidRPr="005C542E" w:rsidTr="009F3B54">
        <w:trPr>
          <w:cantSplit/>
        </w:trPr>
        <w:tc>
          <w:tcPr>
            <w:tcW w:w="7782" w:type="dxa"/>
            <w:gridSpan w:val="11"/>
            <w:tcBorders>
              <w:left w:val="nil"/>
              <w:bottom w:val="single" w:sz="6" w:space="0" w:color="auto"/>
              <w:right w:val="nil"/>
            </w:tcBorders>
            <w:shd w:val="clear" w:color="000000" w:fill="FFFFFF"/>
          </w:tcPr>
          <w:p w:rsidR="00B958B1" w:rsidRPr="004B2922" w:rsidRDefault="00B958B1" w:rsidP="009F3B54">
            <w:pPr>
              <w:pStyle w:val="OGTabText"/>
              <w:rPr>
                <w:lang w:eastAsia="en-AU"/>
              </w:rPr>
            </w:pPr>
            <w:r w:rsidRPr="006E1208">
              <w:rPr>
                <w:i/>
                <w:sz w:val="15"/>
                <w:szCs w:val="20"/>
                <w:lang w:eastAsia="en-AU"/>
              </w:rPr>
              <w:t xml:space="preserve">      The higher 2013</w:t>
            </w:r>
            <w:r w:rsidR="009F0F49">
              <w:rPr>
                <w:i/>
                <w:sz w:val="15"/>
                <w:szCs w:val="20"/>
                <w:lang w:eastAsia="en-AU"/>
              </w:rPr>
              <w:noBreakHyphen/>
            </w:r>
            <w:r w:rsidRPr="006E1208">
              <w:rPr>
                <w:i/>
                <w:sz w:val="15"/>
                <w:szCs w:val="20"/>
                <w:lang w:eastAsia="en-AU"/>
              </w:rPr>
              <w:t>14 Target reflects price escalation.</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rPr>
                <w:lang w:eastAsia="en-AU"/>
              </w:rPr>
            </w:pPr>
            <w:r w:rsidRPr="005C542E">
              <w:rPr>
                <w:lang w:eastAsia="en-AU"/>
              </w:rPr>
              <w:t>Prep</w:t>
            </w:r>
            <w:r w:rsidR="009F0F49">
              <w:rPr>
                <w:lang w:eastAsia="en-AU"/>
              </w:rPr>
              <w:noBreakHyphen/>
            </w:r>
            <w:r w:rsidRPr="005C542E">
              <w:rPr>
                <w:lang w:eastAsia="en-AU"/>
              </w:rPr>
              <w:t>aged students assessed by school nurses</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sidRPr="005C542E">
              <w:rPr>
                <w:lang w:eastAsia="en-AU"/>
              </w:rPr>
              <w:t>number</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57</w:t>
            </w:r>
            <w:r>
              <w:rPr>
                <w:lang w:eastAsia="en-AU"/>
              </w:rPr>
              <w:t> </w:t>
            </w:r>
            <w:r w:rsidRPr="005C542E">
              <w:rPr>
                <w:lang w:eastAsia="en-AU"/>
              </w:rPr>
              <w:t>500</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60</w:t>
            </w:r>
            <w:r>
              <w:rPr>
                <w:lang w:eastAsia="en-AU"/>
              </w:rPr>
              <w:t> </w:t>
            </w:r>
            <w:r w:rsidRPr="005C542E">
              <w:rPr>
                <w:lang w:eastAsia="en-AU"/>
              </w:rPr>
              <w:t>499</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56</w:t>
            </w:r>
            <w:r>
              <w:rPr>
                <w:lang w:eastAsia="en-AU"/>
              </w:rPr>
              <w:t> </w:t>
            </w:r>
            <w:r w:rsidRPr="005C542E">
              <w:rPr>
                <w:lang w:eastAsia="en-AU"/>
              </w:rPr>
              <w:t>000</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58</w:t>
            </w:r>
            <w:r>
              <w:rPr>
                <w:lang w:eastAsia="en-AU"/>
              </w:rPr>
              <w:t> </w:t>
            </w:r>
            <w:r w:rsidRPr="005C542E">
              <w:rPr>
                <w:lang w:eastAsia="en-AU"/>
              </w:rPr>
              <w:t>538</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Default="00B958B1" w:rsidP="009F3B54">
            <w:pPr>
              <w:pStyle w:val="OGNotes"/>
            </w:pPr>
            <w:r w:rsidRPr="005C542E">
              <w:t>Th</w:t>
            </w:r>
            <w:r>
              <w:t xml:space="preserve">is performance measure includes government and </w:t>
            </w:r>
            <w:r w:rsidRPr="005C542E">
              <w:t>non</w:t>
            </w:r>
            <w:r w:rsidR="009F0F49">
              <w:noBreakHyphen/>
            </w:r>
            <w:r w:rsidRPr="005C542E">
              <w:t>government schools.</w:t>
            </w:r>
          </w:p>
          <w:p w:rsidR="00B958B1" w:rsidRDefault="00B958B1" w:rsidP="009F3B54">
            <w:pPr>
              <w:pStyle w:val="OGNotes"/>
            </w:pPr>
            <w:r w:rsidRPr="005C542E">
              <w:t>The 2012</w:t>
            </w:r>
            <w:r w:rsidR="009F0F49">
              <w:noBreakHyphen/>
            </w:r>
            <w:r w:rsidRPr="005C542E">
              <w:t>13 Expected Outcome is higher than 2012</w:t>
            </w:r>
            <w:r w:rsidR="009F0F49">
              <w:noBreakHyphen/>
            </w:r>
            <w:r w:rsidRPr="005C542E">
              <w:t>13 Target due to an increase in Prep enrolments.</w:t>
            </w:r>
          </w:p>
          <w:p w:rsidR="00B958B1" w:rsidRPr="005C542E" w:rsidRDefault="00B958B1" w:rsidP="009F3B54">
            <w:pPr>
              <w:pStyle w:val="OGNotes"/>
            </w:pPr>
            <w:r w:rsidRPr="005C542E">
              <w:t>The higher 2013</w:t>
            </w:r>
            <w:r w:rsidR="009F0F49">
              <w:noBreakHyphen/>
            </w:r>
            <w:r w:rsidRPr="005C542E">
              <w:t>14 Target reflects sustained population increases.</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rPr>
                <w:lang w:eastAsia="en-AU"/>
              </w:rPr>
            </w:pPr>
            <w:r w:rsidRPr="005C542E">
              <w:rPr>
                <w:lang w:eastAsia="en-AU"/>
              </w:rPr>
              <w:t>Provision of Education Maintenance Allowance</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sidRPr="0044562B">
              <w:t>number</w:t>
            </w:r>
            <w:r w:rsidRPr="005C542E">
              <w:rPr>
                <w:lang w:eastAsia="en-AU"/>
              </w:rPr>
              <w:t xml:space="preserve"> (million)</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41.2</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48.4</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48.8</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63</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Pr="004B2922" w:rsidRDefault="00B958B1" w:rsidP="009F3B54">
            <w:pPr>
              <w:pStyle w:val="OGNotes"/>
            </w:pPr>
            <w:r w:rsidRPr="004B2922">
              <w:t>The lower 2013</w:t>
            </w:r>
            <w:r w:rsidR="009F0F49">
              <w:noBreakHyphen/>
            </w:r>
            <w:r w:rsidRPr="004B2922">
              <w:t>14 Target primarily reflects the completion of fixed</w:t>
            </w:r>
            <w:r w:rsidR="009F0F49">
              <w:noBreakHyphen/>
            </w:r>
            <w:r w:rsidRPr="004B2922">
              <w:t>term budget initiatives, and the achievement of productivity efficiencies.</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rPr>
                <w:lang w:eastAsia="en-AU"/>
              </w:rPr>
            </w:pPr>
            <w:r w:rsidRPr="005C542E">
              <w:rPr>
                <w:lang w:eastAsia="en-AU"/>
              </w:rPr>
              <w:t>School students (government) supported by conveyance allowance</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sidRPr="005C542E">
              <w:rPr>
                <w:lang w:eastAsia="en-AU"/>
              </w:rPr>
              <w:t>number</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10</w:t>
            </w:r>
            <w:r>
              <w:rPr>
                <w:lang w:eastAsia="en-AU"/>
              </w:rPr>
              <w:t> </w:t>
            </w:r>
            <w:r w:rsidRPr="005C542E">
              <w:rPr>
                <w:lang w:eastAsia="en-AU"/>
              </w:rPr>
              <w:t>500</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11</w:t>
            </w:r>
            <w:r>
              <w:rPr>
                <w:lang w:eastAsia="en-AU"/>
              </w:rPr>
              <w:t> </w:t>
            </w:r>
            <w:r w:rsidRPr="005C542E">
              <w:rPr>
                <w:lang w:eastAsia="en-AU"/>
              </w:rPr>
              <w:t>000</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11</w:t>
            </w:r>
            <w:r>
              <w:rPr>
                <w:lang w:eastAsia="en-AU"/>
              </w:rPr>
              <w:t> </w:t>
            </w:r>
            <w:r w:rsidRPr="005C542E">
              <w:rPr>
                <w:lang w:eastAsia="en-AU"/>
              </w:rPr>
              <w:t>000</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11</w:t>
            </w:r>
            <w:r>
              <w:rPr>
                <w:lang w:eastAsia="en-AU"/>
              </w:rPr>
              <w:t> </w:t>
            </w:r>
            <w:r w:rsidRPr="005C542E">
              <w:rPr>
                <w:lang w:eastAsia="en-AU"/>
              </w:rPr>
              <w:t>289</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Default="00B958B1" w:rsidP="009F3B54">
            <w:pPr>
              <w:pStyle w:val="OGNotes"/>
            </w:pPr>
            <w:r w:rsidRPr="00BF40B1">
              <w:t>This performance measure relates to the calendar year.</w:t>
            </w:r>
            <w:r>
              <w:t xml:space="preserve"> </w:t>
            </w:r>
          </w:p>
          <w:p w:rsidR="00B958B1" w:rsidRPr="005C542E" w:rsidRDefault="00B958B1" w:rsidP="009F3B54">
            <w:pPr>
              <w:pStyle w:val="OGNotes"/>
            </w:pPr>
            <w:r w:rsidRPr="005C542E">
              <w:t>The 2013</w:t>
            </w:r>
            <w:r w:rsidR="009F0F49">
              <w:noBreakHyphen/>
            </w:r>
            <w:r w:rsidRPr="005C542E">
              <w:t>14 Target is lower than the 2012</w:t>
            </w:r>
            <w:r w:rsidR="009F0F49">
              <w:noBreakHyphen/>
            </w:r>
            <w:r w:rsidRPr="005C542E">
              <w:t>13 Target due to changed metropolitan boundaries.</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keepNext/>
              <w:ind w:left="142"/>
              <w:rPr>
                <w:lang w:eastAsia="en-AU"/>
              </w:rPr>
            </w:pPr>
            <w:r w:rsidRPr="005C542E">
              <w:rPr>
                <w:lang w:eastAsia="en-AU"/>
              </w:rPr>
              <w:t>School students (non</w:t>
            </w:r>
            <w:r w:rsidR="009F0F49">
              <w:rPr>
                <w:lang w:eastAsia="en-AU"/>
              </w:rPr>
              <w:noBreakHyphen/>
            </w:r>
            <w:r w:rsidRPr="005C542E">
              <w:rPr>
                <w:lang w:eastAsia="en-AU"/>
              </w:rPr>
              <w:t>government) supported by conveyance allowance</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sidRPr="005C542E">
              <w:rPr>
                <w:lang w:eastAsia="en-AU"/>
              </w:rPr>
              <w:t>number</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keepNext/>
              <w:ind w:left="142"/>
              <w:jc w:val="right"/>
              <w:rPr>
                <w:lang w:eastAsia="en-AU"/>
              </w:rPr>
            </w:pPr>
            <w:r w:rsidRPr="005C542E">
              <w:rPr>
                <w:lang w:eastAsia="en-AU"/>
              </w:rPr>
              <w:t>33</w:t>
            </w:r>
            <w:r>
              <w:rPr>
                <w:lang w:eastAsia="en-AU"/>
              </w:rPr>
              <w:t> </w:t>
            </w:r>
            <w:r w:rsidRPr="005C542E">
              <w:rPr>
                <w:lang w:eastAsia="en-AU"/>
              </w:rPr>
              <w:t>000</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35</w:t>
            </w:r>
            <w:r>
              <w:rPr>
                <w:lang w:eastAsia="en-AU"/>
              </w:rPr>
              <w:t> </w:t>
            </w:r>
            <w:r w:rsidRPr="005C542E">
              <w:rPr>
                <w:lang w:eastAsia="en-AU"/>
              </w:rPr>
              <w:t>000</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31</w:t>
            </w:r>
            <w:r>
              <w:rPr>
                <w:lang w:eastAsia="en-AU"/>
              </w:rPr>
              <w:t> </w:t>
            </w:r>
            <w:r w:rsidRPr="005C542E">
              <w:rPr>
                <w:lang w:eastAsia="en-AU"/>
              </w:rPr>
              <w:t>000</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keepNext/>
              <w:ind w:left="142"/>
              <w:jc w:val="right"/>
              <w:rPr>
                <w:lang w:eastAsia="en-AU"/>
              </w:rPr>
            </w:pPr>
            <w:r w:rsidRPr="005C542E">
              <w:rPr>
                <w:lang w:eastAsia="en-AU"/>
              </w:rPr>
              <w:t>31</w:t>
            </w:r>
            <w:r>
              <w:rPr>
                <w:lang w:eastAsia="en-AU"/>
              </w:rPr>
              <w:t> </w:t>
            </w:r>
            <w:r w:rsidRPr="005C542E">
              <w:rPr>
                <w:lang w:eastAsia="en-AU"/>
              </w:rPr>
              <w:t>739</w:t>
            </w:r>
          </w:p>
        </w:tc>
      </w:tr>
      <w:tr w:rsidR="00B958B1" w:rsidRPr="005C542E" w:rsidTr="009F3B54">
        <w:trPr>
          <w:cantSplit/>
        </w:trPr>
        <w:tc>
          <w:tcPr>
            <w:tcW w:w="7782" w:type="dxa"/>
            <w:gridSpan w:val="11"/>
            <w:tcBorders>
              <w:top w:val="nil"/>
              <w:left w:val="nil"/>
              <w:bottom w:val="single" w:sz="6" w:space="0" w:color="auto"/>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Default="00B958B1" w:rsidP="009F3B54">
            <w:pPr>
              <w:pStyle w:val="OGNotes"/>
            </w:pPr>
            <w:r w:rsidRPr="005C542E">
              <w:t>The 2012</w:t>
            </w:r>
            <w:r w:rsidR="009F0F49">
              <w:noBreakHyphen/>
            </w:r>
            <w:r w:rsidRPr="005C542E">
              <w:t>13 Expected Outcome and 2013</w:t>
            </w:r>
            <w:r w:rsidR="009F0F49">
              <w:noBreakHyphen/>
            </w:r>
            <w:r w:rsidRPr="005C542E">
              <w:t>14 Target are higher than the 2012</w:t>
            </w:r>
            <w:r w:rsidR="009F0F49">
              <w:noBreakHyphen/>
            </w:r>
            <w:r w:rsidRPr="005C542E">
              <w:t>13 Target due to the introduction of an on</w:t>
            </w:r>
            <w:r w:rsidR="009F0F49">
              <w:noBreakHyphen/>
            </w:r>
            <w:r w:rsidRPr="005C542E">
              <w:t>line application system which has enabled greater accuracy to determine the number of eligible students.</w:t>
            </w:r>
          </w:p>
          <w:p w:rsidR="00B958B1" w:rsidRPr="005C542E" w:rsidRDefault="00B958B1" w:rsidP="009F3B54">
            <w:pPr>
              <w:pStyle w:val="OGNotes"/>
            </w:pPr>
            <w:r w:rsidRPr="005C542E">
              <w:t>The 2013</w:t>
            </w:r>
            <w:r w:rsidR="009F0F49">
              <w:noBreakHyphen/>
            </w:r>
            <w:r w:rsidRPr="005C542E">
              <w:t>14 Target reflects changed metropolitan boundaries.</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rPr>
                <w:lang w:eastAsia="en-AU"/>
              </w:rPr>
            </w:pPr>
            <w:r w:rsidRPr="005C542E">
              <w:rPr>
                <w:lang w:eastAsia="en-AU"/>
              </w:rPr>
              <w:t>Schools allocated a nurse through the Secondary School Nursing Program</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sidRPr="005C542E">
              <w:rPr>
                <w:lang w:eastAsia="en-AU"/>
              </w:rPr>
              <w:t>number</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193</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191</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193</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193</w:t>
            </w:r>
          </w:p>
        </w:tc>
      </w:tr>
      <w:tr w:rsidR="00B958B1" w:rsidRPr="005C542E" w:rsidTr="009F3B54">
        <w:trPr>
          <w:cantSplit/>
        </w:trPr>
        <w:tc>
          <w:tcPr>
            <w:tcW w:w="7782" w:type="dxa"/>
            <w:gridSpan w:val="11"/>
            <w:tcBorders>
              <w:left w:val="nil"/>
              <w:bottom w:val="single" w:sz="6" w:space="0" w:color="auto"/>
              <w:right w:val="nil"/>
            </w:tcBorders>
            <w:shd w:val="clear" w:color="000000" w:fill="FFFFFF"/>
          </w:tcPr>
          <w:p w:rsidR="00B958B1" w:rsidRPr="005C542E" w:rsidRDefault="00B958B1" w:rsidP="009F3B54">
            <w:pPr>
              <w:pStyle w:val="OGNotes"/>
            </w:pPr>
            <w:r w:rsidRPr="00BF40B1">
              <w:t>This performance measure relates to the calendar year.</w:t>
            </w:r>
          </w:p>
        </w:tc>
      </w:tr>
      <w:tr w:rsidR="00B958B1" w:rsidRPr="005C542E" w:rsidTr="009F3B54">
        <w:trPr>
          <w:cantSplit/>
        </w:trPr>
        <w:tc>
          <w:tcPr>
            <w:tcW w:w="3114"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rPr>
                <w:lang w:eastAsia="en-AU"/>
              </w:rPr>
            </w:pPr>
            <w:r w:rsidRPr="005C542E">
              <w:rPr>
                <w:lang w:eastAsia="en-AU"/>
              </w:rPr>
              <w:t>Schools funded for primary welfare officers</w:t>
            </w:r>
          </w:p>
        </w:tc>
        <w:tc>
          <w:tcPr>
            <w:tcW w:w="953"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UoM"/>
              <w:rPr>
                <w:lang w:eastAsia="en-AU"/>
              </w:rPr>
            </w:pPr>
            <w:r w:rsidRPr="005C542E">
              <w:rPr>
                <w:lang w:eastAsia="en-AU"/>
              </w:rPr>
              <w:t>number</w:t>
            </w:r>
          </w:p>
        </w:tc>
        <w:tc>
          <w:tcPr>
            <w:tcW w:w="910" w:type="dxa"/>
            <w:gridSpan w:val="2"/>
            <w:tcBorders>
              <w:top w:val="single" w:sz="6" w:space="0" w:color="auto"/>
              <w:left w:val="nil"/>
              <w:bottom w:val="nil"/>
              <w:right w:val="nil"/>
            </w:tcBorders>
            <w:shd w:val="clear" w:color="auto" w:fill="D9D9D9"/>
            <w:hideMark/>
          </w:tcPr>
          <w:p w:rsidR="00B958B1" w:rsidRPr="005C542E" w:rsidRDefault="00B958B1" w:rsidP="009F3B54">
            <w:pPr>
              <w:pStyle w:val="OGTabText"/>
              <w:keepNext/>
              <w:jc w:val="right"/>
              <w:rPr>
                <w:lang w:eastAsia="en-AU"/>
              </w:rPr>
            </w:pPr>
            <w:r w:rsidRPr="005C542E">
              <w:rPr>
                <w:lang w:eastAsia="en-AU"/>
              </w:rPr>
              <w:t>807</w:t>
            </w:r>
          </w:p>
        </w:tc>
        <w:tc>
          <w:tcPr>
            <w:tcW w:w="985"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jc w:val="right"/>
              <w:rPr>
                <w:lang w:eastAsia="en-AU"/>
              </w:rPr>
            </w:pPr>
            <w:r w:rsidRPr="005C542E">
              <w:rPr>
                <w:lang w:eastAsia="en-AU"/>
              </w:rPr>
              <w:t>657</w:t>
            </w:r>
          </w:p>
        </w:tc>
        <w:tc>
          <w:tcPr>
            <w:tcW w:w="895" w:type="dxa"/>
            <w:tcBorders>
              <w:top w:val="single" w:sz="6" w:space="0" w:color="auto"/>
              <w:left w:val="nil"/>
              <w:bottom w:val="nil"/>
              <w:right w:val="nil"/>
            </w:tcBorders>
            <w:shd w:val="clear" w:color="000000" w:fill="FFFFFF"/>
            <w:hideMark/>
          </w:tcPr>
          <w:p w:rsidR="00B958B1" w:rsidRPr="005C542E" w:rsidRDefault="00B958B1" w:rsidP="009F3B54">
            <w:pPr>
              <w:pStyle w:val="OGTabText"/>
              <w:keepNext/>
              <w:jc w:val="right"/>
              <w:rPr>
                <w:lang w:eastAsia="en-AU"/>
              </w:rPr>
            </w:pPr>
            <w:r w:rsidRPr="005C542E">
              <w:rPr>
                <w:lang w:eastAsia="en-AU"/>
              </w:rPr>
              <w:t>659</w:t>
            </w:r>
          </w:p>
        </w:tc>
        <w:tc>
          <w:tcPr>
            <w:tcW w:w="925" w:type="dxa"/>
            <w:gridSpan w:val="3"/>
            <w:tcBorders>
              <w:top w:val="single" w:sz="6" w:space="0" w:color="auto"/>
              <w:left w:val="nil"/>
              <w:bottom w:val="nil"/>
              <w:right w:val="nil"/>
            </w:tcBorders>
            <w:shd w:val="clear" w:color="000000" w:fill="FFFFFF"/>
            <w:hideMark/>
          </w:tcPr>
          <w:p w:rsidR="00B958B1" w:rsidRPr="005C542E" w:rsidRDefault="00B958B1" w:rsidP="009F3B54">
            <w:pPr>
              <w:pStyle w:val="OGTabText"/>
              <w:keepNext/>
              <w:jc w:val="right"/>
              <w:rPr>
                <w:lang w:eastAsia="en-AU"/>
              </w:rPr>
            </w:pPr>
            <w:r w:rsidRPr="005C542E">
              <w:rPr>
                <w:lang w:eastAsia="en-AU"/>
              </w:rPr>
              <w:t>569</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Default="00B958B1" w:rsidP="009F3B54">
            <w:pPr>
              <w:pStyle w:val="OGNotes"/>
            </w:pPr>
            <w:r w:rsidRPr="00BF40B1">
              <w:t>This performance measure relates to the calendar year.</w:t>
            </w:r>
          </w:p>
          <w:p w:rsidR="00B958B1" w:rsidRPr="004B2922" w:rsidRDefault="00B958B1" w:rsidP="009F3B54">
            <w:pPr>
              <w:pStyle w:val="OGNotes"/>
              <w:rPr>
                <w:iCs/>
                <w:sz w:val="16"/>
                <w:szCs w:val="16"/>
              </w:rPr>
            </w:pPr>
            <w:r w:rsidRPr="004B2922">
              <w:t>The targets are based on an estimate of the number of schools eligible for primary welfare officer funding. The 2013</w:t>
            </w:r>
            <w:r w:rsidR="009F0F49">
              <w:noBreakHyphen/>
            </w:r>
            <w:r w:rsidRPr="004B2922">
              <w:t>14 Target is higher than the 2012</w:t>
            </w:r>
            <w:r w:rsidR="009F0F49">
              <w:noBreakHyphen/>
            </w:r>
            <w:r w:rsidRPr="004B2922">
              <w:t xml:space="preserve">13 Target due to variations in funding levels, student enrolments and the student family occupation index. </w:t>
            </w:r>
          </w:p>
        </w:tc>
      </w:tr>
      <w:tr w:rsidR="00B958B1" w:rsidRPr="005C542E" w:rsidTr="009F3B54">
        <w:trPr>
          <w:cantSplit/>
        </w:trPr>
        <w:tc>
          <w:tcPr>
            <w:tcW w:w="3114" w:type="dxa"/>
            <w:tcBorders>
              <w:top w:val="single" w:sz="6" w:space="0" w:color="auto"/>
              <w:left w:val="nil"/>
              <w:right w:val="nil"/>
            </w:tcBorders>
            <w:shd w:val="clear" w:color="auto" w:fill="auto"/>
            <w:vAlign w:val="bottom"/>
            <w:hideMark/>
          </w:tcPr>
          <w:p w:rsidR="00B958B1" w:rsidRPr="005C542E" w:rsidRDefault="00B958B1" w:rsidP="009F3B54">
            <w:pPr>
              <w:pStyle w:val="OGTabHead"/>
              <w:rPr>
                <w:lang w:eastAsia="en-AU"/>
              </w:rPr>
            </w:pPr>
            <w:r w:rsidRPr="005C542E">
              <w:rPr>
                <w:lang w:eastAsia="en-AU"/>
              </w:rPr>
              <w:t>Cost</w:t>
            </w:r>
          </w:p>
        </w:tc>
        <w:tc>
          <w:tcPr>
            <w:tcW w:w="953" w:type="dxa"/>
            <w:gridSpan w:val="3"/>
            <w:tcBorders>
              <w:top w:val="single" w:sz="6" w:space="0" w:color="auto"/>
              <w:left w:val="nil"/>
              <w:right w:val="nil"/>
            </w:tcBorders>
            <w:shd w:val="clear" w:color="auto" w:fill="auto"/>
            <w:noWrap/>
            <w:hideMark/>
          </w:tcPr>
          <w:p w:rsidR="00B958B1" w:rsidRPr="005C542E" w:rsidRDefault="00B958B1" w:rsidP="009F3B54">
            <w:pPr>
              <w:pStyle w:val="OGTabText"/>
              <w:jc w:val="center"/>
              <w:rPr>
                <w:lang w:eastAsia="en-AU"/>
              </w:rPr>
            </w:pPr>
          </w:p>
        </w:tc>
        <w:tc>
          <w:tcPr>
            <w:tcW w:w="910" w:type="dxa"/>
            <w:gridSpan w:val="2"/>
            <w:tcBorders>
              <w:top w:val="single" w:sz="6" w:space="0" w:color="auto"/>
              <w:left w:val="nil"/>
              <w:right w:val="nil"/>
            </w:tcBorders>
            <w:shd w:val="clear" w:color="auto" w:fill="D9D9D9"/>
            <w:noWrap/>
            <w:hideMark/>
          </w:tcPr>
          <w:p w:rsidR="00B958B1" w:rsidRPr="005C542E" w:rsidRDefault="00B958B1" w:rsidP="009F3B54">
            <w:pPr>
              <w:pStyle w:val="OGTabText"/>
              <w:jc w:val="right"/>
              <w:rPr>
                <w:lang w:eastAsia="en-AU"/>
              </w:rPr>
            </w:pPr>
          </w:p>
        </w:tc>
        <w:tc>
          <w:tcPr>
            <w:tcW w:w="985" w:type="dxa"/>
            <w:tcBorders>
              <w:top w:val="single" w:sz="6" w:space="0" w:color="auto"/>
              <w:left w:val="nil"/>
              <w:right w:val="nil"/>
            </w:tcBorders>
            <w:shd w:val="clear" w:color="auto" w:fill="auto"/>
            <w:noWrap/>
            <w:hideMark/>
          </w:tcPr>
          <w:p w:rsidR="00B958B1" w:rsidRPr="005C542E" w:rsidRDefault="00B958B1" w:rsidP="009F3B54">
            <w:pPr>
              <w:pStyle w:val="OGTabText"/>
              <w:jc w:val="right"/>
              <w:rPr>
                <w:lang w:eastAsia="en-AU"/>
              </w:rPr>
            </w:pPr>
          </w:p>
        </w:tc>
        <w:tc>
          <w:tcPr>
            <w:tcW w:w="895" w:type="dxa"/>
            <w:tcBorders>
              <w:top w:val="single" w:sz="6" w:space="0" w:color="auto"/>
              <w:left w:val="nil"/>
              <w:right w:val="nil"/>
            </w:tcBorders>
            <w:shd w:val="clear" w:color="auto" w:fill="auto"/>
            <w:noWrap/>
            <w:hideMark/>
          </w:tcPr>
          <w:p w:rsidR="00B958B1" w:rsidRPr="005C542E" w:rsidRDefault="00B958B1" w:rsidP="009F3B54">
            <w:pPr>
              <w:pStyle w:val="OGTabText"/>
              <w:jc w:val="right"/>
              <w:rPr>
                <w:lang w:eastAsia="en-AU"/>
              </w:rPr>
            </w:pPr>
          </w:p>
        </w:tc>
        <w:tc>
          <w:tcPr>
            <w:tcW w:w="925" w:type="dxa"/>
            <w:gridSpan w:val="3"/>
            <w:tcBorders>
              <w:top w:val="single" w:sz="6" w:space="0" w:color="auto"/>
              <w:left w:val="nil"/>
              <w:right w:val="nil"/>
            </w:tcBorders>
            <w:shd w:val="clear" w:color="auto" w:fill="auto"/>
            <w:noWrap/>
            <w:hideMark/>
          </w:tcPr>
          <w:p w:rsidR="00B958B1" w:rsidRPr="005C542E" w:rsidRDefault="00B958B1" w:rsidP="009F3B54">
            <w:pPr>
              <w:pStyle w:val="OGTabText"/>
              <w:jc w:val="right"/>
              <w:rPr>
                <w:lang w:eastAsia="en-AU"/>
              </w:rPr>
            </w:pPr>
          </w:p>
        </w:tc>
      </w:tr>
      <w:tr w:rsidR="00B958B1" w:rsidRPr="005C542E" w:rsidTr="009F3B54">
        <w:trPr>
          <w:cantSplit/>
        </w:trPr>
        <w:tc>
          <w:tcPr>
            <w:tcW w:w="3114" w:type="dxa"/>
            <w:tcBorders>
              <w:top w:val="nil"/>
              <w:left w:val="nil"/>
              <w:bottom w:val="nil"/>
              <w:right w:val="nil"/>
            </w:tcBorders>
            <w:shd w:val="clear" w:color="000000" w:fill="FFFFFF"/>
            <w:hideMark/>
          </w:tcPr>
          <w:p w:rsidR="00B958B1" w:rsidRPr="005C542E" w:rsidRDefault="00B958B1" w:rsidP="009F3B54">
            <w:pPr>
              <w:pStyle w:val="OGTabText"/>
              <w:rPr>
                <w:lang w:eastAsia="en-AU"/>
              </w:rPr>
            </w:pPr>
            <w:r w:rsidRPr="005C542E">
              <w:rPr>
                <w:lang w:eastAsia="en-AU"/>
              </w:rPr>
              <w:t>Total output cost</w:t>
            </w:r>
          </w:p>
        </w:tc>
        <w:tc>
          <w:tcPr>
            <w:tcW w:w="953" w:type="dxa"/>
            <w:gridSpan w:val="3"/>
            <w:tcBorders>
              <w:top w:val="nil"/>
              <w:left w:val="nil"/>
              <w:bottom w:val="nil"/>
              <w:right w:val="nil"/>
            </w:tcBorders>
            <w:shd w:val="clear" w:color="000000" w:fill="FFFFFF"/>
            <w:hideMark/>
          </w:tcPr>
          <w:p w:rsidR="00B958B1" w:rsidRPr="005C542E" w:rsidRDefault="00B958B1" w:rsidP="009F3B54">
            <w:pPr>
              <w:pStyle w:val="OGUoM"/>
              <w:rPr>
                <w:lang w:eastAsia="en-AU"/>
              </w:rPr>
            </w:pPr>
            <w:r w:rsidRPr="005C542E">
              <w:rPr>
                <w:lang w:eastAsia="en-AU"/>
              </w:rPr>
              <w:t>number (</w:t>
            </w:r>
            <w:r w:rsidRPr="0044562B">
              <w:t>million</w:t>
            </w:r>
            <w:r w:rsidRPr="005C542E">
              <w:rPr>
                <w:lang w:eastAsia="en-AU"/>
              </w:rPr>
              <w:t>)</w:t>
            </w:r>
          </w:p>
        </w:tc>
        <w:tc>
          <w:tcPr>
            <w:tcW w:w="910" w:type="dxa"/>
            <w:gridSpan w:val="2"/>
            <w:tcBorders>
              <w:top w:val="nil"/>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297.2</w:t>
            </w:r>
          </w:p>
        </w:tc>
        <w:tc>
          <w:tcPr>
            <w:tcW w:w="985" w:type="dxa"/>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311.8</w:t>
            </w:r>
          </w:p>
        </w:tc>
        <w:tc>
          <w:tcPr>
            <w:tcW w:w="895" w:type="dxa"/>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303.6</w:t>
            </w:r>
          </w:p>
        </w:tc>
        <w:tc>
          <w:tcPr>
            <w:tcW w:w="925" w:type="dxa"/>
            <w:gridSpan w:val="3"/>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343.7</w:t>
            </w:r>
          </w:p>
        </w:tc>
      </w:tr>
      <w:tr w:rsidR="00B958B1" w:rsidRPr="005C542E" w:rsidTr="009F3B54">
        <w:trPr>
          <w:cantSplit/>
        </w:trPr>
        <w:tc>
          <w:tcPr>
            <w:tcW w:w="7782" w:type="dxa"/>
            <w:gridSpan w:val="11"/>
            <w:tcBorders>
              <w:top w:val="nil"/>
              <w:left w:val="nil"/>
              <w:bottom w:val="single" w:sz="12" w:space="0" w:color="auto"/>
              <w:right w:val="nil"/>
            </w:tcBorders>
            <w:shd w:val="clear" w:color="000000" w:fill="FFFFFF"/>
          </w:tcPr>
          <w:p w:rsidR="00B958B1" w:rsidRPr="005C542E" w:rsidRDefault="00B958B1" w:rsidP="009F3B54">
            <w:pPr>
              <w:pStyle w:val="OGTabText"/>
              <w:ind w:left="397"/>
              <w:rPr>
                <w:lang w:eastAsia="en-AU"/>
              </w:rPr>
            </w:pPr>
            <w:r w:rsidRPr="006E1208">
              <w:rPr>
                <w:i/>
                <w:sz w:val="15"/>
                <w:szCs w:val="20"/>
                <w:lang w:eastAsia="en-AU"/>
              </w:rPr>
              <w:t>The lower 2013</w:t>
            </w:r>
            <w:r w:rsidR="009F0F49">
              <w:rPr>
                <w:i/>
                <w:sz w:val="15"/>
                <w:szCs w:val="20"/>
                <w:lang w:eastAsia="en-AU"/>
              </w:rPr>
              <w:noBreakHyphen/>
            </w:r>
            <w:r w:rsidRPr="006E1208">
              <w:rPr>
                <w:i/>
                <w:sz w:val="15"/>
                <w:szCs w:val="20"/>
                <w:lang w:eastAsia="en-AU"/>
              </w:rPr>
              <w:t>14 Target primarily reflects the changes to the conveyance allowance and Education Maintenance  Allowance.</w:t>
            </w:r>
          </w:p>
        </w:tc>
      </w:tr>
    </w:tbl>
    <w:p w:rsidR="00B958B1" w:rsidRDefault="00B958B1" w:rsidP="009F3B54">
      <w:pPr>
        <w:pStyle w:val="Source"/>
        <w:rPr>
          <w:lang w:eastAsia="en-AU"/>
        </w:rPr>
      </w:pPr>
      <w:r>
        <w:rPr>
          <w:lang w:eastAsia="en-AU"/>
        </w:rPr>
        <w:t>Source: Department of Education and Early Childhood Development</w:t>
      </w:r>
    </w:p>
    <w:p w:rsidR="00B958B1" w:rsidRDefault="00B958B1" w:rsidP="009F3B54">
      <w:pPr>
        <w:pStyle w:val="Source"/>
        <w:rPr>
          <w:lang w:eastAsia="en-AU"/>
        </w:rPr>
      </w:pPr>
      <w:r>
        <w:rPr>
          <w:lang w:eastAsia="en-AU"/>
        </w:rPr>
        <w:fldChar w:fldCharType="begin"/>
      </w:r>
      <w:r>
        <w:instrText xml:space="preserve"> XE "</w:instrText>
      </w:r>
      <w:r w:rsidRPr="000F7859">
        <w:instrText>D</w:instrText>
      </w:r>
      <w:r w:rsidRPr="00641A8D">
        <w:instrText>epartment of Education and Early Childhood Development</w:instrText>
      </w:r>
      <w:r w:rsidRPr="000F7859">
        <w:instrText>:Support Services Delivery</w:instrText>
      </w:r>
      <w:r>
        <w:instrText xml:space="preserve">" \r "BP3DEECDSupportServicesDeliv" </w:instrText>
      </w:r>
      <w:r>
        <w:rPr>
          <w:lang w:eastAsia="en-AU"/>
        </w:rPr>
        <w:fldChar w:fldCharType="end"/>
      </w:r>
    </w:p>
    <w:bookmarkEnd w:id="95"/>
    <w:p w:rsidR="00B958B1" w:rsidRPr="005C542E" w:rsidRDefault="00B958B1" w:rsidP="009F3B54">
      <w:pPr>
        <w:pStyle w:val="OGHeading1"/>
        <w:rPr>
          <w:lang w:eastAsia="en-AU"/>
        </w:rPr>
      </w:pPr>
      <w:r>
        <w:rPr>
          <w:lang w:eastAsia="en-AU"/>
        </w:rPr>
        <w:br w:type="page"/>
      </w:r>
      <w:bookmarkStart w:id="96" w:name="BP3DEECDSuppforStudentswDis"/>
      <w:r w:rsidRPr="005C542E">
        <w:rPr>
          <w:lang w:eastAsia="en-AU"/>
        </w:rPr>
        <w:t>Support for Students with Disabilities</w:t>
      </w:r>
    </w:p>
    <w:p w:rsidR="00B958B1" w:rsidRPr="005C542E" w:rsidRDefault="00B958B1" w:rsidP="009F3B54">
      <w:pPr>
        <w:pStyle w:val="OGText"/>
        <w:rPr>
          <w:lang w:eastAsia="en-AU"/>
        </w:rPr>
      </w:pPr>
      <w:r w:rsidRPr="005C542E">
        <w:rPr>
          <w:lang w:eastAsia="en-AU"/>
        </w:rPr>
        <w:t>The Support for Students with Disabilities output</w:t>
      </w:r>
      <w:r>
        <w:rPr>
          <w:lang w:eastAsia="en-AU"/>
        </w:rPr>
        <w:t xml:space="preserve"> group</w:t>
      </w:r>
      <w:r w:rsidRPr="005C542E">
        <w:rPr>
          <w:lang w:eastAsia="en-AU"/>
        </w:rPr>
        <w:t xml:space="preserve"> covers the Program for Students with Disabilities, transport for special need students and welfare and support services for students with special needs. This output group contributes towards providing and improvi</w:t>
      </w:r>
      <w:r>
        <w:rPr>
          <w:lang w:eastAsia="en-AU"/>
        </w:rPr>
        <w:t>ng services to support all the D</w:t>
      </w:r>
      <w:r w:rsidRPr="005C542E">
        <w:rPr>
          <w:lang w:eastAsia="en-AU"/>
        </w:rPr>
        <w:t>epartment</w:t>
      </w:r>
      <w:r>
        <w:rPr>
          <w:lang w:eastAsia="en-AU"/>
        </w:rPr>
        <w:t>’</w:t>
      </w:r>
      <w:r w:rsidRPr="005C542E">
        <w:rPr>
          <w:lang w:eastAsia="en-AU"/>
        </w:rPr>
        <w:t>s objectives of achievement, engagement, wellbeing and productivity.</w:t>
      </w:r>
    </w:p>
    <w:tbl>
      <w:tblPr>
        <w:tblW w:w="7782" w:type="dxa"/>
        <w:tblInd w:w="29" w:type="dxa"/>
        <w:tblLayout w:type="fixed"/>
        <w:tblCellMar>
          <w:left w:w="43" w:type="dxa"/>
          <w:right w:w="43" w:type="dxa"/>
        </w:tblCellMar>
        <w:tblLook w:val="04A0" w:firstRow="1" w:lastRow="0" w:firstColumn="1" w:lastColumn="0" w:noHBand="0" w:noVBand="1"/>
      </w:tblPr>
      <w:tblGrid>
        <w:gridCol w:w="3114"/>
        <w:gridCol w:w="40"/>
        <w:gridCol w:w="907"/>
        <w:gridCol w:w="6"/>
        <w:gridCol w:w="901"/>
        <w:gridCol w:w="9"/>
        <w:gridCol w:w="985"/>
        <w:gridCol w:w="895"/>
        <w:gridCol w:w="12"/>
        <w:gridCol w:w="907"/>
        <w:gridCol w:w="6"/>
      </w:tblGrid>
      <w:tr w:rsidR="00B958B1" w:rsidRPr="00D32CA4" w:rsidTr="009F3B54">
        <w:trPr>
          <w:gridAfter w:val="1"/>
          <w:wAfter w:w="6" w:type="dxa"/>
          <w:cantSplit/>
          <w:tblHeader/>
        </w:trPr>
        <w:tc>
          <w:tcPr>
            <w:tcW w:w="3154" w:type="dxa"/>
            <w:gridSpan w:val="2"/>
            <w:tcBorders>
              <w:top w:val="single" w:sz="4" w:space="0" w:color="auto"/>
              <w:left w:val="single" w:sz="4" w:space="0" w:color="auto"/>
              <w:bottom w:val="single" w:sz="4" w:space="0" w:color="auto"/>
              <w:right w:val="nil"/>
            </w:tcBorders>
            <w:shd w:val="clear" w:color="auto" w:fill="000000"/>
            <w:vAlign w:val="bottom"/>
          </w:tcPr>
          <w:p w:rsidR="00B958B1" w:rsidRPr="00D32CA4" w:rsidRDefault="00B958B1" w:rsidP="009F3B54">
            <w:pPr>
              <w:pStyle w:val="OGTabColLeft"/>
              <w:rPr>
                <w:i/>
              </w:rPr>
            </w:pPr>
            <w:r w:rsidRPr="00D32CA4">
              <w:t>Major Outputs/Deliverables</w:t>
            </w:r>
            <w:r w:rsidRPr="00D32CA4">
              <w:br/>
            </w:r>
            <w:r w:rsidRPr="0085011C">
              <w:rPr>
                <w:b w:val="0"/>
                <w:i/>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gridSpan w:val="2"/>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4" w:type="dxa"/>
            <w:gridSpan w:val="2"/>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gridSpan w:val="2"/>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Pr="005C542E" w:rsidRDefault="00B958B1" w:rsidP="009F3B54">
            <w:pPr>
              <w:pStyle w:val="OGHeading2"/>
              <w:rPr>
                <w:lang w:eastAsia="en-AU"/>
              </w:rPr>
            </w:pPr>
            <w:r w:rsidRPr="005C542E">
              <w:rPr>
                <w:lang w:eastAsia="en-AU"/>
              </w:rPr>
              <w:t>Support for Students with Disabilities</w:t>
            </w:r>
          </w:p>
        </w:tc>
      </w:tr>
      <w:tr w:rsidR="00B958B1" w:rsidRPr="005C542E" w:rsidTr="009F3B54">
        <w:trPr>
          <w:cantSplit/>
        </w:trPr>
        <w:tc>
          <w:tcPr>
            <w:tcW w:w="7782" w:type="dxa"/>
            <w:gridSpan w:val="11"/>
            <w:tcBorders>
              <w:top w:val="nil"/>
              <w:left w:val="nil"/>
              <w:bottom w:val="nil"/>
              <w:right w:val="nil"/>
            </w:tcBorders>
            <w:shd w:val="clear" w:color="auto" w:fill="auto"/>
            <w:vAlign w:val="bottom"/>
            <w:hideMark/>
          </w:tcPr>
          <w:p w:rsidR="00B958B1" w:rsidRPr="005C542E" w:rsidRDefault="00B958B1" w:rsidP="009F3B54">
            <w:pPr>
              <w:pStyle w:val="OGText"/>
              <w:rPr>
                <w:lang w:eastAsia="en-AU"/>
              </w:rPr>
            </w:pPr>
            <w:r w:rsidRPr="005C542E">
              <w:rPr>
                <w:lang w:eastAsia="en-AU"/>
              </w:rPr>
              <w:t>This output includes delivery of services for the Program for Students with Disabilities and transport for special need</w:t>
            </w:r>
            <w:r>
              <w:rPr>
                <w:lang w:eastAsia="en-AU"/>
              </w:rPr>
              <w:t>s</w:t>
            </w:r>
            <w:r w:rsidRPr="005C542E">
              <w:rPr>
                <w:lang w:eastAsia="en-AU"/>
              </w:rPr>
              <w:t xml:space="preserve"> students and welfare and support services for students with special needs.</w:t>
            </w:r>
          </w:p>
        </w:tc>
      </w:tr>
      <w:tr w:rsidR="00B958B1" w:rsidRPr="005C542E" w:rsidTr="009F3B54">
        <w:trPr>
          <w:cantSplit/>
        </w:trPr>
        <w:tc>
          <w:tcPr>
            <w:tcW w:w="3114" w:type="dxa"/>
            <w:tcBorders>
              <w:top w:val="single" w:sz="6" w:space="0" w:color="auto"/>
              <w:left w:val="nil"/>
              <w:bottom w:val="nil"/>
              <w:right w:val="nil"/>
            </w:tcBorders>
            <w:shd w:val="clear" w:color="auto" w:fill="auto"/>
            <w:vAlign w:val="bottom"/>
            <w:hideMark/>
          </w:tcPr>
          <w:p w:rsidR="00B958B1" w:rsidRPr="005C542E" w:rsidRDefault="00B958B1" w:rsidP="009F3B54">
            <w:pPr>
              <w:pStyle w:val="OGTabHead"/>
              <w:rPr>
                <w:lang w:eastAsia="en-AU"/>
              </w:rPr>
            </w:pPr>
            <w:r w:rsidRPr="005C542E">
              <w:rPr>
                <w:lang w:eastAsia="en-AU"/>
              </w:rPr>
              <w:t>Quality</w:t>
            </w:r>
          </w:p>
        </w:tc>
        <w:tc>
          <w:tcPr>
            <w:tcW w:w="953"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center"/>
              <w:rPr>
                <w:lang w:eastAsia="en-AU"/>
              </w:rPr>
            </w:pPr>
          </w:p>
        </w:tc>
        <w:tc>
          <w:tcPr>
            <w:tcW w:w="910" w:type="dxa"/>
            <w:gridSpan w:val="2"/>
            <w:tcBorders>
              <w:top w:val="single" w:sz="6" w:space="0" w:color="auto"/>
              <w:left w:val="nil"/>
              <w:bottom w:val="nil"/>
              <w:right w:val="nil"/>
            </w:tcBorders>
            <w:shd w:val="clear" w:color="auto" w:fill="D9D9D9"/>
            <w:noWrap/>
            <w:hideMark/>
          </w:tcPr>
          <w:p w:rsidR="00B958B1" w:rsidRPr="005C542E" w:rsidRDefault="00B958B1" w:rsidP="009F3B54">
            <w:pPr>
              <w:pStyle w:val="OGTabText"/>
              <w:jc w:val="right"/>
              <w:rPr>
                <w:lang w:eastAsia="en-AU"/>
              </w:rPr>
            </w:pPr>
          </w:p>
        </w:tc>
        <w:tc>
          <w:tcPr>
            <w:tcW w:w="98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925"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r>
      <w:tr w:rsidR="00B958B1" w:rsidRPr="005C542E" w:rsidTr="009F3B54">
        <w:trPr>
          <w:cantSplit/>
        </w:trPr>
        <w:tc>
          <w:tcPr>
            <w:tcW w:w="3114" w:type="dxa"/>
            <w:tcBorders>
              <w:top w:val="nil"/>
              <w:left w:val="nil"/>
              <w:bottom w:val="nil"/>
              <w:right w:val="nil"/>
            </w:tcBorders>
            <w:shd w:val="clear" w:color="000000" w:fill="FFFFFF"/>
            <w:hideMark/>
          </w:tcPr>
          <w:p w:rsidR="00B958B1" w:rsidRPr="005C542E" w:rsidRDefault="00B958B1" w:rsidP="009F3B54">
            <w:pPr>
              <w:pStyle w:val="OGTabText"/>
              <w:rPr>
                <w:lang w:eastAsia="en-AU"/>
              </w:rPr>
            </w:pPr>
            <w:r w:rsidRPr="005C542E">
              <w:rPr>
                <w:lang w:eastAsia="en-AU"/>
              </w:rPr>
              <w:t>Parent satisfaction with special education on a 100</w:t>
            </w:r>
            <w:r w:rsidR="009F0F49">
              <w:rPr>
                <w:lang w:eastAsia="en-AU"/>
              </w:rPr>
              <w:noBreakHyphen/>
            </w:r>
            <w:r w:rsidRPr="005C542E">
              <w:rPr>
                <w:lang w:eastAsia="en-AU"/>
              </w:rPr>
              <w:t>point scale</w:t>
            </w:r>
          </w:p>
        </w:tc>
        <w:tc>
          <w:tcPr>
            <w:tcW w:w="953" w:type="dxa"/>
            <w:gridSpan w:val="3"/>
            <w:tcBorders>
              <w:top w:val="nil"/>
              <w:left w:val="nil"/>
              <w:bottom w:val="nil"/>
              <w:right w:val="nil"/>
            </w:tcBorders>
            <w:shd w:val="clear" w:color="000000" w:fill="FFFFFF"/>
            <w:hideMark/>
          </w:tcPr>
          <w:p w:rsidR="00B958B1" w:rsidRPr="005C542E" w:rsidRDefault="00B958B1" w:rsidP="009F3B54">
            <w:pPr>
              <w:pStyle w:val="OGUoM"/>
              <w:rPr>
                <w:lang w:eastAsia="en-AU"/>
              </w:rPr>
            </w:pPr>
            <w:r w:rsidRPr="005C542E">
              <w:rPr>
                <w:lang w:eastAsia="en-AU"/>
              </w:rPr>
              <w:t>100</w:t>
            </w:r>
            <w:r w:rsidR="009F0F49">
              <w:rPr>
                <w:lang w:eastAsia="en-AU"/>
              </w:rPr>
              <w:noBreakHyphen/>
            </w:r>
            <w:r w:rsidRPr="005C542E">
              <w:rPr>
                <w:lang w:eastAsia="en-AU"/>
              </w:rPr>
              <w:t>point scale</w:t>
            </w:r>
          </w:p>
        </w:tc>
        <w:tc>
          <w:tcPr>
            <w:tcW w:w="910" w:type="dxa"/>
            <w:gridSpan w:val="2"/>
            <w:tcBorders>
              <w:top w:val="nil"/>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85</w:t>
            </w:r>
          </w:p>
        </w:tc>
        <w:tc>
          <w:tcPr>
            <w:tcW w:w="985" w:type="dxa"/>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85</w:t>
            </w:r>
          </w:p>
        </w:tc>
        <w:tc>
          <w:tcPr>
            <w:tcW w:w="895" w:type="dxa"/>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85</w:t>
            </w:r>
          </w:p>
        </w:tc>
        <w:tc>
          <w:tcPr>
            <w:tcW w:w="925" w:type="dxa"/>
            <w:gridSpan w:val="3"/>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84.2</w:t>
            </w:r>
          </w:p>
        </w:tc>
      </w:tr>
      <w:tr w:rsidR="00B958B1" w:rsidRPr="005C542E" w:rsidTr="009F3B54">
        <w:trPr>
          <w:cantSplit/>
        </w:trPr>
        <w:tc>
          <w:tcPr>
            <w:tcW w:w="7782" w:type="dxa"/>
            <w:gridSpan w:val="11"/>
            <w:tcBorders>
              <w:top w:val="nil"/>
              <w:left w:val="nil"/>
              <w:bottom w:val="nil"/>
              <w:right w:val="nil"/>
            </w:tcBorders>
            <w:shd w:val="clear" w:color="000000" w:fill="FFFFFF"/>
          </w:tcPr>
          <w:p w:rsidR="00B958B1" w:rsidRPr="005C542E" w:rsidRDefault="00B958B1" w:rsidP="009F3B54">
            <w:pPr>
              <w:pStyle w:val="OGNotes"/>
            </w:pPr>
            <w:r w:rsidRPr="00BF40B1">
              <w:t>This performance measure relates to the calendar year.</w:t>
            </w:r>
          </w:p>
        </w:tc>
      </w:tr>
      <w:tr w:rsidR="00B958B1" w:rsidRPr="005C542E" w:rsidTr="009F3B54">
        <w:trPr>
          <w:cantSplit/>
        </w:trPr>
        <w:tc>
          <w:tcPr>
            <w:tcW w:w="3114" w:type="dxa"/>
            <w:tcBorders>
              <w:top w:val="single" w:sz="6" w:space="0" w:color="auto"/>
              <w:left w:val="nil"/>
              <w:bottom w:val="nil"/>
              <w:right w:val="nil"/>
            </w:tcBorders>
            <w:shd w:val="clear" w:color="auto" w:fill="auto"/>
            <w:vAlign w:val="bottom"/>
            <w:hideMark/>
          </w:tcPr>
          <w:p w:rsidR="00B958B1" w:rsidRPr="005C542E" w:rsidRDefault="00B958B1" w:rsidP="009F3B54">
            <w:pPr>
              <w:pStyle w:val="OGTabHead"/>
              <w:rPr>
                <w:lang w:eastAsia="en-AU"/>
              </w:rPr>
            </w:pPr>
            <w:r w:rsidRPr="005C542E">
              <w:rPr>
                <w:lang w:eastAsia="en-AU"/>
              </w:rPr>
              <w:t>Quantity</w:t>
            </w:r>
          </w:p>
        </w:tc>
        <w:tc>
          <w:tcPr>
            <w:tcW w:w="953"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center"/>
              <w:rPr>
                <w:lang w:eastAsia="en-AU"/>
              </w:rPr>
            </w:pPr>
          </w:p>
        </w:tc>
        <w:tc>
          <w:tcPr>
            <w:tcW w:w="910" w:type="dxa"/>
            <w:gridSpan w:val="2"/>
            <w:tcBorders>
              <w:top w:val="single" w:sz="6" w:space="0" w:color="auto"/>
              <w:left w:val="nil"/>
              <w:bottom w:val="nil"/>
              <w:right w:val="nil"/>
            </w:tcBorders>
            <w:shd w:val="clear" w:color="auto" w:fill="D9D9D9"/>
            <w:noWrap/>
            <w:hideMark/>
          </w:tcPr>
          <w:p w:rsidR="00B958B1" w:rsidRPr="005C542E" w:rsidRDefault="00B958B1" w:rsidP="009F3B54">
            <w:pPr>
              <w:pStyle w:val="OGTabText"/>
              <w:jc w:val="right"/>
              <w:rPr>
                <w:lang w:eastAsia="en-AU"/>
              </w:rPr>
            </w:pPr>
          </w:p>
        </w:tc>
        <w:tc>
          <w:tcPr>
            <w:tcW w:w="98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925"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r>
      <w:tr w:rsidR="00B958B1" w:rsidRPr="005C542E" w:rsidTr="009F3B54">
        <w:trPr>
          <w:cantSplit/>
        </w:trPr>
        <w:tc>
          <w:tcPr>
            <w:tcW w:w="3114" w:type="dxa"/>
            <w:tcBorders>
              <w:top w:val="nil"/>
              <w:left w:val="nil"/>
              <w:bottom w:val="nil"/>
              <w:right w:val="nil"/>
            </w:tcBorders>
            <w:shd w:val="clear" w:color="000000" w:fill="FFFFFF"/>
            <w:hideMark/>
          </w:tcPr>
          <w:p w:rsidR="00B958B1" w:rsidRPr="005C542E" w:rsidRDefault="00B958B1" w:rsidP="009F3B54">
            <w:pPr>
              <w:pStyle w:val="OGTabText"/>
              <w:rPr>
                <w:lang w:eastAsia="en-AU"/>
              </w:rPr>
            </w:pPr>
            <w:r w:rsidRPr="005C542E">
              <w:rPr>
                <w:lang w:eastAsia="en-AU"/>
              </w:rPr>
              <w:t>Eligible special school students provided with appropriate travel</w:t>
            </w:r>
          </w:p>
        </w:tc>
        <w:tc>
          <w:tcPr>
            <w:tcW w:w="953" w:type="dxa"/>
            <w:gridSpan w:val="3"/>
            <w:tcBorders>
              <w:top w:val="nil"/>
              <w:left w:val="nil"/>
              <w:bottom w:val="nil"/>
              <w:right w:val="nil"/>
            </w:tcBorders>
            <w:shd w:val="clear" w:color="000000" w:fill="FFFFFF"/>
            <w:hideMark/>
          </w:tcPr>
          <w:p w:rsidR="00B958B1" w:rsidRPr="005C542E" w:rsidRDefault="00B958B1" w:rsidP="009F3B54">
            <w:pPr>
              <w:pStyle w:val="OGUoM"/>
              <w:rPr>
                <w:lang w:eastAsia="en-AU"/>
              </w:rPr>
            </w:pPr>
            <w:r w:rsidRPr="005C542E">
              <w:rPr>
                <w:lang w:eastAsia="en-AU"/>
              </w:rPr>
              <w:t>number</w:t>
            </w:r>
          </w:p>
        </w:tc>
        <w:tc>
          <w:tcPr>
            <w:tcW w:w="910" w:type="dxa"/>
            <w:gridSpan w:val="2"/>
            <w:tcBorders>
              <w:top w:val="nil"/>
              <w:left w:val="nil"/>
              <w:bottom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8</w:t>
            </w:r>
            <w:r>
              <w:rPr>
                <w:lang w:eastAsia="en-AU"/>
              </w:rPr>
              <w:t> </w:t>
            </w:r>
            <w:r w:rsidRPr="005C542E">
              <w:rPr>
                <w:lang w:eastAsia="en-AU"/>
              </w:rPr>
              <w:t>300</w:t>
            </w:r>
          </w:p>
        </w:tc>
        <w:tc>
          <w:tcPr>
            <w:tcW w:w="985" w:type="dxa"/>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8</w:t>
            </w:r>
            <w:r>
              <w:rPr>
                <w:lang w:eastAsia="en-AU"/>
              </w:rPr>
              <w:t> </w:t>
            </w:r>
            <w:r w:rsidRPr="005C542E">
              <w:rPr>
                <w:lang w:eastAsia="en-AU"/>
              </w:rPr>
              <w:t>081</w:t>
            </w:r>
          </w:p>
        </w:tc>
        <w:tc>
          <w:tcPr>
            <w:tcW w:w="895" w:type="dxa"/>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7</w:t>
            </w:r>
            <w:r>
              <w:rPr>
                <w:lang w:eastAsia="en-AU"/>
              </w:rPr>
              <w:t> </w:t>
            </w:r>
            <w:r w:rsidRPr="005C542E">
              <w:rPr>
                <w:lang w:eastAsia="en-AU"/>
              </w:rPr>
              <w:t>900</w:t>
            </w:r>
          </w:p>
        </w:tc>
        <w:tc>
          <w:tcPr>
            <w:tcW w:w="925" w:type="dxa"/>
            <w:gridSpan w:val="3"/>
            <w:tcBorders>
              <w:top w:val="nil"/>
              <w:left w:val="nil"/>
              <w:bottom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7</w:t>
            </w:r>
            <w:r>
              <w:rPr>
                <w:lang w:eastAsia="en-AU"/>
              </w:rPr>
              <w:t> </w:t>
            </w:r>
            <w:r w:rsidRPr="005C542E">
              <w:rPr>
                <w:lang w:eastAsia="en-AU"/>
              </w:rPr>
              <w:t>799</w:t>
            </w:r>
          </w:p>
        </w:tc>
      </w:tr>
      <w:tr w:rsidR="00B958B1" w:rsidRPr="005C542E" w:rsidTr="009F3B54">
        <w:trPr>
          <w:cantSplit/>
        </w:trPr>
        <w:tc>
          <w:tcPr>
            <w:tcW w:w="7782" w:type="dxa"/>
            <w:gridSpan w:val="11"/>
            <w:tcBorders>
              <w:top w:val="nil"/>
              <w:left w:val="nil"/>
              <w:bottom w:val="nil"/>
              <w:right w:val="nil"/>
            </w:tcBorders>
            <w:shd w:val="clear" w:color="000000" w:fill="FFFFFF"/>
          </w:tcPr>
          <w:p w:rsidR="00B958B1" w:rsidRDefault="00B958B1" w:rsidP="009F3B54">
            <w:pPr>
              <w:pStyle w:val="OGNotes"/>
            </w:pPr>
            <w:r w:rsidRPr="00BF40B1">
              <w:t>This performance measure relates to the calendar year.</w:t>
            </w:r>
          </w:p>
          <w:p w:rsidR="00B958B1" w:rsidRPr="004B2922" w:rsidRDefault="00B958B1" w:rsidP="009F3B54">
            <w:pPr>
              <w:pStyle w:val="OGNotes"/>
            </w:pPr>
            <w:r w:rsidRPr="004B2922">
              <w:rPr>
                <w:szCs w:val="15"/>
              </w:rPr>
              <w:t>The higher 2013</w:t>
            </w:r>
            <w:r w:rsidR="009F0F49">
              <w:rPr>
                <w:szCs w:val="15"/>
              </w:rPr>
              <w:noBreakHyphen/>
            </w:r>
            <w:r w:rsidRPr="004B2922">
              <w:rPr>
                <w:szCs w:val="15"/>
              </w:rPr>
              <w:t>14 Target reflects growth in enrolments in the specialist school system.</w:t>
            </w:r>
          </w:p>
        </w:tc>
      </w:tr>
      <w:tr w:rsidR="00B958B1" w:rsidRPr="005C542E" w:rsidTr="009F3B54">
        <w:trPr>
          <w:cantSplit/>
        </w:trPr>
        <w:tc>
          <w:tcPr>
            <w:tcW w:w="3114" w:type="dxa"/>
            <w:tcBorders>
              <w:top w:val="single" w:sz="6" w:space="0" w:color="auto"/>
              <w:left w:val="nil"/>
              <w:right w:val="nil"/>
            </w:tcBorders>
            <w:shd w:val="clear" w:color="000000" w:fill="FFFFFF"/>
            <w:hideMark/>
          </w:tcPr>
          <w:p w:rsidR="00B958B1" w:rsidRPr="005C542E" w:rsidRDefault="00B958B1" w:rsidP="009F3B54">
            <w:pPr>
              <w:pStyle w:val="OGTabText"/>
              <w:rPr>
                <w:lang w:eastAsia="en-AU"/>
              </w:rPr>
            </w:pPr>
            <w:r w:rsidRPr="005C542E">
              <w:rPr>
                <w:lang w:eastAsia="en-AU"/>
              </w:rPr>
              <w:t>Students funded under the disabilities program in government schools as a proportion of the total student population</w:t>
            </w:r>
          </w:p>
        </w:tc>
        <w:tc>
          <w:tcPr>
            <w:tcW w:w="953" w:type="dxa"/>
            <w:gridSpan w:val="3"/>
            <w:tcBorders>
              <w:top w:val="single" w:sz="6" w:space="0" w:color="auto"/>
              <w:left w:val="nil"/>
              <w:right w:val="nil"/>
            </w:tcBorders>
            <w:shd w:val="clear" w:color="000000" w:fill="FFFFFF"/>
            <w:hideMark/>
          </w:tcPr>
          <w:p w:rsidR="00B958B1" w:rsidRPr="005C542E" w:rsidRDefault="00B958B1" w:rsidP="009F3B54">
            <w:pPr>
              <w:pStyle w:val="OGUoM"/>
              <w:rPr>
                <w:lang w:eastAsia="en-AU"/>
              </w:rPr>
            </w:pPr>
            <w:r>
              <w:rPr>
                <w:lang w:eastAsia="en-AU"/>
              </w:rPr>
              <w:t>per cent</w:t>
            </w:r>
          </w:p>
        </w:tc>
        <w:tc>
          <w:tcPr>
            <w:tcW w:w="910" w:type="dxa"/>
            <w:gridSpan w:val="2"/>
            <w:tcBorders>
              <w:top w:val="single" w:sz="6" w:space="0" w:color="auto"/>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4</w:t>
            </w:r>
          </w:p>
        </w:tc>
        <w:tc>
          <w:tcPr>
            <w:tcW w:w="98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4</w:t>
            </w:r>
          </w:p>
        </w:tc>
        <w:tc>
          <w:tcPr>
            <w:tcW w:w="895" w:type="dxa"/>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3.9</w:t>
            </w:r>
          </w:p>
        </w:tc>
        <w:tc>
          <w:tcPr>
            <w:tcW w:w="925" w:type="dxa"/>
            <w:gridSpan w:val="3"/>
            <w:tcBorders>
              <w:top w:val="single" w:sz="6" w:space="0" w:color="auto"/>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3.9</w:t>
            </w:r>
          </w:p>
        </w:tc>
      </w:tr>
      <w:tr w:rsidR="00B958B1" w:rsidRPr="005C542E" w:rsidTr="009F3B54">
        <w:trPr>
          <w:cantSplit/>
        </w:trPr>
        <w:tc>
          <w:tcPr>
            <w:tcW w:w="7782" w:type="dxa"/>
            <w:gridSpan w:val="11"/>
            <w:tcBorders>
              <w:left w:val="nil"/>
              <w:bottom w:val="single" w:sz="6" w:space="0" w:color="auto"/>
              <w:right w:val="nil"/>
            </w:tcBorders>
            <w:shd w:val="clear" w:color="000000" w:fill="FFFFFF"/>
          </w:tcPr>
          <w:p w:rsidR="00B958B1" w:rsidRDefault="00B958B1" w:rsidP="009F3B54">
            <w:pPr>
              <w:spacing w:after="60"/>
              <w:ind w:left="363" w:right="113"/>
              <w:rPr>
                <w:rFonts w:ascii="Calibri" w:hAnsi="Calibri"/>
                <w:i/>
                <w:sz w:val="15"/>
                <w:lang w:eastAsia="en-AU"/>
              </w:rPr>
            </w:pPr>
            <w:r w:rsidRPr="00BF40B1">
              <w:rPr>
                <w:rFonts w:ascii="Calibri" w:hAnsi="Calibri"/>
                <w:i/>
                <w:sz w:val="15"/>
                <w:lang w:eastAsia="en-AU"/>
              </w:rPr>
              <w:t>This performance measure relates to the calendar year.</w:t>
            </w:r>
          </w:p>
          <w:p w:rsidR="00B958B1" w:rsidRPr="005C542E" w:rsidRDefault="00B958B1" w:rsidP="009F3B54">
            <w:pPr>
              <w:pStyle w:val="OGNotes"/>
            </w:pPr>
            <w:r w:rsidRPr="006E1208">
              <w:t>The higher 2013</w:t>
            </w:r>
            <w:r w:rsidR="009F0F49">
              <w:noBreakHyphen/>
            </w:r>
            <w:r w:rsidRPr="006E1208">
              <w:t>14 Target reflects an increasing proportion of eligible students for the program</w:t>
            </w:r>
            <w:r>
              <w:t>.</w:t>
            </w:r>
          </w:p>
        </w:tc>
      </w:tr>
      <w:tr w:rsidR="00B958B1" w:rsidRPr="005C542E" w:rsidTr="009F3B54">
        <w:trPr>
          <w:cantSplit/>
        </w:trPr>
        <w:tc>
          <w:tcPr>
            <w:tcW w:w="3114" w:type="dxa"/>
            <w:tcBorders>
              <w:top w:val="single" w:sz="6" w:space="0" w:color="auto"/>
              <w:left w:val="nil"/>
              <w:bottom w:val="nil"/>
              <w:right w:val="nil"/>
            </w:tcBorders>
            <w:shd w:val="clear" w:color="auto" w:fill="auto"/>
            <w:vAlign w:val="bottom"/>
            <w:hideMark/>
          </w:tcPr>
          <w:p w:rsidR="00B958B1" w:rsidRPr="005C542E" w:rsidRDefault="00B958B1" w:rsidP="009F3B54">
            <w:pPr>
              <w:pStyle w:val="OGTabHead"/>
              <w:rPr>
                <w:lang w:eastAsia="en-AU"/>
              </w:rPr>
            </w:pPr>
            <w:r w:rsidRPr="005C542E">
              <w:rPr>
                <w:lang w:eastAsia="en-AU"/>
              </w:rPr>
              <w:t>Cost</w:t>
            </w:r>
          </w:p>
        </w:tc>
        <w:tc>
          <w:tcPr>
            <w:tcW w:w="953"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center"/>
              <w:rPr>
                <w:lang w:eastAsia="en-AU"/>
              </w:rPr>
            </w:pPr>
          </w:p>
        </w:tc>
        <w:tc>
          <w:tcPr>
            <w:tcW w:w="910" w:type="dxa"/>
            <w:gridSpan w:val="2"/>
            <w:tcBorders>
              <w:top w:val="single" w:sz="6" w:space="0" w:color="auto"/>
              <w:left w:val="nil"/>
              <w:bottom w:val="nil"/>
              <w:right w:val="nil"/>
            </w:tcBorders>
            <w:shd w:val="clear" w:color="auto" w:fill="D9D9D9"/>
            <w:noWrap/>
            <w:hideMark/>
          </w:tcPr>
          <w:p w:rsidR="00B958B1" w:rsidRPr="005C542E" w:rsidRDefault="00B958B1" w:rsidP="009F3B54">
            <w:pPr>
              <w:pStyle w:val="OGTabText"/>
              <w:jc w:val="right"/>
              <w:rPr>
                <w:lang w:eastAsia="en-AU"/>
              </w:rPr>
            </w:pPr>
          </w:p>
        </w:tc>
        <w:tc>
          <w:tcPr>
            <w:tcW w:w="98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895" w:type="dxa"/>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c>
          <w:tcPr>
            <w:tcW w:w="925" w:type="dxa"/>
            <w:gridSpan w:val="3"/>
            <w:tcBorders>
              <w:top w:val="single" w:sz="6" w:space="0" w:color="auto"/>
              <w:left w:val="nil"/>
              <w:bottom w:val="nil"/>
              <w:right w:val="nil"/>
            </w:tcBorders>
            <w:shd w:val="clear" w:color="auto" w:fill="auto"/>
            <w:noWrap/>
            <w:hideMark/>
          </w:tcPr>
          <w:p w:rsidR="00B958B1" w:rsidRPr="005C542E" w:rsidRDefault="00B958B1" w:rsidP="009F3B54">
            <w:pPr>
              <w:pStyle w:val="OGTabText"/>
              <w:jc w:val="right"/>
              <w:rPr>
                <w:lang w:eastAsia="en-AU"/>
              </w:rPr>
            </w:pPr>
          </w:p>
        </w:tc>
      </w:tr>
      <w:tr w:rsidR="00B958B1" w:rsidRPr="005C542E" w:rsidTr="009F3B54">
        <w:trPr>
          <w:cantSplit/>
        </w:trPr>
        <w:tc>
          <w:tcPr>
            <w:tcW w:w="3114" w:type="dxa"/>
            <w:tcBorders>
              <w:top w:val="nil"/>
              <w:left w:val="nil"/>
              <w:right w:val="nil"/>
            </w:tcBorders>
            <w:shd w:val="clear" w:color="000000" w:fill="FFFFFF"/>
            <w:hideMark/>
          </w:tcPr>
          <w:p w:rsidR="00B958B1" w:rsidRPr="005C542E" w:rsidRDefault="00B958B1" w:rsidP="009F3B54">
            <w:pPr>
              <w:pStyle w:val="OGTabText"/>
              <w:rPr>
                <w:lang w:eastAsia="en-AU"/>
              </w:rPr>
            </w:pPr>
            <w:r w:rsidRPr="005C542E">
              <w:rPr>
                <w:lang w:eastAsia="en-AU"/>
              </w:rPr>
              <w:t>Total output cost</w:t>
            </w:r>
          </w:p>
        </w:tc>
        <w:tc>
          <w:tcPr>
            <w:tcW w:w="953" w:type="dxa"/>
            <w:gridSpan w:val="3"/>
            <w:tcBorders>
              <w:top w:val="nil"/>
              <w:left w:val="nil"/>
              <w:right w:val="nil"/>
            </w:tcBorders>
            <w:shd w:val="clear" w:color="000000" w:fill="FFFFFF"/>
            <w:hideMark/>
          </w:tcPr>
          <w:p w:rsidR="00B958B1" w:rsidRPr="005C542E" w:rsidRDefault="00B958B1" w:rsidP="009F3B54">
            <w:pPr>
              <w:pStyle w:val="OGUoM"/>
              <w:rPr>
                <w:lang w:eastAsia="en-AU"/>
              </w:rPr>
            </w:pPr>
            <w:r w:rsidRPr="005C542E">
              <w:rPr>
                <w:lang w:eastAsia="en-AU"/>
              </w:rPr>
              <w:t>number (million)</w:t>
            </w:r>
          </w:p>
        </w:tc>
        <w:tc>
          <w:tcPr>
            <w:tcW w:w="910" w:type="dxa"/>
            <w:gridSpan w:val="2"/>
            <w:tcBorders>
              <w:top w:val="nil"/>
              <w:left w:val="nil"/>
              <w:right w:val="nil"/>
            </w:tcBorders>
            <w:shd w:val="clear" w:color="auto" w:fill="D9D9D9"/>
            <w:hideMark/>
          </w:tcPr>
          <w:p w:rsidR="00B958B1" w:rsidRPr="005C542E" w:rsidRDefault="00B958B1" w:rsidP="009F3B54">
            <w:pPr>
              <w:pStyle w:val="OGTabText"/>
              <w:jc w:val="right"/>
              <w:rPr>
                <w:lang w:eastAsia="en-AU"/>
              </w:rPr>
            </w:pPr>
            <w:r w:rsidRPr="005C542E">
              <w:rPr>
                <w:lang w:eastAsia="en-AU"/>
              </w:rPr>
              <w:t>773.6</w:t>
            </w:r>
          </w:p>
        </w:tc>
        <w:tc>
          <w:tcPr>
            <w:tcW w:w="985" w:type="dxa"/>
            <w:tcBorders>
              <w:top w:val="nil"/>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728.7</w:t>
            </w:r>
          </w:p>
        </w:tc>
        <w:tc>
          <w:tcPr>
            <w:tcW w:w="895" w:type="dxa"/>
            <w:tcBorders>
              <w:top w:val="nil"/>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712.9</w:t>
            </w:r>
          </w:p>
        </w:tc>
        <w:tc>
          <w:tcPr>
            <w:tcW w:w="925" w:type="dxa"/>
            <w:gridSpan w:val="3"/>
            <w:tcBorders>
              <w:top w:val="nil"/>
              <w:left w:val="nil"/>
              <w:right w:val="nil"/>
            </w:tcBorders>
            <w:shd w:val="clear" w:color="000000" w:fill="FFFFFF"/>
            <w:hideMark/>
          </w:tcPr>
          <w:p w:rsidR="00B958B1" w:rsidRPr="005C542E" w:rsidRDefault="00B958B1" w:rsidP="009F3B54">
            <w:pPr>
              <w:pStyle w:val="OGTabText"/>
              <w:jc w:val="right"/>
              <w:rPr>
                <w:lang w:eastAsia="en-AU"/>
              </w:rPr>
            </w:pPr>
            <w:r w:rsidRPr="005C542E">
              <w:rPr>
                <w:lang w:eastAsia="en-AU"/>
              </w:rPr>
              <w:t>694.2</w:t>
            </w:r>
          </w:p>
        </w:tc>
      </w:tr>
      <w:tr w:rsidR="00B958B1" w:rsidRPr="005C542E" w:rsidTr="009F3B54">
        <w:trPr>
          <w:cantSplit/>
        </w:trPr>
        <w:tc>
          <w:tcPr>
            <w:tcW w:w="7782" w:type="dxa"/>
            <w:gridSpan w:val="11"/>
            <w:tcBorders>
              <w:top w:val="nil"/>
              <w:left w:val="nil"/>
              <w:bottom w:val="single" w:sz="12" w:space="0" w:color="auto"/>
              <w:right w:val="nil"/>
            </w:tcBorders>
            <w:shd w:val="clear" w:color="auto" w:fill="auto"/>
            <w:vAlign w:val="bottom"/>
            <w:hideMark/>
          </w:tcPr>
          <w:p w:rsidR="00B958B1" w:rsidRPr="005C542E" w:rsidRDefault="00B958B1" w:rsidP="009F3B54">
            <w:pPr>
              <w:pStyle w:val="OGNotes"/>
            </w:pPr>
            <w:r w:rsidRPr="005C542E">
              <w:t>The higher 2013</w:t>
            </w:r>
            <w:r w:rsidR="009F0F49">
              <w:noBreakHyphen/>
            </w:r>
            <w:r w:rsidRPr="005C542E">
              <w:t>14 Target primarily reflects growth in the number of eligible students and increased delivery costs.</w:t>
            </w:r>
          </w:p>
        </w:tc>
      </w:tr>
    </w:tbl>
    <w:p w:rsidR="00B958B1" w:rsidRDefault="00B958B1" w:rsidP="009F3B54">
      <w:pPr>
        <w:pStyle w:val="Source"/>
        <w:rPr>
          <w:lang w:eastAsia="en-AU"/>
        </w:rPr>
      </w:pPr>
      <w:r>
        <w:rPr>
          <w:lang w:eastAsia="en-AU"/>
        </w:rPr>
        <w:t>Source: Department of Education and Early Childhood Development</w:t>
      </w:r>
    </w:p>
    <w:p w:rsidR="00B958B1" w:rsidRDefault="00B958B1" w:rsidP="009F3B54">
      <w:pPr>
        <w:pStyle w:val="Source"/>
        <w:rPr>
          <w:lang w:eastAsia="en-AU"/>
        </w:rPr>
      </w:pPr>
      <w:r>
        <w:rPr>
          <w:lang w:eastAsia="en-AU"/>
        </w:rPr>
        <w:fldChar w:fldCharType="begin"/>
      </w:r>
      <w:r>
        <w:instrText xml:space="preserve"> XE "</w:instrText>
      </w:r>
      <w:r w:rsidRPr="00B43CC6">
        <w:instrText>D</w:instrText>
      </w:r>
      <w:r w:rsidRPr="00641A8D">
        <w:instrText>epartment of Education and Early Childhood Development</w:instrText>
      </w:r>
      <w:r>
        <w:instrText>:</w:instrText>
      </w:r>
      <w:r w:rsidRPr="00B43CC6">
        <w:instrText>Support for Students with Disabilities</w:instrText>
      </w:r>
      <w:r>
        <w:instrText xml:space="preserve">" \r "BP3DEECDSuppforStudentswDis" </w:instrText>
      </w:r>
      <w:r>
        <w:rPr>
          <w:lang w:eastAsia="en-AU"/>
        </w:rPr>
        <w:fldChar w:fldCharType="end"/>
      </w:r>
      <w:bookmarkEnd w:id="96"/>
    </w:p>
    <w:p w:rsidR="00B958B1" w:rsidRDefault="00B958B1" w:rsidP="009F3B54">
      <w:pPr>
        <w:pStyle w:val="Source"/>
      </w:pPr>
    </w:p>
    <w:p w:rsidR="00B958B1" w:rsidRDefault="00B958B1" w:rsidP="009F3B54"/>
    <w:p w:rsidR="00B958B1" w:rsidRDefault="00B958B1" w:rsidP="00497606"/>
    <w:p w:rsidR="00B958B1" w:rsidRDefault="00B958B1" w:rsidP="00C45CC5">
      <w:pPr>
        <w:sectPr w:rsidR="00B958B1" w:rsidSect="004B42A1">
          <w:footerReference w:type="even" r:id="rId19"/>
          <w:footerReference w:type="default" r:id="rId20"/>
          <w:pgSz w:w="9979" w:h="14181" w:code="138"/>
          <w:pgMar w:top="1138" w:right="1138" w:bottom="1138" w:left="1138" w:header="720" w:footer="720" w:gutter="0"/>
          <w:cols w:space="708"/>
          <w:docGrid w:linePitch="360"/>
        </w:sectPr>
      </w:pPr>
    </w:p>
    <w:p w:rsidR="00B958B1" w:rsidRDefault="00B958B1" w:rsidP="009F3B54">
      <w:pPr>
        <w:pStyle w:val="Heading1"/>
      </w:pPr>
      <w:bookmarkStart w:id="97" w:name="_Toc355362281"/>
      <w:r>
        <w:t>Department o</w:t>
      </w:r>
      <w:r w:rsidRPr="0002334A">
        <w:t xml:space="preserve">f </w:t>
      </w:r>
      <w:r>
        <w:t xml:space="preserve">Environment </w:t>
      </w:r>
      <w:r w:rsidRPr="00376BA6">
        <w:t>and</w:t>
      </w:r>
      <w:r>
        <w:t xml:space="preserve"> Primary I</w:t>
      </w:r>
      <w:r w:rsidRPr="000B036B">
        <w:t>ndustries</w:t>
      </w:r>
      <w:bookmarkEnd w:id="97"/>
    </w:p>
    <w:p w:rsidR="00B958B1" w:rsidRDefault="00B958B1" w:rsidP="009F3B54">
      <w:pPr>
        <w:pStyle w:val="Heading2"/>
      </w:pPr>
      <w:r>
        <w:t>Ministerial portfolios</w:t>
      </w:r>
    </w:p>
    <w:p w:rsidR="00B958B1" w:rsidRDefault="00B958B1" w:rsidP="009F3B54">
      <w:r>
        <w:t xml:space="preserve">The Department supports the ministerial portfolios of Agriculture and </w:t>
      </w:r>
      <w:r w:rsidRPr="00EE5B99">
        <w:t>Food Security</w:t>
      </w:r>
      <w:r>
        <w:t>, Water and Environment and Climate Change.</w:t>
      </w:r>
    </w:p>
    <w:p w:rsidR="00B958B1" w:rsidRDefault="00B958B1" w:rsidP="009F3B54">
      <w:pPr>
        <w:pStyle w:val="Heading2"/>
      </w:pPr>
      <w:r>
        <w:t>Departmental mission statement</w:t>
      </w:r>
    </w:p>
    <w:p w:rsidR="00B958B1" w:rsidRPr="00384FB9" w:rsidRDefault="00B958B1" w:rsidP="009F3B54">
      <w:r w:rsidRPr="00384FB9">
        <w:t>The Department of Environment and Primary Industries is Victoria</w:t>
      </w:r>
      <w:r>
        <w:t>’</w:t>
      </w:r>
      <w:r w:rsidRPr="00384FB9">
        <w:t>s primary government agency responsible for agriculture, fisheries, forestry, public land and the environment.</w:t>
      </w:r>
    </w:p>
    <w:p w:rsidR="00B958B1" w:rsidRPr="00384FB9" w:rsidRDefault="00B958B1" w:rsidP="009F3B54">
      <w:r w:rsidRPr="00384FB9">
        <w:t>The Department</w:t>
      </w:r>
      <w:r>
        <w:t>’</w:t>
      </w:r>
      <w:r w:rsidRPr="00384FB9">
        <w:t>s primary functions are:</w:t>
      </w:r>
    </w:p>
    <w:p w:rsidR="00B958B1" w:rsidRPr="00384FB9" w:rsidRDefault="00B958B1" w:rsidP="009F3B54">
      <w:pPr>
        <w:pStyle w:val="BulletText"/>
      </w:pPr>
      <w:r w:rsidRPr="00384FB9">
        <w:t xml:space="preserve">efficient and practical </w:t>
      </w:r>
      <w:r w:rsidRPr="007F432E">
        <w:t>management</w:t>
      </w:r>
      <w:r w:rsidRPr="00384FB9">
        <w:t xml:space="preserve"> of land, water and agricultural services, including fisheries, game and forestry;</w:t>
      </w:r>
    </w:p>
    <w:p w:rsidR="00B958B1" w:rsidRPr="00384FB9" w:rsidRDefault="00B958B1" w:rsidP="009F3B54">
      <w:pPr>
        <w:pStyle w:val="BulletText"/>
      </w:pPr>
      <w:r w:rsidRPr="00384FB9">
        <w:t>effective environmental investment and protection across Victoria, including the effective management of state forests, parks, coasts, alpine resorts and crown land reserves;</w:t>
      </w:r>
    </w:p>
    <w:p w:rsidR="00B958B1" w:rsidRPr="00384FB9" w:rsidRDefault="00B958B1" w:rsidP="009F3B54">
      <w:pPr>
        <w:pStyle w:val="BulletText"/>
      </w:pPr>
      <w:r w:rsidRPr="00384FB9">
        <w:rPr>
          <w:rFonts w:cs="Garamond"/>
          <w:color w:val="000000"/>
          <w:szCs w:val="22"/>
          <w:lang w:eastAsia="en-AU"/>
        </w:rPr>
        <w:t>public land fire management to reduce the threat and impact of major bushfires on communities, assets and critical infrastructure, and the environment;</w:t>
      </w:r>
    </w:p>
    <w:p w:rsidR="00B958B1" w:rsidRPr="00384FB9" w:rsidRDefault="00B958B1" w:rsidP="009F3B54">
      <w:pPr>
        <w:pStyle w:val="BulletText"/>
      </w:pPr>
      <w:r w:rsidRPr="00384FB9">
        <w:t>conservation and protection of Victoria</w:t>
      </w:r>
      <w:r>
        <w:t>’</w:t>
      </w:r>
      <w:r w:rsidRPr="00384FB9">
        <w:t xml:space="preserve">s unique biodiversity and ecosystems from catchment to coast; </w:t>
      </w:r>
    </w:p>
    <w:p w:rsidR="00B958B1" w:rsidRPr="00384FB9" w:rsidRDefault="00B958B1" w:rsidP="009F3B54">
      <w:pPr>
        <w:pStyle w:val="BulletText"/>
      </w:pPr>
      <w:r w:rsidRPr="00384FB9">
        <w:t>environmental and adaptation policy to provide effective environmental out</w:t>
      </w:r>
      <w:r>
        <w:t xml:space="preserve">comes and resource efficiency; </w:t>
      </w:r>
      <w:r w:rsidRPr="00384FB9">
        <w:t>and</w:t>
      </w:r>
    </w:p>
    <w:p w:rsidR="00B958B1" w:rsidRDefault="00B958B1" w:rsidP="009F3B54">
      <w:pPr>
        <w:pStyle w:val="BulletText"/>
      </w:pPr>
      <w:r w:rsidRPr="00384FB9">
        <w:t>agricultural policy and program design and delivery enabling Victoria</w:t>
      </w:r>
      <w:r>
        <w:t>’</w:t>
      </w:r>
      <w:r w:rsidRPr="00384FB9">
        <w:t xml:space="preserve">s primary industries to </w:t>
      </w:r>
      <w:r w:rsidRPr="007F432E">
        <w:t>maximise</w:t>
      </w:r>
      <w:r w:rsidRPr="00384FB9">
        <w:t xml:space="preserve"> employment, wealth and wellbeing for Victorian families, regions and communities.</w:t>
      </w:r>
    </w:p>
    <w:p w:rsidR="00B958B1" w:rsidRPr="00384FB9" w:rsidRDefault="00B958B1" w:rsidP="009F3B54"/>
    <w:p w:rsidR="00B958B1" w:rsidRPr="00696323" w:rsidRDefault="00B958B1" w:rsidP="009F3B54">
      <w:pPr>
        <w:pStyle w:val="Heading2"/>
      </w:pPr>
      <w:r>
        <w:br w:type="page"/>
      </w:r>
      <w:r w:rsidRPr="00696323">
        <w:t>Departmental objectives, indicators and outputs</w:t>
      </w:r>
    </w:p>
    <w:p w:rsidR="00B958B1" w:rsidRDefault="00B958B1" w:rsidP="009F3B54">
      <w:r>
        <w:t xml:space="preserve">The Department of Environment and Primary Industries’ objectives, indicators and linked outputs are: </w:t>
      </w:r>
    </w:p>
    <w:tbl>
      <w:tblPr>
        <w:tblStyle w:val="TableGrid"/>
        <w:tblW w:w="7776" w:type="dxa"/>
        <w:tblInd w:w="29" w:type="dxa"/>
        <w:tblBorders>
          <w:insideH w:val="single" w:sz="6" w:space="0" w:color="auto"/>
        </w:tblBorders>
        <w:tblLayout w:type="fixed"/>
        <w:tblCellMar>
          <w:left w:w="43" w:type="dxa"/>
          <w:right w:w="43" w:type="dxa"/>
        </w:tblCellMar>
        <w:tblLook w:val="04A0" w:firstRow="1" w:lastRow="0" w:firstColumn="1" w:lastColumn="0" w:noHBand="0" w:noVBand="1"/>
      </w:tblPr>
      <w:tblGrid>
        <w:gridCol w:w="2592"/>
        <w:gridCol w:w="2592"/>
        <w:gridCol w:w="2592"/>
      </w:tblGrid>
      <w:tr w:rsidR="00B958B1" w:rsidRPr="00D577C7" w:rsidTr="009F3B54">
        <w:trPr>
          <w:cantSplit/>
          <w:tblHeader/>
        </w:trPr>
        <w:tc>
          <w:tcPr>
            <w:tcW w:w="2592" w:type="dxa"/>
            <w:shd w:val="clear" w:color="auto" w:fill="000000"/>
          </w:tcPr>
          <w:p w:rsidR="00B958B1" w:rsidRPr="00D577C7" w:rsidRDefault="00B958B1" w:rsidP="009F3B54">
            <w:pPr>
              <w:pStyle w:val="Tabletextheadingleft"/>
            </w:pPr>
            <w:r w:rsidRPr="00D577C7">
              <w:rPr>
                <w:highlight w:val="black"/>
              </w:rPr>
              <w:t>Departmental objectives</w:t>
            </w:r>
          </w:p>
        </w:tc>
        <w:tc>
          <w:tcPr>
            <w:tcW w:w="2592" w:type="dxa"/>
            <w:shd w:val="clear" w:color="auto" w:fill="000000"/>
          </w:tcPr>
          <w:p w:rsidR="00B958B1" w:rsidRPr="00D577C7" w:rsidRDefault="00B958B1" w:rsidP="009F3B54">
            <w:pPr>
              <w:pStyle w:val="Tabletextheadingleft"/>
            </w:pPr>
            <w:r w:rsidRPr="00D577C7">
              <w:rPr>
                <w:highlight w:val="black"/>
              </w:rPr>
              <w:t>Indicators</w:t>
            </w:r>
          </w:p>
        </w:tc>
        <w:tc>
          <w:tcPr>
            <w:tcW w:w="2592" w:type="dxa"/>
            <w:shd w:val="clear" w:color="auto" w:fill="000000"/>
          </w:tcPr>
          <w:p w:rsidR="00B958B1" w:rsidRPr="00D577C7" w:rsidRDefault="00B958B1" w:rsidP="009F3B54">
            <w:pPr>
              <w:pStyle w:val="Tabletextheadingleft"/>
            </w:pPr>
            <w:r w:rsidRPr="00D577C7">
              <w:rPr>
                <w:highlight w:val="black"/>
              </w:rPr>
              <w:t>Outputs</w:t>
            </w:r>
          </w:p>
        </w:tc>
      </w:tr>
      <w:tr w:rsidR="00B958B1" w:rsidTr="009F3B54">
        <w:trPr>
          <w:cantSplit/>
        </w:trPr>
        <w:tc>
          <w:tcPr>
            <w:tcW w:w="2592" w:type="dxa"/>
            <w:tcBorders>
              <w:bottom w:val="single" w:sz="6" w:space="0" w:color="auto"/>
            </w:tcBorders>
          </w:tcPr>
          <w:p w:rsidR="00B958B1" w:rsidRPr="00485CCA" w:rsidRDefault="00B958B1" w:rsidP="009F3B54">
            <w:pPr>
              <w:pStyle w:val="Tabletextnoindent"/>
              <w:rPr>
                <w:b/>
              </w:rPr>
            </w:pPr>
            <w:r w:rsidRPr="00485CCA">
              <w:rPr>
                <w:b/>
              </w:rPr>
              <w:t>Effective management of water resources to meet future urban, rural and environmental needs</w:t>
            </w:r>
          </w:p>
          <w:p w:rsidR="00B958B1" w:rsidRPr="00485CCA" w:rsidRDefault="00B958B1" w:rsidP="009F3B54">
            <w:pPr>
              <w:pStyle w:val="Tabletextnoindent"/>
            </w:pPr>
            <w:r w:rsidRPr="00485CCA">
              <w:t>This objective will deliver on increasing the efficiency of supply and use of water in cities and towns including integrated water cycle management, make a more sustainable irrigation industry, and deliver a transition strategy for the Basin Plan that balances social, economic and environmental needs. In addition, this objective will improve environmental conditions and waterways supporting community needs.</w:t>
            </w:r>
          </w:p>
        </w:tc>
        <w:tc>
          <w:tcPr>
            <w:tcW w:w="2592" w:type="dxa"/>
            <w:tcBorders>
              <w:bottom w:val="single" w:sz="6" w:space="0" w:color="auto"/>
            </w:tcBorders>
          </w:tcPr>
          <w:p w:rsidR="00B958B1" w:rsidRPr="00485CCA" w:rsidRDefault="00B958B1" w:rsidP="009F3B54">
            <w:pPr>
              <w:pStyle w:val="Tabletextnoindent"/>
            </w:pPr>
            <w:r w:rsidRPr="00485CCA">
              <w:t>Proportion of new homes connected to an alternative water source</w:t>
            </w:r>
          </w:p>
          <w:p w:rsidR="00B958B1" w:rsidRPr="00485CCA" w:rsidRDefault="00B958B1" w:rsidP="009F3B54">
            <w:pPr>
              <w:pStyle w:val="Tabletextnoindent"/>
            </w:pPr>
            <w:r w:rsidRPr="00485CCA">
              <w:t>Proportion of properties directly connected to the modernised irrigation delivery system</w:t>
            </w:r>
            <w:r>
              <w:t xml:space="preserve"> </w:t>
            </w:r>
            <w:r w:rsidRPr="00485CCA">
              <w:t>(In the Goulburn</w:t>
            </w:r>
            <w:r w:rsidR="009F0F49">
              <w:noBreakHyphen/>
            </w:r>
            <w:r w:rsidRPr="00485CCA">
              <w:t>Murray and Macalister Irrigation Districts)</w:t>
            </w:r>
          </w:p>
          <w:p w:rsidR="00B958B1" w:rsidRPr="00485CCA" w:rsidRDefault="00B958B1" w:rsidP="009F3B54">
            <w:pPr>
              <w:pStyle w:val="Tabletextnoindent"/>
            </w:pPr>
            <w:r w:rsidRPr="00485CCA">
              <w:t xml:space="preserve">Number of </w:t>
            </w:r>
            <w:r w:rsidRPr="00D577C7">
              <w:t>river</w:t>
            </w:r>
            <w:r w:rsidRPr="00485CCA">
              <w:t xml:space="preserve"> reaches/wetlands with improved environment</w:t>
            </w:r>
            <w:r>
              <w:t>al condition</w:t>
            </w:r>
          </w:p>
        </w:tc>
        <w:tc>
          <w:tcPr>
            <w:tcW w:w="2592" w:type="dxa"/>
            <w:tcBorders>
              <w:bottom w:val="single" w:sz="6" w:space="0" w:color="auto"/>
            </w:tcBorders>
          </w:tcPr>
          <w:p w:rsidR="00B958B1" w:rsidRPr="00485CCA" w:rsidRDefault="00B958B1" w:rsidP="009F3B54">
            <w:pPr>
              <w:pStyle w:val="Tabletextnoindent"/>
            </w:pPr>
            <w:r w:rsidRPr="00485CCA">
              <w:t>Effect</w:t>
            </w:r>
            <w:r>
              <w:t>ive Water Management and Supply</w:t>
            </w:r>
          </w:p>
        </w:tc>
      </w:tr>
      <w:tr w:rsidR="00B958B1" w:rsidTr="009F3B54">
        <w:trPr>
          <w:cantSplit/>
        </w:trPr>
        <w:tc>
          <w:tcPr>
            <w:tcW w:w="2592" w:type="dxa"/>
            <w:tcBorders>
              <w:top w:val="single" w:sz="6" w:space="0" w:color="auto"/>
              <w:bottom w:val="single" w:sz="6" w:space="0" w:color="auto"/>
            </w:tcBorders>
          </w:tcPr>
          <w:p w:rsidR="00B958B1" w:rsidRPr="00485CCA" w:rsidRDefault="00B958B1" w:rsidP="009F3B54">
            <w:pPr>
              <w:pStyle w:val="Tabletextnoindent"/>
              <w:rPr>
                <w:b/>
              </w:rPr>
            </w:pPr>
            <w:r w:rsidRPr="00485CCA">
              <w:rPr>
                <w:b/>
              </w:rPr>
              <w:t>The community benefits from effective management of Victoria</w:t>
            </w:r>
            <w:r>
              <w:rPr>
                <w:b/>
              </w:rPr>
              <w:t>’</w:t>
            </w:r>
            <w:r w:rsidRPr="00485CCA">
              <w:rPr>
                <w:b/>
              </w:rPr>
              <w:t>s land assets</w:t>
            </w:r>
          </w:p>
          <w:p w:rsidR="00B958B1" w:rsidRDefault="00B958B1" w:rsidP="009F3B54">
            <w:pPr>
              <w:pStyle w:val="Tabletextnoindent"/>
            </w:pPr>
            <w:r>
              <w:t>This objective delivers land management supporting social, environmental and economic outcomes, provides effective governance and management of public land.</w:t>
            </w:r>
          </w:p>
        </w:tc>
        <w:tc>
          <w:tcPr>
            <w:tcW w:w="2592" w:type="dxa"/>
            <w:tcBorders>
              <w:top w:val="single" w:sz="6" w:space="0" w:color="auto"/>
              <w:bottom w:val="single" w:sz="6" w:space="0" w:color="auto"/>
            </w:tcBorders>
          </w:tcPr>
          <w:p w:rsidR="00B958B1" w:rsidRDefault="00B958B1" w:rsidP="009F3B54">
            <w:pPr>
              <w:pStyle w:val="Tabletextnoindent"/>
              <w:rPr>
                <w:lang w:val="en-US"/>
              </w:rPr>
            </w:pPr>
            <w:r>
              <w:rPr>
                <w:lang w:val="en-US"/>
              </w:rPr>
              <w:t>Number of visits to the public land estate managed by DEPI portfolio agencies: Parks Victoria (million)</w:t>
            </w:r>
          </w:p>
          <w:p w:rsidR="00B958B1" w:rsidRDefault="00B958B1" w:rsidP="009F3B54">
            <w:pPr>
              <w:pStyle w:val="Tabletextnoindent"/>
              <w:rPr>
                <w:lang w:val="en-US"/>
              </w:rPr>
            </w:pPr>
            <w:r>
              <w:rPr>
                <w:lang w:val="en-US"/>
              </w:rPr>
              <w:t>Bay and Parks assets rated in average to excellent condition</w:t>
            </w:r>
          </w:p>
        </w:tc>
        <w:tc>
          <w:tcPr>
            <w:tcW w:w="2592" w:type="dxa"/>
            <w:tcBorders>
              <w:top w:val="single" w:sz="6" w:space="0" w:color="auto"/>
              <w:bottom w:val="single" w:sz="6" w:space="0" w:color="auto"/>
            </w:tcBorders>
          </w:tcPr>
          <w:p w:rsidR="00B958B1" w:rsidRDefault="00B958B1" w:rsidP="009F3B54">
            <w:pPr>
              <w:pStyle w:val="Tabletextnoindent"/>
            </w:pPr>
            <w:r>
              <w:t>Public Land</w:t>
            </w:r>
          </w:p>
          <w:p w:rsidR="00B958B1" w:rsidRPr="00485CCA" w:rsidRDefault="00B958B1" w:rsidP="009F3B54">
            <w:pPr>
              <w:pStyle w:val="Tabletextnoindent"/>
            </w:pPr>
            <w:r>
              <w:t>Forests and Parks</w:t>
            </w:r>
          </w:p>
        </w:tc>
      </w:tr>
      <w:tr w:rsidR="00B958B1" w:rsidTr="009F3B54">
        <w:trPr>
          <w:cantSplit/>
        </w:trPr>
        <w:tc>
          <w:tcPr>
            <w:tcW w:w="2592" w:type="dxa"/>
            <w:tcBorders>
              <w:top w:val="single" w:sz="6" w:space="0" w:color="auto"/>
            </w:tcBorders>
          </w:tcPr>
          <w:p w:rsidR="00B958B1" w:rsidRPr="00485CCA" w:rsidRDefault="00B958B1" w:rsidP="009F3B54">
            <w:pPr>
              <w:pStyle w:val="Tabletextnoindent"/>
              <w:rPr>
                <w:b/>
              </w:rPr>
            </w:pPr>
            <w:r w:rsidRPr="00485CCA">
              <w:rPr>
                <w:b/>
              </w:rPr>
              <w:t>Effective environmental and adaptation policy, investment and regulation</w:t>
            </w:r>
          </w:p>
          <w:p w:rsidR="00B958B1" w:rsidRDefault="00B958B1" w:rsidP="009F3B54">
            <w:pPr>
              <w:pStyle w:val="Tabletextnoindent"/>
            </w:pPr>
            <w:r>
              <w:t>This objective delivers support for local communities and landholders engaged in environmental works, improves the transparency and delivery of environmental regulation, provides effective governance and investment in environmental programs and provides effective policy for environmental outcomes and resource efficiency.</w:t>
            </w:r>
          </w:p>
        </w:tc>
        <w:tc>
          <w:tcPr>
            <w:tcW w:w="2592" w:type="dxa"/>
            <w:tcBorders>
              <w:top w:val="single" w:sz="6" w:space="0" w:color="auto"/>
            </w:tcBorders>
          </w:tcPr>
          <w:p w:rsidR="00B958B1" w:rsidRDefault="00B958B1" w:rsidP="009F3B54">
            <w:pPr>
              <w:pStyle w:val="Tabletextnoindent"/>
              <w:rPr>
                <w:lang w:val="en-US"/>
              </w:rPr>
            </w:pPr>
            <w:r>
              <w:rPr>
                <w:lang w:val="en-US"/>
              </w:rPr>
              <w:t>Participation in community based environmental programs</w:t>
            </w:r>
          </w:p>
          <w:p w:rsidR="00B958B1" w:rsidRDefault="00B958B1" w:rsidP="009F3B54">
            <w:pPr>
              <w:pStyle w:val="Tabletextnoindent"/>
              <w:rPr>
                <w:lang w:val="en-US"/>
              </w:rPr>
            </w:pPr>
            <w:r>
              <w:rPr>
                <w:lang w:val="en-US"/>
              </w:rPr>
              <w:t>(Participant FTE days)</w:t>
            </w:r>
          </w:p>
          <w:p w:rsidR="00B958B1" w:rsidRDefault="00B958B1" w:rsidP="009F3B54">
            <w:pPr>
              <w:pStyle w:val="Tabletextnoindent"/>
              <w:rPr>
                <w:lang w:val="en-US"/>
              </w:rPr>
            </w:pPr>
            <w:r>
              <w:rPr>
                <w:lang w:val="en-US"/>
              </w:rPr>
              <w:t>Level of support from key stakeholders for environmental and adaptation policy development and implementation</w:t>
            </w:r>
          </w:p>
          <w:p w:rsidR="00B958B1" w:rsidRDefault="00B958B1" w:rsidP="009F3B54">
            <w:pPr>
              <w:pStyle w:val="Tabletextnoindent"/>
            </w:pPr>
            <w:r>
              <w:rPr>
                <w:lang w:val="en-US"/>
              </w:rPr>
              <w:t xml:space="preserve">Reduction in pollutants from priority hotspots </w:t>
            </w:r>
          </w:p>
        </w:tc>
        <w:tc>
          <w:tcPr>
            <w:tcW w:w="2592" w:type="dxa"/>
            <w:tcBorders>
              <w:top w:val="single" w:sz="6" w:space="0" w:color="auto"/>
            </w:tcBorders>
          </w:tcPr>
          <w:p w:rsidR="00B958B1" w:rsidRDefault="00B958B1" w:rsidP="009F3B54">
            <w:pPr>
              <w:pStyle w:val="Tabletextnoindent"/>
            </w:pPr>
            <w:r>
              <w:t>Environmental Programs</w:t>
            </w:r>
          </w:p>
          <w:p w:rsidR="00B958B1" w:rsidRDefault="00B958B1" w:rsidP="009F3B54">
            <w:pPr>
              <w:pStyle w:val="Tabletextnoindent"/>
            </w:pPr>
            <w:r>
              <w:t>Environmental Policy</w:t>
            </w:r>
          </w:p>
          <w:p w:rsidR="00B958B1" w:rsidRDefault="00B958B1" w:rsidP="009F3B54">
            <w:pPr>
              <w:pStyle w:val="Tabletextnoindent"/>
            </w:pPr>
            <w:r>
              <w:t xml:space="preserve">Statutory Activities and </w:t>
            </w:r>
          </w:p>
          <w:p w:rsidR="00B958B1" w:rsidRPr="00485CCA" w:rsidRDefault="00B958B1" w:rsidP="009F3B54">
            <w:pPr>
              <w:pStyle w:val="Tabletextnoindent"/>
            </w:pPr>
            <w:r>
              <w:t>Environmental Protection</w:t>
            </w:r>
          </w:p>
        </w:tc>
      </w:tr>
      <w:tr w:rsidR="00B958B1" w:rsidTr="009F3B54">
        <w:trPr>
          <w:cantSplit/>
        </w:trPr>
        <w:tc>
          <w:tcPr>
            <w:tcW w:w="2592" w:type="dxa"/>
            <w:tcBorders>
              <w:bottom w:val="single" w:sz="6" w:space="0" w:color="auto"/>
            </w:tcBorders>
          </w:tcPr>
          <w:p w:rsidR="00B958B1" w:rsidRPr="00485CCA" w:rsidRDefault="00B958B1" w:rsidP="009F3B54">
            <w:pPr>
              <w:pStyle w:val="Tabletextnoindent"/>
              <w:rPr>
                <w:b/>
              </w:rPr>
            </w:pPr>
            <w:r w:rsidRPr="00485CCA">
              <w:rPr>
                <w:b/>
              </w:rPr>
              <w:t>Reduced impact of major bushfires and other extreme events on people, infrastructure and the environment</w:t>
            </w:r>
          </w:p>
          <w:p w:rsidR="00B958B1" w:rsidRPr="00485CCA" w:rsidRDefault="00B958B1" w:rsidP="009F3B54">
            <w:pPr>
              <w:pStyle w:val="Tabletextnoindent"/>
            </w:pPr>
            <w:r>
              <w:t>This objective delivers a planned burning program that reduces the threat and impact of bushfires for Victoria and delivers a risk</w:t>
            </w:r>
            <w:r w:rsidR="009F0F49">
              <w:noBreakHyphen/>
            </w:r>
            <w:r>
              <w:t>based approach to preparing and responding to fire and non</w:t>
            </w:r>
            <w:r w:rsidR="009F0F49">
              <w:noBreakHyphen/>
            </w:r>
            <w:r>
              <w:t>fire emergency events.</w:t>
            </w:r>
          </w:p>
        </w:tc>
        <w:tc>
          <w:tcPr>
            <w:tcW w:w="2592" w:type="dxa"/>
            <w:tcBorders>
              <w:bottom w:val="single" w:sz="6" w:space="0" w:color="auto"/>
            </w:tcBorders>
          </w:tcPr>
          <w:p w:rsidR="00B958B1" w:rsidRDefault="00B958B1" w:rsidP="009F3B54">
            <w:pPr>
              <w:pStyle w:val="Tabletextnoindent"/>
              <w:rPr>
                <w:lang w:val="en-US"/>
              </w:rPr>
            </w:pPr>
            <w:r>
              <w:rPr>
                <w:lang w:val="en-US"/>
              </w:rPr>
              <w:t>Percentage of bushfires controlled at first attack and/or under five hectares to suppress bushfires promptly, keep bushfires small and minimise loss</w:t>
            </w:r>
          </w:p>
          <w:p w:rsidR="00B958B1" w:rsidRDefault="00B958B1" w:rsidP="009F3B54">
            <w:pPr>
              <w:pStyle w:val="Tabletextnoindent"/>
              <w:rPr>
                <w:lang w:val="en-US"/>
              </w:rPr>
            </w:pPr>
            <w:r>
              <w:rPr>
                <w:lang w:val="en-US"/>
              </w:rPr>
              <w:t>Area of public land treated through planned burning (hectares)</w:t>
            </w:r>
          </w:p>
          <w:p w:rsidR="00B958B1" w:rsidRPr="00485CCA" w:rsidRDefault="00B958B1" w:rsidP="009F3B54">
            <w:pPr>
              <w:pStyle w:val="Tabletextnoindent"/>
              <w:rPr>
                <w:lang w:val="en-US"/>
              </w:rPr>
            </w:pPr>
            <w:r>
              <w:rPr>
                <w:lang w:val="en-US"/>
              </w:rPr>
              <w:t>Area of public land prepared for prescribed burning (hectares)</w:t>
            </w:r>
          </w:p>
        </w:tc>
        <w:tc>
          <w:tcPr>
            <w:tcW w:w="2592" w:type="dxa"/>
            <w:tcBorders>
              <w:bottom w:val="single" w:sz="6" w:space="0" w:color="auto"/>
            </w:tcBorders>
          </w:tcPr>
          <w:p w:rsidR="00B958B1" w:rsidRPr="00485CCA" w:rsidRDefault="00B958B1" w:rsidP="009F3B54">
            <w:pPr>
              <w:pStyle w:val="Tabletextnoindent"/>
            </w:pPr>
            <w:r>
              <w:t>Land and Fire Management</w:t>
            </w:r>
          </w:p>
        </w:tc>
      </w:tr>
      <w:tr w:rsidR="00B958B1" w:rsidTr="009F3B54">
        <w:trPr>
          <w:cantSplit/>
        </w:trPr>
        <w:tc>
          <w:tcPr>
            <w:tcW w:w="2592" w:type="dxa"/>
            <w:tcBorders>
              <w:top w:val="single" w:sz="6" w:space="0" w:color="auto"/>
              <w:bottom w:val="single" w:sz="6" w:space="0" w:color="auto"/>
            </w:tcBorders>
          </w:tcPr>
          <w:p w:rsidR="00B958B1" w:rsidRPr="00485CCA" w:rsidRDefault="00B958B1" w:rsidP="009F3B54">
            <w:pPr>
              <w:pStyle w:val="Tabletextnoindent"/>
              <w:rPr>
                <w:b/>
              </w:rPr>
            </w:pPr>
            <w:r w:rsidRPr="00485CCA">
              <w:rPr>
                <w:b/>
              </w:rPr>
              <w:t>Create productive and competitive agricultural industries</w:t>
            </w:r>
          </w:p>
          <w:p w:rsidR="00B958B1" w:rsidRPr="00384FB9" w:rsidRDefault="00B958B1" w:rsidP="009F3B54">
            <w:pPr>
              <w:pStyle w:val="Tabletextnoindent"/>
            </w:pPr>
            <w:r w:rsidRPr="00384FB9">
              <w:t>This objective will create conditions for increased productivity and access to markets for dairy, red meat, grains and horticulture industries.</w:t>
            </w:r>
          </w:p>
        </w:tc>
        <w:tc>
          <w:tcPr>
            <w:tcW w:w="2592" w:type="dxa"/>
            <w:tcBorders>
              <w:top w:val="single" w:sz="6" w:space="0" w:color="auto"/>
              <w:bottom w:val="single" w:sz="6" w:space="0" w:color="auto"/>
            </w:tcBorders>
          </w:tcPr>
          <w:p w:rsidR="00B958B1" w:rsidRDefault="00B958B1" w:rsidP="009F3B54">
            <w:pPr>
              <w:pStyle w:val="Tabletextnoindent"/>
              <w:rPr>
                <w:lang w:val="en-US"/>
              </w:rPr>
            </w:pPr>
            <w:r w:rsidRPr="00384FB9">
              <w:rPr>
                <w:lang w:val="en-US"/>
              </w:rPr>
              <w:t>Adoption of appropriate technology and management practices by target farmers as a result of accessing services or information directly from DEPI or from other providers</w:t>
            </w:r>
          </w:p>
          <w:p w:rsidR="00B958B1" w:rsidRPr="00384FB9" w:rsidRDefault="00B958B1" w:rsidP="009F3B54">
            <w:pPr>
              <w:pStyle w:val="Tabletextnoindent"/>
              <w:rPr>
                <w:lang w:val="en-US"/>
              </w:rPr>
            </w:pPr>
            <w:r w:rsidRPr="00384FB9">
              <w:rPr>
                <w:lang w:val="en-US"/>
              </w:rPr>
              <w:t>Effective biosecurity incursion management</w:t>
            </w:r>
          </w:p>
        </w:tc>
        <w:tc>
          <w:tcPr>
            <w:tcW w:w="2592" w:type="dxa"/>
            <w:tcBorders>
              <w:top w:val="single" w:sz="6" w:space="0" w:color="auto"/>
              <w:bottom w:val="single" w:sz="6" w:space="0" w:color="auto"/>
            </w:tcBorders>
          </w:tcPr>
          <w:p w:rsidR="00B958B1" w:rsidRPr="00384FB9" w:rsidRDefault="00B958B1" w:rsidP="009F3B54">
            <w:pPr>
              <w:pStyle w:val="Tabletextnoindent"/>
            </w:pPr>
            <w:r w:rsidRPr="00384FB9">
              <w:t>Development of Primary Industries</w:t>
            </w:r>
          </w:p>
        </w:tc>
      </w:tr>
      <w:tr w:rsidR="00B958B1" w:rsidTr="009F3B54">
        <w:trPr>
          <w:cantSplit/>
        </w:trPr>
        <w:tc>
          <w:tcPr>
            <w:tcW w:w="2592" w:type="dxa"/>
            <w:tcBorders>
              <w:top w:val="single" w:sz="6" w:space="0" w:color="auto"/>
              <w:bottom w:val="single" w:sz="12" w:space="0" w:color="auto"/>
            </w:tcBorders>
          </w:tcPr>
          <w:p w:rsidR="00B958B1" w:rsidRPr="00485CCA" w:rsidRDefault="00B958B1" w:rsidP="009F3B54">
            <w:pPr>
              <w:pStyle w:val="Tabletextnoindent"/>
              <w:rPr>
                <w:b/>
              </w:rPr>
            </w:pPr>
            <w:r w:rsidRPr="00485CCA">
              <w:rPr>
                <w:b/>
              </w:rPr>
              <w:t>Sustainably manage fish, game and forest resources</w:t>
            </w:r>
          </w:p>
          <w:p w:rsidR="00B958B1" w:rsidRPr="00485CCA" w:rsidRDefault="00B958B1" w:rsidP="009F3B54">
            <w:pPr>
              <w:pStyle w:val="Tabletextnoindent"/>
            </w:pPr>
            <w:r w:rsidRPr="00384FB9">
              <w:t>This objective will assist in the efficient and sustainable allocation, use and responsible management of secure access to fisheries, forest and game resources for current and future use.</w:t>
            </w:r>
          </w:p>
        </w:tc>
        <w:tc>
          <w:tcPr>
            <w:tcW w:w="2592" w:type="dxa"/>
            <w:tcBorders>
              <w:top w:val="single" w:sz="6" w:space="0" w:color="auto"/>
              <w:bottom w:val="single" w:sz="12" w:space="0" w:color="auto"/>
            </w:tcBorders>
          </w:tcPr>
          <w:p w:rsidR="00B958B1" w:rsidRPr="00384FB9" w:rsidRDefault="00B958B1" w:rsidP="009F3B54">
            <w:pPr>
              <w:pStyle w:val="Tabletextnoindent"/>
            </w:pPr>
            <w:r w:rsidRPr="00384FB9">
              <w:t>Number of fisheries, and levels of timber and game stocks maintained within sustainable limits</w:t>
            </w:r>
          </w:p>
        </w:tc>
        <w:tc>
          <w:tcPr>
            <w:tcW w:w="2592" w:type="dxa"/>
            <w:tcBorders>
              <w:top w:val="single" w:sz="6" w:space="0" w:color="auto"/>
              <w:bottom w:val="single" w:sz="12" w:space="0" w:color="auto"/>
            </w:tcBorders>
          </w:tcPr>
          <w:p w:rsidR="00B958B1" w:rsidRPr="00384FB9" w:rsidRDefault="00B958B1" w:rsidP="009F3B54">
            <w:pPr>
              <w:pStyle w:val="Tabletextnoindent"/>
            </w:pPr>
            <w:r w:rsidRPr="00384FB9">
              <w:t>Development of Primary Industries</w:t>
            </w:r>
          </w:p>
        </w:tc>
      </w:tr>
    </w:tbl>
    <w:p w:rsidR="00B958B1" w:rsidRPr="00281470" w:rsidRDefault="00B958B1" w:rsidP="009F3B54">
      <w:pPr>
        <w:pStyle w:val="Source"/>
        <w:rPr>
          <w:rFonts w:cs="Calibri"/>
          <w:szCs w:val="15"/>
        </w:rPr>
      </w:pPr>
      <w:r>
        <w:rPr>
          <w:rFonts w:cs="Calibri"/>
          <w:szCs w:val="15"/>
        </w:rPr>
        <w:t xml:space="preserve">Source: </w:t>
      </w:r>
      <w:r>
        <w:t>Department of Environment and Primary Industries</w:t>
      </w:r>
    </w:p>
    <w:p w:rsidR="00B958B1" w:rsidRPr="00E44A23" w:rsidRDefault="00B958B1" w:rsidP="009F3B54">
      <w:pPr>
        <w:pStyle w:val="Source"/>
      </w:pPr>
    </w:p>
    <w:p w:rsidR="00B958B1" w:rsidRDefault="00B958B1" w:rsidP="009F3B54">
      <w:pPr>
        <w:pStyle w:val="Heading2"/>
      </w:pPr>
      <w:r>
        <w:t>Changes to the output structure</w:t>
      </w:r>
    </w:p>
    <w:p w:rsidR="00B958B1" w:rsidRDefault="00B958B1" w:rsidP="009F3B54">
      <w:r w:rsidRPr="00384FB9">
        <w:t>The Department of Environment and Primary Industries brings together the former Department of Sustainability and Environment and Department of Primary Industries and as a result has taken a number of steps towards improving output performance reporting, including consolidating outputs to better reflect departmental service delivery and increase the quality of its performance measures.</w:t>
      </w:r>
    </w:p>
    <w:p w:rsidR="00B958B1" w:rsidRDefault="00B958B1" w:rsidP="009F3B54">
      <w:r>
        <w:t>The Department has made some changes to its output structure for 2013</w:t>
      </w:r>
      <w:r w:rsidR="009F0F49">
        <w:noBreakHyphen/>
      </w:r>
      <w:r>
        <w:t xml:space="preserve">14, as shown in the table below: </w:t>
      </w:r>
    </w:p>
    <w:tbl>
      <w:tblPr>
        <w:tblStyle w:val="TableGrid"/>
        <w:tblW w:w="7776" w:type="dxa"/>
        <w:tblInd w:w="29" w:type="dxa"/>
        <w:tblLayout w:type="fixed"/>
        <w:tblCellMar>
          <w:left w:w="43" w:type="dxa"/>
          <w:right w:w="43" w:type="dxa"/>
        </w:tblCellMar>
        <w:tblLook w:val="04A0" w:firstRow="1" w:lastRow="0" w:firstColumn="1" w:lastColumn="0" w:noHBand="0" w:noVBand="1"/>
      </w:tblPr>
      <w:tblGrid>
        <w:gridCol w:w="2592"/>
        <w:gridCol w:w="2592"/>
        <w:gridCol w:w="2592"/>
      </w:tblGrid>
      <w:tr w:rsidR="00B958B1" w:rsidRPr="00281470" w:rsidTr="009F3B54">
        <w:trPr>
          <w:cantSplit/>
          <w:tblHeader/>
        </w:trPr>
        <w:tc>
          <w:tcPr>
            <w:tcW w:w="2592" w:type="dxa"/>
            <w:tcBorders>
              <w:top w:val="single" w:sz="12" w:space="0" w:color="auto"/>
              <w:left w:val="single" w:sz="12" w:space="0" w:color="auto"/>
            </w:tcBorders>
            <w:shd w:val="clear" w:color="auto" w:fill="000000"/>
          </w:tcPr>
          <w:p w:rsidR="00B958B1" w:rsidRPr="00281470" w:rsidRDefault="00B958B1" w:rsidP="009F3B54">
            <w:pPr>
              <w:pStyle w:val="TabletextheadingLeft0"/>
            </w:pPr>
            <w:r w:rsidRPr="00281470">
              <w:t>2012</w:t>
            </w:r>
            <w:r w:rsidR="009F0F49">
              <w:noBreakHyphen/>
            </w:r>
            <w:r w:rsidRPr="00281470">
              <w:t>13 Outputs</w:t>
            </w:r>
          </w:p>
        </w:tc>
        <w:tc>
          <w:tcPr>
            <w:tcW w:w="2592" w:type="dxa"/>
            <w:tcBorders>
              <w:top w:val="single" w:sz="12" w:space="0" w:color="auto"/>
            </w:tcBorders>
            <w:shd w:val="clear" w:color="auto" w:fill="000000"/>
          </w:tcPr>
          <w:p w:rsidR="00B958B1" w:rsidRPr="00281470" w:rsidRDefault="00B958B1" w:rsidP="009F3B54">
            <w:pPr>
              <w:pStyle w:val="TabletextheadingLeft0"/>
            </w:pPr>
            <w:r w:rsidRPr="00281470">
              <w:t>Reason</w:t>
            </w:r>
          </w:p>
        </w:tc>
        <w:tc>
          <w:tcPr>
            <w:tcW w:w="2592" w:type="dxa"/>
            <w:tcBorders>
              <w:top w:val="single" w:sz="12" w:space="0" w:color="auto"/>
              <w:right w:val="single" w:sz="12" w:space="0" w:color="auto"/>
            </w:tcBorders>
            <w:shd w:val="clear" w:color="auto" w:fill="000000"/>
          </w:tcPr>
          <w:p w:rsidR="00B958B1" w:rsidRPr="00281470" w:rsidRDefault="00B958B1" w:rsidP="009F3B54">
            <w:pPr>
              <w:pStyle w:val="TabletextheadingLeft0"/>
            </w:pPr>
            <w:r w:rsidRPr="00281470">
              <w:t>2013</w:t>
            </w:r>
            <w:r w:rsidR="009F0F49">
              <w:noBreakHyphen/>
            </w:r>
            <w:r w:rsidRPr="00281470">
              <w:t>14 Outputs</w:t>
            </w:r>
          </w:p>
        </w:tc>
      </w:tr>
      <w:tr w:rsidR="00B958B1" w:rsidTr="009F3B54">
        <w:trPr>
          <w:cantSplit/>
        </w:trPr>
        <w:tc>
          <w:tcPr>
            <w:tcW w:w="2592" w:type="dxa"/>
            <w:shd w:val="clear" w:color="auto" w:fill="auto"/>
          </w:tcPr>
          <w:p w:rsidR="00B958B1" w:rsidRPr="00485CCA" w:rsidRDefault="00B958B1" w:rsidP="009F3B54">
            <w:pPr>
              <w:pStyle w:val="Tabletextnoindent"/>
            </w:pPr>
            <w:r w:rsidRPr="00485CCA">
              <w:t xml:space="preserve">Biodiversity </w:t>
            </w:r>
          </w:p>
          <w:p w:rsidR="00B958B1" w:rsidRPr="00485CCA" w:rsidRDefault="00B958B1" w:rsidP="009F3B54">
            <w:pPr>
              <w:pStyle w:val="Tabletextnoindent"/>
            </w:pPr>
            <w:r w:rsidRPr="00485CCA">
              <w:t>Natural Resources</w:t>
            </w:r>
          </w:p>
        </w:tc>
        <w:tc>
          <w:tcPr>
            <w:tcW w:w="2592" w:type="dxa"/>
            <w:shd w:val="clear" w:color="auto" w:fill="auto"/>
          </w:tcPr>
          <w:p w:rsidR="00B958B1" w:rsidRPr="00485CCA" w:rsidRDefault="00B958B1" w:rsidP="009F3B54">
            <w:pPr>
              <w:pStyle w:val="Tabletextnoindent"/>
            </w:pPr>
            <w:r>
              <w:t>In 2012</w:t>
            </w:r>
            <w:r w:rsidR="009F0F49">
              <w:noBreakHyphen/>
            </w:r>
            <w:r>
              <w:t>13, the Department undertook a restructure to better reflect the implementation of the new regional on</w:t>
            </w:r>
            <w:r w:rsidR="009F0F49">
              <w:noBreakHyphen/>
            </w:r>
            <w:r>
              <w:t xml:space="preserve">ground service delivery structure. The Department has revised these output groups to better reflect the new Departmental structure. </w:t>
            </w:r>
          </w:p>
        </w:tc>
        <w:tc>
          <w:tcPr>
            <w:tcW w:w="2592" w:type="dxa"/>
            <w:shd w:val="clear" w:color="auto" w:fill="auto"/>
          </w:tcPr>
          <w:p w:rsidR="00B958B1" w:rsidRPr="004545F3" w:rsidRDefault="00B958B1" w:rsidP="009F3B54">
            <w:pPr>
              <w:pStyle w:val="Tabletextnoindent"/>
            </w:pPr>
            <w:r w:rsidRPr="004545F3">
              <w:t xml:space="preserve">Environmental Programs </w:t>
            </w:r>
          </w:p>
        </w:tc>
      </w:tr>
      <w:tr w:rsidR="00B958B1" w:rsidTr="009F3B54">
        <w:trPr>
          <w:cantSplit/>
        </w:trPr>
        <w:tc>
          <w:tcPr>
            <w:tcW w:w="2592" w:type="dxa"/>
            <w:shd w:val="clear" w:color="auto" w:fill="EAEAEA"/>
          </w:tcPr>
          <w:p w:rsidR="00B958B1" w:rsidRPr="00485CCA" w:rsidRDefault="00B958B1" w:rsidP="009F3B54">
            <w:pPr>
              <w:pStyle w:val="Tabletextnoindent"/>
            </w:pPr>
            <w:r w:rsidRPr="00485CCA">
              <w:t>Environmental Policy and Climate Change</w:t>
            </w:r>
          </w:p>
        </w:tc>
        <w:tc>
          <w:tcPr>
            <w:tcW w:w="2592" w:type="dxa"/>
            <w:shd w:val="clear" w:color="auto" w:fill="EAEAEA"/>
          </w:tcPr>
          <w:p w:rsidR="00B958B1" w:rsidRPr="004545F3" w:rsidRDefault="00B958B1" w:rsidP="009F3B54">
            <w:pPr>
              <w:pStyle w:val="Tabletextnoindent"/>
            </w:pPr>
            <w:r>
              <w:t>In 2012</w:t>
            </w:r>
            <w:r w:rsidR="009F0F49">
              <w:noBreakHyphen/>
            </w:r>
            <w:r>
              <w:t>13, the Department undertook a restructure to better reflect the implementation of the new regional on</w:t>
            </w:r>
            <w:r w:rsidR="009F0F49">
              <w:noBreakHyphen/>
            </w:r>
            <w:r>
              <w:t>ground service delivery structure. The Department has revised these output groups to better reflect the new Departmental structure.</w:t>
            </w:r>
          </w:p>
        </w:tc>
        <w:tc>
          <w:tcPr>
            <w:tcW w:w="2592" w:type="dxa"/>
            <w:shd w:val="clear" w:color="auto" w:fill="EAEAEA"/>
          </w:tcPr>
          <w:p w:rsidR="00B958B1" w:rsidRPr="004545F3" w:rsidRDefault="00B958B1" w:rsidP="009F3B54">
            <w:pPr>
              <w:pStyle w:val="Tabletextnoindent"/>
            </w:pPr>
            <w:r w:rsidRPr="004545F3">
              <w:t>Environmental Policy</w:t>
            </w:r>
          </w:p>
        </w:tc>
      </w:tr>
      <w:tr w:rsidR="00B958B1" w:rsidTr="009F3B54">
        <w:trPr>
          <w:cantSplit/>
        </w:trPr>
        <w:tc>
          <w:tcPr>
            <w:tcW w:w="2592" w:type="dxa"/>
          </w:tcPr>
          <w:p w:rsidR="00B958B1" w:rsidRPr="00384FB9" w:rsidRDefault="00B958B1" w:rsidP="009F3B54">
            <w:pPr>
              <w:pStyle w:val="Tabletextnoindent"/>
            </w:pPr>
            <w:r w:rsidRPr="00384FB9">
              <w:t>Primary Industries Policy</w:t>
            </w:r>
            <w:r>
              <w:t xml:space="preserve"> </w:t>
            </w:r>
            <w:r w:rsidRPr="00384FB9">
              <w:t>Regulation and Compliance</w:t>
            </w:r>
          </w:p>
          <w:p w:rsidR="00B958B1" w:rsidRPr="00384FB9" w:rsidRDefault="00B958B1" w:rsidP="009F3B54">
            <w:pPr>
              <w:pStyle w:val="Tabletextnoindent"/>
            </w:pPr>
            <w:r w:rsidRPr="00384FB9">
              <w:t>Strategic and Applied Scientific Research</w:t>
            </w:r>
          </w:p>
          <w:p w:rsidR="00B958B1" w:rsidRPr="00384FB9" w:rsidRDefault="00B958B1" w:rsidP="009F3B54">
            <w:pPr>
              <w:pStyle w:val="Tabletextnoindent"/>
            </w:pPr>
            <w:r w:rsidRPr="00384FB9">
              <w:t>Practice Change</w:t>
            </w:r>
          </w:p>
        </w:tc>
        <w:tc>
          <w:tcPr>
            <w:tcW w:w="2592" w:type="dxa"/>
          </w:tcPr>
          <w:p w:rsidR="00B958B1" w:rsidRPr="00384FB9" w:rsidRDefault="00B958B1" w:rsidP="009F3B54">
            <w:pPr>
              <w:pStyle w:val="Tabletextnoindent"/>
            </w:pPr>
            <w:r w:rsidRPr="00384FB9">
              <w:t xml:space="preserve">The Department has consolidated these outputs </w:t>
            </w:r>
            <w:r>
              <w:t xml:space="preserve">following machinery of Government changes. </w:t>
            </w:r>
          </w:p>
        </w:tc>
        <w:tc>
          <w:tcPr>
            <w:tcW w:w="2592" w:type="dxa"/>
          </w:tcPr>
          <w:p w:rsidR="00B958B1" w:rsidRPr="00384FB9" w:rsidRDefault="00B958B1" w:rsidP="009F3B54">
            <w:pPr>
              <w:pStyle w:val="Tabletextnoindent"/>
            </w:pPr>
            <w:r w:rsidRPr="00384FB9">
              <w:t>Development of Primary Industries</w:t>
            </w:r>
          </w:p>
        </w:tc>
      </w:tr>
      <w:tr w:rsidR="00B958B1" w:rsidTr="009F3B54">
        <w:trPr>
          <w:cantSplit/>
        </w:trPr>
        <w:tc>
          <w:tcPr>
            <w:tcW w:w="2592" w:type="dxa"/>
            <w:shd w:val="clear" w:color="auto" w:fill="EAEAEA"/>
          </w:tcPr>
          <w:p w:rsidR="00B958B1" w:rsidRPr="00384FB9" w:rsidRDefault="00B958B1" w:rsidP="009F3B54">
            <w:pPr>
              <w:pStyle w:val="Tabletextnoindent"/>
            </w:pPr>
            <w:r w:rsidRPr="00384FB9">
              <w:t>Land Administration and Property Information</w:t>
            </w:r>
          </w:p>
        </w:tc>
        <w:tc>
          <w:tcPr>
            <w:tcW w:w="2592" w:type="dxa"/>
            <w:shd w:val="clear" w:color="auto" w:fill="EAEAEA"/>
          </w:tcPr>
          <w:p w:rsidR="00B958B1" w:rsidRPr="00384FB9" w:rsidRDefault="00B958B1" w:rsidP="009F3B54">
            <w:pPr>
              <w:pStyle w:val="Tabletextnoindent"/>
            </w:pPr>
            <w:r w:rsidRPr="00384FB9">
              <w:t xml:space="preserve">This output has been transferred to the new Department of Transport, Planning and Local Infrastructure. </w:t>
            </w:r>
          </w:p>
        </w:tc>
        <w:tc>
          <w:tcPr>
            <w:tcW w:w="2592" w:type="dxa"/>
            <w:shd w:val="clear" w:color="auto" w:fill="EAEAEA"/>
          </w:tcPr>
          <w:p w:rsidR="00B958B1" w:rsidRPr="00924AD4" w:rsidRDefault="00B958B1" w:rsidP="009F3B54">
            <w:pPr>
              <w:pStyle w:val="Tabletextnoindent"/>
            </w:pPr>
            <w:r w:rsidRPr="00384FB9">
              <w:t>None</w:t>
            </w:r>
          </w:p>
        </w:tc>
      </w:tr>
    </w:tbl>
    <w:p w:rsidR="00B958B1" w:rsidRPr="00B714D4" w:rsidRDefault="00B958B1" w:rsidP="009F3B54">
      <w:pPr>
        <w:pStyle w:val="Source"/>
        <w:spacing w:after="320"/>
        <w:rPr>
          <w:rFonts w:cs="Calibri"/>
          <w:szCs w:val="15"/>
        </w:rPr>
      </w:pPr>
      <w:r>
        <w:rPr>
          <w:rFonts w:cs="Calibri"/>
          <w:szCs w:val="15"/>
        </w:rPr>
        <w:t xml:space="preserve">Source: </w:t>
      </w:r>
      <w:r>
        <w:t>Department of Environment and Primary Industries</w:t>
      </w:r>
    </w:p>
    <w:p w:rsidR="00B958B1" w:rsidRDefault="00B958B1" w:rsidP="009F3B54">
      <w:pPr>
        <w:rPr>
          <w:szCs w:val="22"/>
        </w:rPr>
      </w:pPr>
      <w:r>
        <w:rPr>
          <w:szCs w:val="22"/>
        </w:rPr>
        <w:t>The following table summarises the Department’s total output cost:</w:t>
      </w:r>
    </w:p>
    <w:p w:rsidR="00B958B1" w:rsidRDefault="00B958B1" w:rsidP="009F3B54">
      <w:pPr>
        <w:pStyle w:val="Tableheading"/>
      </w:pPr>
      <w:r>
        <w:t>Table 2.5:</w:t>
      </w:r>
      <w:r>
        <w:tab/>
        <w:t>Output summary</w:t>
      </w:r>
    </w:p>
    <w:p w:rsidR="00B958B1" w:rsidRDefault="00B958B1" w:rsidP="009F3B54">
      <w:pPr>
        <w:pStyle w:val="million"/>
        <w:rPr>
          <w:rFonts w:ascii="Times New Roman" w:hAnsi="Times New Roman"/>
          <w:sz w:val="20"/>
          <w:lang w:eastAsia="en-AU"/>
        </w:rPr>
      </w:pPr>
      <w:r w:rsidRPr="00645EE7">
        <w:rPr>
          <w:lang w:eastAsia="en-AU"/>
        </w:rPr>
        <w:t>($</w:t>
      </w:r>
      <w:r>
        <w:rPr>
          <w:lang w:eastAsia="en-AU"/>
        </w:rPr>
        <w:t> million)</w:t>
      </w:r>
    </w:p>
    <w:tbl>
      <w:tblPr>
        <w:tblW w:w="7776" w:type="dxa"/>
        <w:tblInd w:w="29" w:type="dxa"/>
        <w:tblLayout w:type="fixed"/>
        <w:tblCellMar>
          <w:left w:w="43" w:type="dxa"/>
          <w:right w:w="43" w:type="dxa"/>
        </w:tblCellMar>
        <w:tblLook w:val="0000" w:firstRow="0" w:lastRow="0" w:firstColumn="0" w:lastColumn="0" w:noHBand="0" w:noVBand="0"/>
      </w:tblPr>
      <w:tblGrid>
        <w:gridCol w:w="4064"/>
        <w:gridCol w:w="306"/>
        <w:gridCol w:w="576"/>
        <w:gridCol w:w="844"/>
        <w:gridCol w:w="884"/>
        <w:gridCol w:w="1102"/>
      </w:tblGrid>
      <w:tr w:rsidR="00B958B1" w:rsidRPr="00F82661" w:rsidTr="00175147">
        <w:trPr>
          <w:cantSplit/>
        </w:trPr>
        <w:tc>
          <w:tcPr>
            <w:tcW w:w="4064" w:type="dxa"/>
            <w:tcBorders>
              <w:top w:val="single" w:sz="6" w:space="0" w:color="auto"/>
              <w:left w:val="single" w:sz="6" w:space="0" w:color="auto"/>
              <w:bottom w:val="nil"/>
              <w:right w:val="nil"/>
            </w:tcBorders>
            <w:shd w:val="clear" w:color="auto" w:fill="000000"/>
          </w:tcPr>
          <w:p w:rsidR="00B958B1" w:rsidRPr="00F82661" w:rsidRDefault="00B958B1" w:rsidP="00175147">
            <w:pPr>
              <w:pStyle w:val="Tabletext"/>
              <w:rPr>
                <w:lang w:eastAsia="en-AU"/>
              </w:rPr>
            </w:pPr>
            <w:r w:rsidRPr="00F82661">
              <w:rPr>
                <w:lang w:eastAsia="en-AU"/>
              </w:rPr>
              <w:t xml:space="preserve">  </w:t>
            </w:r>
          </w:p>
        </w:tc>
        <w:tc>
          <w:tcPr>
            <w:tcW w:w="882" w:type="dxa"/>
            <w:gridSpan w:val="2"/>
            <w:tcBorders>
              <w:top w:val="single" w:sz="6" w:space="0" w:color="auto"/>
              <w:left w:val="nil"/>
              <w:bottom w:val="nil"/>
              <w:right w:val="nil"/>
            </w:tcBorders>
            <w:shd w:val="clear" w:color="auto" w:fill="000000"/>
          </w:tcPr>
          <w:p w:rsidR="00B958B1" w:rsidRPr="00F82661" w:rsidRDefault="00B958B1" w:rsidP="00175147">
            <w:pPr>
              <w:pStyle w:val="Tabletextheading"/>
              <w:rPr>
                <w:lang w:eastAsia="en-AU"/>
              </w:rPr>
            </w:pPr>
            <w:r w:rsidRPr="00F82661">
              <w:rPr>
                <w:lang w:eastAsia="en-AU"/>
              </w:rPr>
              <w:t>2012</w:t>
            </w:r>
            <w:r w:rsidR="009F0F49">
              <w:rPr>
                <w:lang w:eastAsia="en-AU"/>
              </w:rPr>
              <w:noBreakHyphen/>
            </w:r>
            <w:r w:rsidRPr="00F82661">
              <w:rPr>
                <w:lang w:eastAsia="en-AU"/>
              </w:rPr>
              <w:t>13</w:t>
            </w:r>
          </w:p>
        </w:tc>
        <w:tc>
          <w:tcPr>
            <w:tcW w:w="844" w:type="dxa"/>
            <w:tcBorders>
              <w:top w:val="single" w:sz="6" w:space="0" w:color="auto"/>
              <w:left w:val="nil"/>
              <w:bottom w:val="nil"/>
              <w:right w:val="nil"/>
            </w:tcBorders>
            <w:shd w:val="clear" w:color="auto" w:fill="000000"/>
          </w:tcPr>
          <w:p w:rsidR="00B958B1" w:rsidRPr="00F82661" w:rsidRDefault="00B958B1" w:rsidP="00175147">
            <w:pPr>
              <w:pStyle w:val="Tabletextheading"/>
              <w:rPr>
                <w:lang w:eastAsia="en-AU"/>
              </w:rPr>
            </w:pPr>
            <w:r w:rsidRPr="00F82661">
              <w:rPr>
                <w:lang w:eastAsia="en-AU"/>
              </w:rPr>
              <w:t>2012</w:t>
            </w:r>
            <w:r w:rsidR="009F0F49">
              <w:rPr>
                <w:lang w:eastAsia="en-AU"/>
              </w:rPr>
              <w:noBreakHyphen/>
            </w:r>
            <w:r w:rsidRPr="00F82661">
              <w:rPr>
                <w:lang w:eastAsia="en-AU"/>
              </w:rPr>
              <w:t>13</w:t>
            </w:r>
          </w:p>
        </w:tc>
        <w:tc>
          <w:tcPr>
            <w:tcW w:w="884" w:type="dxa"/>
            <w:tcBorders>
              <w:top w:val="single" w:sz="6" w:space="0" w:color="auto"/>
              <w:left w:val="nil"/>
              <w:bottom w:val="nil"/>
              <w:right w:val="nil"/>
            </w:tcBorders>
            <w:shd w:val="clear" w:color="auto" w:fill="000000"/>
          </w:tcPr>
          <w:p w:rsidR="00B958B1" w:rsidRPr="00F82661" w:rsidRDefault="00B958B1" w:rsidP="00175147">
            <w:pPr>
              <w:pStyle w:val="Tabletextheading"/>
              <w:rPr>
                <w:lang w:eastAsia="en-AU"/>
              </w:rPr>
            </w:pPr>
            <w:r w:rsidRPr="00F82661">
              <w:rPr>
                <w:lang w:eastAsia="en-AU"/>
              </w:rPr>
              <w:t>2013</w:t>
            </w:r>
            <w:r w:rsidR="009F0F49">
              <w:rPr>
                <w:lang w:eastAsia="en-AU"/>
              </w:rPr>
              <w:noBreakHyphen/>
            </w:r>
            <w:r w:rsidRPr="00F82661">
              <w:rPr>
                <w:lang w:eastAsia="en-AU"/>
              </w:rPr>
              <w:t>14</w:t>
            </w:r>
          </w:p>
        </w:tc>
        <w:tc>
          <w:tcPr>
            <w:tcW w:w="1102" w:type="dxa"/>
            <w:tcBorders>
              <w:top w:val="single" w:sz="6" w:space="0" w:color="auto"/>
              <w:left w:val="nil"/>
              <w:bottom w:val="nil"/>
              <w:right w:val="single" w:sz="6" w:space="0" w:color="auto"/>
            </w:tcBorders>
            <w:shd w:val="clear" w:color="auto" w:fill="000000"/>
          </w:tcPr>
          <w:p w:rsidR="00B958B1" w:rsidRPr="00F82661" w:rsidRDefault="00B958B1" w:rsidP="00175147">
            <w:pPr>
              <w:pStyle w:val="Tabletextheading"/>
              <w:rPr>
                <w:vertAlign w:val="superscript"/>
                <w:lang w:eastAsia="en-AU"/>
              </w:rPr>
            </w:pPr>
            <w:r w:rsidRPr="00F82661">
              <w:rPr>
                <w:lang w:eastAsia="en-AU"/>
              </w:rPr>
              <w:t xml:space="preserve">Variation </w:t>
            </w:r>
            <w:r w:rsidRPr="00F82661">
              <w:rPr>
                <w:vertAlign w:val="superscript"/>
                <w:lang w:eastAsia="en-AU"/>
              </w:rPr>
              <w:t>(a)</w:t>
            </w:r>
          </w:p>
        </w:tc>
      </w:tr>
      <w:tr w:rsidR="00B958B1" w:rsidRPr="00F82661" w:rsidTr="00175147">
        <w:trPr>
          <w:cantSplit/>
        </w:trPr>
        <w:tc>
          <w:tcPr>
            <w:tcW w:w="4064" w:type="dxa"/>
            <w:tcBorders>
              <w:top w:val="nil"/>
              <w:left w:val="single" w:sz="6" w:space="0" w:color="auto"/>
              <w:bottom w:val="single" w:sz="6" w:space="0" w:color="auto"/>
              <w:right w:val="nil"/>
            </w:tcBorders>
            <w:shd w:val="clear" w:color="auto" w:fill="000000"/>
          </w:tcPr>
          <w:p w:rsidR="00B958B1" w:rsidRPr="00F82661" w:rsidRDefault="00B958B1" w:rsidP="00175147">
            <w:pPr>
              <w:pStyle w:val="Tabletext"/>
              <w:rPr>
                <w:lang w:eastAsia="en-AU"/>
              </w:rPr>
            </w:pPr>
            <w:r w:rsidRPr="00F82661">
              <w:rPr>
                <w:lang w:eastAsia="en-AU"/>
              </w:rPr>
              <w:t xml:space="preserve">  </w:t>
            </w:r>
          </w:p>
        </w:tc>
        <w:tc>
          <w:tcPr>
            <w:tcW w:w="882" w:type="dxa"/>
            <w:gridSpan w:val="2"/>
            <w:tcBorders>
              <w:top w:val="nil"/>
              <w:left w:val="nil"/>
              <w:bottom w:val="single" w:sz="6" w:space="0" w:color="auto"/>
              <w:right w:val="nil"/>
            </w:tcBorders>
            <w:shd w:val="clear" w:color="auto" w:fill="000000"/>
          </w:tcPr>
          <w:p w:rsidR="00B958B1" w:rsidRPr="00F82661" w:rsidRDefault="00B958B1" w:rsidP="00175147">
            <w:pPr>
              <w:pStyle w:val="Tabletextheading"/>
              <w:rPr>
                <w:lang w:eastAsia="en-AU"/>
              </w:rPr>
            </w:pPr>
            <w:r w:rsidRPr="00F82661">
              <w:rPr>
                <w:lang w:eastAsia="en-AU"/>
              </w:rPr>
              <w:t>Budget</w:t>
            </w:r>
          </w:p>
        </w:tc>
        <w:tc>
          <w:tcPr>
            <w:tcW w:w="844" w:type="dxa"/>
            <w:tcBorders>
              <w:top w:val="nil"/>
              <w:left w:val="nil"/>
              <w:bottom w:val="single" w:sz="6" w:space="0" w:color="auto"/>
              <w:right w:val="nil"/>
            </w:tcBorders>
            <w:shd w:val="clear" w:color="auto" w:fill="000000"/>
          </w:tcPr>
          <w:p w:rsidR="00B958B1" w:rsidRPr="00F82661" w:rsidRDefault="00B958B1" w:rsidP="00175147">
            <w:pPr>
              <w:pStyle w:val="Tabletextheading"/>
              <w:rPr>
                <w:lang w:eastAsia="en-AU"/>
              </w:rPr>
            </w:pPr>
            <w:r w:rsidRPr="00F82661">
              <w:rPr>
                <w:lang w:eastAsia="en-AU"/>
              </w:rPr>
              <w:t>Revised</w:t>
            </w:r>
          </w:p>
        </w:tc>
        <w:tc>
          <w:tcPr>
            <w:tcW w:w="884" w:type="dxa"/>
            <w:tcBorders>
              <w:top w:val="nil"/>
              <w:left w:val="nil"/>
              <w:bottom w:val="single" w:sz="6" w:space="0" w:color="auto"/>
              <w:right w:val="nil"/>
            </w:tcBorders>
            <w:shd w:val="clear" w:color="auto" w:fill="000000"/>
          </w:tcPr>
          <w:p w:rsidR="00B958B1" w:rsidRPr="00F82661" w:rsidRDefault="00B958B1" w:rsidP="00175147">
            <w:pPr>
              <w:pStyle w:val="Tabletextheading"/>
              <w:rPr>
                <w:lang w:eastAsia="en-AU"/>
              </w:rPr>
            </w:pPr>
            <w:r w:rsidRPr="00F82661">
              <w:rPr>
                <w:lang w:eastAsia="en-AU"/>
              </w:rPr>
              <w:t>Budget</w:t>
            </w:r>
          </w:p>
        </w:tc>
        <w:tc>
          <w:tcPr>
            <w:tcW w:w="1102" w:type="dxa"/>
            <w:tcBorders>
              <w:top w:val="nil"/>
              <w:left w:val="nil"/>
              <w:bottom w:val="single" w:sz="6" w:space="0" w:color="auto"/>
              <w:right w:val="single" w:sz="6" w:space="0" w:color="auto"/>
            </w:tcBorders>
            <w:shd w:val="clear" w:color="auto" w:fill="000000"/>
          </w:tcPr>
          <w:p w:rsidR="00B958B1" w:rsidRPr="00F82661" w:rsidRDefault="00B958B1" w:rsidP="00175147">
            <w:pPr>
              <w:pStyle w:val="Tabletextheading"/>
              <w:rPr>
                <w:lang w:eastAsia="en-AU"/>
              </w:rPr>
            </w:pPr>
            <w:r w:rsidRPr="00F82661">
              <w:rPr>
                <w:lang w:eastAsia="en-AU"/>
              </w:rPr>
              <w:t>%</w:t>
            </w:r>
          </w:p>
        </w:tc>
      </w:tr>
      <w:tr w:rsidR="00B958B1" w:rsidRPr="00F82661" w:rsidTr="00175147">
        <w:trPr>
          <w:cantSplit/>
        </w:trPr>
        <w:tc>
          <w:tcPr>
            <w:tcW w:w="4064" w:type="dxa"/>
            <w:tcBorders>
              <w:top w:val="single" w:sz="6" w:space="0" w:color="auto"/>
              <w:left w:val="nil"/>
              <w:bottom w:val="nil"/>
              <w:right w:val="nil"/>
            </w:tcBorders>
          </w:tcPr>
          <w:p w:rsidR="00B958B1" w:rsidRPr="00F82661" w:rsidRDefault="00B958B1" w:rsidP="00175147">
            <w:pPr>
              <w:pStyle w:val="Tabletext"/>
              <w:rPr>
                <w:color w:val="000000"/>
                <w:vertAlign w:val="superscript"/>
                <w:lang w:eastAsia="en-AU"/>
              </w:rPr>
            </w:pPr>
            <w:r w:rsidRPr="00F82661">
              <w:rPr>
                <w:color w:val="000000"/>
                <w:lang w:eastAsia="en-AU"/>
              </w:rPr>
              <w:t xml:space="preserve">Effective Water Management and Supply </w:t>
            </w:r>
            <w:r w:rsidRPr="00F82661">
              <w:rPr>
                <w:color w:val="000000"/>
                <w:vertAlign w:val="superscript"/>
                <w:lang w:eastAsia="en-AU"/>
              </w:rPr>
              <w:t>(b)</w:t>
            </w:r>
          </w:p>
        </w:tc>
        <w:tc>
          <w:tcPr>
            <w:tcW w:w="882" w:type="dxa"/>
            <w:gridSpan w:val="2"/>
            <w:tcBorders>
              <w:top w:val="single" w:sz="6" w:space="0" w:color="auto"/>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278.1</w:t>
            </w:r>
          </w:p>
        </w:tc>
        <w:tc>
          <w:tcPr>
            <w:tcW w:w="844" w:type="dxa"/>
            <w:tcBorders>
              <w:top w:val="single" w:sz="6" w:space="0" w:color="auto"/>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279.9</w:t>
            </w:r>
          </w:p>
        </w:tc>
        <w:tc>
          <w:tcPr>
            <w:tcW w:w="884" w:type="dxa"/>
            <w:tcBorders>
              <w:top w:val="single" w:sz="6" w:space="0" w:color="auto"/>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343.7</w:t>
            </w:r>
          </w:p>
        </w:tc>
        <w:tc>
          <w:tcPr>
            <w:tcW w:w="1102" w:type="dxa"/>
            <w:tcBorders>
              <w:top w:val="single" w:sz="6" w:space="0" w:color="auto"/>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23.6</w:t>
            </w:r>
          </w:p>
        </w:tc>
      </w:tr>
      <w:tr w:rsidR="00B958B1" w:rsidRPr="00F82661" w:rsidTr="00175147">
        <w:trPr>
          <w:cantSplit/>
        </w:trPr>
        <w:tc>
          <w:tcPr>
            <w:tcW w:w="4064" w:type="dxa"/>
            <w:tcBorders>
              <w:top w:val="nil"/>
              <w:left w:val="nil"/>
              <w:bottom w:val="nil"/>
              <w:right w:val="nil"/>
            </w:tcBorders>
          </w:tcPr>
          <w:p w:rsidR="00B958B1" w:rsidRPr="00F82661" w:rsidRDefault="00B958B1" w:rsidP="00175147">
            <w:pPr>
              <w:pStyle w:val="Tabletext"/>
              <w:rPr>
                <w:color w:val="000000"/>
                <w:vertAlign w:val="superscript"/>
                <w:lang w:eastAsia="en-AU"/>
              </w:rPr>
            </w:pPr>
            <w:r w:rsidRPr="00F82661">
              <w:rPr>
                <w:color w:val="000000"/>
                <w:lang w:eastAsia="en-AU"/>
              </w:rPr>
              <w:t xml:space="preserve">Public Land </w:t>
            </w:r>
            <w:r w:rsidRPr="00F82661">
              <w:rPr>
                <w:color w:val="000000"/>
                <w:vertAlign w:val="superscript"/>
                <w:lang w:eastAsia="en-AU"/>
              </w:rPr>
              <w:t>(c)</w:t>
            </w:r>
          </w:p>
        </w:tc>
        <w:tc>
          <w:tcPr>
            <w:tcW w:w="882" w:type="dxa"/>
            <w:gridSpan w:val="2"/>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107.5</w:t>
            </w:r>
          </w:p>
        </w:tc>
        <w:tc>
          <w:tcPr>
            <w:tcW w:w="844" w:type="dxa"/>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115.0</w:t>
            </w:r>
          </w:p>
        </w:tc>
        <w:tc>
          <w:tcPr>
            <w:tcW w:w="884" w:type="dxa"/>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118.9</w:t>
            </w:r>
          </w:p>
        </w:tc>
        <w:tc>
          <w:tcPr>
            <w:tcW w:w="1102" w:type="dxa"/>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10.6</w:t>
            </w:r>
          </w:p>
        </w:tc>
      </w:tr>
      <w:tr w:rsidR="00B958B1" w:rsidRPr="00F82661" w:rsidTr="00175147">
        <w:trPr>
          <w:cantSplit/>
        </w:trPr>
        <w:tc>
          <w:tcPr>
            <w:tcW w:w="4064" w:type="dxa"/>
            <w:tcBorders>
              <w:top w:val="nil"/>
              <w:left w:val="nil"/>
              <w:bottom w:val="nil"/>
              <w:right w:val="nil"/>
            </w:tcBorders>
          </w:tcPr>
          <w:p w:rsidR="00B958B1" w:rsidRPr="00F82661" w:rsidRDefault="00B958B1" w:rsidP="00175147">
            <w:pPr>
              <w:pStyle w:val="Tabletext"/>
              <w:rPr>
                <w:color w:val="000000"/>
                <w:vertAlign w:val="superscript"/>
                <w:lang w:eastAsia="en-AU"/>
              </w:rPr>
            </w:pPr>
            <w:r w:rsidRPr="00F82661">
              <w:rPr>
                <w:color w:val="000000"/>
                <w:lang w:eastAsia="en-AU"/>
              </w:rPr>
              <w:t xml:space="preserve">Forests and Parks </w:t>
            </w:r>
            <w:r w:rsidRPr="00F82661">
              <w:rPr>
                <w:color w:val="000000"/>
                <w:vertAlign w:val="superscript"/>
                <w:lang w:eastAsia="en-AU"/>
              </w:rPr>
              <w:t>(d)</w:t>
            </w:r>
          </w:p>
        </w:tc>
        <w:tc>
          <w:tcPr>
            <w:tcW w:w="882" w:type="dxa"/>
            <w:gridSpan w:val="2"/>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179.6</w:t>
            </w:r>
          </w:p>
        </w:tc>
        <w:tc>
          <w:tcPr>
            <w:tcW w:w="844" w:type="dxa"/>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191.9</w:t>
            </w:r>
          </w:p>
        </w:tc>
        <w:tc>
          <w:tcPr>
            <w:tcW w:w="884" w:type="dxa"/>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181.7</w:t>
            </w:r>
          </w:p>
        </w:tc>
        <w:tc>
          <w:tcPr>
            <w:tcW w:w="1102" w:type="dxa"/>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1.2</w:t>
            </w:r>
          </w:p>
        </w:tc>
      </w:tr>
      <w:tr w:rsidR="00B958B1" w:rsidRPr="00F82661" w:rsidTr="00175147">
        <w:trPr>
          <w:cantSplit/>
        </w:trPr>
        <w:tc>
          <w:tcPr>
            <w:tcW w:w="4064" w:type="dxa"/>
            <w:tcBorders>
              <w:top w:val="nil"/>
              <w:left w:val="nil"/>
              <w:bottom w:val="nil"/>
              <w:right w:val="nil"/>
            </w:tcBorders>
          </w:tcPr>
          <w:p w:rsidR="00B958B1" w:rsidRPr="00F82661" w:rsidRDefault="00B958B1" w:rsidP="00175147">
            <w:pPr>
              <w:pStyle w:val="Tabletext"/>
              <w:rPr>
                <w:color w:val="000000"/>
                <w:vertAlign w:val="superscript"/>
                <w:lang w:eastAsia="en-AU"/>
              </w:rPr>
            </w:pPr>
            <w:r w:rsidRPr="00F82661">
              <w:rPr>
                <w:color w:val="000000"/>
                <w:lang w:eastAsia="en-AU"/>
              </w:rPr>
              <w:t xml:space="preserve">Environmental Programs </w:t>
            </w:r>
            <w:r w:rsidRPr="00F82661">
              <w:rPr>
                <w:color w:val="000000"/>
                <w:vertAlign w:val="superscript"/>
                <w:lang w:eastAsia="en-AU"/>
              </w:rPr>
              <w:t>(e)</w:t>
            </w:r>
          </w:p>
        </w:tc>
        <w:tc>
          <w:tcPr>
            <w:tcW w:w="882" w:type="dxa"/>
            <w:gridSpan w:val="2"/>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na</w:t>
            </w:r>
          </w:p>
        </w:tc>
        <w:tc>
          <w:tcPr>
            <w:tcW w:w="844" w:type="dxa"/>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na</w:t>
            </w:r>
          </w:p>
        </w:tc>
        <w:tc>
          <w:tcPr>
            <w:tcW w:w="884" w:type="dxa"/>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109.3</w:t>
            </w:r>
          </w:p>
        </w:tc>
        <w:tc>
          <w:tcPr>
            <w:tcW w:w="1102" w:type="dxa"/>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na</w:t>
            </w:r>
          </w:p>
        </w:tc>
      </w:tr>
      <w:tr w:rsidR="00B958B1" w:rsidRPr="00F82661" w:rsidTr="00175147">
        <w:trPr>
          <w:cantSplit/>
        </w:trPr>
        <w:tc>
          <w:tcPr>
            <w:tcW w:w="4370" w:type="dxa"/>
            <w:gridSpan w:val="2"/>
            <w:tcBorders>
              <w:top w:val="nil"/>
              <w:left w:val="nil"/>
              <w:bottom w:val="nil"/>
              <w:right w:val="nil"/>
            </w:tcBorders>
          </w:tcPr>
          <w:p w:rsidR="00B958B1" w:rsidRPr="00F82661" w:rsidRDefault="00B958B1" w:rsidP="00175147">
            <w:pPr>
              <w:pStyle w:val="Tabletext"/>
              <w:rPr>
                <w:color w:val="000000"/>
                <w:vertAlign w:val="superscript"/>
                <w:lang w:eastAsia="en-AU"/>
              </w:rPr>
            </w:pPr>
            <w:r w:rsidRPr="00F82661">
              <w:rPr>
                <w:color w:val="000000"/>
                <w:lang w:eastAsia="en-AU"/>
              </w:rPr>
              <w:t xml:space="preserve">Statutory Activities and Environmental Protection </w:t>
            </w:r>
            <w:r w:rsidRPr="00F82661">
              <w:rPr>
                <w:color w:val="000000"/>
                <w:vertAlign w:val="superscript"/>
                <w:lang w:eastAsia="en-AU"/>
              </w:rPr>
              <w:t>(f)</w:t>
            </w:r>
          </w:p>
        </w:tc>
        <w:tc>
          <w:tcPr>
            <w:tcW w:w="576" w:type="dxa"/>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151.4</w:t>
            </w:r>
          </w:p>
        </w:tc>
        <w:tc>
          <w:tcPr>
            <w:tcW w:w="844" w:type="dxa"/>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138.2</w:t>
            </w:r>
          </w:p>
        </w:tc>
        <w:tc>
          <w:tcPr>
            <w:tcW w:w="884" w:type="dxa"/>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138.1</w:t>
            </w:r>
          </w:p>
        </w:tc>
        <w:tc>
          <w:tcPr>
            <w:tcW w:w="1102" w:type="dxa"/>
            <w:tcBorders>
              <w:top w:val="nil"/>
              <w:left w:val="nil"/>
              <w:bottom w:val="nil"/>
              <w:right w:val="nil"/>
            </w:tcBorders>
          </w:tcPr>
          <w:p w:rsidR="00B958B1" w:rsidRPr="00F82661" w:rsidRDefault="009F0F49" w:rsidP="00175147">
            <w:pPr>
              <w:pStyle w:val="TableofFigures"/>
              <w:rPr>
                <w:color w:val="000000"/>
                <w:szCs w:val="22"/>
                <w:lang w:eastAsia="en-AU"/>
              </w:rPr>
            </w:pPr>
            <w:r>
              <w:rPr>
                <w:color w:val="000000"/>
                <w:szCs w:val="22"/>
                <w:lang w:eastAsia="en-AU"/>
              </w:rPr>
              <w:noBreakHyphen/>
            </w:r>
            <w:r w:rsidR="00B958B1" w:rsidRPr="00F82661">
              <w:rPr>
                <w:color w:val="000000"/>
                <w:szCs w:val="22"/>
                <w:lang w:eastAsia="en-AU"/>
              </w:rPr>
              <w:t>8.7</w:t>
            </w:r>
          </w:p>
        </w:tc>
      </w:tr>
      <w:tr w:rsidR="00B958B1" w:rsidRPr="00F82661" w:rsidTr="00175147">
        <w:trPr>
          <w:cantSplit/>
        </w:trPr>
        <w:tc>
          <w:tcPr>
            <w:tcW w:w="4064" w:type="dxa"/>
            <w:tcBorders>
              <w:top w:val="nil"/>
              <w:left w:val="nil"/>
              <w:bottom w:val="nil"/>
              <w:right w:val="nil"/>
            </w:tcBorders>
          </w:tcPr>
          <w:p w:rsidR="00B958B1" w:rsidRPr="00F82661" w:rsidRDefault="00B958B1" w:rsidP="00175147">
            <w:pPr>
              <w:pStyle w:val="Tabletext"/>
              <w:rPr>
                <w:color w:val="000000"/>
                <w:vertAlign w:val="superscript"/>
                <w:lang w:eastAsia="en-AU"/>
              </w:rPr>
            </w:pPr>
            <w:r w:rsidRPr="00F82661">
              <w:rPr>
                <w:color w:val="000000"/>
                <w:lang w:eastAsia="en-AU"/>
              </w:rPr>
              <w:t xml:space="preserve">Environmental Policy </w:t>
            </w:r>
            <w:r w:rsidRPr="00F82661">
              <w:rPr>
                <w:color w:val="000000"/>
                <w:vertAlign w:val="superscript"/>
                <w:lang w:eastAsia="en-AU"/>
              </w:rPr>
              <w:t>(g)</w:t>
            </w:r>
          </w:p>
        </w:tc>
        <w:tc>
          <w:tcPr>
            <w:tcW w:w="882" w:type="dxa"/>
            <w:gridSpan w:val="2"/>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37.6</w:t>
            </w:r>
          </w:p>
        </w:tc>
        <w:tc>
          <w:tcPr>
            <w:tcW w:w="844" w:type="dxa"/>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45.6</w:t>
            </w:r>
          </w:p>
        </w:tc>
        <w:tc>
          <w:tcPr>
            <w:tcW w:w="884" w:type="dxa"/>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48.8</w:t>
            </w:r>
          </w:p>
        </w:tc>
        <w:tc>
          <w:tcPr>
            <w:tcW w:w="1102" w:type="dxa"/>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29.8</w:t>
            </w:r>
          </w:p>
        </w:tc>
      </w:tr>
      <w:tr w:rsidR="00B958B1" w:rsidRPr="00F82661" w:rsidTr="00175147">
        <w:trPr>
          <w:cantSplit/>
        </w:trPr>
        <w:tc>
          <w:tcPr>
            <w:tcW w:w="4064" w:type="dxa"/>
            <w:tcBorders>
              <w:top w:val="nil"/>
              <w:left w:val="nil"/>
              <w:bottom w:val="nil"/>
              <w:right w:val="nil"/>
            </w:tcBorders>
          </w:tcPr>
          <w:p w:rsidR="00B958B1" w:rsidRPr="00F82661" w:rsidRDefault="00B958B1" w:rsidP="00175147">
            <w:pPr>
              <w:pStyle w:val="Tabletext"/>
              <w:rPr>
                <w:color w:val="000000"/>
                <w:vertAlign w:val="superscript"/>
                <w:lang w:eastAsia="en-AU"/>
              </w:rPr>
            </w:pPr>
            <w:r w:rsidRPr="00F82661">
              <w:rPr>
                <w:color w:val="000000"/>
                <w:lang w:eastAsia="en-AU"/>
              </w:rPr>
              <w:t xml:space="preserve">Land and Fire Management </w:t>
            </w:r>
            <w:r w:rsidRPr="00F82661">
              <w:rPr>
                <w:color w:val="000000"/>
                <w:vertAlign w:val="superscript"/>
                <w:lang w:eastAsia="en-AU"/>
              </w:rPr>
              <w:t>(h)</w:t>
            </w:r>
          </w:p>
        </w:tc>
        <w:tc>
          <w:tcPr>
            <w:tcW w:w="882" w:type="dxa"/>
            <w:gridSpan w:val="2"/>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353.2</w:t>
            </w:r>
          </w:p>
        </w:tc>
        <w:tc>
          <w:tcPr>
            <w:tcW w:w="844" w:type="dxa"/>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345.3</w:t>
            </w:r>
          </w:p>
        </w:tc>
        <w:tc>
          <w:tcPr>
            <w:tcW w:w="884" w:type="dxa"/>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338.7</w:t>
            </w:r>
          </w:p>
        </w:tc>
        <w:tc>
          <w:tcPr>
            <w:tcW w:w="1102" w:type="dxa"/>
            <w:tcBorders>
              <w:top w:val="nil"/>
              <w:left w:val="nil"/>
              <w:bottom w:val="nil"/>
              <w:right w:val="nil"/>
            </w:tcBorders>
          </w:tcPr>
          <w:p w:rsidR="00B958B1" w:rsidRPr="00F82661" w:rsidRDefault="009F0F49" w:rsidP="00175147">
            <w:pPr>
              <w:pStyle w:val="TableofFigures"/>
              <w:rPr>
                <w:color w:val="000000"/>
                <w:szCs w:val="22"/>
                <w:lang w:eastAsia="en-AU"/>
              </w:rPr>
            </w:pPr>
            <w:r>
              <w:rPr>
                <w:color w:val="000000"/>
                <w:szCs w:val="22"/>
                <w:lang w:eastAsia="en-AU"/>
              </w:rPr>
              <w:noBreakHyphen/>
            </w:r>
            <w:r w:rsidR="00B958B1" w:rsidRPr="00F82661">
              <w:rPr>
                <w:color w:val="000000"/>
                <w:szCs w:val="22"/>
                <w:lang w:eastAsia="en-AU"/>
              </w:rPr>
              <w:t>4.0</w:t>
            </w:r>
          </w:p>
        </w:tc>
      </w:tr>
      <w:tr w:rsidR="00B958B1" w:rsidRPr="00F82661" w:rsidTr="00175147">
        <w:trPr>
          <w:cantSplit/>
        </w:trPr>
        <w:tc>
          <w:tcPr>
            <w:tcW w:w="4064" w:type="dxa"/>
            <w:tcBorders>
              <w:top w:val="nil"/>
              <w:left w:val="nil"/>
              <w:bottom w:val="nil"/>
              <w:right w:val="nil"/>
            </w:tcBorders>
          </w:tcPr>
          <w:p w:rsidR="00B958B1" w:rsidRPr="00F82661" w:rsidRDefault="00B958B1" w:rsidP="00175147">
            <w:pPr>
              <w:pStyle w:val="Tabletext"/>
              <w:rPr>
                <w:color w:val="000000"/>
                <w:vertAlign w:val="superscript"/>
                <w:lang w:eastAsia="en-AU"/>
              </w:rPr>
            </w:pPr>
            <w:r w:rsidRPr="00F82661">
              <w:rPr>
                <w:color w:val="000000"/>
                <w:lang w:eastAsia="en-AU"/>
              </w:rPr>
              <w:t xml:space="preserve">Development of Primary Industries </w:t>
            </w:r>
            <w:r w:rsidRPr="00F82661">
              <w:rPr>
                <w:color w:val="000000"/>
                <w:vertAlign w:val="superscript"/>
                <w:lang w:eastAsia="en-AU"/>
              </w:rPr>
              <w:t>(i)</w:t>
            </w:r>
          </w:p>
        </w:tc>
        <w:tc>
          <w:tcPr>
            <w:tcW w:w="882" w:type="dxa"/>
            <w:gridSpan w:val="2"/>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na</w:t>
            </w:r>
          </w:p>
        </w:tc>
        <w:tc>
          <w:tcPr>
            <w:tcW w:w="844" w:type="dxa"/>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na</w:t>
            </w:r>
          </w:p>
        </w:tc>
        <w:tc>
          <w:tcPr>
            <w:tcW w:w="884" w:type="dxa"/>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440.3</w:t>
            </w:r>
          </w:p>
        </w:tc>
        <w:tc>
          <w:tcPr>
            <w:tcW w:w="1102" w:type="dxa"/>
            <w:tcBorders>
              <w:top w:val="nil"/>
              <w:left w:val="nil"/>
              <w:bottom w:val="nil"/>
              <w:right w:val="nil"/>
            </w:tcBorders>
          </w:tcPr>
          <w:p w:rsidR="00B958B1" w:rsidRPr="00F82661" w:rsidRDefault="00B958B1" w:rsidP="00175147">
            <w:pPr>
              <w:pStyle w:val="TableofFigures"/>
              <w:rPr>
                <w:color w:val="000000"/>
                <w:szCs w:val="22"/>
                <w:lang w:eastAsia="en-AU"/>
              </w:rPr>
            </w:pPr>
            <w:r w:rsidRPr="00F82661">
              <w:rPr>
                <w:color w:val="000000"/>
                <w:szCs w:val="22"/>
                <w:lang w:eastAsia="en-AU"/>
              </w:rPr>
              <w:t>na</w:t>
            </w:r>
          </w:p>
        </w:tc>
      </w:tr>
      <w:tr w:rsidR="00B958B1" w:rsidRPr="00F82661" w:rsidTr="00175147">
        <w:trPr>
          <w:cantSplit/>
        </w:trPr>
        <w:tc>
          <w:tcPr>
            <w:tcW w:w="4064" w:type="dxa"/>
            <w:tcBorders>
              <w:top w:val="single" w:sz="6" w:space="0" w:color="auto"/>
              <w:left w:val="nil"/>
              <w:bottom w:val="single" w:sz="12" w:space="0" w:color="auto"/>
              <w:right w:val="nil"/>
            </w:tcBorders>
          </w:tcPr>
          <w:p w:rsidR="00B958B1" w:rsidRPr="00F82661" w:rsidRDefault="00B958B1" w:rsidP="00175147">
            <w:pPr>
              <w:pStyle w:val="Tabletext"/>
              <w:rPr>
                <w:b/>
                <w:bCs/>
                <w:color w:val="000000"/>
                <w:vertAlign w:val="superscript"/>
                <w:lang w:eastAsia="en-AU"/>
              </w:rPr>
            </w:pPr>
            <w:r w:rsidRPr="00F82661">
              <w:rPr>
                <w:b/>
                <w:bCs/>
                <w:color w:val="000000"/>
                <w:lang w:eastAsia="en-AU"/>
              </w:rPr>
              <w:t xml:space="preserve">Total </w:t>
            </w:r>
            <w:r w:rsidRPr="00F82661">
              <w:rPr>
                <w:b/>
                <w:bCs/>
                <w:color w:val="000000"/>
                <w:vertAlign w:val="superscript"/>
                <w:lang w:eastAsia="en-AU"/>
              </w:rPr>
              <w:t>(j)</w:t>
            </w:r>
          </w:p>
        </w:tc>
        <w:tc>
          <w:tcPr>
            <w:tcW w:w="882" w:type="dxa"/>
            <w:gridSpan w:val="2"/>
            <w:tcBorders>
              <w:top w:val="single" w:sz="6" w:space="0" w:color="auto"/>
              <w:left w:val="nil"/>
              <w:bottom w:val="single" w:sz="12" w:space="0" w:color="auto"/>
              <w:right w:val="nil"/>
            </w:tcBorders>
          </w:tcPr>
          <w:p w:rsidR="00B958B1" w:rsidRPr="00F82661" w:rsidRDefault="00B958B1" w:rsidP="00175147">
            <w:pPr>
              <w:pStyle w:val="TableofFigures"/>
              <w:rPr>
                <w:b/>
                <w:bCs/>
                <w:color w:val="000000"/>
                <w:szCs w:val="22"/>
                <w:lang w:eastAsia="en-AU"/>
              </w:rPr>
            </w:pPr>
            <w:r w:rsidRPr="00F82661">
              <w:rPr>
                <w:b/>
                <w:bCs/>
                <w:color w:val="000000"/>
                <w:szCs w:val="22"/>
                <w:lang w:eastAsia="en-AU"/>
              </w:rPr>
              <w:t>na</w:t>
            </w:r>
          </w:p>
        </w:tc>
        <w:tc>
          <w:tcPr>
            <w:tcW w:w="844" w:type="dxa"/>
            <w:tcBorders>
              <w:top w:val="single" w:sz="6" w:space="0" w:color="auto"/>
              <w:left w:val="nil"/>
              <w:bottom w:val="single" w:sz="12" w:space="0" w:color="auto"/>
              <w:right w:val="nil"/>
            </w:tcBorders>
          </w:tcPr>
          <w:p w:rsidR="00B958B1" w:rsidRPr="00F82661" w:rsidRDefault="00B958B1" w:rsidP="00175147">
            <w:pPr>
              <w:pStyle w:val="TableofFigures"/>
              <w:rPr>
                <w:b/>
                <w:bCs/>
                <w:color w:val="000000"/>
                <w:szCs w:val="22"/>
                <w:lang w:eastAsia="en-AU"/>
              </w:rPr>
            </w:pPr>
            <w:r w:rsidRPr="00F82661">
              <w:rPr>
                <w:b/>
                <w:bCs/>
                <w:color w:val="000000"/>
                <w:szCs w:val="22"/>
                <w:lang w:eastAsia="en-AU"/>
              </w:rPr>
              <w:t>na</w:t>
            </w:r>
          </w:p>
        </w:tc>
        <w:tc>
          <w:tcPr>
            <w:tcW w:w="884" w:type="dxa"/>
            <w:tcBorders>
              <w:top w:val="single" w:sz="6" w:space="0" w:color="auto"/>
              <w:left w:val="nil"/>
              <w:bottom w:val="single" w:sz="12" w:space="0" w:color="auto"/>
              <w:right w:val="nil"/>
            </w:tcBorders>
          </w:tcPr>
          <w:p w:rsidR="00B958B1" w:rsidRPr="00F82661" w:rsidRDefault="00B958B1" w:rsidP="00175147">
            <w:pPr>
              <w:pStyle w:val="TableofFigures"/>
              <w:rPr>
                <w:b/>
                <w:bCs/>
                <w:color w:val="000000"/>
                <w:szCs w:val="22"/>
                <w:lang w:eastAsia="en-AU"/>
              </w:rPr>
            </w:pPr>
            <w:r>
              <w:rPr>
                <w:b/>
                <w:bCs/>
                <w:color w:val="000000"/>
                <w:szCs w:val="22"/>
                <w:lang w:eastAsia="en-AU"/>
              </w:rPr>
              <w:t>1 </w:t>
            </w:r>
            <w:r w:rsidRPr="00F82661">
              <w:rPr>
                <w:b/>
                <w:bCs/>
                <w:color w:val="000000"/>
                <w:szCs w:val="22"/>
                <w:lang w:eastAsia="en-AU"/>
              </w:rPr>
              <w:t>719.40</w:t>
            </w:r>
          </w:p>
        </w:tc>
        <w:tc>
          <w:tcPr>
            <w:tcW w:w="1102" w:type="dxa"/>
            <w:tcBorders>
              <w:top w:val="single" w:sz="6" w:space="0" w:color="auto"/>
              <w:left w:val="nil"/>
              <w:bottom w:val="single" w:sz="12" w:space="0" w:color="auto"/>
              <w:right w:val="nil"/>
            </w:tcBorders>
          </w:tcPr>
          <w:p w:rsidR="00B958B1" w:rsidRPr="00F82661" w:rsidRDefault="00B958B1" w:rsidP="00175147">
            <w:pPr>
              <w:pStyle w:val="TableofFigures"/>
              <w:rPr>
                <w:b/>
                <w:bCs/>
                <w:color w:val="000000"/>
                <w:szCs w:val="22"/>
                <w:lang w:eastAsia="en-AU"/>
              </w:rPr>
            </w:pPr>
            <w:r w:rsidRPr="00F82661">
              <w:rPr>
                <w:b/>
                <w:bCs/>
                <w:color w:val="000000"/>
                <w:szCs w:val="22"/>
                <w:lang w:eastAsia="en-AU"/>
              </w:rPr>
              <w:t>na</w:t>
            </w:r>
          </w:p>
        </w:tc>
      </w:tr>
    </w:tbl>
    <w:p w:rsidR="00B958B1" w:rsidRPr="00116770" w:rsidRDefault="00B958B1" w:rsidP="009F3B54">
      <w:pPr>
        <w:pStyle w:val="Source"/>
        <w:rPr>
          <w:rFonts w:cs="Calibri"/>
          <w:szCs w:val="15"/>
        </w:rPr>
      </w:pPr>
      <w:r w:rsidRPr="004545F3">
        <w:rPr>
          <w:rFonts w:cs="Calibri"/>
          <w:szCs w:val="15"/>
        </w:rPr>
        <w:t>Source:</w:t>
      </w:r>
      <w:r w:rsidRPr="004545F3">
        <w:rPr>
          <w:rFonts w:cs="Calibri"/>
          <w:szCs w:val="15"/>
        </w:rPr>
        <w:tab/>
      </w:r>
      <w:r>
        <w:t>Department of Environment and Primary Industries</w:t>
      </w:r>
    </w:p>
    <w:p w:rsidR="00B958B1" w:rsidRPr="00E44A23" w:rsidRDefault="00B958B1" w:rsidP="009F3B54">
      <w:pPr>
        <w:pStyle w:val="Notes"/>
      </w:pPr>
      <w:r>
        <w:fldChar w:fldCharType="begin"/>
      </w:r>
      <w:r>
        <w:instrText xml:space="preserve"> XE "</w:instrText>
      </w:r>
      <w:r w:rsidRPr="00080366">
        <w:instrText>Department of Environment and Primary Industries:Output summary</w:instrText>
      </w:r>
      <w:r>
        <w:instrText xml:space="preserve">" </w:instrText>
      </w:r>
      <w:r>
        <w:fldChar w:fldCharType="end"/>
      </w:r>
      <w:r w:rsidRPr="00E44A23">
        <w:t>Notes:</w:t>
      </w:r>
    </w:p>
    <w:p w:rsidR="00B958B1" w:rsidRPr="00F2112F" w:rsidRDefault="00B958B1" w:rsidP="009F3B54">
      <w:pPr>
        <w:pStyle w:val="Notes"/>
      </w:pPr>
      <w:r>
        <w:t>(a)</w:t>
      </w:r>
      <w:r>
        <w:tab/>
      </w:r>
      <w:r w:rsidRPr="00F2112F">
        <w:t>Variation between 2012</w:t>
      </w:r>
      <w:r w:rsidR="009F0F49">
        <w:noBreakHyphen/>
      </w:r>
      <w:r>
        <w:t>13 b</w:t>
      </w:r>
      <w:r w:rsidRPr="00F2112F">
        <w:t>udget and 2013</w:t>
      </w:r>
      <w:r w:rsidR="009F0F49">
        <w:noBreakHyphen/>
      </w:r>
      <w:r>
        <w:t>14 b</w:t>
      </w:r>
      <w:r w:rsidRPr="00F2112F">
        <w:t>udget.</w:t>
      </w:r>
    </w:p>
    <w:p w:rsidR="00B958B1" w:rsidRPr="00F2112F" w:rsidRDefault="00B958B1" w:rsidP="009F3B54">
      <w:pPr>
        <w:pStyle w:val="Notes"/>
      </w:pPr>
      <w:r>
        <w:t>(b)</w:t>
      </w:r>
      <w:r>
        <w:tab/>
      </w:r>
      <w:r w:rsidRPr="00F2112F">
        <w:t>The higher 2013</w:t>
      </w:r>
      <w:r w:rsidR="009F0F49">
        <w:noBreakHyphen/>
      </w:r>
      <w:r>
        <w:t>14 B</w:t>
      </w:r>
      <w:r w:rsidRPr="00F2112F">
        <w:t xml:space="preserve">udget is </w:t>
      </w:r>
      <w:r>
        <w:t xml:space="preserve">primarily </w:t>
      </w:r>
      <w:r w:rsidRPr="00F2112F">
        <w:t xml:space="preserve">due to stage 2 of the </w:t>
      </w:r>
      <w:r>
        <w:t>Goulburn</w:t>
      </w:r>
      <w:r w:rsidR="009F0F49">
        <w:noBreakHyphen/>
      </w:r>
      <w:r w:rsidRPr="00160881">
        <w:t>Murray</w:t>
      </w:r>
      <w:r>
        <w:t xml:space="preserve"> Water</w:t>
      </w:r>
      <w:r w:rsidRPr="00F2112F">
        <w:t xml:space="preserve"> Connections Program. </w:t>
      </w:r>
    </w:p>
    <w:p w:rsidR="00B958B1" w:rsidRPr="00F2112F" w:rsidRDefault="00B958B1" w:rsidP="009F3B54">
      <w:pPr>
        <w:pStyle w:val="Notes"/>
      </w:pPr>
      <w:r>
        <w:t>(c)</w:t>
      </w:r>
      <w:r>
        <w:tab/>
      </w:r>
      <w:r w:rsidRPr="00F2112F">
        <w:t>The higher 2013</w:t>
      </w:r>
      <w:r w:rsidR="009F0F49">
        <w:noBreakHyphen/>
      </w:r>
      <w:r w:rsidRPr="00F2112F">
        <w:t xml:space="preserve">14 </w:t>
      </w:r>
      <w:r>
        <w:t>B</w:t>
      </w:r>
      <w:r w:rsidRPr="00F2112F">
        <w:t>udget is due to the transfer of Spatial Services into the Public Land output due to machinery of Government changes. The higher 2012</w:t>
      </w:r>
      <w:r w:rsidR="009F0F49">
        <w:noBreakHyphen/>
      </w:r>
      <w:r w:rsidRPr="00F2112F">
        <w:t>13 revised</w:t>
      </w:r>
      <w:r>
        <w:t xml:space="preserve"> </w:t>
      </w:r>
      <w:r w:rsidRPr="00F2112F">
        <w:t>is due to payments from the Small Scale Community Support Fund, a transfer of asset funding to output funding for ports and risk mitigation and a carryover of 2011</w:t>
      </w:r>
      <w:r w:rsidR="009F0F49">
        <w:noBreakHyphen/>
      </w:r>
      <w:r w:rsidRPr="00F2112F">
        <w:t xml:space="preserve">12 funding for the protection of beaches and foreshores. </w:t>
      </w:r>
    </w:p>
    <w:p w:rsidR="00B958B1" w:rsidRPr="00F2112F" w:rsidRDefault="00B958B1" w:rsidP="009F3B54">
      <w:pPr>
        <w:pStyle w:val="Notes"/>
      </w:pPr>
      <w:r>
        <w:t>(d)</w:t>
      </w:r>
      <w:r>
        <w:tab/>
      </w:r>
      <w:r w:rsidRPr="00F2112F">
        <w:t>The higher 2012</w:t>
      </w:r>
      <w:r w:rsidR="009F0F49">
        <w:noBreakHyphen/>
      </w:r>
      <w:r w:rsidRPr="00F2112F">
        <w:t>13 revised is primarily due to a revision of depreciation costs</w:t>
      </w:r>
      <w:r>
        <w:t xml:space="preserve">. </w:t>
      </w:r>
    </w:p>
    <w:p w:rsidR="00B958B1" w:rsidRPr="00F2112F" w:rsidRDefault="00B958B1" w:rsidP="009F3B54">
      <w:pPr>
        <w:pStyle w:val="Notes"/>
      </w:pPr>
      <w:r>
        <w:t>(e)</w:t>
      </w:r>
      <w:r>
        <w:tab/>
      </w:r>
      <w:r w:rsidRPr="00F2112F">
        <w:t>As Environmental Programs is a new output, there is no 2012</w:t>
      </w:r>
      <w:r w:rsidR="009F0F49">
        <w:noBreakHyphen/>
      </w:r>
      <w:r w:rsidRPr="00F2112F">
        <w:t>13 budget or 2012</w:t>
      </w:r>
      <w:r w:rsidR="009F0F49">
        <w:noBreakHyphen/>
      </w:r>
      <w:r w:rsidRPr="00F2112F">
        <w:t xml:space="preserve">13 revised. </w:t>
      </w:r>
    </w:p>
    <w:p w:rsidR="00B958B1" w:rsidRPr="00F2112F" w:rsidRDefault="00B958B1" w:rsidP="009F3B54">
      <w:pPr>
        <w:pStyle w:val="Notes"/>
      </w:pPr>
      <w:r>
        <w:t>(f)</w:t>
      </w:r>
      <w:r>
        <w:tab/>
      </w:r>
      <w:r w:rsidRPr="00F2112F">
        <w:t>The lower 2013</w:t>
      </w:r>
      <w:r w:rsidR="009F0F49">
        <w:noBreakHyphen/>
      </w:r>
      <w:r w:rsidRPr="00F2112F">
        <w:t>14 budget and 2012</w:t>
      </w:r>
      <w:r w:rsidR="009F0F49">
        <w:noBreakHyphen/>
      </w:r>
      <w:r w:rsidRPr="00F2112F">
        <w:t xml:space="preserve">13 revised is due to the timing of payments from the Environment Protection Fund. </w:t>
      </w:r>
    </w:p>
    <w:p w:rsidR="00B958B1" w:rsidRPr="00F2112F" w:rsidRDefault="00B958B1" w:rsidP="009F3B54">
      <w:pPr>
        <w:pStyle w:val="Notes"/>
      </w:pPr>
      <w:r>
        <w:t>(g)</w:t>
      </w:r>
      <w:r>
        <w:tab/>
      </w:r>
      <w:r w:rsidRPr="00F2112F">
        <w:t xml:space="preserve"> The higher 2013</w:t>
      </w:r>
      <w:r w:rsidR="009F0F49">
        <w:noBreakHyphen/>
      </w:r>
      <w:r w:rsidRPr="00F2112F">
        <w:t>14 budget is due to new 2013</w:t>
      </w:r>
      <w:r w:rsidR="009F0F49">
        <w:noBreakHyphen/>
      </w:r>
      <w:r w:rsidRPr="00F2112F">
        <w:t>14 budget initiatives for A Cleaner Yarra and Port Phillip Bay, Environmental Partnerships, and the Implementation of the Victorian Waste and Resources Policy. The higher 2012</w:t>
      </w:r>
      <w:r w:rsidR="009F0F49">
        <w:noBreakHyphen/>
      </w:r>
      <w:r w:rsidRPr="00F2112F">
        <w:t>13 revised reflects additional funding associated with helping charities deal with illegal dumping, the Sustainability Accord and the development of the new policy work for waste and the Yarra river catchment.</w:t>
      </w:r>
    </w:p>
    <w:p w:rsidR="00B958B1" w:rsidRPr="00F2112F" w:rsidRDefault="00B958B1" w:rsidP="009F3B54">
      <w:pPr>
        <w:pStyle w:val="Notes"/>
      </w:pPr>
      <w:r>
        <w:t>(h)</w:t>
      </w:r>
      <w:r>
        <w:tab/>
      </w:r>
      <w:r w:rsidRPr="00F2112F">
        <w:t>The lower 2013</w:t>
      </w:r>
      <w:r w:rsidR="009F0F49">
        <w:noBreakHyphen/>
      </w:r>
      <w:r w:rsidRPr="00F2112F">
        <w:t>14 budget is due to the bulk purchase of fire equipment in 2012</w:t>
      </w:r>
      <w:r w:rsidR="009F0F49">
        <w:noBreakHyphen/>
      </w:r>
      <w:r w:rsidRPr="00F2112F">
        <w:t xml:space="preserve">13 to assist with the increased planned burning targets. </w:t>
      </w:r>
    </w:p>
    <w:p w:rsidR="00B958B1" w:rsidRPr="00F2112F" w:rsidRDefault="00B958B1" w:rsidP="009F3B54">
      <w:pPr>
        <w:pStyle w:val="Notes"/>
      </w:pPr>
      <w:r>
        <w:t>(i)</w:t>
      </w:r>
      <w:r>
        <w:tab/>
      </w:r>
      <w:r w:rsidRPr="00F2112F">
        <w:t>The Development of Primary Industries is a new output due to machinery of government changes. As such there is no 2012</w:t>
      </w:r>
      <w:r w:rsidR="009F0F49">
        <w:noBreakHyphen/>
      </w:r>
      <w:r w:rsidRPr="00F2112F">
        <w:t>13 budget and 2012</w:t>
      </w:r>
      <w:r w:rsidR="009F0F49">
        <w:noBreakHyphen/>
      </w:r>
      <w:r w:rsidRPr="00F2112F">
        <w:t xml:space="preserve">13 revised. </w:t>
      </w:r>
    </w:p>
    <w:p w:rsidR="00B958B1" w:rsidRDefault="00B958B1" w:rsidP="009F3B54">
      <w:pPr>
        <w:pStyle w:val="Notes"/>
      </w:pPr>
      <w:r>
        <w:t>(j)</w:t>
      </w:r>
      <w:r>
        <w:tab/>
      </w:r>
      <w:r w:rsidRPr="00F2112F">
        <w:t>Due to machinery of government changes and the creation of the new Department of Environment and Primary Industries, there is no 2012</w:t>
      </w:r>
      <w:r w:rsidR="009F0F49">
        <w:noBreakHyphen/>
      </w:r>
      <w:r>
        <w:t>13 budget or 2012</w:t>
      </w:r>
      <w:r w:rsidR="009F0F49">
        <w:noBreakHyphen/>
      </w:r>
      <w:r>
        <w:t xml:space="preserve">13 revised. </w:t>
      </w:r>
    </w:p>
    <w:p w:rsidR="00B958B1" w:rsidRDefault="00B958B1" w:rsidP="009F3B54">
      <w:pPr>
        <w:pStyle w:val="Heading3"/>
        <w:rPr>
          <w:i w:val="0"/>
          <w:sz w:val="26"/>
        </w:rPr>
      </w:pPr>
      <w:r w:rsidRPr="00BC4CF1">
        <w:rPr>
          <w:i w:val="0"/>
          <w:sz w:val="26"/>
        </w:rPr>
        <w:t>Amounts available</w:t>
      </w:r>
    </w:p>
    <w:p w:rsidR="00B958B1" w:rsidRPr="00E04B7A" w:rsidRDefault="00B958B1" w:rsidP="009F3B54">
      <w:r w:rsidRPr="00E04B7A">
        <w:t>The following tables detail the amounts available to the Department from Parliamentary authority and income generated through transactions.</w:t>
      </w:r>
    </w:p>
    <w:p w:rsidR="00B958B1" w:rsidRDefault="00B958B1" w:rsidP="009F3B54">
      <w:pPr>
        <w:rPr>
          <w:b/>
        </w:rPr>
      </w:pPr>
      <w:r w:rsidRPr="00E04B7A">
        <w:t>Table 2.</w:t>
      </w:r>
      <w:r>
        <w:t>6</w:t>
      </w:r>
      <w:r w:rsidRPr="00E04B7A">
        <w:t xml:space="preserve"> outlines the Department</w:t>
      </w:r>
      <w:r>
        <w:t>’</w:t>
      </w:r>
      <w:r w:rsidRPr="00E04B7A">
        <w:t>s income from transactions and Table 2.</w:t>
      </w:r>
      <w:r>
        <w:t>7</w:t>
      </w:r>
      <w:r w:rsidRPr="00E04B7A">
        <w:t xml:space="preserve"> summarises the sources of Parliamentary authority available to the Department to fund the provision of outputs, additions to the net asset base and payments made on behalf of the State.</w:t>
      </w:r>
    </w:p>
    <w:p w:rsidR="00B958B1" w:rsidRDefault="00B958B1" w:rsidP="009F3B54">
      <w:pPr>
        <w:pStyle w:val="Tableheading"/>
      </w:pPr>
      <w:r>
        <w:t>Table 2.6:</w:t>
      </w:r>
      <w:r>
        <w:tab/>
      </w:r>
      <w:r w:rsidRPr="00645EE7">
        <w:t>Income from transactions</w:t>
      </w:r>
    </w:p>
    <w:p w:rsidR="00B958B1" w:rsidRPr="00F82661" w:rsidRDefault="00B958B1" w:rsidP="009F3B54">
      <w:pPr>
        <w:pStyle w:val="million"/>
        <w:rPr>
          <w:lang w:eastAsia="en-AU"/>
        </w:rPr>
      </w:pPr>
      <w:r w:rsidRPr="00645EE7">
        <w:rPr>
          <w:lang w:eastAsia="en-AU"/>
        </w:rPr>
        <w:t>($</w:t>
      </w:r>
      <w:r>
        <w:rPr>
          <w:lang w:eastAsia="en-AU"/>
        </w:rPr>
        <w:t> million</w:t>
      </w:r>
      <w:r w:rsidRPr="003C3673">
        <w:rPr>
          <w:lang w:eastAsia="en-AU"/>
        </w:rPr>
        <w:t>)</w:t>
      </w:r>
    </w:p>
    <w:tbl>
      <w:tblPr>
        <w:tblW w:w="7776" w:type="dxa"/>
        <w:tblInd w:w="29" w:type="dxa"/>
        <w:tblLayout w:type="fixed"/>
        <w:tblCellMar>
          <w:left w:w="43" w:type="dxa"/>
          <w:right w:w="43" w:type="dxa"/>
        </w:tblCellMar>
        <w:tblLook w:val="0000" w:firstRow="0" w:lastRow="0" w:firstColumn="0" w:lastColumn="0" w:noHBand="0" w:noVBand="0"/>
      </w:tblPr>
      <w:tblGrid>
        <w:gridCol w:w="4334"/>
        <w:gridCol w:w="860"/>
        <w:gridCol w:w="861"/>
        <w:gridCol w:w="860"/>
        <w:gridCol w:w="861"/>
      </w:tblGrid>
      <w:tr w:rsidR="00B958B1" w:rsidRPr="00F82661" w:rsidTr="009F3B54">
        <w:tc>
          <w:tcPr>
            <w:tcW w:w="4334" w:type="dxa"/>
            <w:tcBorders>
              <w:top w:val="single" w:sz="6" w:space="0" w:color="auto"/>
              <w:left w:val="single" w:sz="6" w:space="0" w:color="auto"/>
              <w:bottom w:val="nil"/>
              <w:right w:val="nil"/>
            </w:tcBorders>
            <w:shd w:val="clear" w:color="auto" w:fill="000000"/>
          </w:tcPr>
          <w:p w:rsidR="00B958B1" w:rsidRPr="00F82661" w:rsidRDefault="00B958B1" w:rsidP="009F3B54">
            <w:pPr>
              <w:pStyle w:val="Tabletext"/>
              <w:rPr>
                <w:lang w:eastAsia="en-AU"/>
              </w:rPr>
            </w:pPr>
            <w:r w:rsidRPr="00F82661">
              <w:rPr>
                <w:lang w:eastAsia="en-AU"/>
              </w:rPr>
              <w:t xml:space="preserve"> </w:t>
            </w:r>
          </w:p>
        </w:tc>
        <w:tc>
          <w:tcPr>
            <w:tcW w:w="860" w:type="dxa"/>
            <w:tcBorders>
              <w:top w:val="single" w:sz="6" w:space="0" w:color="auto"/>
              <w:left w:val="nil"/>
              <w:bottom w:val="nil"/>
              <w:right w:val="nil"/>
            </w:tcBorders>
            <w:shd w:val="clear" w:color="auto" w:fill="000000"/>
          </w:tcPr>
          <w:p w:rsidR="00B958B1" w:rsidRPr="00F82661" w:rsidRDefault="00B958B1" w:rsidP="009F3B54">
            <w:pPr>
              <w:pStyle w:val="Tabletextheading"/>
              <w:rPr>
                <w:lang w:eastAsia="en-AU"/>
              </w:rPr>
            </w:pPr>
            <w:r w:rsidRPr="00F82661">
              <w:rPr>
                <w:lang w:eastAsia="en-AU"/>
              </w:rPr>
              <w:t>2011</w:t>
            </w:r>
            <w:r w:rsidR="009F0F49">
              <w:rPr>
                <w:lang w:eastAsia="en-AU"/>
              </w:rPr>
              <w:noBreakHyphen/>
            </w:r>
            <w:r w:rsidRPr="00F82661">
              <w:rPr>
                <w:lang w:eastAsia="en-AU"/>
              </w:rPr>
              <w:t>12</w:t>
            </w:r>
          </w:p>
        </w:tc>
        <w:tc>
          <w:tcPr>
            <w:tcW w:w="861" w:type="dxa"/>
            <w:tcBorders>
              <w:top w:val="single" w:sz="6" w:space="0" w:color="auto"/>
              <w:left w:val="nil"/>
              <w:bottom w:val="nil"/>
              <w:right w:val="nil"/>
            </w:tcBorders>
            <w:shd w:val="clear" w:color="auto" w:fill="000000"/>
          </w:tcPr>
          <w:p w:rsidR="00B958B1" w:rsidRPr="00F82661" w:rsidRDefault="00B958B1" w:rsidP="009F3B54">
            <w:pPr>
              <w:pStyle w:val="Tabletextheading"/>
              <w:rPr>
                <w:lang w:eastAsia="en-AU"/>
              </w:rPr>
            </w:pPr>
            <w:r w:rsidRPr="00F82661">
              <w:rPr>
                <w:lang w:eastAsia="en-AU"/>
              </w:rPr>
              <w:t>2012</w:t>
            </w:r>
            <w:r w:rsidR="009F0F49">
              <w:rPr>
                <w:lang w:eastAsia="en-AU"/>
              </w:rPr>
              <w:noBreakHyphen/>
            </w:r>
            <w:r w:rsidRPr="00F82661">
              <w:rPr>
                <w:lang w:eastAsia="en-AU"/>
              </w:rPr>
              <w:t>13</w:t>
            </w:r>
          </w:p>
        </w:tc>
        <w:tc>
          <w:tcPr>
            <w:tcW w:w="860" w:type="dxa"/>
            <w:tcBorders>
              <w:top w:val="single" w:sz="6" w:space="0" w:color="auto"/>
              <w:left w:val="nil"/>
              <w:bottom w:val="nil"/>
              <w:right w:val="nil"/>
            </w:tcBorders>
            <w:shd w:val="clear" w:color="auto" w:fill="000000"/>
          </w:tcPr>
          <w:p w:rsidR="00B958B1" w:rsidRPr="00F82661" w:rsidRDefault="00B958B1" w:rsidP="009F3B54">
            <w:pPr>
              <w:pStyle w:val="Tabletextheading"/>
              <w:rPr>
                <w:lang w:eastAsia="en-AU"/>
              </w:rPr>
            </w:pPr>
            <w:r w:rsidRPr="00F82661">
              <w:rPr>
                <w:lang w:eastAsia="en-AU"/>
              </w:rPr>
              <w:t>2012</w:t>
            </w:r>
            <w:r w:rsidR="009F0F49">
              <w:rPr>
                <w:lang w:eastAsia="en-AU"/>
              </w:rPr>
              <w:noBreakHyphen/>
            </w:r>
            <w:r w:rsidRPr="00F82661">
              <w:rPr>
                <w:lang w:eastAsia="en-AU"/>
              </w:rPr>
              <w:t>13</w:t>
            </w:r>
          </w:p>
        </w:tc>
        <w:tc>
          <w:tcPr>
            <w:tcW w:w="861" w:type="dxa"/>
            <w:tcBorders>
              <w:top w:val="single" w:sz="6" w:space="0" w:color="auto"/>
              <w:left w:val="nil"/>
              <w:bottom w:val="nil"/>
              <w:right w:val="single" w:sz="6" w:space="0" w:color="auto"/>
            </w:tcBorders>
            <w:shd w:val="clear" w:color="auto" w:fill="000000"/>
          </w:tcPr>
          <w:p w:rsidR="00B958B1" w:rsidRPr="00F82661" w:rsidRDefault="00B958B1" w:rsidP="009F3B54">
            <w:pPr>
              <w:pStyle w:val="Tabletextheading"/>
              <w:rPr>
                <w:lang w:eastAsia="en-AU"/>
              </w:rPr>
            </w:pPr>
            <w:r w:rsidRPr="00F82661">
              <w:rPr>
                <w:lang w:eastAsia="en-AU"/>
              </w:rPr>
              <w:t>2013</w:t>
            </w:r>
            <w:r w:rsidR="009F0F49">
              <w:rPr>
                <w:lang w:eastAsia="en-AU"/>
              </w:rPr>
              <w:noBreakHyphen/>
            </w:r>
            <w:r w:rsidRPr="00F82661">
              <w:rPr>
                <w:lang w:eastAsia="en-AU"/>
              </w:rPr>
              <w:t>14</w:t>
            </w:r>
          </w:p>
        </w:tc>
      </w:tr>
      <w:tr w:rsidR="00B958B1" w:rsidRPr="00F82661" w:rsidTr="009F3B54">
        <w:tc>
          <w:tcPr>
            <w:tcW w:w="4334" w:type="dxa"/>
            <w:tcBorders>
              <w:top w:val="nil"/>
              <w:left w:val="single" w:sz="6" w:space="0" w:color="auto"/>
              <w:bottom w:val="single" w:sz="6" w:space="0" w:color="auto"/>
              <w:right w:val="nil"/>
            </w:tcBorders>
            <w:shd w:val="clear" w:color="auto" w:fill="000000"/>
          </w:tcPr>
          <w:p w:rsidR="00B958B1" w:rsidRPr="00F82661" w:rsidRDefault="00B958B1" w:rsidP="009F3B54">
            <w:pPr>
              <w:pStyle w:val="Tabletext"/>
              <w:rPr>
                <w:lang w:eastAsia="en-AU"/>
              </w:rPr>
            </w:pPr>
            <w:r w:rsidRPr="00F82661">
              <w:rPr>
                <w:lang w:eastAsia="en-AU"/>
              </w:rPr>
              <w:t xml:space="preserve"> </w:t>
            </w:r>
          </w:p>
        </w:tc>
        <w:tc>
          <w:tcPr>
            <w:tcW w:w="860" w:type="dxa"/>
            <w:tcBorders>
              <w:top w:val="nil"/>
              <w:left w:val="nil"/>
              <w:bottom w:val="single" w:sz="6" w:space="0" w:color="auto"/>
              <w:right w:val="nil"/>
            </w:tcBorders>
            <w:shd w:val="clear" w:color="auto" w:fill="000000"/>
          </w:tcPr>
          <w:p w:rsidR="00B958B1" w:rsidRPr="00F82661" w:rsidRDefault="00B958B1" w:rsidP="009F3B54">
            <w:pPr>
              <w:pStyle w:val="Tabletextheading"/>
              <w:rPr>
                <w:lang w:eastAsia="en-AU"/>
              </w:rPr>
            </w:pPr>
            <w:r w:rsidRPr="00F82661">
              <w:rPr>
                <w:lang w:eastAsia="en-AU"/>
              </w:rPr>
              <w:t>Actual</w:t>
            </w:r>
          </w:p>
        </w:tc>
        <w:tc>
          <w:tcPr>
            <w:tcW w:w="861" w:type="dxa"/>
            <w:tcBorders>
              <w:top w:val="nil"/>
              <w:left w:val="nil"/>
              <w:bottom w:val="single" w:sz="6" w:space="0" w:color="auto"/>
              <w:right w:val="nil"/>
            </w:tcBorders>
            <w:shd w:val="clear" w:color="auto" w:fill="000000"/>
          </w:tcPr>
          <w:p w:rsidR="00B958B1" w:rsidRPr="00F82661" w:rsidRDefault="00B958B1" w:rsidP="009F3B54">
            <w:pPr>
              <w:pStyle w:val="Tabletextheading"/>
              <w:rPr>
                <w:lang w:eastAsia="en-AU"/>
              </w:rPr>
            </w:pPr>
            <w:r w:rsidRPr="00F82661">
              <w:rPr>
                <w:lang w:eastAsia="en-AU"/>
              </w:rPr>
              <w:t xml:space="preserve">Budget </w:t>
            </w:r>
          </w:p>
        </w:tc>
        <w:tc>
          <w:tcPr>
            <w:tcW w:w="860" w:type="dxa"/>
            <w:tcBorders>
              <w:top w:val="nil"/>
              <w:left w:val="nil"/>
              <w:bottom w:val="single" w:sz="6" w:space="0" w:color="auto"/>
              <w:right w:val="nil"/>
            </w:tcBorders>
            <w:shd w:val="clear" w:color="auto" w:fill="000000"/>
          </w:tcPr>
          <w:p w:rsidR="00B958B1" w:rsidRPr="00F82661" w:rsidRDefault="00B958B1" w:rsidP="009F3B54">
            <w:pPr>
              <w:pStyle w:val="Tabletextheading"/>
              <w:rPr>
                <w:lang w:eastAsia="en-AU"/>
              </w:rPr>
            </w:pPr>
            <w:r w:rsidRPr="00F82661">
              <w:rPr>
                <w:lang w:eastAsia="en-AU"/>
              </w:rPr>
              <w:t>Revised</w:t>
            </w:r>
          </w:p>
        </w:tc>
        <w:tc>
          <w:tcPr>
            <w:tcW w:w="861" w:type="dxa"/>
            <w:tcBorders>
              <w:top w:val="nil"/>
              <w:left w:val="nil"/>
              <w:bottom w:val="single" w:sz="6" w:space="0" w:color="auto"/>
              <w:right w:val="single" w:sz="6" w:space="0" w:color="auto"/>
            </w:tcBorders>
            <w:shd w:val="clear" w:color="auto" w:fill="000000"/>
          </w:tcPr>
          <w:p w:rsidR="00B958B1" w:rsidRPr="00F82661" w:rsidRDefault="00B958B1" w:rsidP="009F3B54">
            <w:pPr>
              <w:pStyle w:val="Tabletextheading"/>
              <w:rPr>
                <w:lang w:eastAsia="en-AU"/>
              </w:rPr>
            </w:pPr>
            <w:r w:rsidRPr="00F82661">
              <w:rPr>
                <w:lang w:eastAsia="en-AU"/>
              </w:rPr>
              <w:t>Budget</w:t>
            </w:r>
          </w:p>
        </w:tc>
      </w:tr>
      <w:tr w:rsidR="00B958B1" w:rsidRPr="00F82661" w:rsidTr="009F3B54">
        <w:tc>
          <w:tcPr>
            <w:tcW w:w="4334" w:type="dxa"/>
            <w:tcBorders>
              <w:top w:val="single" w:sz="6" w:space="0" w:color="auto"/>
              <w:left w:val="nil"/>
              <w:bottom w:val="nil"/>
              <w:right w:val="nil"/>
            </w:tcBorders>
          </w:tcPr>
          <w:p w:rsidR="00B958B1" w:rsidRPr="00F82661" w:rsidRDefault="00B958B1" w:rsidP="009F3B54">
            <w:pPr>
              <w:pStyle w:val="Tabletext"/>
              <w:rPr>
                <w:lang w:eastAsia="en-AU"/>
              </w:rPr>
            </w:pPr>
            <w:r w:rsidRPr="00F82661">
              <w:rPr>
                <w:lang w:eastAsia="en-AU"/>
              </w:rPr>
              <w:t>Output appropriations</w:t>
            </w:r>
          </w:p>
        </w:tc>
        <w:tc>
          <w:tcPr>
            <w:tcW w:w="860" w:type="dxa"/>
            <w:tcBorders>
              <w:top w:val="single" w:sz="6" w:space="0" w:color="auto"/>
              <w:left w:val="nil"/>
              <w:bottom w:val="nil"/>
              <w:right w:val="nil"/>
            </w:tcBorders>
          </w:tcPr>
          <w:p w:rsidR="00B958B1" w:rsidRPr="00F82661" w:rsidRDefault="00B958B1" w:rsidP="009F3B54">
            <w:pPr>
              <w:pStyle w:val="TableofFigures"/>
              <w:rPr>
                <w:rFonts w:cs="Calibri"/>
                <w:lang w:eastAsia="en-AU"/>
              </w:rPr>
            </w:pPr>
            <w:r w:rsidRPr="00F82661">
              <w:rPr>
                <w:lang w:eastAsia="en-AU"/>
              </w:rPr>
              <w:t xml:space="preserve">1 </w:t>
            </w:r>
            <w:r w:rsidRPr="00F82661">
              <w:rPr>
                <w:rFonts w:cs="Calibri"/>
                <w:lang w:eastAsia="en-AU"/>
              </w:rPr>
              <w:t>099.5</w:t>
            </w:r>
          </w:p>
        </w:tc>
        <w:tc>
          <w:tcPr>
            <w:tcW w:w="861" w:type="dxa"/>
            <w:tcBorders>
              <w:top w:val="single" w:sz="6" w:space="0" w:color="auto"/>
              <w:left w:val="nil"/>
              <w:bottom w:val="nil"/>
              <w:right w:val="nil"/>
            </w:tcBorders>
          </w:tcPr>
          <w:p w:rsidR="00B958B1" w:rsidRPr="00F82661" w:rsidRDefault="00B958B1" w:rsidP="009F3B54">
            <w:pPr>
              <w:pStyle w:val="TableofFigures"/>
              <w:rPr>
                <w:rFonts w:cs="Calibri"/>
                <w:lang w:eastAsia="en-AU"/>
              </w:rPr>
            </w:pPr>
            <w:r w:rsidRPr="00F82661">
              <w:rPr>
                <w:lang w:eastAsia="en-AU"/>
              </w:rPr>
              <w:t xml:space="preserve">1 </w:t>
            </w:r>
            <w:r w:rsidRPr="00F82661">
              <w:rPr>
                <w:rFonts w:cs="Calibri"/>
                <w:lang w:eastAsia="en-AU"/>
              </w:rPr>
              <w:t>020.7</w:t>
            </w:r>
          </w:p>
        </w:tc>
        <w:tc>
          <w:tcPr>
            <w:tcW w:w="860" w:type="dxa"/>
            <w:tcBorders>
              <w:top w:val="single" w:sz="6" w:space="0" w:color="auto"/>
              <w:left w:val="nil"/>
              <w:bottom w:val="nil"/>
              <w:right w:val="nil"/>
            </w:tcBorders>
          </w:tcPr>
          <w:p w:rsidR="00B958B1" w:rsidRPr="00F82661" w:rsidRDefault="00B958B1" w:rsidP="009F3B54">
            <w:pPr>
              <w:pStyle w:val="TableofFigures"/>
              <w:rPr>
                <w:rFonts w:cs="Calibri"/>
                <w:lang w:eastAsia="en-AU"/>
              </w:rPr>
            </w:pPr>
            <w:r w:rsidRPr="00F82661">
              <w:rPr>
                <w:lang w:eastAsia="en-AU"/>
              </w:rPr>
              <w:t xml:space="preserve">1 </w:t>
            </w:r>
            <w:r w:rsidRPr="00F82661">
              <w:rPr>
                <w:rFonts w:cs="Calibri"/>
                <w:lang w:eastAsia="en-AU"/>
              </w:rPr>
              <w:t>002.1</w:t>
            </w:r>
          </w:p>
        </w:tc>
        <w:tc>
          <w:tcPr>
            <w:tcW w:w="861" w:type="dxa"/>
            <w:tcBorders>
              <w:top w:val="single" w:sz="6" w:space="0" w:color="auto"/>
              <w:left w:val="nil"/>
              <w:bottom w:val="nil"/>
              <w:right w:val="nil"/>
            </w:tcBorders>
          </w:tcPr>
          <w:p w:rsidR="00B958B1" w:rsidRPr="00F82661" w:rsidRDefault="00B958B1" w:rsidP="009F3B54">
            <w:pPr>
              <w:pStyle w:val="TableofFigures"/>
              <w:rPr>
                <w:rFonts w:cs="Calibri"/>
                <w:lang w:eastAsia="en-AU"/>
              </w:rPr>
            </w:pPr>
            <w:r w:rsidRPr="00F82661">
              <w:rPr>
                <w:lang w:eastAsia="en-AU"/>
              </w:rPr>
              <w:t xml:space="preserve">1 </w:t>
            </w:r>
            <w:r w:rsidRPr="00F82661">
              <w:rPr>
                <w:rFonts w:cs="Calibri"/>
                <w:lang w:eastAsia="en-AU"/>
              </w:rPr>
              <w:t>357.1</w:t>
            </w:r>
          </w:p>
        </w:tc>
      </w:tr>
      <w:tr w:rsidR="00B958B1" w:rsidRPr="00F82661" w:rsidTr="009F3B54">
        <w:tc>
          <w:tcPr>
            <w:tcW w:w="4334" w:type="dxa"/>
            <w:tcBorders>
              <w:top w:val="nil"/>
              <w:left w:val="nil"/>
              <w:bottom w:val="nil"/>
              <w:right w:val="nil"/>
            </w:tcBorders>
          </w:tcPr>
          <w:p w:rsidR="00B958B1" w:rsidRPr="00F82661" w:rsidRDefault="00B958B1" w:rsidP="009F3B54">
            <w:pPr>
              <w:pStyle w:val="Tabletext"/>
              <w:rPr>
                <w:lang w:eastAsia="en-AU"/>
              </w:rPr>
            </w:pPr>
            <w:r w:rsidRPr="00F82661">
              <w:rPr>
                <w:lang w:eastAsia="en-AU"/>
              </w:rPr>
              <w:t>Special appropriations</w:t>
            </w:r>
          </w:p>
        </w:tc>
        <w:tc>
          <w:tcPr>
            <w:tcW w:w="860"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 xml:space="preserve"> 18.5</w:t>
            </w:r>
          </w:p>
        </w:tc>
        <w:tc>
          <w:tcPr>
            <w:tcW w:w="861"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w:t>
            </w:r>
          </w:p>
        </w:tc>
        <w:tc>
          <w:tcPr>
            <w:tcW w:w="860"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 xml:space="preserve"> 14.5</w:t>
            </w:r>
          </w:p>
        </w:tc>
        <w:tc>
          <w:tcPr>
            <w:tcW w:w="861"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w:t>
            </w:r>
          </w:p>
        </w:tc>
      </w:tr>
      <w:tr w:rsidR="00B958B1" w:rsidRPr="00F82661" w:rsidTr="009F3B54">
        <w:tc>
          <w:tcPr>
            <w:tcW w:w="4334" w:type="dxa"/>
            <w:tcBorders>
              <w:top w:val="nil"/>
              <w:left w:val="nil"/>
              <w:bottom w:val="nil"/>
              <w:right w:val="nil"/>
            </w:tcBorders>
          </w:tcPr>
          <w:p w:rsidR="00B958B1" w:rsidRPr="00F82661" w:rsidRDefault="00B958B1" w:rsidP="009F3B54">
            <w:pPr>
              <w:pStyle w:val="Tabletext"/>
              <w:rPr>
                <w:lang w:eastAsia="en-AU"/>
              </w:rPr>
            </w:pPr>
            <w:r w:rsidRPr="00F82661">
              <w:rPr>
                <w:lang w:eastAsia="en-AU"/>
              </w:rPr>
              <w:t>Interest</w:t>
            </w:r>
          </w:p>
        </w:tc>
        <w:tc>
          <w:tcPr>
            <w:tcW w:w="860"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 xml:space="preserve"> 10.5</w:t>
            </w:r>
          </w:p>
        </w:tc>
        <w:tc>
          <w:tcPr>
            <w:tcW w:w="861"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 xml:space="preserve"> 9.8</w:t>
            </w:r>
          </w:p>
        </w:tc>
        <w:tc>
          <w:tcPr>
            <w:tcW w:w="860"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 xml:space="preserve"> 9.2</w:t>
            </w:r>
          </w:p>
        </w:tc>
        <w:tc>
          <w:tcPr>
            <w:tcW w:w="861"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 xml:space="preserve"> 10.5</w:t>
            </w:r>
          </w:p>
        </w:tc>
      </w:tr>
      <w:tr w:rsidR="00B958B1" w:rsidRPr="00F82661" w:rsidTr="009F3B54">
        <w:tc>
          <w:tcPr>
            <w:tcW w:w="4334" w:type="dxa"/>
            <w:tcBorders>
              <w:top w:val="nil"/>
              <w:left w:val="nil"/>
              <w:bottom w:val="nil"/>
              <w:right w:val="nil"/>
            </w:tcBorders>
          </w:tcPr>
          <w:p w:rsidR="00B958B1" w:rsidRPr="00F82661" w:rsidRDefault="00B958B1" w:rsidP="009F3B54">
            <w:pPr>
              <w:pStyle w:val="Tabletext"/>
              <w:rPr>
                <w:lang w:eastAsia="en-AU"/>
              </w:rPr>
            </w:pPr>
            <w:r w:rsidRPr="00F82661">
              <w:rPr>
                <w:lang w:eastAsia="en-AU"/>
              </w:rPr>
              <w:t>Sale of goods and services</w:t>
            </w:r>
          </w:p>
        </w:tc>
        <w:tc>
          <w:tcPr>
            <w:tcW w:w="860"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 xml:space="preserve"> 93.2</w:t>
            </w:r>
          </w:p>
        </w:tc>
        <w:tc>
          <w:tcPr>
            <w:tcW w:w="861"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 xml:space="preserve"> 77.4</w:t>
            </w:r>
          </w:p>
        </w:tc>
        <w:tc>
          <w:tcPr>
            <w:tcW w:w="860"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 xml:space="preserve"> 71.5</w:t>
            </w:r>
          </w:p>
        </w:tc>
        <w:tc>
          <w:tcPr>
            <w:tcW w:w="861"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 xml:space="preserve"> 65.9</w:t>
            </w:r>
          </w:p>
        </w:tc>
      </w:tr>
      <w:tr w:rsidR="00B958B1" w:rsidRPr="00F82661" w:rsidTr="009F3B54">
        <w:tc>
          <w:tcPr>
            <w:tcW w:w="4334" w:type="dxa"/>
            <w:tcBorders>
              <w:top w:val="nil"/>
              <w:left w:val="nil"/>
              <w:bottom w:val="nil"/>
              <w:right w:val="nil"/>
            </w:tcBorders>
          </w:tcPr>
          <w:p w:rsidR="00B958B1" w:rsidRPr="00F82661" w:rsidRDefault="00B958B1" w:rsidP="009F3B54">
            <w:pPr>
              <w:pStyle w:val="Tabletext"/>
              <w:rPr>
                <w:lang w:eastAsia="en-AU"/>
              </w:rPr>
            </w:pPr>
            <w:r w:rsidRPr="00F82661">
              <w:rPr>
                <w:lang w:eastAsia="en-AU"/>
              </w:rPr>
              <w:t>Grants</w:t>
            </w:r>
          </w:p>
        </w:tc>
        <w:tc>
          <w:tcPr>
            <w:tcW w:w="860"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 xml:space="preserve"> 93.4</w:t>
            </w:r>
          </w:p>
        </w:tc>
        <w:tc>
          <w:tcPr>
            <w:tcW w:w="861"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 xml:space="preserve"> 37.1</w:t>
            </w:r>
          </w:p>
        </w:tc>
        <w:tc>
          <w:tcPr>
            <w:tcW w:w="860"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 xml:space="preserve"> 57.3</w:t>
            </w:r>
          </w:p>
        </w:tc>
        <w:tc>
          <w:tcPr>
            <w:tcW w:w="861"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 xml:space="preserve"> 48.3</w:t>
            </w:r>
          </w:p>
        </w:tc>
      </w:tr>
      <w:tr w:rsidR="00B958B1" w:rsidRPr="00F82661" w:rsidTr="009F3B54">
        <w:tc>
          <w:tcPr>
            <w:tcW w:w="4334" w:type="dxa"/>
            <w:tcBorders>
              <w:top w:val="nil"/>
              <w:left w:val="nil"/>
              <w:bottom w:val="nil"/>
              <w:right w:val="nil"/>
            </w:tcBorders>
          </w:tcPr>
          <w:p w:rsidR="00B958B1" w:rsidRPr="00F82661" w:rsidRDefault="00B958B1" w:rsidP="009F3B54">
            <w:pPr>
              <w:pStyle w:val="Tabletext"/>
              <w:rPr>
                <w:lang w:eastAsia="en-AU"/>
              </w:rPr>
            </w:pPr>
            <w:r w:rsidRPr="00F82661">
              <w:rPr>
                <w:lang w:eastAsia="en-AU"/>
              </w:rPr>
              <w:t>Fair value of assets and services received free of charge or for nominal consideration</w:t>
            </w:r>
          </w:p>
        </w:tc>
        <w:tc>
          <w:tcPr>
            <w:tcW w:w="860"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 xml:space="preserve"> 0.2</w:t>
            </w:r>
          </w:p>
        </w:tc>
        <w:tc>
          <w:tcPr>
            <w:tcW w:w="861"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w:t>
            </w:r>
          </w:p>
        </w:tc>
        <w:tc>
          <w:tcPr>
            <w:tcW w:w="860"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w:t>
            </w:r>
          </w:p>
        </w:tc>
        <w:tc>
          <w:tcPr>
            <w:tcW w:w="861"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w:t>
            </w:r>
          </w:p>
        </w:tc>
      </w:tr>
      <w:tr w:rsidR="00B958B1" w:rsidRPr="00F82661" w:rsidTr="009F3B54">
        <w:tc>
          <w:tcPr>
            <w:tcW w:w="4334" w:type="dxa"/>
            <w:tcBorders>
              <w:top w:val="nil"/>
              <w:left w:val="nil"/>
              <w:bottom w:val="nil"/>
              <w:right w:val="nil"/>
            </w:tcBorders>
          </w:tcPr>
          <w:p w:rsidR="00B958B1" w:rsidRPr="00F82661" w:rsidRDefault="00B958B1" w:rsidP="009F3B54">
            <w:pPr>
              <w:pStyle w:val="Tabletext"/>
              <w:rPr>
                <w:lang w:eastAsia="en-AU"/>
              </w:rPr>
            </w:pPr>
            <w:r w:rsidRPr="00F82661">
              <w:rPr>
                <w:lang w:eastAsia="en-AU"/>
              </w:rPr>
              <w:t>Other income</w:t>
            </w:r>
          </w:p>
        </w:tc>
        <w:tc>
          <w:tcPr>
            <w:tcW w:w="860"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 xml:space="preserve"> 292.0</w:t>
            </w:r>
          </w:p>
        </w:tc>
        <w:tc>
          <w:tcPr>
            <w:tcW w:w="861"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 xml:space="preserve"> 305.0</w:t>
            </w:r>
          </w:p>
        </w:tc>
        <w:tc>
          <w:tcPr>
            <w:tcW w:w="860"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 xml:space="preserve"> 305.3</w:t>
            </w:r>
          </w:p>
        </w:tc>
        <w:tc>
          <w:tcPr>
            <w:tcW w:w="861" w:type="dxa"/>
            <w:tcBorders>
              <w:top w:val="nil"/>
              <w:left w:val="nil"/>
              <w:bottom w:val="nil"/>
              <w:right w:val="nil"/>
            </w:tcBorders>
          </w:tcPr>
          <w:p w:rsidR="00B958B1" w:rsidRPr="00F82661" w:rsidRDefault="00B958B1" w:rsidP="009F3B54">
            <w:pPr>
              <w:pStyle w:val="TableofFigures"/>
              <w:rPr>
                <w:lang w:eastAsia="en-AU"/>
              </w:rPr>
            </w:pPr>
            <w:r w:rsidRPr="00F82661">
              <w:rPr>
                <w:lang w:eastAsia="en-AU"/>
              </w:rPr>
              <w:t xml:space="preserve"> 313.9</w:t>
            </w:r>
          </w:p>
        </w:tc>
      </w:tr>
      <w:tr w:rsidR="00B958B1" w:rsidRPr="00F82661" w:rsidTr="009F3B54">
        <w:tc>
          <w:tcPr>
            <w:tcW w:w="4334" w:type="dxa"/>
            <w:tcBorders>
              <w:top w:val="single" w:sz="6" w:space="0" w:color="auto"/>
              <w:left w:val="nil"/>
              <w:bottom w:val="single" w:sz="12" w:space="0" w:color="auto"/>
              <w:right w:val="nil"/>
            </w:tcBorders>
          </w:tcPr>
          <w:p w:rsidR="00B958B1" w:rsidRPr="00F82661" w:rsidRDefault="00B958B1" w:rsidP="009F3B54">
            <w:pPr>
              <w:pStyle w:val="Tabletext"/>
              <w:rPr>
                <w:b/>
                <w:bCs/>
                <w:lang w:eastAsia="en-AU"/>
              </w:rPr>
            </w:pPr>
            <w:r w:rsidRPr="00F82661">
              <w:rPr>
                <w:b/>
                <w:bCs/>
                <w:lang w:eastAsia="en-AU"/>
              </w:rPr>
              <w:t>Total income from transactions</w:t>
            </w:r>
          </w:p>
        </w:tc>
        <w:tc>
          <w:tcPr>
            <w:tcW w:w="860" w:type="dxa"/>
            <w:tcBorders>
              <w:top w:val="single" w:sz="6" w:space="0" w:color="auto"/>
              <w:left w:val="nil"/>
              <w:bottom w:val="single" w:sz="12" w:space="0" w:color="auto"/>
              <w:right w:val="nil"/>
            </w:tcBorders>
          </w:tcPr>
          <w:p w:rsidR="00B958B1" w:rsidRPr="00F82661" w:rsidRDefault="00B958B1" w:rsidP="009F3B54">
            <w:pPr>
              <w:pStyle w:val="TableofFigures"/>
              <w:rPr>
                <w:rFonts w:cs="Calibri"/>
                <w:b/>
                <w:bCs/>
                <w:lang w:eastAsia="en-AU"/>
              </w:rPr>
            </w:pPr>
            <w:r w:rsidRPr="00F82661">
              <w:rPr>
                <w:b/>
                <w:bCs/>
                <w:lang w:eastAsia="en-AU"/>
              </w:rPr>
              <w:t xml:space="preserve">1 </w:t>
            </w:r>
            <w:r w:rsidRPr="00F82661">
              <w:rPr>
                <w:rFonts w:cs="Calibri"/>
                <w:b/>
                <w:bCs/>
                <w:lang w:eastAsia="en-AU"/>
              </w:rPr>
              <w:t>607.4</w:t>
            </w:r>
          </w:p>
        </w:tc>
        <w:tc>
          <w:tcPr>
            <w:tcW w:w="861" w:type="dxa"/>
            <w:tcBorders>
              <w:top w:val="single" w:sz="6" w:space="0" w:color="auto"/>
              <w:left w:val="nil"/>
              <w:bottom w:val="single" w:sz="12" w:space="0" w:color="auto"/>
              <w:right w:val="nil"/>
            </w:tcBorders>
          </w:tcPr>
          <w:p w:rsidR="00B958B1" w:rsidRPr="00F82661" w:rsidRDefault="00B958B1" w:rsidP="009F3B54">
            <w:pPr>
              <w:pStyle w:val="TableofFigures"/>
              <w:rPr>
                <w:rFonts w:cs="Calibri"/>
                <w:b/>
                <w:bCs/>
                <w:lang w:eastAsia="en-AU"/>
              </w:rPr>
            </w:pPr>
            <w:r w:rsidRPr="00F82661">
              <w:rPr>
                <w:b/>
                <w:bCs/>
                <w:lang w:eastAsia="en-AU"/>
              </w:rPr>
              <w:t xml:space="preserve">1 </w:t>
            </w:r>
            <w:r w:rsidRPr="00F82661">
              <w:rPr>
                <w:rFonts w:cs="Calibri"/>
                <w:b/>
                <w:bCs/>
                <w:lang w:eastAsia="en-AU"/>
              </w:rPr>
              <w:t>449.9</w:t>
            </w:r>
          </w:p>
        </w:tc>
        <w:tc>
          <w:tcPr>
            <w:tcW w:w="860" w:type="dxa"/>
            <w:tcBorders>
              <w:top w:val="single" w:sz="6" w:space="0" w:color="auto"/>
              <w:left w:val="nil"/>
              <w:bottom w:val="single" w:sz="12" w:space="0" w:color="auto"/>
              <w:right w:val="nil"/>
            </w:tcBorders>
          </w:tcPr>
          <w:p w:rsidR="00B958B1" w:rsidRPr="00F82661" w:rsidRDefault="00B958B1" w:rsidP="009F3B54">
            <w:pPr>
              <w:pStyle w:val="TableofFigures"/>
              <w:rPr>
                <w:rFonts w:cs="Calibri"/>
                <w:b/>
                <w:bCs/>
                <w:lang w:eastAsia="en-AU"/>
              </w:rPr>
            </w:pPr>
            <w:r w:rsidRPr="00F82661">
              <w:rPr>
                <w:b/>
                <w:bCs/>
                <w:lang w:eastAsia="en-AU"/>
              </w:rPr>
              <w:t xml:space="preserve">1 </w:t>
            </w:r>
            <w:r w:rsidRPr="00F82661">
              <w:rPr>
                <w:rFonts w:cs="Calibri"/>
                <w:b/>
                <w:bCs/>
                <w:lang w:eastAsia="en-AU"/>
              </w:rPr>
              <w:t>460.0</w:t>
            </w:r>
          </w:p>
        </w:tc>
        <w:tc>
          <w:tcPr>
            <w:tcW w:w="861" w:type="dxa"/>
            <w:tcBorders>
              <w:top w:val="single" w:sz="6" w:space="0" w:color="auto"/>
              <w:left w:val="nil"/>
              <w:bottom w:val="single" w:sz="12" w:space="0" w:color="auto"/>
              <w:right w:val="nil"/>
            </w:tcBorders>
          </w:tcPr>
          <w:p w:rsidR="00B958B1" w:rsidRPr="00F82661" w:rsidRDefault="00B958B1" w:rsidP="009F3B54">
            <w:pPr>
              <w:pStyle w:val="TableofFigures"/>
              <w:rPr>
                <w:rFonts w:cs="Calibri"/>
                <w:b/>
                <w:bCs/>
                <w:lang w:eastAsia="en-AU"/>
              </w:rPr>
            </w:pPr>
            <w:r w:rsidRPr="00F82661">
              <w:rPr>
                <w:b/>
                <w:bCs/>
                <w:lang w:eastAsia="en-AU"/>
              </w:rPr>
              <w:t xml:space="preserve">1 </w:t>
            </w:r>
            <w:r w:rsidRPr="00F82661">
              <w:rPr>
                <w:rFonts w:cs="Calibri"/>
                <w:b/>
                <w:bCs/>
                <w:lang w:eastAsia="en-AU"/>
              </w:rPr>
              <w:t>795.6</w:t>
            </w:r>
          </w:p>
        </w:tc>
      </w:tr>
    </w:tbl>
    <w:p w:rsidR="00B958B1" w:rsidRPr="003C3673" w:rsidRDefault="00B958B1" w:rsidP="009F3B54">
      <w:pPr>
        <w:pStyle w:val="Source"/>
      </w:pPr>
      <w:r w:rsidRPr="003C3673">
        <w:t>Sources: Departments of Environment and Primary Industries and Treasury and Finance</w:t>
      </w:r>
    </w:p>
    <w:p w:rsidR="00B958B1" w:rsidRPr="008A4C30" w:rsidRDefault="00B958B1" w:rsidP="009F3B54">
      <w:pPr>
        <w:pStyle w:val="Source"/>
      </w:pPr>
      <w:r>
        <w:fldChar w:fldCharType="begin"/>
      </w:r>
      <w:r>
        <w:instrText xml:space="preserve"> XE "</w:instrText>
      </w:r>
      <w:r w:rsidRPr="00080366">
        <w:instrText>Department of Environment and Primary Industries:</w:instrText>
      </w:r>
      <w:r w:rsidRPr="004431A1">
        <w:instrText xml:space="preserve"> </w:instrText>
      </w:r>
      <w:r w:rsidRPr="00645EE7">
        <w:instrText>Income from transactions</w:instrText>
      </w:r>
      <w:r>
        <w:instrText xml:space="preserve">" </w:instrText>
      </w:r>
      <w:r>
        <w:fldChar w:fldCharType="end"/>
      </w:r>
    </w:p>
    <w:p w:rsidR="00B958B1" w:rsidRPr="003C3673" w:rsidRDefault="00B958B1" w:rsidP="009F3B54">
      <w:pPr>
        <w:pStyle w:val="Tableheading"/>
      </w:pPr>
      <w:r w:rsidRPr="003C3673">
        <w:t>Table </w:t>
      </w:r>
      <w:r>
        <w:t>2.7</w:t>
      </w:r>
      <w:r w:rsidRPr="003C3673">
        <w:t xml:space="preserve">: </w:t>
      </w:r>
      <w:r w:rsidRPr="003C3673">
        <w:tab/>
        <w:t>Parliamentary authority for resources</w:t>
      </w:r>
    </w:p>
    <w:p w:rsidR="00B958B1" w:rsidRPr="007E2688" w:rsidRDefault="00B958B1" w:rsidP="009F3B54">
      <w:pPr>
        <w:pStyle w:val="million"/>
      </w:pPr>
      <w:r w:rsidRPr="003C3673">
        <w:rPr>
          <w:lang w:eastAsia="en-AU"/>
        </w:rPr>
        <w:t>($</w:t>
      </w:r>
      <w:r>
        <w:rPr>
          <w:lang w:eastAsia="en-AU"/>
        </w:rPr>
        <w:t> million</w:t>
      </w:r>
      <w:r w:rsidRPr="003C3673">
        <w:rPr>
          <w:lang w:eastAsia="en-AU"/>
        </w:rPr>
        <w:t>)</w:t>
      </w:r>
    </w:p>
    <w:tbl>
      <w:tblPr>
        <w:tblW w:w="7776" w:type="dxa"/>
        <w:tblInd w:w="29" w:type="dxa"/>
        <w:tblLayout w:type="fixed"/>
        <w:tblCellMar>
          <w:left w:w="43" w:type="dxa"/>
          <w:right w:w="43" w:type="dxa"/>
        </w:tblCellMar>
        <w:tblLook w:val="0000" w:firstRow="0" w:lastRow="0" w:firstColumn="0" w:lastColumn="0" w:noHBand="0" w:noVBand="0"/>
      </w:tblPr>
      <w:tblGrid>
        <w:gridCol w:w="4964"/>
        <w:gridCol w:w="937"/>
        <w:gridCol w:w="937"/>
        <w:gridCol w:w="938"/>
      </w:tblGrid>
      <w:tr w:rsidR="00B958B1" w:rsidRPr="007E2688" w:rsidTr="009F3B54">
        <w:tc>
          <w:tcPr>
            <w:tcW w:w="4964" w:type="dxa"/>
            <w:tcBorders>
              <w:top w:val="single" w:sz="6" w:space="0" w:color="auto"/>
              <w:left w:val="single" w:sz="6" w:space="0" w:color="auto"/>
              <w:bottom w:val="nil"/>
              <w:right w:val="nil"/>
            </w:tcBorders>
            <w:shd w:val="clear" w:color="auto" w:fill="000000"/>
          </w:tcPr>
          <w:p w:rsidR="00B958B1" w:rsidRPr="007E2688" w:rsidRDefault="00B958B1" w:rsidP="009F3B54">
            <w:pPr>
              <w:pStyle w:val="Tabletext"/>
              <w:rPr>
                <w:lang w:eastAsia="en-AU"/>
              </w:rPr>
            </w:pPr>
            <w:r w:rsidRPr="007E2688">
              <w:rPr>
                <w:lang w:eastAsia="en-AU"/>
              </w:rPr>
              <w:t xml:space="preserve"> </w:t>
            </w:r>
          </w:p>
        </w:tc>
        <w:tc>
          <w:tcPr>
            <w:tcW w:w="937" w:type="dxa"/>
            <w:tcBorders>
              <w:top w:val="single" w:sz="6" w:space="0" w:color="auto"/>
              <w:left w:val="nil"/>
              <w:bottom w:val="nil"/>
              <w:right w:val="nil"/>
            </w:tcBorders>
            <w:shd w:val="clear" w:color="auto" w:fill="000000"/>
          </w:tcPr>
          <w:p w:rsidR="00B958B1" w:rsidRPr="007E2688" w:rsidRDefault="00B958B1" w:rsidP="009F3B54">
            <w:pPr>
              <w:pStyle w:val="Tabletextheading"/>
              <w:rPr>
                <w:lang w:eastAsia="en-AU"/>
              </w:rPr>
            </w:pPr>
            <w:r w:rsidRPr="007E2688">
              <w:rPr>
                <w:lang w:eastAsia="en-AU"/>
              </w:rPr>
              <w:t>2012</w:t>
            </w:r>
            <w:r w:rsidR="009F0F49">
              <w:rPr>
                <w:lang w:eastAsia="en-AU"/>
              </w:rPr>
              <w:noBreakHyphen/>
            </w:r>
            <w:r w:rsidRPr="007E2688">
              <w:rPr>
                <w:lang w:eastAsia="en-AU"/>
              </w:rPr>
              <w:t>13</w:t>
            </w:r>
          </w:p>
        </w:tc>
        <w:tc>
          <w:tcPr>
            <w:tcW w:w="937" w:type="dxa"/>
            <w:tcBorders>
              <w:top w:val="single" w:sz="6" w:space="0" w:color="auto"/>
              <w:left w:val="nil"/>
              <w:bottom w:val="nil"/>
              <w:right w:val="nil"/>
            </w:tcBorders>
            <w:shd w:val="clear" w:color="auto" w:fill="000000"/>
          </w:tcPr>
          <w:p w:rsidR="00B958B1" w:rsidRPr="007E2688" w:rsidRDefault="00B958B1" w:rsidP="009F3B54">
            <w:pPr>
              <w:pStyle w:val="Tabletextheading"/>
              <w:rPr>
                <w:lang w:eastAsia="en-AU"/>
              </w:rPr>
            </w:pPr>
            <w:r w:rsidRPr="007E2688">
              <w:rPr>
                <w:lang w:eastAsia="en-AU"/>
              </w:rPr>
              <w:t>2012</w:t>
            </w:r>
            <w:r w:rsidR="009F0F49">
              <w:rPr>
                <w:lang w:eastAsia="en-AU"/>
              </w:rPr>
              <w:noBreakHyphen/>
            </w:r>
            <w:r w:rsidRPr="007E2688">
              <w:rPr>
                <w:lang w:eastAsia="en-AU"/>
              </w:rPr>
              <w:t>13</w:t>
            </w:r>
          </w:p>
        </w:tc>
        <w:tc>
          <w:tcPr>
            <w:tcW w:w="938" w:type="dxa"/>
            <w:tcBorders>
              <w:top w:val="single" w:sz="6" w:space="0" w:color="auto"/>
              <w:left w:val="nil"/>
              <w:bottom w:val="nil"/>
              <w:right w:val="single" w:sz="6" w:space="0" w:color="auto"/>
            </w:tcBorders>
            <w:shd w:val="clear" w:color="auto" w:fill="000000"/>
          </w:tcPr>
          <w:p w:rsidR="00B958B1" w:rsidRPr="007E2688" w:rsidRDefault="00B958B1" w:rsidP="009F3B54">
            <w:pPr>
              <w:pStyle w:val="Tabletextheading"/>
              <w:rPr>
                <w:lang w:eastAsia="en-AU"/>
              </w:rPr>
            </w:pPr>
            <w:r w:rsidRPr="007E2688">
              <w:rPr>
                <w:lang w:eastAsia="en-AU"/>
              </w:rPr>
              <w:t>2013</w:t>
            </w:r>
            <w:r w:rsidR="009F0F49">
              <w:rPr>
                <w:lang w:eastAsia="en-AU"/>
              </w:rPr>
              <w:noBreakHyphen/>
            </w:r>
            <w:r w:rsidRPr="007E2688">
              <w:rPr>
                <w:lang w:eastAsia="en-AU"/>
              </w:rPr>
              <w:t>14</w:t>
            </w:r>
          </w:p>
        </w:tc>
      </w:tr>
      <w:tr w:rsidR="00B958B1" w:rsidRPr="007E2688" w:rsidTr="009F3B54">
        <w:tc>
          <w:tcPr>
            <w:tcW w:w="4964" w:type="dxa"/>
            <w:tcBorders>
              <w:top w:val="nil"/>
              <w:left w:val="single" w:sz="6" w:space="0" w:color="auto"/>
              <w:bottom w:val="single" w:sz="6" w:space="0" w:color="auto"/>
              <w:right w:val="nil"/>
            </w:tcBorders>
            <w:shd w:val="clear" w:color="auto" w:fill="000000"/>
          </w:tcPr>
          <w:p w:rsidR="00B958B1" w:rsidRPr="007E2688" w:rsidRDefault="00B958B1" w:rsidP="009F3B54">
            <w:pPr>
              <w:pStyle w:val="Tabletext"/>
              <w:rPr>
                <w:lang w:eastAsia="en-AU"/>
              </w:rPr>
            </w:pPr>
            <w:r w:rsidRPr="007E2688">
              <w:rPr>
                <w:lang w:eastAsia="en-AU"/>
              </w:rPr>
              <w:t xml:space="preserve"> </w:t>
            </w:r>
          </w:p>
        </w:tc>
        <w:tc>
          <w:tcPr>
            <w:tcW w:w="937" w:type="dxa"/>
            <w:tcBorders>
              <w:top w:val="nil"/>
              <w:left w:val="nil"/>
              <w:bottom w:val="single" w:sz="6" w:space="0" w:color="auto"/>
              <w:right w:val="nil"/>
            </w:tcBorders>
            <w:shd w:val="clear" w:color="auto" w:fill="000000"/>
          </w:tcPr>
          <w:p w:rsidR="00B958B1" w:rsidRPr="007E2688" w:rsidRDefault="00B958B1" w:rsidP="009F3B54">
            <w:pPr>
              <w:pStyle w:val="Tabletextheading"/>
              <w:rPr>
                <w:lang w:eastAsia="en-AU"/>
              </w:rPr>
            </w:pPr>
            <w:r w:rsidRPr="007E2688">
              <w:rPr>
                <w:lang w:eastAsia="en-AU"/>
              </w:rPr>
              <w:t>Budget</w:t>
            </w:r>
          </w:p>
        </w:tc>
        <w:tc>
          <w:tcPr>
            <w:tcW w:w="937" w:type="dxa"/>
            <w:tcBorders>
              <w:top w:val="nil"/>
              <w:left w:val="nil"/>
              <w:bottom w:val="single" w:sz="6" w:space="0" w:color="auto"/>
              <w:right w:val="nil"/>
            </w:tcBorders>
            <w:shd w:val="clear" w:color="auto" w:fill="000000"/>
          </w:tcPr>
          <w:p w:rsidR="00B958B1" w:rsidRPr="007E2688" w:rsidRDefault="00B958B1" w:rsidP="009F3B54">
            <w:pPr>
              <w:pStyle w:val="Tabletextheading"/>
              <w:rPr>
                <w:lang w:eastAsia="en-AU"/>
              </w:rPr>
            </w:pPr>
            <w:r w:rsidRPr="007E2688">
              <w:rPr>
                <w:lang w:eastAsia="en-AU"/>
              </w:rPr>
              <w:t>Revised</w:t>
            </w:r>
          </w:p>
        </w:tc>
        <w:tc>
          <w:tcPr>
            <w:tcW w:w="938" w:type="dxa"/>
            <w:tcBorders>
              <w:top w:val="nil"/>
              <w:left w:val="nil"/>
              <w:bottom w:val="single" w:sz="6" w:space="0" w:color="auto"/>
              <w:right w:val="single" w:sz="6" w:space="0" w:color="auto"/>
            </w:tcBorders>
            <w:shd w:val="clear" w:color="auto" w:fill="000000"/>
          </w:tcPr>
          <w:p w:rsidR="00B958B1" w:rsidRPr="007E2688" w:rsidRDefault="00B958B1" w:rsidP="009F3B54">
            <w:pPr>
              <w:pStyle w:val="Tabletextheading"/>
              <w:rPr>
                <w:lang w:eastAsia="en-AU"/>
              </w:rPr>
            </w:pPr>
            <w:r w:rsidRPr="007E2688">
              <w:rPr>
                <w:lang w:eastAsia="en-AU"/>
              </w:rPr>
              <w:t>Budget</w:t>
            </w:r>
          </w:p>
        </w:tc>
      </w:tr>
      <w:tr w:rsidR="00B958B1" w:rsidRPr="007E2688" w:rsidTr="009F3B54">
        <w:tc>
          <w:tcPr>
            <w:tcW w:w="4964" w:type="dxa"/>
            <w:tcBorders>
              <w:top w:val="single" w:sz="6" w:space="0" w:color="auto"/>
              <w:left w:val="nil"/>
              <w:bottom w:val="nil"/>
              <w:right w:val="nil"/>
            </w:tcBorders>
            <w:shd w:val="solid" w:color="FFFFFF" w:fill="auto"/>
          </w:tcPr>
          <w:p w:rsidR="00B958B1" w:rsidRPr="007E2688" w:rsidRDefault="00B958B1" w:rsidP="009F3B54">
            <w:pPr>
              <w:pStyle w:val="Tabletext"/>
              <w:rPr>
                <w:b/>
                <w:bCs/>
                <w:lang w:eastAsia="en-AU"/>
              </w:rPr>
            </w:pPr>
            <w:r w:rsidRPr="007E2688">
              <w:rPr>
                <w:b/>
                <w:bCs/>
                <w:lang w:eastAsia="en-AU"/>
              </w:rPr>
              <w:t>Annual appropriations</w:t>
            </w:r>
          </w:p>
        </w:tc>
        <w:tc>
          <w:tcPr>
            <w:tcW w:w="937" w:type="dxa"/>
            <w:tcBorders>
              <w:top w:val="single" w:sz="6" w:space="0" w:color="auto"/>
              <w:left w:val="nil"/>
              <w:bottom w:val="nil"/>
              <w:right w:val="nil"/>
            </w:tcBorders>
            <w:shd w:val="solid" w:color="FFFFFF" w:fill="auto"/>
          </w:tcPr>
          <w:p w:rsidR="00B958B1" w:rsidRPr="007E2688" w:rsidRDefault="00B958B1" w:rsidP="009F3B54">
            <w:pPr>
              <w:pStyle w:val="TableofFigures"/>
              <w:rPr>
                <w:rFonts w:cs="Calibri"/>
                <w:b/>
                <w:bCs/>
                <w:lang w:eastAsia="en-AU"/>
              </w:rPr>
            </w:pPr>
            <w:r w:rsidRPr="007E2688">
              <w:rPr>
                <w:b/>
                <w:bCs/>
                <w:lang w:eastAsia="en-AU"/>
              </w:rPr>
              <w:t xml:space="preserve">1 </w:t>
            </w:r>
            <w:r w:rsidRPr="007E2688">
              <w:rPr>
                <w:rFonts w:cs="Calibri"/>
                <w:b/>
                <w:bCs/>
                <w:lang w:eastAsia="en-AU"/>
              </w:rPr>
              <w:t>324.7</w:t>
            </w:r>
          </w:p>
        </w:tc>
        <w:tc>
          <w:tcPr>
            <w:tcW w:w="937" w:type="dxa"/>
            <w:tcBorders>
              <w:top w:val="single" w:sz="6" w:space="0" w:color="auto"/>
              <w:left w:val="nil"/>
              <w:bottom w:val="nil"/>
              <w:right w:val="nil"/>
            </w:tcBorders>
            <w:shd w:val="solid" w:color="FFFFFF" w:fill="auto"/>
          </w:tcPr>
          <w:p w:rsidR="00B958B1" w:rsidRPr="007E2688" w:rsidRDefault="00B958B1" w:rsidP="009F3B54">
            <w:pPr>
              <w:pStyle w:val="TableofFigures"/>
              <w:rPr>
                <w:rFonts w:cs="Calibri"/>
                <w:b/>
                <w:bCs/>
                <w:lang w:eastAsia="en-AU"/>
              </w:rPr>
            </w:pPr>
            <w:r w:rsidRPr="007E2688">
              <w:rPr>
                <w:b/>
                <w:bCs/>
                <w:lang w:eastAsia="en-AU"/>
              </w:rPr>
              <w:t xml:space="preserve">1 </w:t>
            </w:r>
            <w:r w:rsidRPr="007E2688">
              <w:rPr>
                <w:rFonts w:cs="Calibri"/>
                <w:b/>
                <w:bCs/>
                <w:lang w:eastAsia="en-AU"/>
              </w:rPr>
              <w:t>274.2</w:t>
            </w:r>
          </w:p>
        </w:tc>
        <w:tc>
          <w:tcPr>
            <w:tcW w:w="938" w:type="dxa"/>
            <w:tcBorders>
              <w:top w:val="single" w:sz="6" w:space="0" w:color="auto"/>
              <w:left w:val="nil"/>
              <w:bottom w:val="nil"/>
              <w:right w:val="nil"/>
            </w:tcBorders>
            <w:shd w:val="solid" w:color="FFFFFF" w:fill="auto"/>
          </w:tcPr>
          <w:p w:rsidR="00B958B1" w:rsidRPr="007E2688" w:rsidRDefault="00B958B1" w:rsidP="009F3B54">
            <w:pPr>
              <w:pStyle w:val="TableofFigures"/>
              <w:rPr>
                <w:rFonts w:cs="Calibri"/>
                <w:b/>
                <w:bCs/>
                <w:lang w:eastAsia="en-AU"/>
              </w:rPr>
            </w:pPr>
            <w:r w:rsidRPr="007E2688">
              <w:rPr>
                <w:b/>
                <w:bCs/>
                <w:lang w:eastAsia="en-AU"/>
              </w:rPr>
              <w:t xml:space="preserve">2 </w:t>
            </w:r>
            <w:r w:rsidRPr="007E2688">
              <w:rPr>
                <w:rFonts w:cs="Calibri"/>
                <w:b/>
                <w:bCs/>
                <w:lang w:eastAsia="en-AU"/>
              </w:rPr>
              <w:t>228.7</w:t>
            </w:r>
          </w:p>
        </w:tc>
      </w:tr>
      <w:tr w:rsidR="00B958B1" w:rsidRPr="007E2688" w:rsidTr="009F3B54">
        <w:tc>
          <w:tcPr>
            <w:tcW w:w="4964" w:type="dxa"/>
            <w:tcBorders>
              <w:top w:val="nil"/>
              <w:left w:val="nil"/>
              <w:bottom w:val="nil"/>
              <w:right w:val="nil"/>
            </w:tcBorders>
            <w:shd w:val="solid" w:color="FFFFFF" w:fill="auto"/>
          </w:tcPr>
          <w:p w:rsidR="00B958B1" w:rsidRPr="007E2688" w:rsidRDefault="00B958B1" w:rsidP="009F3B54">
            <w:pPr>
              <w:pStyle w:val="Tabletext"/>
              <w:rPr>
                <w:lang w:eastAsia="en-AU"/>
              </w:rPr>
            </w:pPr>
            <w:r w:rsidRPr="007E2688">
              <w:rPr>
                <w:lang w:eastAsia="en-AU"/>
              </w:rPr>
              <w:t xml:space="preserve"> Provision of outputs</w:t>
            </w:r>
          </w:p>
        </w:tc>
        <w:tc>
          <w:tcPr>
            <w:tcW w:w="937"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 xml:space="preserve"> 819.9</w:t>
            </w:r>
          </w:p>
        </w:tc>
        <w:tc>
          <w:tcPr>
            <w:tcW w:w="937"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 xml:space="preserve"> 835.7</w:t>
            </w:r>
          </w:p>
        </w:tc>
        <w:tc>
          <w:tcPr>
            <w:tcW w:w="938"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1 205.0</w:t>
            </w:r>
          </w:p>
        </w:tc>
      </w:tr>
      <w:tr w:rsidR="00B958B1" w:rsidRPr="007E2688" w:rsidTr="009F3B54">
        <w:tc>
          <w:tcPr>
            <w:tcW w:w="4964" w:type="dxa"/>
            <w:tcBorders>
              <w:top w:val="nil"/>
              <w:left w:val="nil"/>
              <w:bottom w:val="nil"/>
              <w:right w:val="nil"/>
            </w:tcBorders>
            <w:shd w:val="solid" w:color="FFFFFF" w:fill="auto"/>
          </w:tcPr>
          <w:p w:rsidR="00B958B1" w:rsidRPr="007E2688" w:rsidRDefault="00B958B1" w:rsidP="009F3B54">
            <w:pPr>
              <w:pStyle w:val="Tabletext"/>
              <w:rPr>
                <w:lang w:eastAsia="en-AU"/>
              </w:rPr>
            </w:pPr>
            <w:r w:rsidRPr="007E2688">
              <w:rPr>
                <w:lang w:eastAsia="en-AU"/>
              </w:rPr>
              <w:t xml:space="preserve"> Additions to the net asset base</w:t>
            </w:r>
          </w:p>
        </w:tc>
        <w:tc>
          <w:tcPr>
            <w:tcW w:w="937"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 xml:space="preserve"> 47.8</w:t>
            </w:r>
          </w:p>
        </w:tc>
        <w:tc>
          <w:tcPr>
            <w:tcW w:w="937"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( 13.0)</w:t>
            </w:r>
          </w:p>
        </w:tc>
        <w:tc>
          <w:tcPr>
            <w:tcW w:w="938"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 xml:space="preserve"> 104.4</w:t>
            </w:r>
          </w:p>
        </w:tc>
      </w:tr>
      <w:tr w:rsidR="00B958B1" w:rsidRPr="007E2688" w:rsidTr="009F3B54">
        <w:tc>
          <w:tcPr>
            <w:tcW w:w="4964" w:type="dxa"/>
            <w:tcBorders>
              <w:top w:val="nil"/>
              <w:left w:val="nil"/>
              <w:bottom w:val="nil"/>
              <w:right w:val="nil"/>
            </w:tcBorders>
            <w:shd w:val="solid" w:color="FFFFFF" w:fill="auto"/>
          </w:tcPr>
          <w:p w:rsidR="00B958B1" w:rsidRPr="007E2688" w:rsidRDefault="00B958B1" w:rsidP="009F3B54">
            <w:pPr>
              <w:pStyle w:val="Tabletext"/>
              <w:rPr>
                <w:lang w:eastAsia="en-AU"/>
              </w:rPr>
            </w:pPr>
            <w:r w:rsidRPr="007E2688">
              <w:rPr>
                <w:lang w:eastAsia="en-AU"/>
              </w:rPr>
              <w:t xml:space="preserve"> Payments made on behalf of the State</w:t>
            </w:r>
          </w:p>
        </w:tc>
        <w:tc>
          <w:tcPr>
            <w:tcW w:w="937"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 xml:space="preserve"> 457.0</w:t>
            </w:r>
          </w:p>
        </w:tc>
        <w:tc>
          <w:tcPr>
            <w:tcW w:w="937"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 xml:space="preserve"> 451.5</w:t>
            </w:r>
          </w:p>
        </w:tc>
        <w:tc>
          <w:tcPr>
            <w:tcW w:w="938"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 xml:space="preserve"> 919.3</w:t>
            </w:r>
          </w:p>
        </w:tc>
      </w:tr>
      <w:tr w:rsidR="00B958B1" w:rsidRPr="007E2688" w:rsidTr="009F3B54">
        <w:tc>
          <w:tcPr>
            <w:tcW w:w="4964" w:type="dxa"/>
            <w:tcBorders>
              <w:top w:val="nil"/>
              <w:left w:val="nil"/>
              <w:bottom w:val="nil"/>
              <w:right w:val="nil"/>
            </w:tcBorders>
            <w:shd w:val="solid" w:color="FFFFFF" w:fill="auto"/>
          </w:tcPr>
          <w:p w:rsidR="00B958B1" w:rsidRPr="007E2688" w:rsidRDefault="00B958B1" w:rsidP="009F3B54">
            <w:pPr>
              <w:pStyle w:val="Tabletext"/>
              <w:rPr>
                <w:lang w:eastAsia="en-AU"/>
              </w:rPr>
            </w:pPr>
            <w:r w:rsidRPr="007E2688">
              <w:rPr>
                <w:lang w:eastAsia="en-AU"/>
              </w:rPr>
              <w:t>Receipts credited to appropriations</w:t>
            </w:r>
          </w:p>
        </w:tc>
        <w:tc>
          <w:tcPr>
            <w:tcW w:w="937"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 xml:space="preserve"> 145.1</w:t>
            </w:r>
          </w:p>
        </w:tc>
        <w:tc>
          <w:tcPr>
            <w:tcW w:w="937"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 xml:space="preserve"> 139.6</w:t>
            </w:r>
          </w:p>
        </w:tc>
        <w:tc>
          <w:tcPr>
            <w:tcW w:w="938"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 xml:space="preserve"> 145.6</w:t>
            </w:r>
          </w:p>
        </w:tc>
      </w:tr>
      <w:tr w:rsidR="00B958B1" w:rsidRPr="007E2688" w:rsidTr="009F3B54">
        <w:tc>
          <w:tcPr>
            <w:tcW w:w="4964" w:type="dxa"/>
            <w:tcBorders>
              <w:top w:val="nil"/>
              <w:left w:val="nil"/>
              <w:bottom w:val="nil"/>
              <w:right w:val="nil"/>
            </w:tcBorders>
            <w:shd w:val="solid" w:color="FFFFFF" w:fill="auto"/>
          </w:tcPr>
          <w:p w:rsidR="00B958B1" w:rsidRPr="007E2688" w:rsidRDefault="00B958B1" w:rsidP="009F3B54">
            <w:pPr>
              <w:pStyle w:val="Tabletext"/>
              <w:rPr>
                <w:b/>
                <w:bCs/>
                <w:lang w:eastAsia="en-AU"/>
              </w:rPr>
            </w:pPr>
            <w:r w:rsidRPr="007E2688">
              <w:rPr>
                <w:b/>
                <w:bCs/>
                <w:lang w:eastAsia="en-AU"/>
              </w:rPr>
              <w:t>Unapplied previous years appropriation</w:t>
            </w:r>
          </w:p>
        </w:tc>
        <w:tc>
          <w:tcPr>
            <w:tcW w:w="937"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 xml:space="preserve"> 155.2</w:t>
            </w:r>
          </w:p>
        </w:tc>
        <w:tc>
          <w:tcPr>
            <w:tcW w:w="937"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 xml:space="preserve"> 157.7</w:t>
            </w:r>
          </w:p>
        </w:tc>
        <w:tc>
          <w:tcPr>
            <w:tcW w:w="938"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 xml:space="preserve"> 91.4</w:t>
            </w:r>
          </w:p>
        </w:tc>
      </w:tr>
      <w:tr w:rsidR="00B958B1" w:rsidRPr="007E2688" w:rsidTr="009F3B54">
        <w:tc>
          <w:tcPr>
            <w:tcW w:w="4964" w:type="dxa"/>
            <w:tcBorders>
              <w:top w:val="nil"/>
              <w:left w:val="nil"/>
              <w:bottom w:val="nil"/>
              <w:right w:val="nil"/>
            </w:tcBorders>
            <w:shd w:val="solid" w:color="FFFFFF" w:fill="auto"/>
          </w:tcPr>
          <w:p w:rsidR="00B958B1" w:rsidRPr="007E2688" w:rsidRDefault="00B958B1" w:rsidP="009F3B54">
            <w:pPr>
              <w:pStyle w:val="Tabletext"/>
              <w:rPr>
                <w:lang w:eastAsia="en-AU"/>
              </w:rPr>
            </w:pPr>
            <w:r w:rsidRPr="007E2688">
              <w:rPr>
                <w:lang w:eastAsia="en-AU"/>
              </w:rPr>
              <w:t xml:space="preserve"> Provision of outputs</w:t>
            </w:r>
          </w:p>
        </w:tc>
        <w:tc>
          <w:tcPr>
            <w:tcW w:w="937"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 xml:space="preserve"> 87.8</w:t>
            </w:r>
          </w:p>
        </w:tc>
        <w:tc>
          <w:tcPr>
            <w:tcW w:w="937"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 xml:space="preserve"> 51.6</w:t>
            </w:r>
          </w:p>
        </w:tc>
        <w:tc>
          <w:tcPr>
            <w:tcW w:w="938"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 xml:space="preserve"> 35.9</w:t>
            </w:r>
          </w:p>
        </w:tc>
      </w:tr>
      <w:tr w:rsidR="00B958B1" w:rsidRPr="007E2688" w:rsidTr="009F3B54">
        <w:tc>
          <w:tcPr>
            <w:tcW w:w="4964" w:type="dxa"/>
            <w:tcBorders>
              <w:top w:val="nil"/>
              <w:left w:val="nil"/>
              <w:bottom w:val="nil"/>
              <w:right w:val="nil"/>
            </w:tcBorders>
            <w:shd w:val="solid" w:color="FFFFFF" w:fill="auto"/>
          </w:tcPr>
          <w:p w:rsidR="00B958B1" w:rsidRPr="007E2688" w:rsidRDefault="00B958B1" w:rsidP="009F3B54">
            <w:pPr>
              <w:pStyle w:val="Tabletext"/>
              <w:rPr>
                <w:lang w:eastAsia="en-AU"/>
              </w:rPr>
            </w:pPr>
            <w:r w:rsidRPr="007E2688">
              <w:rPr>
                <w:lang w:eastAsia="en-AU"/>
              </w:rPr>
              <w:t xml:space="preserve"> Additions to the net asset base</w:t>
            </w:r>
          </w:p>
        </w:tc>
        <w:tc>
          <w:tcPr>
            <w:tcW w:w="937"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 xml:space="preserve"> 65.6</w:t>
            </w:r>
          </w:p>
        </w:tc>
        <w:tc>
          <w:tcPr>
            <w:tcW w:w="937"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 xml:space="preserve"> 106.1</w:t>
            </w:r>
          </w:p>
        </w:tc>
        <w:tc>
          <w:tcPr>
            <w:tcW w:w="938"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 xml:space="preserve"> 55.3</w:t>
            </w:r>
          </w:p>
        </w:tc>
      </w:tr>
      <w:tr w:rsidR="00B958B1" w:rsidRPr="007E2688" w:rsidTr="009F3B54">
        <w:tc>
          <w:tcPr>
            <w:tcW w:w="4964" w:type="dxa"/>
            <w:tcBorders>
              <w:top w:val="nil"/>
              <w:left w:val="nil"/>
              <w:bottom w:val="nil"/>
              <w:right w:val="nil"/>
            </w:tcBorders>
          </w:tcPr>
          <w:p w:rsidR="00B958B1" w:rsidRPr="007E2688" w:rsidRDefault="00B958B1" w:rsidP="009F3B54">
            <w:pPr>
              <w:pStyle w:val="Tabletext"/>
              <w:rPr>
                <w:lang w:eastAsia="en-AU"/>
              </w:rPr>
            </w:pPr>
            <w:r w:rsidRPr="007E2688">
              <w:rPr>
                <w:lang w:eastAsia="en-AU"/>
              </w:rPr>
              <w:t xml:space="preserve"> Payments made on behalf of the State</w:t>
            </w:r>
          </w:p>
        </w:tc>
        <w:tc>
          <w:tcPr>
            <w:tcW w:w="937" w:type="dxa"/>
            <w:tcBorders>
              <w:top w:val="nil"/>
              <w:left w:val="nil"/>
              <w:bottom w:val="nil"/>
              <w:right w:val="nil"/>
            </w:tcBorders>
          </w:tcPr>
          <w:p w:rsidR="00B958B1" w:rsidRPr="007E2688" w:rsidRDefault="00B958B1" w:rsidP="009F3B54">
            <w:pPr>
              <w:pStyle w:val="TableofFigures"/>
              <w:rPr>
                <w:lang w:eastAsia="en-AU"/>
              </w:rPr>
            </w:pPr>
            <w:r w:rsidRPr="007E2688">
              <w:rPr>
                <w:lang w:eastAsia="en-AU"/>
              </w:rPr>
              <w:t xml:space="preserve"> 1.8</w:t>
            </w:r>
          </w:p>
        </w:tc>
        <w:tc>
          <w:tcPr>
            <w:tcW w:w="937" w:type="dxa"/>
            <w:tcBorders>
              <w:top w:val="nil"/>
              <w:left w:val="nil"/>
              <w:bottom w:val="nil"/>
              <w:right w:val="nil"/>
            </w:tcBorders>
          </w:tcPr>
          <w:p w:rsidR="00B958B1" w:rsidRPr="007E2688" w:rsidRDefault="00B958B1" w:rsidP="009F3B54">
            <w:pPr>
              <w:pStyle w:val="TableofFigures"/>
              <w:rPr>
                <w:lang w:eastAsia="en-AU"/>
              </w:rPr>
            </w:pPr>
            <w:r w:rsidRPr="007E2688">
              <w:rPr>
                <w:lang w:eastAsia="en-AU"/>
              </w:rPr>
              <w:t>..</w:t>
            </w:r>
          </w:p>
        </w:tc>
        <w:tc>
          <w:tcPr>
            <w:tcW w:w="938" w:type="dxa"/>
            <w:tcBorders>
              <w:top w:val="nil"/>
              <w:left w:val="nil"/>
              <w:bottom w:val="nil"/>
              <w:right w:val="nil"/>
            </w:tcBorders>
          </w:tcPr>
          <w:p w:rsidR="00B958B1" w:rsidRPr="007E2688" w:rsidRDefault="00B958B1" w:rsidP="009F3B54">
            <w:pPr>
              <w:pStyle w:val="TableofFigures"/>
              <w:rPr>
                <w:lang w:eastAsia="en-AU"/>
              </w:rPr>
            </w:pPr>
            <w:r w:rsidRPr="007E2688">
              <w:rPr>
                <w:lang w:eastAsia="en-AU"/>
              </w:rPr>
              <w:t xml:space="preserve"> 0.3</w:t>
            </w:r>
          </w:p>
        </w:tc>
      </w:tr>
      <w:tr w:rsidR="00B958B1" w:rsidRPr="007E2688" w:rsidTr="009F3B54">
        <w:tc>
          <w:tcPr>
            <w:tcW w:w="4964" w:type="dxa"/>
            <w:tcBorders>
              <w:top w:val="nil"/>
              <w:left w:val="nil"/>
              <w:bottom w:val="single" w:sz="6" w:space="0" w:color="auto"/>
              <w:right w:val="nil"/>
            </w:tcBorders>
          </w:tcPr>
          <w:p w:rsidR="00B958B1" w:rsidRPr="007E2688" w:rsidRDefault="00B958B1" w:rsidP="009F3B54">
            <w:pPr>
              <w:pStyle w:val="Tabletext"/>
              <w:rPr>
                <w:lang w:eastAsia="en-AU"/>
              </w:rPr>
            </w:pPr>
            <w:r w:rsidRPr="007E2688">
              <w:rPr>
                <w:lang w:eastAsia="en-AU"/>
              </w:rPr>
              <w:t>Accumulated surplus – previously applied appropriation</w:t>
            </w:r>
          </w:p>
        </w:tc>
        <w:tc>
          <w:tcPr>
            <w:tcW w:w="937" w:type="dxa"/>
            <w:tcBorders>
              <w:top w:val="nil"/>
              <w:left w:val="nil"/>
              <w:bottom w:val="single" w:sz="6" w:space="0" w:color="auto"/>
              <w:right w:val="nil"/>
            </w:tcBorders>
          </w:tcPr>
          <w:p w:rsidR="00B958B1" w:rsidRPr="007E2688" w:rsidRDefault="00B958B1" w:rsidP="009F3B54">
            <w:pPr>
              <w:pStyle w:val="TableofFigures"/>
              <w:rPr>
                <w:lang w:eastAsia="en-AU"/>
              </w:rPr>
            </w:pPr>
            <w:r w:rsidRPr="007E2688">
              <w:rPr>
                <w:lang w:eastAsia="en-AU"/>
              </w:rPr>
              <w:t xml:space="preserve"> 3.8</w:t>
            </w:r>
          </w:p>
        </w:tc>
        <w:tc>
          <w:tcPr>
            <w:tcW w:w="937" w:type="dxa"/>
            <w:tcBorders>
              <w:top w:val="nil"/>
              <w:left w:val="nil"/>
              <w:bottom w:val="single" w:sz="6" w:space="0" w:color="auto"/>
              <w:right w:val="nil"/>
            </w:tcBorders>
          </w:tcPr>
          <w:p w:rsidR="00B958B1" w:rsidRPr="007E2688" w:rsidRDefault="00B958B1" w:rsidP="009F3B54">
            <w:pPr>
              <w:pStyle w:val="TableofFigures"/>
              <w:rPr>
                <w:lang w:eastAsia="en-AU"/>
              </w:rPr>
            </w:pPr>
            <w:r w:rsidRPr="007E2688">
              <w:rPr>
                <w:lang w:eastAsia="en-AU"/>
              </w:rPr>
              <w:t xml:space="preserve"> 26.0</w:t>
            </w:r>
          </w:p>
        </w:tc>
        <w:tc>
          <w:tcPr>
            <w:tcW w:w="938" w:type="dxa"/>
            <w:tcBorders>
              <w:top w:val="nil"/>
              <w:left w:val="nil"/>
              <w:bottom w:val="single" w:sz="6" w:space="0" w:color="auto"/>
              <w:right w:val="nil"/>
            </w:tcBorders>
          </w:tcPr>
          <w:p w:rsidR="00B958B1" w:rsidRPr="007E2688" w:rsidRDefault="00B958B1" w:rsidP="009F3B54">
            <w:pPr>
              <w:pStyle w:val="TableofFigures"/>
              <w:rPr>
                <w:lang w:eastAsia="en-AU"/>
              </w:rPr>
            </w:pPr>
            <w:r w:rsidRPr="007E2688">
              <w:rPr>
                <w:lang w:eastAsia="en-AU"/>
              </w:rPr>
              <w:t xml:space="preserve"> 8.3</w:t>
            </w:r>
          </w:p>
        </w:tc>
      </w:tr>
      <w:tr w:rsidR="00B958B1" w:rsidRPr="007E2688" w:rsidTr="009F3B54">
        <w:tc>
          <w:tcPr>
            <w:tcW w:w="4964" w:type="dxa"/>
            <w:tcBorders>
              <w:top w:val="nil"/>
              <w:left w:val="nil"/>
              <w:bottom w:val="nil"/>
              <w:right w:val="nil"/>
            </w:tcBorders>
          </w:tcPr>
          <w:p w:rsidR="00B958B1" w:rsidRPr="007E2688" w:rsidRDefault="00B958B1" w:rsidP="009F3B54">
            <w:pPr>
              <w:pStyle w:val="Tabletext"/>
              <w:rPr>
                <w:b/>
                <w:bCs/>
                <w:lang w:eastAsia="en-AU"/>
              </w:rPr>
            </w:pPr>
            <w:r w:rsidRPr="007E2688">
              <w:rPr>
                <w:b/>
                <w:bCs/>
                <w:lang w:eastAsia="en-AU"/>
              </w:rPr>
              <w:t>Gross annual appropriation</w:t>
            </w:r>
          </w:p>
        </w:tc>
        <w:tc>
          <w:tcPr>
            <w:tcW w:w="937" w:type="dxa"/>
            <w:tcBorders>
              <w:top w:val="single" w:sz="6" w:space="0" w:color="auto"/>
              <w:left w:val="nil"/>
              <w:bottom w:val="nil"/>
              <w:right w:val="nil"/>
            </w:tcBorders>
          </w:tcPr>
          <w:p w:rsidR="00B958B1" w:rsidRPr="007E2688" w:rsidRDefault="00B958B1" w:rsidP="009F3B54">
            <w:pPr>
              <w:pStyle w:val="TableofFigures"/>
              <w:rPr>
                <w:rFonts w:cs="Calibri"/>
                <w:b/>
                <w:bCs/>
                <w:lang w:eastAsia="en-AU"/>
              </w:rPr>
            </w:pPr>
            <w:r w:rsidRPr="007E2688">
              <w:rPr>
                <w:b/>
                <w:bCs/>
                <w:lang w:eastAsia="en-AU"/>
              </w:rPr>
              <w:t xml:space="preserve">1 </w:t>
            </w:r>
            <w:r w:rsidRPr="007E2688">
              <w:rPr>
                <w:rFonts w:cs="Calibri"/>
                <w:b/>
                <w:bCs/>
                <w:lang w:eastAsia="en-AU"/>
              </w:rPr>
              <w:t>628.8</w:t>
            </w:r>
          </w:p>
        </w:tc>
        <w:tc>
          <w:tcPr>
            <w:tcW w:w="937" w:type="dxa"/>
            <w:tcBorders>
              <w:top w:val="single" w:sz="6" w:space="0" w:color="auto"/>
              <w:left w:val="nil"/>
              <w:bottom w:val="nil"/>
              <w:right w:val="nil"/>
            </w:tcBorders>
          </w:tcPr>
          <w:p w:rsidR="00B958B1" w:rsidRPr="007E2688" w:rsidRDefault="00B958B1" w:rsidP="009F3B54">
            <w:pPr>
              <w:pStyle w:val="TableofFigures"/>
              <w:rPr>
                <w:rFonts w:cs="Calibri"/>
                <w:b/>
                <w:bCs/>
                <w:lang w:eastAsia="en-AU"/>
              </w:rPr>
            </w:pPr>
            <w:r w:rsidRPr="007E2688">
              <w:rPr>
                <w:b/>
                <w:bCs/>
                <w:lang w:eastAsia="en-AU"/>
              </w:rPr>
              <w:t xml:space="preserve">1 </w:t>
            </w:r>
            <w:r w:rsidRPr="007E2688">
              <w:rPr>
                <w:rFonts w:cs="Calibri"/>
                <w:b/>
                <w:bCs/>
                <w:lang w:eastAsia="en-AU"/>
              </w:rPr>
              <w:t>597.6</w:t>
            </w:r>
          </w:p>
        </w:tc>
        <w:tc>
          <w:tcPr>
            <w:tcW w:w="938" w:type="dxa"/>
            <w:tcBorders>
              <w:top w:val="single" w:sz="6" w:space="0" w:color="auto"/>
              <w:left w:val="nil"/>
              <w:bottom w:val="nil"/>
              <w:right w:val="nil"/>
            </w:tcBorders>
          </w:tcPr>
          <w:p w:rsidR="00B958B1" w:rsidRPr="007E2688" w:rsidRDefault="00B958B1" w:rsidP="009F3B54">
            <w:pPr>
              <w:pStyle w:val="TableofFigures"/>
              <w:rPr>
                <w:rFonts w:cs="Calibri"/>
                <w:b/>
                <w:bCs/>
                <w:lang w:eastAsia="en-AU"/>
              </w:rPr>
            </w:pPr>
            <w:r w:rsidRPr="007E2688">
              <w:rPr>
                <w:b/>
                <w:bCs/>
                <w:lang w:eastAsia="en-AU"/>
              </w:rPr>
              <w:t xml:space="preserve">2 </w:t>
            </w:r>
            <w:r w:rsidRPr="007E2688">
              <w:rPr>
                <w:rFonts w:cs="Calibri"/>
                <w:b/>
                <w:bCs/>
                <w:lang w:eastAsia="en-AU"/>
              </w:rPr>
              <w:t>474.0</w:t>
            </w:r>
          </w:p>
        </w:tc>
      </w:tr>
      <w:tr w:rsidR="00B958B1" w:rsidRPr="007E2688" w:rsidTr="009F3B54">
        <w:tc>
          <w:tcPr>
            <w:tcW w:w="4964" w:type="dxa"/>
            <w:tcBorders>
              <w:top w:val="nil"/>
              <w:left w:val="nil"/>
              <w:bottom w:val="nil"/>
              <w:right w:val="nil"/>
            </w:tcBorders>
            <w:shd w:val="solid" w:color="FFFFFF" w:fill="auto"/>
          </w:tcPr>
          <w:p w:rsidR="00B958B1" w:rsidRPr="007E2688" w:rsidRDefault="00B958B1" w:rsidP="009F3B54">
            <w:pPr>
              <w:pStyle w:val="Tabletext"/>
              <w:rPr>
                <w:lang w:eastAsia="en-AU"/>
              </w:rPr>
            </w:pPr>
            <w:r w:rsidRPr="007E2688">
              <w:rPr>
                <w:lang w:eastAsia="en-AU"/>
              </w:rPr>
              <w:t>Special appropriations</w:t>
            </w:r>
          </w:p>
        </w:tc>
        <w:tc>
          <w:tcPr>
            <w:tcW w:w="937"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w:t>
            </w:r>
          </w:p>
        </w:tc>
        <w:tc>
          <w:tcPr>
            <w:tcW w:w="937"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 xml:space="preserve"> 14.5</w:t>
            </w:r>
          </w:p>
        </w:tc>
        <w:tc>
          <w:tcPr>
            <w:tcW w:w="938" w:type="dxa"/>
            <w:tcBorders>
              <w:top w:val="nil"/>
              <w:left w:val="nil"/>
              <w:bottom w:val="nil"/>
              <w:right w:val="nil"/>
            </w:tcBorders>
            <w:shd w:val="solid" w:color="FFFFFF" w:fill="auto"/>
          </w:tcPr>
          <w:p w:rsidR="00B958B1" w:rsidRPr="007E2688" w:rsidRDefault="00B958B1" w:rsidP="009F3B54">
            <w:pPr>
              <w:pStyle w:val="TableofFigures"/>
              <w:rPr>
                <w:lang w:eastAsia="en-AU"/>
              </w:rPr>
            </w:pPr>
            <w:r w:rsidRPr="007E2688">
              <w:rPr>
                <w:lang w:eastAsia="en-AU"/>
              </w:rPr>
              <w:t>..</w:t>
            </w:r>
          </w:p>
        </w:tc>
      </w:tr>
      <w:tr w:rsidR="00B958B1" w:rsidRPr="007E2688" w:rsidTr="009F3B54">
        <w:tc>
          <w:tcPr>
            <w:tcW w:w="4964" w:type="dxa"/>
            <w:tcBorders>
              <w:top w:val="nil"/>
              <w:left w:val="nil"/>
              <w:bottom w:val="single" w:sz="6" w:space="0" w:color="auto"/>
              <w:right w:val="nil"/>
            </w:tcBorders>
            <w:shd w:val="solid" w:color="FFFFFF" w:fill="auto"/>
          </w:tcPr>
          <w:p w:rsidR="00B958B1" w:rsidRPr="007E2688" w:rsidRDefault="00B958B1" w:rsidP="009F3B54">
            <w:pPr>
              <w:pStyle w:val="Tabletext"/>
              <w:rPr>
                <w:lang w:eastAsia="en-AU"/>
              </w:rPr>
            </w:pPr>
            <w:r w:rsidRPr="007E2688">
              <w:rPr>
                <w:lang w:eastAsia="en-AU"/>
              </w:rPr>
              <w:t>Trust funds</w:t>
            </w:r>
          </w:p>
        </w:tc>
        <w:tc>
          <w:tcPr>
            <w:tcW w:w="937" w:type="dxa"/>
            <w:tcBorders>
              <w:top w:val="nil"/>
              <w:left w:val="nil"/>
              <w:bottom w:val="single" w:sz="6" w:space="0" w:color="auto"/>
              <w:right w:val="nil"/>
            </w:tcBorders>
            <w:shd w:val="solid" w:color="FFFFFF" w:fill="auto"/>
          </w:tcPr>
          <w:p w:rsidR="00B958B1" w:rsidRPr="007E2688" w:rsidRDefault="00B958B1" w:rsidP="009F3B54">
            <w:pPr>
              <w:pStyle w:val="TableofFigures"/>
              <w:rPr>
                <w:lang w:eastAsia="en-AU"/>
              </w:rPr>
            </w:pPr>
            <w:r w:rsidRPr="007E2688">
              <w:rPr>
                <w:lang w:eastAsia="en-AU"/>
              </w:rPr>
              <w:t xml:space="preserve"> 429.2</w:t>
            </w:r>
          </w:p>
        </w:tc>
        <w:tc>
          <w:tcPr>
            <w:tcW w:w="937" w:type="dxa"/>
            <w:tcBorders>
              <w:top w:val="nil"/>
              <w:left w:val="nil"/>
              <w:bottom w:val="single" w:sz="6" w:space="0" w:color="auto"/>
              <w:right w:val="nil"/>
            </w:tcBorders>
            <w:shd w:val="solid" w:color="FFFFFF" w:fill="auto"/>
          </w:tcPr>
          <w:p w:rsidR="00B958B1" w:rsidRPr="007E2688" w:rsidRDefault="00B958B1" w:rsidP="009F3B54">
            <w:pPr>
              <w:pStyle w:val="TableofFigures"/>
              <w:rPr>
                <w:lang w:eastAsia="en-AU"/>
              </w:rPr>
            </w:pPr>
            <w:r w:rsidRPr="007E2688">
              <w:rPr>
                <w:lang w:eastAsia="en-AU"/>
              </w:rPr>
              <w:t xml:space="preserve"> 443.4</w:t>
            </w:r>
          </w:p>
        </w:tc>
        <w:tc>
          <w:tcPr>
            <w:tcW w:w="938" w:type="dxa"/>
            <w:tcBorders>
              <w:top w:val="nil"/>
              <w:left w:val="nil"/>
              <w:bottom w:val="single" w:sz="6" w:space="0" w:color="auto"/>
              <w:right w:val="nil"/>
            </w:tcBorders>
            <w:shd w:val="solid" w:color="FFFFFF" w:fill="auto"/>
          </w:tcPr>
          <w:p w:rsidR="00B958B1" w:rsidRPr="007E2688" w:rsidRDefault="00B958B1" w:rsidP="009F3B54">
            <w:pPr>
              <w:pStyle w:val="TableofFigures"/>
              <w:rPr>
                <w:lang w:eastAsia="en-AU"/>
              </w:rPr>
            </w:pPr>
            <w:r w:rsidRPr="007E2688">
              <w:rPr>
                <w:lang w:eastAsia="en-AU"/>
              </w:rPr>
              <w:t xml:space="preserve"> 438.5</w:t>
            </w:r>
          </w:p>
        </w:tc>
      </w:tr>
      <w:tr w:rsidR="00B958B1" w:rsidRPr="007E2688" w:rsidTr="009F3B54">
        <w:tc>
          <w:tcPr>
            <w:tcW w:w="4964" w:type="dxa"/>
            <w:tcBorders>
              <w:top w:val="nil"/>
              <w:left w:val="nil"/>
              <w:bottom w:val="single" w:sz="12" w:space="0" w:color="auto"/>
              <w:right w:val="nil"/>
            </w:tcBorders>
            <w:shd w:val="solid" w:color="FFFFFF" w:fill="auto"/>
          </w:tcPr>
          <w:p w:rsidR="00B958B1" w:rsidRPr="007E2688" w:rsidRDefault="00B958B1" w:rsidP="009F3B54">
            <w:pPr>
              <w:pStyle w:val="Tabletext"/>
              <w:rPr>
                <w:b/>
                <w:bCs/>
                <w:lang w:eastAsia="en-AU"/>
              </w:rPr>
            </w:pPr>
            <w:r w:rsidRPr="007E2688">
              <w:rPr>
                <w:b/>
                <w:bCs/>
                <w:lang w:eastAsia="en-AU"/>
              </w:rPr>
              <w:t>Total parliamentary authority</w:t>
            </w:r>
          </w:p>
        </w:tc>
        <w:tc>
          <w:tcPr>
            <w:tcW w:w="937" w:type="dxa"/>
            <w:tcBorders>
              <w:top w:val="nil"/>
              <w:left w:val="nil"/>
              <w:bottom w:val="single" w:sz="12" w:space="0" w:color="auto"/>
              <w:right w:val="nil"/>
            </w:tcBorders>
            <w:shd w:val="solid" w:color="FFFFFF" w:fill="auto"/>
          </w:tcPr>
          <w:p w:rsidR="00B958B1" w:rsidRPr="007E2688" w:rsidRDefault="00B958B1" w:rsidP="009F3B54">
            <w:pPr>
              <w:pStyle w:val="TableofFigures"/>
              <w:rPr>
                <w:rFonts w:cs="Calibri"/>
                <w:b/>
                <w:bCs/>
                <w:lang w:eastAsia="en-AU"/>
              </w:rPr>
            </w:pPr>
            <w:r w:rsidRPr="007E2688">
              <w:rPr>
                <w:b/>
                <w:bCs/>
                <w:lang w:eastAsia="en-AU"/>
              </w:rPr>
              <w:t xml:space="preserve">2 </w:t>
            </w:r>
            <w:r w:rsidRPr="007E2688">
              <w:rPr>
                <w:rFonts w:cs="Calibri"/>
                <w:b/>
                <w:bCs/>
                <w:lang w:eastAsia="en-AU"/>
              </w:rPr>
              <w:t>058.1</w:t>
            </w:r>
          </w:p>
        </w:tc>
        <w:tc>
          <w:tcPr>
            <w:tcW w:w="937" w:type="dxa"/>
            <w:tcBorders>
              <w:top w:val="nil"/>
              <w:left w:val="nil"/>
              <w:bottom w:val="single" w:sz="12" w:space="0" w:color="auto"/>
              <w:right w:val="nil"/>
            </w:tcBorders>
            <w:shd w:val="solid" w:color="FFFFFF" w:fill="auto"/>
          </w:tcPr>
          <w:p w:rsidR="00B958B1" w:rsidRPr="007E2688" w:rsidRDefault="00B958B1" w:rsidP="009F3B54">
            <w:pPr>
              <w:pStyle w:val="TableofFigures"/>
              <w:rPr>
                <w:rFonts w:cs="Calibri"/>
                <w:b/>
                <w:bCs/>
                <w:lang w:eastAsia="en-AU"/>
              </w:rPr>
            </w:pPr>
            <w:r w:rsidRPr="007E2688">
              <w:rPr>
                <w:b/>
                <w:bCs/>
                <w:lang w:eastAsia="en-AU"/>
              </w:rPr>
              <w:t xml:space="preserve">2 </w:t>
            </w:r>
            <w:r w:rsidRPr="007E2688">
              <w:rPr>
                <w:rFonts w:cs="Calibri"/>
                <w:b/>
                <w:bCs/>
                <w:lang w:eastAsia="en-AU"/>
              </w:rPr>
              <w:t>055.5</w:t>
            </w:r>
          </w:p>
        </w:tc>
        <w:tc>
          <w:tcPr>
            <w:tcW w:w="938" w:type="dxa"/>
            <w:tcBorders>
              <w:top w:val="nil"/>
              <w:left w:val="nil"/>
              <w:bottom w:val="single" w:sz="12" w:space="0" w:color="auto"/>
              <w:right w:val="nil"/>
            </w:tcBorders>
            <w:shd w:val="solid" w:color="FFFFFF" w:fill="auto"/>
          </w:tcPr>
          <w:p w:rsidR="00B958B1" w:rsidRPr="007E2688" w:rsidRDefault="00B958B1" w:rsidP="009F3B54">
            <w:pPr>
              <w:pStyle w:val="TableofFigures"/>
              <w:rPr>
                <w:rFonts w:cs="Calibri"/>
                <w:b/>
                <w:bCs/>
                <w:lang w:eastAsia="en-AU"/>
              </w:rPr>
            </w:pPr>
            <w:r w:rsidRPr="007E2688">
              <w:rPr>
                <w:b/>
                <w:bCs/>
                <w:lang w:eastAsia="en-AU"/>
              </w:rPr>
              <w:t xml:space="preserve">2 </w:t>
            </w:r>
            <w:r w:rsidRPr="007E2688">
              <w:rPr>
                <w:rFonts w:cs="Calibri"/>
                <w:b/>
                <w:bCs/>
                <w:lang w:eastAsia="en-AU"/>
              </w:rPr>
              <w:t>912.5</w:t>
            </w:r>
          </w:p>
        </w:tc>
      </w:tr>
    </w:tbl>
    <w:p w:rsidR="00B958B1" w:rsidRDefault="00B958B1" w:rsidP="009F3B54">
      <w:pPr>
        <w:pStyle w:val="Source"/>
      </w:pPr>
      <w:r w:rsidRPr="00E44A23">
        <w:t>Sources: Departments of Environment and Primary Industries and Treasury and Finance</w:t>
      </w:r>
    </w:p>
    <w:p w:rsidR="00B958B1" w:rsidRPr="003C3673" w:rsidRDefault="00B958B1" w:rsidP="009F3B54">
      <w:pPr>
        <w:pStyle w:val="Source"/>
      </w:pPr>
      <w:r>
        <w:fldChar w:fldCharType="begin"/>
      </w:r>
      <w:r>
        <w:instrText xml:space="preserve"> XE "</w:instrText>
      </w:r>
      <w:r w:rsidRPr="00080366">
        <w:instrText>Department of Environment and Primary Industries:</w:instrText>
      </w:r>
      <w:r w:rsidRPr="004431A1">
        <w:instrText xml:space="preserve"> </w:instrText>
      </w:r>
      <w:r w:rsidRPr="003C3673">
        <w:instrText>Parliamentary authority for resources</w:instrText>
      </w:r>
      <w:r>
        <w:instrText xml:space="preserve">" </w:instrText>
      </w:r>
      <w:r>
        <w:fldChar w:fldCharType="end"/>
      </w:r>
    </w:p>
    <w:p w:rsidR="00B958B1" w:rsidRDefault="00B958B1" w:rsidP="009F3B54">
      <w:pPr>
        <w:rPr>
          <w:lang w:eastAsia="en-AU"/>
        </w:rPr>
      </w:pPr>
    </w:p>
    <w:p w:rsidR="00B958B1" w:rsidRDefault="00B958B1" w:rsidP="009F3B54">
      <w:pPr>
        <w:pStyle w:val="OGHeading1"/>
      </w:pPr>
      <w:r>
        <w:rPr>
          <w:lang w:eastAsia="en-AU"/>
        </w:rPr>
        <w:br w:type="page"/>
      </w:r>
      <w:bookmarkStart w:id="98" w:name="BP3DEPIEffectiveWaterResource"/>
      <w:r w:rsidRPr="00255B9B">
        <w:rPr>
          <w:lang w:eastAsia="en-AU"/>
        </w:rPr>
        <w:t xml:space="preserve">Effective </w:t>
      </w:r>
      <w:r w:rsidRPr="00281470">
        <w:t>management</w:t>
      </w:r>
      <w:r w:rsidRPr="00255B9B">
        <w:rPr>
          <w:lang w:eastAsia="en-AU"/>
        </w:rPr>
        <w:t xml:space="preserve"> of water resources to meet future urban, rural and environmental needs</w:t>
      </w:r>
    </w:p>
    <w:tbl>
      <w:tblPr>
        <w:tblW w:w="7776" w:type="dxa"/>
        <w:tblInd w:w="29" w:type="dxa"/>
        <w:tblBorders>
          <w:top w:val="single" w:sz="4" w:space="0" w:color="auto"/>
          <w:left w:val="single" w:sz="4" w:space="0" w:color="auto"/>
          <w:bottom w:val="single" w:sz="4" w:space="0" w:color="auto"/>
          <w:right w:val="single" w:sz="4" w:space="0" w:color="auto"/>
        </w:tblBorders>
        <w:shd w:val="clear" w:color="auto" w:fill="000000"/>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D32CA4" w:rsidTr="009F3B54">
        <w:trPr>
          <w:cantSplit/>
          <w:tblHeader/>
        </w:trPr>
        <w:tc>
          <w:tcPr>
            <w:tcW w:w="3155" w:type="dxa"/>
            <w:shd w:val="clear" w:color="auto" w:fill="000000"/>
            <w:vAlign w:val="bottom"/>
          </w:tcPr>
          <w:p w:rsidR="00B958B1" w:rsidRPr="00D32CA4" w:rsidRDefault="00B958B1" w:rsidP="009F3B54">
            <w:pPr>
              <w:pStyle w:val="OGTabColLeft"/>
              <w:rPr>
                <w:i/>
              </w:rPr>
            </w:pPr>
            <w:r w:rsidRPr="00255B9B">
              <w:rPr>
                <w:shd w:val="clear" w:color="auto" w:fill="000000"/>
              </w:rPr>
              <w:t xml:space="preserve">Major </w:t>
            </w:r>
            <w:r w:rsidRPr="00D32CA4">
              <w:t>Outputs/Deliverables</w:t>
            </w:r>
            <w:r w:rsidRPr="00D32CA4">
              <w:br/>
            </w:r>
            <w:r w:rsidRPr="001E42AF">
              <w:rPr>
                <w:b w:val="0"/>
                <w:i/>
              </w:rPr>
              <w:t>Performance measures</w:t>
            </w:r>
          </w:p>
        </w:tc>
        <w:tc>
          <w:tcPr>
            <w:tcW w:w="907" w:type="dxa"/>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3" w:type="dxa"/>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07" w:type="dxa"/>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Heading2"/>
              <w:rPr>
                <w:lang w:eastAsia="en-AU"/>
              </w:rPr>
            </w:pPr>
            <w:r w:rsidRPr="00255B9B">
              <w:rPr>
                <w:lang w:eastAsia="en-AU"/>
              </w:rPr>
              <w:t xml:space="preserve">Effective Water </w:t>
            </w:r>
            <w:r w:rsidRPr="00281470">
              <w:t>Management</w:t>
            </w:r>
            <w:r w:rsidRPr="00255B9B">
              <w:rPr>
                <w:lang w:eastAsia="en-AU"/>
              </w:rPr>
              <w:t xml:space="preserve"> and Supply</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B34C4C" w:rsidRDefault="00B958B1" w:rsidP="009F3B54">
            <w:pPr>
              <w:pStyle w:val="OGTabHead"/>
              <w:rPr>
                <w:lang w:eastAsia="en-AU"/>
              </w:rPr>
            </w:pPr>
            <w:r w:rsidRPr="00B34C4C">
              <w:rPr>
                <w:iCs/>
                <w:lang w:eastAsia="en-AU"/>
              </w:rPr>
              <w:t>Quantity</w:t>
            </w: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Area of waterway vegetation works undertaken to improve the health and resilience of waterways</w:t>
            </w:r>
          </w:p>
        </w:tc>
        <w:tc>
          <w:tcPr>
            <w:tcW w:w="907" w:type="dxa"/>
            <w:tcBorders>
              <w:top w:val="nil"/>
              <w:left w:val="nil"/>
              <w:right w:val="nil"/>
            </w:tcBorders>
            <w:shd w:val="clear" w:color="000000" w:fill="FFFFFF"/>
            <w:hideMark/>
          </w:tcPr>
          <w:p w:rsidR="00B958B1" w:rsidRPr="00255B9B" w:rsidRDefault="00B958B1" w:rsidP="009F3B54">
            <w:pPr>
              <w:pStyle w:val="OGUoM"/>
              <w:rPr>
                <w:lang w:eastAsia="en-AU"/>
              </w:rPr>
            </w:pPr>
            <w:r>
              <w:rPr>
                <w:lang w:eastAsia="en-AU"/>
              </w:rPr>
              <w:t>h</w:t>
            </w:r>
            <w:r w:rsidRPr="00255B9B">
              <w:rPr>
                <w:lang w:eastAsia="en-AU"/>
              </w:rPr>
              <w:t>ectares</w:t>
            </w:r>
          </w:p>
        </w:tc>
        <w:tc>
          <w:tcPr>
            <w:tcW w:w="907" w:type="dxa"/>
            <w:tcBorders>
              <w:top w:val="nil"/>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850</w:t>
            </w:r>
            <w:r w:rsidR="009F0F49">
              <w:rPr>
                <w:lang w:eastAsia="en-AU"/>
              </w:rPr>
              <w:noBreakHyphen/>
            </w:r>
            <w:r w:rsidRPr="00255B9B">
              <w:rPr>
                <w:lang w:eastAsia="en-AU"/>
              </w:rPr>
              <w:t>1100</w:t>
            </w:r>
          </w:p>
        </w:tc>
        <w:tc>
          <w:tcPr>
            <w:tcW w:w="993"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 xml:space="preserve">This performance measure replaces the </w:t>
            </w:r>
            <w:r>
              <w:t>‘</w:t>
            </w:r>
            <w:r w:rsidRPr="00255B9B">
              <w:t>Length of river where works have been undertaken to stabilise bank erosion</w:t>
            </w:r>
            <w:r>
              <w:t>’</w:t>
            </w:r>
            <w:r w:rsidRPr="00255B9B">
              <w:t xml:space="preserve"> performance measure. This measures assesses the same activity as the previous measure but has been amended to increase clarity and reduce the impact of adverse environmental conditions on reporting.</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Compliance with the Murray Darling Basin Agreement to maintain a balance in the Salinity Register such that the total of salinity credits is in excess of, or equal to, the total of salinity debits</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&gt;0</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27.7</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&gt;0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27.1</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Cumulative water savings (permanent reduction in irrigation distribution system delivery losses) realised through water recovery projects</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m</w:t>
            </w:r>
            <w:r w:rsidRPr="00255B9B">
              <w:rPr>
                <w:lang w:eastAsia="en-AU"/>
              </w:rPr>
              <w:t xml:space="preserve">ega </w:t>
            </w:r>
            <w:r>
              <w:rPr>
                <w:lang w:eastAsia="en-AU"/>
              </w:rPr>
              <w:t>l</w:t>
            </w:r>
            <w:r w:rsidRPr="00255B9B">
              <w:rPr>
                <w:lang w:eastAsia="en-AU"/>
              </w:rPr>
              <w:t>itres</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707</w:t>
            </w:r>
            <w:r>
              <w:rPr>
                <w:lang w:eastAsia="en-AU"/>
              </w:rPr>
              <w:t> </w:t>
            </w:r>
            <w:r w:rsidRPr="00255B9B">
              <w:rPr>
                <w:lang w:eastAsia="en-AU"/>
              </w:rPr>
              <w:t>241</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653</w:t>
            </w:r>
            <w:r>
              <w:rPr>
                <w:lang w:eastAsia="en-AU"/>
              </w:rPr>
              <w:t> </w:t>
            </w:r>
            <w:r w:rsidRPr="00255B9B">
              <w:rPr>
                <w:lang w:eastAsia="en-AU"/>
              </w:rPr>
              <w:t>052</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695</w:t>
            </w:r>
            <w:r>
              <w:rPr>
                <w:lang w:eastAsia="en-AU"/>
              </w:rPr>
              <w:t> </w:t>
            </w:r>
            <w:r w:rsidRPr="00255B9B">
              <w:rPr>
                <w:lang w:eastAsia="en-AU"/>
              </w:rPr>
              <w:t>900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585</w:t>
            </w:r>
            <w:r>
              <w:rPr>
                <w:lang w:eastAsia="en-AU"/>
              </w:rPr>
              <w:t> </w:t>
            </w:r>
            <w:r w:rsidRPr="00255B9B">
              <w:rPr>
                <w:lang w:eastAsia="en-AU"/>
              </w:rPr>
              <w:t>512</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The higher 2013</w:t>
            </w:r>
            <w:r w:rsidR="009F0F49">
              <w:noBreakHyphen/>
            </w:r>
            <w:r w:rsidRPr="00255B9B">
              <w:t xml:space="preserve">14 target reflects the cumulative </w:t>
            </w:r>
            <w:r>
              <w:t>nature</w:t>
            </w:r>
            <w:r w:rsidRPr="00255B9B">
              <w:t xml:space="preserve"> of the measure. The lower 2012</w:t>
            </w:r>
            <w:r w:rsidR="009F0F49">
              <w:noBreakHyphen/>
            </w:r>
            <w:r w:rsidRPr="00255B9B">
              <w:t xml:space="preserve">13 expected outcome is due to </w:t>
            </w:r>
            <w:r w:rsidRPr="00160881">
              <w:t>Goulburn</w:t>
            </w:r>
            <w:r w:rsidR="009F0F49">
              <w:noBreakHyphen/>
            </w:r>
            <w:r w:rsidRPr="00160881">
              <w:t xml:space="preserve">Murray Water Connections Program </w:t>
            </w:r>
            <w:r w:rsidRPr="00255B9B">
              <w:t>re</w:t>
            </w:r>
            <w:r w:rsidR="009F0F49">
              <w:noBreakHyphen/>
            </w:r>
            <w:r w:rsidRPr="00255B9B">
              <w:t>planning after agreement with Commonwealth on Stage 2</w:t>
            </w:r>
            <w:r>
              <w:t xml:space="preserve"> of the Project</w:t>
            </w:r>
            <w:r w:rsidRPr="00255B9B">
              <w:t>.</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 xml:space="preserve">Length of rivers where works have been undertaken to improve </w:t>
            </w:r>
            <w:r>
              <w:rPr>
                <w:lang w:eastAsia="en-AU"/>
              </w:rPr>
              <w:t>in</w:t>
            </w:r>
            <w:r w:rsidRPr="00255B9B">
              <w:rPr>
                <w:lang w:eastAsia="en-AU"/>
              </w:rPr>
              <w:t>stream health</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sidRPr="00255B9B">
              <w:rPr>
                <w:lang w:eastAsia="en-AU"/>
              </w:rPr>
              <w:t>km</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Pr>
                <w:lang w:eastAsia="en-AU"/>
              </w:rPr>
              <w:t>10</w:t>
            </w:r>
            <w:r w:rsidR="009F0F49">
              <w:rPr>
                <w:lang w:eastAsia="en-AU"/>
              </w:rPr>
              <w:noBreakHyphen/>
            </w:r>
            <w:r w:rsidRPr="00255B9B">
              <w:rPr>
                <w:lang w:eastAsia="en-AU"/>
              </w:rPr>
              <w:t>18</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369</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230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917.6</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The lower 2013</w:t>
            </w:r>
            <w:r w:rsidR="009F0F49">
              <w:noBreakHyphen/>
            </w:r>
            <w:r>
              <w:t>14 t</w:t>
            </w:r>
            <w:r w:rsidRPr="00255B9B">
              <w:t>arget</w:t>
            </w:r>
            <w:r>
              <w:t xml:space="preserve"> compared to the 2012</w:t>
            </w:r>
            <w:r w:rsidR="009F0F49">
              <w:noBreakHyphen/>
            </w:r>
            <w:r>
              <w:t>13 target reflects</w:t>
            </w:r>
            <w:r w:rsidRPr="00255B9B">
              <w:t xml:space="preserve"> a change in the method of measurement. The activity underlying </w:t>
            </w:r>
            <w:r>
              <w:t>the measure is the same, however</w:t>
            </w:r>
            <w:r w:rsidRPr="00255B9B">
              <w:t>, the measure now includes only direct measurement and does not include downstream impacts.</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Living Victoria Program recommendations implemented</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50</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25</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50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The lower 2012</w:t>
            </w:r>
            <w:r w:rsidR="009F0F49">
              <w:noBreakHyphen/>
            </w:r>
            <w:r w:rsidRPr="00255B9B">
              <w:t>13 expected outcome is due to a revision of the measure following the release o</w:t>
            </w:r>
            <w:r>
              <w:t>f the Office of Living Victoria</w:t>
            </w:r>
            <w:r w:rsidRPr="00255B9B">
              <w:t xml:space="preserve"> business strategy in December 2012.</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Number of community groups engaged to increase the knowledge/capacity of water management</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n</w:t>
            </w:r>
            <w:r w:rsidRPr="00255B9B">
              <w:rPr>
                <w:lang w:eastAsia="en-AU"/>
              </w:rPr>
              <w:t>umber</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45</w:t>
            </w:r>
            <w:r w:rsidR="009F0F49">
              <w:rPr>
                <w:lang w:eastAsia="en-AU"/>
              </w:rPr>
              <w:noBreakHyphen/>
            </w:r>
            <w:r w:rsidRPr="00255B9B">
              <w:rPr>
                <w:lang w:eastAsia="en-AU"/>
              </w:rPr>
              <w:t>53</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 xml:space="preserve">This performance measure replaces the </w:t>
            </w:r>
            <w:r>
              <w:t>‘</w:t>
            </w:r>
            <w:r w:rsidRPr="00255B9B">
              <w:t>Length of river where works have been undertaken to stabilise bank erosion</w:t>
            </w:r>
            <w:r>
              <w:t>’</w:t>
            </w:r>
            <w:r w:rsidRPr="00255B9B">
              <w:t xml:space="preserve"> p</w:t>
            </w:r>
            <w:r>
              <w:t>erformance measure. This measure</w:t>
            </w:r>
            <w:r w:rsidRPr="00255B9B">
              <w:t xml:space="preserve"> assesses the same activity as the previous measure but has been amended to increase clarity and reduce the impact of adverse environmental conditions on reporting</w:t>
            </w:r>
            <w:r>
              <w:t>.</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keepNext/>
              <w:rPr>
                <w:lang w:eastAsia="en-AU"/>
              </w:rPr>
            </w:pPr>
            <w:r w:rsidRPr="00255B9B">
              <w:rPr>
                <w:lang w:eastAsia="en-AU"/>
              </w:rPr>
              <w:t>Number of sites with environmental water managed to meet environmental objectives</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keepNext/>
              <w:rPr>
                <w:lang w:eastAsia="en-AU"/>
              </w:rPr>
            </w:pPr>
            <w:r>
              <w:rPr>
                <w:lang w:eastAsia="en-AU"/>
              </w:rPr>
              <w:t>n</w:t>
            </w:r>
            <w:r w:rsidRPr="00255B9B">
              <w:rPr>
                <w:lang w:eastAsia="en-AU"/>
              </w:rPr>
              <w:t>umber</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keepNext/>
              <w:rPr>
                <w:lang w:eastAsia="en-AU"/>
              </w:rPr>
            </w:pPr>
            <w:r w:rsidRPr="00255B9B">
              <w:rPr>
                <w:lang w:eastAsia="en-AU"/>
              </w:rPr>
              <w:t>53</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keepNext/>
              <w:rPr>
                <w:lang w:eastAsia="en-AU"/>
              </w:rPr>
            </w:pPr>
            <w:r w:rsidRPr="00255B9B">
              <w:rPr>
                <w:lang w:eastAsia="en-AU"/>
              </w:rPr>
              <w:t>nm</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keepNext/>
              <w:rPr>
                <w:lang w:eastAsia="en-AU"/>
              </w:rPr>
            </w:pPr>
            <w:r w:rsidRPr="00255B9B">
              <w:rPr>
                <w:lang w:eastAsia="en-AU"/>
              </w:rPr>
              <w:t>nm</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keepNext/>
              <w:rPr>
                <w:lang w:eastAsia="en-AU"/>
              </w:rPr>
            </w:pPr>
            <w:r w:rsidRPr="00255B9B">
              <w:rPr>
                <w:lang w:eastAsia="en-AU"/>
              </w:rPr>
              <w:t>nm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 xml:space="preserve">This performance measure replaces the </w:t>
            </w:r>
            <w:r>
              <w:t>‘</w:t>
            </w:r>
            <w:r w:rsidRPr="00255B9B">
              <w:t>Rivers reaches and wetland systems where environmental water has been delivered to replicate natural flow regimes and meet environmental objectives</w:t>
            </w:r>
            <w:r>
              <w:t xml:space="preserve">’ </w:t>
            </w:r>
            <w:r w:rsidRPr="00255B9B">
              <w:t>pe</w:t>
            </w:r>
            <w:r>
              <w:t>rformance measure. This measure</w:t>
            </w:r>
            <w:r w:rsidRPr="00255B9B">
              <w:t xml:space="preserve"> assesses the same activity as the previous measure but has been amended to increase clarity and reduce the impact of adverse environmental conditions on reporting.</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Other Victorian retail water entitlements (including licences to take and use water and other miscellaneous entitlements) recorded in the water register</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77</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73.5</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73.5</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70</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The higher 2013</w:t>
            </w:r>
            <w:r w:rsidR="009F0F49">
              <w:noBreakHyphen/>
            </w:r>
            <w:r w:rsidRPr="00255B9B">
              <w:t xml:space="preserve">14 </w:t>
            </w:r>
            <w:r>
              <w:t>t</w:t>
            </w:r>
            <w:r w:rsidRPr="00255B9B">
              <w:t>arget reflects increased activity to transition water entitlements to the water register.</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Rebates approved for small business for improved water efficiency</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n</w:t>
            </w:r>
            <w:r w:rsidRPr="00255B9B">
              <w:rPr>
                <w:lang w:eastAsia="en-AU"/>
              </w:rPr>
              <w:t>umber</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1</w:t>
            </w:r>
            <w:r>
              <w:rPr>
                <w:lang w:eastAsia="en-AU"/>
              </w:rPr>
              <w:t> </w:t>
            </w:r>
            <w:r w:rsidRPr="00255B9B">
              <w:rPr>
                <w:lang w:eastAsia="en-AU"/>
              </w:rPr>
              <w:t>500</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750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3</w:t>
            </w:r>
            <w:r>
              <w:rPr>
                <w:lang w:eastAsia="en-AU"/>
              </w:rPr>
              <w:t> </w:t>
            </w:r>
            <w:r w:rsidRPr="00255B9B">
              <w:rPr>
                <w:lang w:eastAsia="en-AU"/>
              </w:rPr>
              <w:t>000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78</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The 2012</w:t>
            </w:r>
            <w:r w:rsidR="009F0F49">
              <w:noBreakHyphen/>
            </w:r>
            <w:r>
              <w:t>13 expected o</w:t>
            </w:r>
            <w:r w:rsidRPr="00255B9B">
              <w:t>utcome is lower than the 201</w:t>
            </w:r>
            <w:r>
              <w:t>2</w:t>
            </w:r>
            <w:r w:rsidR="009F0F49">
              <w:noBreakHyphen/>
            </w:r>
            <w:r w:rsidRPr="00255B9B">
              <w:t>1</w:t>
            </w:r>
            <w:r>
              <w:t>3 t</w:t>
            </w:r>
            <w:r w:rsidRPr="00255B9B">
              <w:t>arget due to wetter weather. The lower 2013</w:t>
            </w:r>
            <w:r w:rsidR="009F0F49">
              <w:noBreakHyphen/>
            </w:r>
            <w:r>
              <w:t>14 t</w:t>
            </w:r>
            <w:r w:rsidRPr="00255B9B">
              <w:t>arget reflects estimated lower demand for rebates due to wetter weather.</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keepNext/>
              <w:rPr>
                <w:lang w:eastAsia="en-AU"/>
              </w:rPr>
            </w:pPr>
            <w:r w:rsidRPr="00255B9B">
              <w:rPr>
                <w:lang w:eastAsia="en-AU"/>
              </w:rPr>
              <w:t>Rebates approved to households for improved water efficiency in the house and garden</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keepNext/>
              <w:rPr>
                <w:lang w:eastAsia="en-AU"/>
              </w:rPr>
            </w:pPr>
            <w:r>
              <w:rPr>
                <w:lang w:eastAsia="en-AU"/>
              </w:rPr>
              <w:t>n</w:t>
            </w:r>
            <w:r w:rsidRPr="00255B9B">
              <w:rPr>
                <w:lang w:eastAsia="en-AU"/>
              </w:rPr>
              <w:t>umber</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keepNext/>
              <w:rPr>
                <w:lang w:eastAsia="en-AU"/>
              </w:rPr>
            </w:pPr>
            <w:r w:rsidRPr="00255B9B">
              <w:rPr>
                <w:lang w:eastAsia="en-AU"/>
              </w:rPr>
              <w:t>18</w:t>
            </w:r>
            <w:r>
              <w:rPr>
                <w:lang w:eastAsia="en-AU"/>
              </w:rPr>
              <w:t> </w:t>
            </w:r>
            <w:r w:rsidRPr="00255B9B">
              <w:rPr>
                <w:lang w:eastAsia="en-AU"/>
              </w:rPr>
              <w:t>000</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keepNext/>
              <w:rPr>
                <w:lang w:eastAsia="en-AU"/>
              </w:rPr>
            </w:pPr>
            <w:r w:rsidRPr="00255B9B">
              <w:rPr>
                <w:lang w:eastAsia="en-AU"/>
              </w:rPr>
              <w:t>18</w:t>
            </w:r>
            <w:r>
              <w:rPr>
                <w:lang w:eastAsia="en-AU"/>
              </w:rPr>
              <w:t> </w:t>
            </w:r>
            <w:r w:rsidRPr="00255B9B">
              <w:rPr>
                <w:lang w:eastAsia="en-AU"/>
              </w:rPr>
              <w:t>000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keepNext/>
              <w:rPr>
                <w:lang w:eastAsia="en-AU"/>
              </w:rPr>
            </w:pPr>
            <w:r w:rsidRPr="00255B9B">
              <w:rPr>
                <w:lang w:eastAsia="en-AU"/>
              </w:rPr>
              <w:t>30</w:t>
            </w:r>
            <w:r>
              <w:rPr>
                <w:lang w:eastAsia="en-AU"/>
              </w:rPr>
              <w:t> </w:t>
            </w:r>
            <w:r w:rsidRPr="00255B9B">
              <w:rPr>
                <w:lang w:eastAsia="en-AU"/>
              </w:rPr>
              <w:t>000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keepNext/>
              <w:rPr>
                <w:lang w:eastAsia="en-AU"/>
              </w:rPr>
            </w:pPr>
            <w:r w:rsidRPr="00255B9B">
              <w:rPr>
                <w:lang w:eastAsia="en-AU"/>
              </w:rPr>
              <w:t>18</w:t>
            </w:r>
            <w:r>
              <w:rPr>
                <w:lang w:eastAsia="en-AU"/>
              </w:rPr>
              <w:t> </w:t>
            </w:r>
            <w:r w:rsidRPr="00255B9B">
              <w:rPr>
                <w:lang w:eastAsia="en-AU"/>
              </w:rPr>
              <w:t>708</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The 2012</w:t>
            </w:r>
            <w:r w:rsidR="009F0F49">
              <w:noBreakHyphen/>
            </w:r>
            <w:r>
              <w:t>13 e</w:t>
            </w:r>
            <w:r w:rsidRPr="00255B9B">
              <w:t>xpecte</w:t>
            </w:r>
            <w:r>
              <w:t>d outcome is lower than the 2012</w:t>
            </w:r>
            <w:r w:rsidR="009F0F49">
              <w:noBreakHyphen/>
            </w:r>
            <w:r>
              <w:t>13 t</w:t>
            </w:r>
            <w:r w:rsidRPr="00255B9B">
              <w:t>arget due to wetter weather. The lower 2013</w:t>
            </w:r>
            <w:r w:rsidR="009F0F49">
              <w:noBreakHyphen/>
            </w:r>
            <w:r>
              <w:t>14 t</w:t>
            </w:r>
            <w:r w:rsidRPr="00255B9B">
              <w:t>arget reflects estimated lower demand for rebates due to wetter weather.</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Victorian water shares (entitlements to a share of water in large rural storages)</w:t>
            </w:r>
            <w:r>
              <w:rPr>
                <w:lang w:eastAsia="en-AU"/>
              </w:rPr>
              <w:t xml:space="preserve"> </w:t>
            </w:r>
            <w:r w:rsidRPr="00255B9B">
              <w:rPr>
                <w:lang w:eastAsia="en-AU"/>
              </w:rPr>
              <w:t>recorded in the water register</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100</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Water information products delivered for greater accountability in sustainable water resource management</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w:t>
            </w:r>
            <w:r w:rsidRPr="00255B9B">
              <w:rPr>
                <w:lang w:eastAsia="en-AU"/>
              </w:rPr>
              <w:t>umber</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5</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5</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5</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5</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Quality</w:t>
            </w: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Bulk water entitlements/environmental entitlements being complied with to ensure security of supply, environmental flows and compliance with caps</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100</w:t>
            </w:r>
          </w:p>
        </w:tc>
        <w:tc>
          <w:tcPr>
            <w:tcW w:w="993"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100</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100</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100</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Timeliness</w:t>
            </w: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 xml:space="preserve">Statutory obligations of Water Corporations complied with, including annual reports and audits, corporate plans, and exercises under the </w:t>
            </w:r>
            <w:r w:rsidRPr="00160881">
              <w:rPr>
                <w:i/>
                <w:lang w:eastAsia="en-AU"/>
              </w:rPr>
              <w:t>Terrorism (Community Protection) Act 2003</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100</w:t>
            </w:r>
          </w:p>
        </w:tc>
        <w:tc>
          <w:tcPr>
            <w:tcW w:w="993"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100</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100</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100</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Cost</w:t>
            </w: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4862B0"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Total output cost</w:t>
            </w:r>
          </w:p>
        </w:tc>
        <w:tc>
          <w:tcPr>
            <w:tcW w:w="907" w:type="dxa"/>
            <w:tcBorders>
              <w:top w:val="nil"/>
              <w:left w:val="nil"/>
              <w:right w:val="nil"/>
            </w:tcBorders>
            <w:shd w:val="clear" w:color="000000" w:fill="FFFFFF"/>
            <w:hideMark/>
          </w:tcPr>
          <w:p w:rsidR="00B958B1" w:rsidRPr="00255B9B" w:rsidRDefault="00B958B1" w:rsidP="009F3B54">
            <w:pPr>
              <w:pStyle w:val="OGUoM"/>
              <w:rPr>
                <w:lang w:eastAsia="en-AU"/>
              </w:rPr>
            </w:pPr>
            <w:r>
              <w:rPr>
                <w:lang w:eastAsia="en-AU"/>
              </w:rPr>
              <w:t>$ million</w:t>
            </w:r>
          </w:p>
        </w:tc>
        <w:tc>
          <w:tcPr>
            <w:tcW w:w="907" w:type="dxa"/>
            <w:tcBorders>
              <w:top w:val="nil"/>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34</w:t>
            </w:r>
            <w:r>
              <w:rPr>
                <w:lang w:eastAsia="en-AU"/>
              </w:rPr>
              <w:t>3</w:t>
            </w:r>
            <w:r w:rsidRPr="00255B9B">
              <w:rPr>
                <w:lang w:eastAsia="en-AU"/>
              </w:rPr>
              <w:t>.7</w:t>
            </w:r>
          </w:p>
        </w:tc>
        <w:tc>
          <w:tcPr>
            <w:tcW w:w="993"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279.9</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278.1</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273.1</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12" w:space="0" w:color="auto"/>
              <w:right w:val="nil"/>
            </w:tcBorders>
            <w:shd w:val="clear" w:color="auto" w:fill="auto"/>
            <w:vAlign w:val="bottom"/>
            <w:hideMark/>
          </w:tcPr>
          <w:p w:rsidR="00B958B1" w:rsidRPr="00255B9B" w:rsidRDefault="00B958B1" w:rsidP="009F3B54">
            <w:pPr>
              <w:pStyle w:val="OGNotes"/>
            </w:pPr>
            <w:r w:rsidRPr="00255B9B">
              <w:t>The higher 2013</w:t>
            </w:r>
            <w:r w:rsidR="009F0F49">
              <w:noBreakHyphen/>
            </w:r>
            <w:r w:rsidRPr="00255B9B">
              <w:t xml:space="preserve">14 budget is due to stage </w:t>
            </w:r>
            <w:r>
              <w:t xml:space="preserve">2 of the </w:t>
            </w:r>
            <w:r w:rsidRPr="00160881">
              <w:t>Goulburn</w:t>
            </w:r>
            <w:r w:rsidR="009F0F49">
              <w:noBreakHyphen/>
            </w:r>
            <w:r w:rsidRPr="00160881">
              <w:t>Murray Water Connections Program</w:t>
            </w:r>
            <w:r w:rsidRPr="00255B9B">
              <w:t>.</w:t>
            </w:r>
          </w:p>
        </w:tc>
      </w:tr>
    </w:tbl>
    <w:p w:rsidR="00B958B1" w:rsidRDefault="00B958B1" w:rsidP="009F3B54">
      <w:pPr>
        <w:pStyle w:val="Source"/>
      </w:pPr>
      <w:r>
        <w:t xml:space="preserve">Source: </w:t>
      </w:r>
      <w:r w:rsidRPr="0002334A">
        <w:t xml:space="preserve">Department </w:t>
      </w:r>
      <w:r>
        <w:t>o</w:t>
      </w:r>
      <w:r w:rsidRPr="0002334A">
        <w:t xml:space="preserve">f </w:t>
      </w:r>
      <w:r>
        <w:t xml:space="preserve">Environment and </w:t>
      </w:r>
      <w:r w:rsidRPr="000B036B">
        <w:t>Primary Industries</w:t>
      </w:r>
    </w:p>
    <w:p w:rsidR="00B958B1" w:rsidRDefault="00B958B1" w:rsidP="009F3B54">
      <w:pPr>
        <w:pStyle w:val="Source"/>
      </w:pPr>
      <w:r>
        <w:fldChar w:fldCharType="begin"/>
      </w:r>
      <w:r>
        <w:instrText xml:space="preserve"> XE "</w:instrText>
      </w:r>
      <w:r w:rsidRPr="00393F91">
        <w:instrText xml:space="preserve">Department of Environment and Primary Industries:Effective </w:instrText>
      </w:r>
      <w:r>
        <w:instrText>M</w:instrText>
      </w:r>
      <w:r w:rsidRPr="00393F91">
        <w:instrText xml:space="preserve">anagement of </w:instrText>
      </w:r>
      <w:r>
        <w:instrText>W</w:instrText>
      </w:r>
      <w:r w:rsidRPr="00393F91">
        <w:instrText xml:space="preserve">ater </w:instrText>
      </w:r>
      <w:r>
        <w:instrText>R</w:instrText>
      </w:r>
      <w:r w:rsidRPr="00393F91">
        <w:instrText xml:space="preserve">esources to meet </w:instrText>
      </w:r>
      <w:r>
        <w:instrText>F</w:instrText>
      </w:r>
      <w:r w:rsidRPr="00393F91">
        <w:instrText xml:space="preserve">uture </w:instrText>
      </w:r>
      <w:r>
        <w:instrText>U</w:instrText>
      </w:r>
      <w:r w:rsidRPr="00393F91">
        <w:instrText xml:space="preserve">rban, </w:instrText>
      </w:r>
      <w:r>
        <w:instrText>R</w:instrText>
      </w:r>
      <w:r w:rsidRPr="00393F91">
        <w:instrText xml:space="preserve">ural and </w:instrText>
      </w:r>
      <w:r>
        <w:instrText>E</w:instrText>
      </w:r>
      <w:r w:rsidRPr="00393F91">
        <w:instrText xml:space="preserve">nvironmental </w:instrText>
      </w:r>
      <w:r>
        <w:instrText>N</w:instrText>
      </w:r>
      <w:r w:rsidRPr="00393F91">
        <w:instrText>eeds</w:instrText>
      </w:r>
      <w:r>
        <w:instrText xml:space="preserve">" \r "BP3DEPIEffectiveWaterResource" </w:instrText>
      </w:r>
      <w:r>
        <w:fldChar w:fldCharType="end"/>
      </w:r>
    </w:p>
    <w:bookmarkEnd w:id="98"/>
    <w:p w:rsidR="00B958B1" w:rsidRPr="00B44D1B" w:rsidRDefault="00B958B1" w:rsidP="009F3B54"/>
    <w:p w:rsidR="00B958B1" w:rsidRPr="00631242" w:rsidRDefault="00B958B1" w:rsidP="009F3B54">
      <w:pPr>
        <w:pStyle w:val="OGHeading1"/>
      </w:pPr>
      <w:r>
        <w:rPr>
          <w:rFonts w:ascii="Garamond" w:hAnsi="Garamond"/>
          <w:b w:val="0"/>
          <w:sz w:val="22"/>
          <w:szCs w:val="20"/>
        </w:rPr>
        <w:br w:type="page"/>
      </w:r>
      <w:bookmarkStart w:id="99" w:name="BP3DEPICommunityBenefits"/>
      <w:r w:rsidRPr="00631242">
        <w:t>The community benefits from effective management of Victoria</w:t>
      </w:r>
      <w:r>
        <w:t>’</w:t>
      </w:r>
      <w:r w:rsidRPr="00631242">
        <w:t>s land assets</w:t>
      </w:r>
    </w:p>
    <w:tbl>
      <w:tblPr>
        <w:tblW w:w="7776" w:type="dxa"/>
        <w:tblInd w:w="29" w:type="dxa"/>
        <w:tblBorders>
          <w:top w:val="single" w:sz="4" w:space="0" w:color="auto"/>
          <w:left w:val="single" w:sz="4" w:space="0" w:color="auto"/>
          <w:bottom w:val="single" w:sz="4" w:space="0" w:color="auto"/>
          <w:right w:val="single" w:sz="4" w:space="0" w:color="auto"/>
        </w:tblBorders>
        <w:shd w:val="clear" w:color="auto" w:fill="000000"/>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D32CA4" w:rsidTr="009F3B54">
        <w:trPr>
          <w:cantSplit/>
          <w:tblHeader/>
        </w:trPr>
        <w:tc>
          <w:tcPr>
            <w:tcW w:w="3155" w:type="dxa"/>
            <w:shd w:val="clear" w:color="auto" w:fill="000000"/>
            <w:vAlign w:val="bottom"/>
          </w:tcPr>
          <w:p w:rsidR="00B958B1" w:rsidRPr="00D32CA4" w:rsidRDefault="00B958B1" w:rsidP="009F3B54">
            <w:pPr>
              <w:pStyle w:val="OGTabColLeft"/>
              <w:rPr>
                <w:i/>
              </w:rPr>
            </w:pPr>
            <w:r w:rsidRPr="00255B9B">
              <w:rPr>
                <w:shd w:val="clear" w:color="auto" w:fill="000000"/>
              </w:rPr>
              <w:t xml:space="preserve">Major </w:t>
            </w:r>
            <w:r w:rsidRPr="00D32CA4">
              <w:t>Outputs/Deliverables</w:t>
            </w:r>
            <w:r w:rsidRPr="00D32CA4">
              <w:br/>
            </w:r>
            <w:r w:rsidRPr="001E42AF">
              <w:rPr>
                <w:b w:val="0"/>
                <w:i/>
              </w:rPr>
              <w:t>Performance measures</w:t>
            </w:r>
          </w:p>
        </w:tc>
        <w:tc>
          <w:tcPr>
            <w:tcW w:w="907" w:type="dxa"/>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3" w:type="dxa"/>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07" w:type="dxa"/>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Heading2"/>
              <w:rPr>
                <w:lang w:eastAsia="en-AU"/>
              </w:rPr>
            </w:pPr>
            <w:r w:rsidRPr="00255B9B">
              <w:rPr>
                <w:lang w:eastAsia="en-AU"/>
              </w:rPr>
              <w:t>Public Land</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Quantity</w:t>
            </w: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Crown land leases directly managed by the Department of Environment and Primary Industries</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w:t>
            </w:r>
            <w:r w:rsidRPr="00255B9B">
              <w:rPr>
                <w:lang w:eastAsia="en-AU"/>
              </w:rPr>
              <w:t>umber</w:t>
            </w:r>
          </w:p>
        </w:tc>
        <w:tc>
          <w:tcPr>
            <w:tcW w:w="907" w:type="dxa"/>
            <w:tcBorders>
              <w:top w:val="nil"/>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684</w:t>
            </w:r>
          </w:p>
        </w:tc>
        <w:tc>
          <w:tcPr>
            <w:tcW w:w="993"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684</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684</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702</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Crown land licenses directly managed by the Department of Environment and Primary Industries</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w:t>
            </w:r>
            <w:r w:rsidRPr="00255B9B">
              <w:rPr>
                <w:lang w:eastAsia="en-AU"/>
              </w:rPr>
              <w:t>umber (000)</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43</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43</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43</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43.9</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Maps generated on Land Channel</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n</w:t>
            </w:r>
            <w:r w:rsidRPr="00255B9B">
              <w:rPr>
                <w:lang w:eastAsia="en-AU"/>
              </w:rPr>
              <w:t>umber</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19</w:t>
            </w:r>
            <w:r>
              <w:rPr>
                <w:lang w:eastAsia="en-AU"/>
              </w:rPr>
              <w:t> </w:t>
            </w:r>
            <w:r w:rsidRPr="00255B9B">
              <w:rPr>
                <w:lang w:eastAsia="en-AU"/>
              </w:rPr>
              <w:t>000</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19</w:t>
            </w:r>
            <w:r>
              <w:rPr>
                <w:lang w:eastAsia="en-AU"/>
              </w:rPr>
              <w:t> </w:t>
            </w:r>
            <w:r w:rsidRPr="00255B9B">
              <w:rPr>
                <w:lang w:eastAsia="en-AU"/>
              </w:rPr>
              <w:t>000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19</w:t>
            </w:r>
            <w:r>
              <w:rPr>
                <w:lang w:eastAsia="en-AU"/>
              </w:rPr>
              <w:t> </w:t>
            </w:r>
            <w:r w:rsidRPr="00255B9B">
              <w:rPr>
                <w:lang w:eastAsia="en-AU"/>
              </w:rPr>
              <w:t>000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18</w:t>
            </w:r>
            <w:r>
              <w:rPr>
                <w:lang w:eastAsia="en-AU"/>
              </w:rPr>
              <w:t> </w:t>
            </w:r>
            <w:r w:rsidRPr="00255B9B">
              <w:rPr>
                <w:lang w:eastAsia="en-AU"/>
              </w:rPr>
              <w:t>500</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 xml:space="preserve">In response to machinery of government changes, this measure </w:t>
            </w:r>
            <w:r>
              <w:t>has been transferred from the former Department of Sustainability and Environment, Land Administration and Property Information output.</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Number of activities undertaken by Coastcare Victoria participants</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w:t>
            </w:r>
            <w:r w:rsidRPr="00255B9B">
              <w:rPr>
                <w:lang w:eastAsia="en-AU"/>
              </w:rPr>
              <w:t>umber</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600</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600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600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Reports generated on Land Channel</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n</w:t>
            </w:r>
            <w:r w:rsidRPr="00255B9B">
              <w:rPr>
                <w:lang w:eastAsia="en-AU"/>
              </w:rPr>
              <w:t>umber</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1</w:t>
            </w:r>
            <w:r>
              <w:rPr>
                <w:lang w:eastAsia="en-AU"/>
              </w:rPr>
              <w:t> </w:t>
            </w:r>
            <w:r w:rsidRPr="00255B9B">
              <w:rPr>
                <w:lang w:eastAsia="en-AU"/>
              </w:rPr>
              <w:t>800</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w:t>
            </w:r>
            <w:r>
              <w:rPr>
                <w:lang w:eastAsia="en-AU"/>
              </w:rPr>
              <w:t> </w:t>
            </w:r>
            <w:r w:rsidRPr="00255B9B">
              <w:rPr>
                <w:lang w:eastAsia="en-AU"/>
              </w:rPr>
              <w:t>800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w:t>
            </w:r>
            <w:r>
              <w:rPr>
                <w:lang w:eastAsia="en-AU"/>
              </w:rPr>
              <w:t> </w:t>
            </w:r>
            <w:r w:rsidRPr="00255B9B">
              <w:rPr>
                <w:lang w:eastAsia="en-AU"/>
              </w:rPr>
              <w:t>800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w:t>
            </w:r>
            <w:r>
              <w:rPr>
                <w:lang w:eastAsia="en-AU"/>
              </w:rPr>
              <w:t> </w:t>
            </w:r>
            <w:r w:rsidRPr="00255B9B">
              <w:rPr>
                <w:lang w:eastAsia="en-AU"/>
              </w:rPr>
              <w:t>930</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 xml:space="preserve">In response to machinery of government changes, this measure </w:t>
            </w:r>
            <w:r>
              <w:t>has been transferred from the former Department of Sustainability and Environment, Land Administration and Property Information output.</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Threatened native species and communities for which specifically targeted conservation measures are in place at Royal Botanic Gardens</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sidRPr="00255B9B">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8</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8</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8</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8</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Visitors to Zoos Victoria at Melbourne, Werribee and Healesville</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sidRPr="00255B9B">
              <w:rPr>
                <w:lang w:eastAsia="en-AU"/>
              </w:rPr>
              <w:t>number (million)</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1.89</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1.85</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1.85</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1.8</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The higher 2013</w:t>
            </w:r>
            <w:r w:rsidR="009F0F49">
              <w:noBreakHyphen/>
            </w:r>
            <w:r>
              <w:t>14 t</w:t>
            </w:r>
            <w:r w:rsidRPr="00255B9B">
              <w:t xml:space="preserve">arget </w:t>
            </w:r>
            <w:r>
              <w:t xml:space="preserve">accounts for </w:t>
            </w:r>
            <w:r w:rsidRPr="00255B9B">
              <w:t>the Government</w:t>
            </w:r>
            <w:r>
              <w:t>’</w:t>
            </w:r>
            <w:r w:rsidRPr="00255B9B">
              <w:t>s Free Zoos for Children Under 16 policy.</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Quality</w:t>
            </w: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Audited Vicmap digital map base not requiring correction</w:t>
            </w:r>
          </w:p>
        </w:tc>
        <w:tc>
          <w:tcPr>
            <w:tcW w:w="907" w:type="dxa"/>
            <w:tcBorders>
              <w:top w:val="nil"/>
              <w:left w:val="nil"/>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nil"/>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97</w:t>
            </w:r>
          </w:p>
        </w:tc>
        <w:tc>
          <w:tcPr>
            <w:tcW w:w="993"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99</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97</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98</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 xml:space="preserve">In response to machinery of government changes, this measure </w:t>
            </w:r>
            <w:r>
              <w:t>has been transferred from the former Department of Sustainability and Environment, Land Administration and Property Information output.</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Foreshore protection assets around Port Phillip and Western</w:t>
            </w:r>
            <w:r>
              <w:rPr>
                <w:lang w:eastAsia="en-AU"/>
              </w:rPr>
              <w:t xml:space="preserve"> P</w:t>
            </w:r>
            <w:r w:rsidRPr="00255B9B">
              <w:rPr>
                <w:lang w:eastAsia="en-AU"/>
              </w:rPr>
              <w:t xml:space="preserve">ort Bays rated as </w:t>
            </w:r>
            <w:r>
              <w:rPr>
                <w:lang w:eastAsia="en-AU"/>
              </w:rPr>
              <w:t>‘</w:t>
            </w:r>
            <w:r w:rsidRPr="00255B9B">
              <w:rPr>
                <w:lang w:eastAsia="en-AU"/>
              </w:rPr>
              <w:t>good</w:t>
            </w:r>
            <w:r>
              <w:rPr>
                <w:lang w:eastAsia="en-AU"/>
              </w:rPr>
              <w:t>’</w:t>
            </w:r>
            <w:r w:rsidRPr="00255B9B">
              <w:rPr>
                <w:lang w:eastAsia="en-AU"/>
              </w:rPr>
              <w:t xml:space="preserve"> to </w:t>
            </w:r>
            <w:r>
              <w:rPr>
                <w:lang w:eastAsia="en-AU"/>
              </w:rPr>
              <w:t>‘</w:t>
            </w:r>
            <w:r w:rsidRPr="00255B9B">
              <w:rPr>
                <w:lang w:eastAsia="en-AU"/>
              </w:rPr>
              <w:t>very good</w:t>
            </w:r>
            <w:r>
              <w:rPr>
                <w:lang w:eastAsia="en-AU"/>
              </w:rPr>
              <w:t>’</w:t>
            </w:r>
            <w:r w:rsidRPr="00255B9B">
              <w:rPr>
                <w:lang w:eastAsia="en-AU"/>
              </w:rPr>
              <w:t xml:space="preserve"> condition</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80</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80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80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keepNext/>
              <w:rPr>
                <w:lang w:eastAsia="en-AU"/>
              </w:rPr>
            </w:pPr>
            <w:r w:rsidRPr="00255B9B">
              <w:rPr>
                <w:lang w:eastAsia="en-AU"/>
              </w:rPr>
              <w:t>Publicly elected Committees of Management that have a current statutory appointment</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keepNext/>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keepNext/>
              <w:rPr>
                <w:lang w:eastAsia="en-AU"/>
              </w:rPr>
            </w:pPr>
            <w:r w:rsidRPr="00255B9B">
              <w:rPr>
                <w:lang w:eastAsia="en-AU"/>
              </w:rPr>
              <w:t>95</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keepNext/>
              <w:rPr>
                <w:lang w:eastAsia="en-AU"/>
              </w:rPr>
            </w:pPr>
            <w:r w:rsidRPr="00255B9B">
              <w:rPr>
                <w:lang w:eastAsia="en-AU"/>
              </w:rPr>
              <w:t>95</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keepNext/>
              <w:rPr>
                <w:lang w:eastAsia="en-AU"/>
              </w:rPr>
            </w:pPr>
            <w:r w:rsidRPr="00255B9B">
              <w:rPr>
                <w:lang w:eastAsia="en-AU"/>
              </w:rPr>
              <w:t>95</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keepNext/>
              <w:rPr>
                <w:lang w:eastAsia="en-AU"/>
              </w:rPr>
            </w:pPr>
            <w:r w:rsidRPr="00255B9B">
              <w:rPr>
                <w:lang w:eastAsia="en-AU"/>
              </w:rPr>
              <w:t>91.7</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Timeliness</w:t>
            </w: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Rent reviews of Crown land leases undertaken within specified time frames</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95</w:t>
            </w:r>
          </w:p>
        </w:tc>
        <w:tc>
          <w:tcPr>
            <w:tcW w:w="993"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95</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95</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98.8</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Update transactions for the Vicmap digital map base processed within the required timeframes</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98</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98</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98</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99</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 xml:space="preserve">In response to machinery of government changes, this measure </w:t>
            </w:r>
            <w:r>
              <w:t>has been transferred from the former Department of Sustainability and Environment, Land Administration and Property Information output.</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Cost</w:t>
            </w: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Total output cost</w:t>
            </w:r>
          </w:p>
        </w:tc>
        <w:tc>
          <w:tcPr>
            <w:tcW w:w="907" w:type="dxa"/>
            <w:tcBorders>
              <w:top w:val="nil"/>
              <w:left w:val="nil"/>
              <w:right w:val="nil"/>
            </w:tcBorders>
            <w:shd w:val="clear" w:color="000000" w:fill="FFFFFF"/>
            <w:hideMark/>
          </w:tcPr>
          <w:p w:rsidR="00B958B1" w:rsidRPr="00255B9B" w:rsidRDefault="00B958B1" w:rsidP="009F3B54">
            <w:pPr>
              <w:pStyle w:val="OGUoM"/>
              <w:rPr>
                <w:lang w:eastAsia="en-AU"/>
              </w:rPr>
            </w:pPr>
            <w:r>
              <w:rPr>
                <w:lang w:eastAsia="en-AU"/>
              </w:rPr>
              <w:t>$ million</w:t>
            </w:r>
          </w:p>
        </w:tc>
        <w:tc>
          <w:tcPr>
            <w:tcW w:w="907" w:type="dxa"/>
            <w:tcBorders>
              <w:top w:val="nil"/>
              <w:left w:val="nil"/>
              <w:right w:val="nil"/>
            </w:tcBorders>
            <w:shd w:val="clear" w:color="auto" w:fill="D9D9D9"/>
            <w:hideMark/>
          </w:tcPr>
          <w:p w:rsidR="00B958B1" w:rsidRPr="00255B9B" w:rsidRDefault="00B958B1" w:rsidP="009F3B54">
            <w:pPr>
              <w:pStyle w:val="OGTableofFigures"/>
              <w:rPr>
                <w:lang w:eastAsia="en-AU"/>
              </w:rPr>
            </w:pPr>
            <w:r>
              <w:rPr>
                <w:lang w:eastAsia="en-AU"/>
              </w:rPr>
              <w:t>118.9</w:t>
            </w:r>
          </w:p>
        </w:tc>
        <w:tc>
          <w:tcPr>
            <w:tcW w:w="993"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115</w:t>
            </w:r>
            <w:r>
              <w:rPr>
                <w:lang w:eastAsia="en-AU"/>
              </w:rPr>
              <w:t>.0</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107.5</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138.3</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The higher 2013</w:t>
            </w:r>
            <w:r w:rsidR="009F0F49">
              <w:noBreakHyphen/>
            </w:r>
            <w:r w:rsidRPr="00255B9B">
              <w:t>14 budget is due to the transfer of Spatial Services into the Public Land output due to machinery of government changes. The higher 2012</w:t>
            </w:r>
            <w:r w:rsidR="009F0F49">
              <w:noBreakHyphen/>
            </w:r>
            <w:r w:rsidRPr="00255B9B">
              <w:t xml:space="preserve">13 </w:t>
            </w:r>
            <w:r>
              <w:t xml:space="preserve">expected outcome </w:t>
            </w:r>
            <w:r w:rsidRPr="00255B9B">
              <w:t>is due to payments from the Small Scale Community Support Fund, a transfer of asset funding to output funding for ports and risk mitigation and a carryover of 2011</w:t>
            </w:r>
            <w:r w:rsidR="009F0F49">
              <w:noBreakHyphen/>
            </w:r>
            <w:r w:rsidRPr="00255B9B">
              <w:t>12 funding for the protection of beaches and foreshores.</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631242" w:rsidRDefault="00B958B1" w:rsidP="009F3B54">
            <w:pPr>
              <w:pStyle w:val="OGHeading2"/>
            </w:pPr>
            <w:r w:rsidRPr="00631242">
              <w:t>Forests and Parks</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Quantity</w:t>
            </w: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Number of hectares treated to minimise the impact of pest plants, pest animals and overabundant native animals in parks managed by Parks Victoria</w:t>
            </w:r>
          </w:p>
        </w:tc>
        <w:tc>
          <w:tcPr>
            <w:tcW w:w="907" w:type="dxa"/>
            <w:tcBorders>
              <w:top w:val="nil"/>
              <w:left w:val="nil"/>
              <w:right w:val="nil"/>
            </w:tcBorders>
            <w:shd w:val="clear" w:color="000000" w:fill="FFFFFF"/>
            <w:hideMark/>
          </w:tcPr>
          <w:p w:rsidR="00B958B1" w:rsidRPr="00255B9B" w:rsidRDefault="00B958B1" w:rsidP="009F3B54">
            <w:pPr>
              <w:pStyle w:val="OGUoM"/>
              <w:rPr>
                <w:lang w:eastAsia="en-AU"/>
              </w:rPr>
            </w:pPr>
            <w:r w:rsidRPr="00255B9B">
              <w:rPr>
                <w:lang w:eastAsia="en-AU"/>
              </w:rPr>
              <w:t>hectares</w:t>
            </w:r>
          </w:p>
        </w:tc>
        <w:tc>
          <w:tcPr>
            <w:tcW w:w="907" w:type="dxa"/>
            <w:tcBorders>
              <w:top w:val="nil"/>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1200</w:t>
            </w:r>
          </w:p>
        </w:tc>
        <w:tc>
          <w:tcPr>
            <w:tcW w:w="993"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1309</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1309</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964</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left w:val="nil"/>
              <w:bottom w:val="single" w:sz="6" w:space="0" w:color="auto"/>
              <w:right w:val="nil"/>
            </w:tcBorders>
            <w:shd w:val="clear" w:color="000000" w:fill="FFFFFF"/>
          </w:tcPr>
          <w:p w:rsidR="00B958B1" w:rsidRPr="00255B9B" w:rsidRDefault="00B958B1" w:rsidP="009F3B54">
            <w:pPr>
              <w:pStyle w:val="OGNotes"/>
            </w:pPr>
            <w:r>
              <w:t>The 2013</w:t>
            </w:r>
            <w:r w:rsidR="009F0F49">
              <w:noBreakHyphen/>
            </w:r>
            <w:r>
              <w:t>14 target is lower than the 2012</w:t>
            </w:r>
            <w:r w:rsidR="009F0F49">
              <w:noBreakHyphen/>
            </w:r>
            <w:r>
              <w:t>13 target as it reflects a return to the long</w:t>
            </w:r>
            <w:r w:rsidR="009F0F49">
              <w:noBreakHyphen/>
            </w:r>
            <w:r>
              <w:t>term average treatment area after the rephasing of activity in 2012</w:t>
            </w:r>
            <w:r w:rsidR="009F0F49">
              <w:noBreakHyphen/>
            </w:r>
            <w:r>
              <w:t>13.</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Number of visits to Parks Victoria managed estate</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number</w:t>
            </w:r>
            <w:r w:rsidRPr="00255B9B">
              <w:rPr>
                <w:lang w:eastAsia="en-AU"/>
              </w:rPr>
              <w:t xml:space="preserve"> (million)</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88</w:t>
            </w:r>
            <w:r w:rsidR="009F0F49">
              <w:rPr>
                <w:lang w:eastAsia="en-AU"/>
              </w:rPr>
              <w:noBreakHyphen/>
            </w:r>
            <w:r w:rsidRPr="00255B9B">
              <w:rPr>
                <w:lang w:eastAsia="en-AU"/>
              </w:rPr>
              <w:t>92</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88</w:t>
            </w:r>
            <w:r w:rsidR="009F0F49">
              <w:rPr>
                <w:lang w:eastAsia="en-AU"/>
              </w:rPr>
              <w:noBreakHyphen/>
            </w:r>
            <w:r w:rsidRPr="00255B9B">
              <w:rPr>
                <w:lang w:eastAsia="en-AU"/>
              </w:rPr>
              <w:t>92</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90</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Total area of estate managed by Parks Victoria</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h</w:t>
            </w:r>
            <w:r w:rsidRPr="00255B9B">
              <w:rPr>
                <w:lang w:eastAsia="en-AU"/>
              </w:rPr>
              <w:t>ectares (000)</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4</w:t>
            </w:r>
            <w:r>
              <w:rPr>
                <w:lang w:eastAsia="en-AU"/>
              </w:rPr>
              <w:t> </w:t>
            </w:r>
            <w:r w:rsidRPr="00255B9B">
              <w:rPr>
                <w:lang w:eastAsia="en-AU"/>
              </w:rPr>
              <w:t>086</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4086</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4</w:t>
            </w:r>
            <w:r>
              <w:rPr>
                <w:lang w:eastAsia="en-AU"/>
              </w:rPr>
              <w:t> </w:t>
            </w:r>
            <w:r w:rsidRPr="00255B9B">
              <w:rPr>
                <w:lang w:eastAsia="en-AU"/>
              </w:rPr>
              <w:t>084</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4</w:t>
            </w:r>
            <w:r>
              <w:rPr>
                <w:lang w:eastAsia="en-AU"/>
              </w:rPr>
              <w:t> </w:t>
            </w:r>
            <w:r w:rsidRPr="00255B9B">
              <w:rPr>
                <w:lang w:eastAsia="en-AU"/>
              </w:rPr>
              <w:t>086</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left w:val="nil"/>
              <w:bottom w:val="single" w:sz="6" w:space="0" w:color="auto"/>
              <w:right w:val="nil"/>
            </w:tcBorders>
            <w:shd w:val="clear" w:color="000000" w:fill="FFFFFF"/>
          </w:tcPr>
          <w:p w:rsidR="00B958B1" w:rsidRPr="00255B9B" w:rsidRDefault="00B958B1" w:rsidP="009F3B54">
            <w:pPr>
              <w:pStyle w:val="OGNotes"/>
            </w:pPr>
            <w:r>
              <w:t>The 2013</w:t>
            </w:r>
            <w:r w:rsidR="009F0F49">
              <w:noBreakHyphen/>
            </w:r>
            <w:r>
              <w:t>14 target is higher than the 2012</w:t>
            </w:r>
            <w:r w:rsidR="009F0F49">
              <w:noBreakHyphen/>
            </w:r>
            <w:r>
              <w:t>13 target due to the acquisition of additional parks estate.</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Quality</w:t>
            </w: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Bay assets rated in average to excellent condition</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65</w:t>
            </w:r>
          </w:p>
        </w:tc>
        <w:tc>
          <w:tcPr>
            <w:tcW w:w="993"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65</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65</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65</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Level of compliance with environmental regulatory framework for commercial timber operations as required by the Forest Audit Program</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90</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99</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Park assets rated in average to excellent condition</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80</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80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80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79.6</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Recreational facilities in state forests with a life expectancy greater than five years</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70</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70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70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70</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Cost</w:t>
            </w: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Total output cost</w:t>
            </w:r>
          </w:p>
        </w:tc>
        <w:tc>
          <w:tcPr>
            <w:tcW w:w="907" w:type="dxa"/>
            <w:tcBorders>
              <w:top w:val="nil"/>
              <w:left w:val="nil"/>
              <w:right w:val="nil"/>
            </w:tcBorders>
            <w:shd w:val="clear" w:color="000000" w:fill="FFFFFF"/>
            <w:hideMark/>
          </w:tcPr>
          <w:p w:rsidR="00B958B1" w:rsidRPr="00255B9B" w:rsidRDefault="00B958B1" w:rsidP="009F3B54">
            <w:pPr>
              <w:pStyle w:val="OGUoM"/>
              <w:rPr>
                <w:lang w:eastAsia="en-AU"/>
              </w:rPr>
            </w:pPr>
            <w:r>
              <w:rPr>
                <w:lang w:eastAsia="en-AU"/>
              </w:rPr>
              <w:t>$ million</w:t>
            </w:r>
          </w:p>
        </w:tc>
        <w:tc>
          <w:tcPr>
            <w:tcW w:w="907" w:type="dxa"/>
            <w:tcBorders>
              <w:top w:val="nil"/>
              <w:left w:val="nil"/>
              <w:right w:val="nil"/>
            </w:tcBorders>
            <w:shd w:val="clear" w:color="auto" w:fill="D9D9D9"/>
            <w:hideMark/>
          </w:tcPr>
          <w:p w:rsidR="00B958B1" w:rsidRPr="00255B9B" w:rsidRDefault="00B958B1" w:rsidP="009F3B54">
            <w:pPr>
              <w:pStyle w:val="OGTableofFigures"/>
              <w:rPr>
                <w:lang w:eastAsia="en-AU"/>
              </w:rPr>
            </w:pPr>
            <w:r>
              <w:rPr>
                <w:lang w:eastAsia="en-AU"/>
              </w:rPr>
              <w:t>181.7</w:t>
            </w:r>
          </w:p>
        </w:tc>
        <w:tc>
          <w:tcPr>
            <w:tcW w:w="993"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191.9</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179.6</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231.8</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12" w:space="0" w:color="auto"/>
              <w:right w:val="nil"/>
            </w:tcBorders>
            <w:shd w:val="clear" w:color="auto" w:fill="auto"/>
            <w:vAlign w:val="bottom"/>
            <w:hideMark/>
          </w:tcPr>
          <w:p w:rsidR="00B958B1" w:rsidRPr="00255B9B" w:rsidRDefault="00B958B1" w:rsidP="009F3B54">
            <w:pPr>
              <w:pStyle w:val="OGNotes"/>
            </w:pPr>
            <w:r w:rsidRPr="00255B9B">
              <w:t>The higher 2012</w:t>
            </w:r>
            <w:r w:rsidR="009F0F49">
              <w:noBreakHyphen/>
            </w:r>
            <w:r w:rsidRPr="00255B9B">
              <w:t xml:space="preserve">13 </w:t>
            </w:r>
            <w:r>
              <w:t xml:space="preserve">expected outcome </w:t>
            </w:r>
            <w:r w:rsidRPr="00255B9B">
              <w:t>is primarily due to a revision of depreciation costs. </w:t>
            </w:r>
          </w:p>
        </w:tc>
      </w:tr>
    </w:tbl>
    <w:p w:rsidR="00B958B1" w:rsidRDefault="00B958B1" w:rsidP="009F3B54">
      <w:pPr>
        <w:pStyle w:val="Source"/>
      </w:pPr>
      <w:r>
        <w:t xml:space="preserve">Source: </w:t>
      </w:r>
      <w:r w:rsidRPr="0002334A">
        <w:t xml:space="preserve">Department </w:t>
      </w:r>
      <w:r>
        <w:t>o</w:t>
      </w:r>
      <w:r w:rsidRPr="0002334A">
        <w:t xml:space="preserve">f </w:t>
      </w:r>
      <w:r>
        <w:t xml:space="preserve">Environment and </w:t>
      </w:r>
      <w:r w:rsidRPr="000B036B">
        <w:t>Primary Industries</w:t>
      </w:r>
    </w:p>
    <w:p w:rsidR="00B958B1" w:rsidRPr="00CB6FDA" w:rsidRDefault="00B958B1" w:rsidP="009F3B54">
      <w:pPr>
        <w:pStyle w:val="Source"/>
      </w:pPr>
      <w:r>
        <w:fldChar w:fldCharType="begin"/>
      </w:r>
      <w:r>
        <w:instrText xml:space="preserve"> XE "</w:instrText>
      </w:r>
      <w:r w:rsidRPr="004E7340">
        <w:instrText xml:space="preserve">Department of Environment and Primary Industries:The </w:instrText>
      </w:r>
      <w:r>
        <w:instrText>C</w:instrText>
      </w:r>
      <w:r w:rsidRPr="004E7340">
        <w:instrText xml:space="preserve">ommunity </w:instrText>
      </w:r>
      <w:r>
        <w:instrText>B</w:instrText>
      </w:r>
      <w:r w:rsidRPr="004E7340">
        <w:instrText xml:space="preserve">enefits from </w:instrText>
      </w:r>
      <w:r>
        <w:instrText>E</w:instrText>
      </w:r>
      <w:r w:rsidRPr="004E7340">
        <w:instrText xml:space="preserve">ffective </w:instrText>
      </w:r>
      <w:r>
        <w:instrText>M</w:instrText>
      </w:r>
      <w:r w:rsidRPr="004E7340">
        <w:instrText>anagement of Victoria</w:instrText>
      </w:r>
      <w:r>
        <w:instrText>’</w:instrText>
      </w:r>
      <w:r w:rsidRPr="004E7340">
        <w:instrText xml:space="preserve">s </w:instrText>
      </w:r>
      <w:r>
        <w:instrText>L</w:instrText>
      </w:r>
      <w:r w:rsidRPr="004E7340">
        <w:instrText xml:space="preserve">and </w:instrText>
      </w:r>
      <w:r>
        <w:instrText>A</w:instrText>
      </w:r>
      <w:r w:rsidRPr="004E7340">
        <w:instrText>ssets</w:instrText>
      </w:r>
      <w:r>
        <w:instrText xml:space="preserve">" \r "BP3DEPICommunityBenefits" </w:instrText>
      </w:r>
      <w:r>
        <w:fldChar w:fldCharType="end"/>
      </w:r>
      <w:bookmarkEnd w:id="99"/>
    </w:p>
    <w:p w:rsidR="00B958B1" w:rsidRDefault="00B958B1" w:rsidP="009F3B54"/>
    <w:p w:rsidR="00B958B1" w:rsidRDefault="00B958B1" w:rsidP="009F3B54">
      <w:pPr>
        <w:pStyle w:val="OGHeading1"/>
      </w:pPr>
      <w:r>
        <w:rPr>
          <w:rFonts w:ascii="Garamond" w:hAnsi="Garamond"/>
          <w:sz w:val="22"/>
          <w:szCs w:val="20"/>
        </w:rPr>
        <w:br w:type="page"/>
      </w:r>
      <w:bookmarkStart w:id="100" w:name="BP3DEPIEnviroAdaptation"/>
      <w:r w:rsidRPr="00255B9B">
        <w:rPr>
          <w:lang w:eastAsia="en-AU"/>
        </w:rPr>
        <w:t>Effective Environmental and</w:t>
      </w:r>
      <w:r>
        <w:rPr>
          <w:lang w:eastAsia="en-AU"/>
        </w:rPr>
        <w:t xml:space="preserve"> </w:t>
      </w:r>
      <w:r w:rsidRPr="00255B9B">
        <w:rPr>
          <w:lang w:eastAsia="en-AU"/>
        </w:rPr>
        <w:t>Adaptation Policy, Investment and Regulations</w:t>
      </w:r>
    </w:p>
    <w:tbl>
      <w:tblPr>
        <w:tblW w:w="7776" w:type="dxa"/>
        <w:tblInd w:w="29" w:type="dxa"/>
        <w:tblBorders>
          <w:top w:val="single" w:sz="4" w:space="0" w:color="auto"/>
          <w:left w:val="single" w:sz="4" w:space="0" w:color="auto"/>
          <w:bottom w:val="single" w:sz="4" w:space="0" w:color="auto"/>
          <w:right w:val="single" w:sz="4" w:space="0" w:color="auto"/>
        </w:tblBorders>
        <w:shd w:val="clear" w:color="auto" w:fill="000000"/>
        <w:tblLayout w:type="fixed"/>
        <w:tblCellMar>
          <w:left w:w="43" w:type="dxa"/>
          <w:right w:w="43" w:type="dxa"/>
        </w:tblCellMar>
        <w:tblLook w:val="04A0" w:firstRow="1" w:lastRow="0" w:firstColumn="1" w:lastColumn="0" w:noHBand="0" w:noVBand="1"/>
      </w:tblPr>
      <w:tblGrid>
        <w:gridCol w:w="3155"/>
        <w:gridCol w:w="120"/>
        <w:gridCol w:w="787"/>
        <w:gridCol w:w="907"/>
        <w:gridCol w:w="993"/>
        <w:gridCol w:w="907"/>
        <w:gridCol w:w="907"/>
      </w:tblGrid>
      <w:tr w:rsidR="00B958B1" w:rsidRPr="00D32CA4" w:rsidTr="009F3B54">
        <w:trPr>
          <w:cantSplit/>
          <w:tblHeader/>
        </w:trPr>
        <w:tc>
          <w:tcPr>
            <w:tcW w:w="3155" w:type="dxa"/>
            <w:shd w:val="clear" w:color="auto" w:fill="000000"/>
            <w:vAlign w:val="bottom"/>
          </w:tcPr>
          <w:p w:rsidR="00B958B1" w:rsidRPr="00D32CA4" w:rsidRDefault="00B958B1" w:rsidP="009F3B54">
            <w:pPr>
              <w:pStyle w:val="OGTabColLeft"/>
              <w:rPr>
                <w:i/>
              </w:rPr>
            </w:pPr>
            <w:r w:rsidRPr="00255B9B">
              <w:rPr>
                <w:shd w:val="clear" w:color="auto" w:fill="000000"/>
              </w:rPr>
              <w:t xml:space="preserve">Major </w:t>
            </w:r>
            <w:r w:rsidRPr="00D32CA4">
              <w:t>Outputs/Deliverables</w:t>
            </w:r>
            <w:r w:rsidRPr="00D32CA4">
              <w:br/>
            </w:r>
            <w:r w:rsidRPr="00E65A11">
              <w:rPr>
                <w:b w:val="0"/>
                <w:i/>
              </w:rPr>
              <w:t>Performance measures</w:t>
            </w:r>
          </w:p>
        </w:tc>
        <w:tc>
          <w:tcPr>
            <w:tcW w:w="907" w:type="dxa"/>
            <w:gridSpan w:val="2"/>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3" w:type="dxa"/>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07" w:type="dxa"/>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7"/>
            <w:tcBorders>
              <w:top w:val="nil"/>
              <w:left w:val="nil"/>
              <w:bottom w:val="single" w:sz="6" w:space="0" w:color="auto"/>
              <w:right w:val="nil"/>
            </w:tcBorders>
            <w:shd w:val="clear" w:color="auto" w:fill="auto"/>
            <w:vAlign w:val="bottom"/>
            <w:hideMark/>
          </w:tcPr>
          <w:p w:rsidR="00B958B1" w:rsidRPr="00255B9B" w:rsidRDefault="00B958B1" w:rsidP="009F3B54">
            <w:pPr>
              <w:pStyle w:val="OGHeading2"/>
              <w:rPr>
                <w:lang w:eastAsia="en-AU"/>
              </w:rPr>
            </w:pPr>
            <w:r w:rsidRPr="00255B9B">
              <w:rPr>
                <w:lang w:eastAsia="en-AU"/>
              </w:rPr>
              <w:t>Environmental Programs</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Quantity</w:t>
            </w:r>
          </w:p>
        </w:tc>
        <w:tc>
          <w:tcPr>
            <w:tcW w:w="907" w:type="dxa"/>
            <w:gridSpan w:val="2"/>
            <w:tcBorders>
              <w:top w:val="single" w:sz="6" w:space="0" w:color="auto"/>
              <w:left w:val="nil"/>
              <w:bottom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Area covered by the regional land health projects</w:t>
            </w:r>
          </w:p>
        </w:tc>
        <w:tc>
          <w:tcPr>
            <w:tcW w:w="907" w:type="dxa"/>
            <w:gridSpan w:val="2"/>
            <w:tcBorders>
              <w:top w:val="nil"/>
              <w:left w:val="nil"/>
              <w:right w:val="nil"/>
            </w:tcBorders>
            <w:shd w:val="clear" w:color="000000" w:fill="FFFFFF"/>
            <w:hideMark/>
          </w:tcPr>
          <w:p w:rsidR="00B958B1" w:rsidRPr="00255B9B" w:rsidRDefault="00B958B1" w:rsidP="009F3B54">
            <w:pPr>
              <w:pStyle w:val="OGUoM"/>
              <w:rPr>
                <w:lang w:eastAsia="en-AU"/>
              </w:rPr>
            </w:pPr>
            <w:r>
              <w:rPr>
                <w:lang w:eastAsia="en-AU"/>
              </w:rPr>
              <w:t>h</w:t>
            </w:r>
            <w:r w:rsidRPr="00255B9B">
              <w:rPr>
                <w:lang w:eastAsia="en-AU"/>
              </w:rPr>
              <w:t>ectares (million)</w:t>
            </w:r>
          </w:p>
        </w:tc>
        <w:tc>
          <w:tcPr>
            <w:tcW w:w="907" w:type="dxa"/>
            <w:tcBorders>
              <w:top w:val="nil"/>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0.47</w:t>
            </w:r>
          </w:p>
        </w:tc>
        <w:tc>
          <w:tcPr>
            <w:tcW w:w="993"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0.46</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1.37</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1.37</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7"/>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The lower 2012</w:t>
            </w:r>
            <w:r w:rsidR="009F0F49">
              <w:noBreakHyphen/>
            </w:r>
            <w:r>
              <w:t>13 expected o</w:t>
            </w:r>
            <w:r w:rsidRPr="00255B9B">
              <w:t>utcome and 2013</w:t>
            </w:r>
            <w:r w:rsidR="009F0F49">
              <w:noBreakHyphen/>
            </w:r>
            <w:r>
              <w:t>14 t</w:t>
            </w:r>
            <w:r w:rsidRPr="00255B9B">
              <w:t>arget are due to wetter weather conditions shifting the focus of landholders to production issues.</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Area of revegetation protected or enhanced through DEPI supported Landcare activities</w:t>
            </w:r>
          </w:p>
        </w:tc>
        <w:tc>
          <w:tcPr>
            <w:tcW w:w="907" w:type="dxa"/>
            <w:gridSpan w:val="2"/>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h</w:t>
            </w:r>
            <w:r w:rsidRPr="00255B9B">
              <w:rPr>
                <w:lang w:eastAsia="en-AU"/>
              </w:rPr>
              <w:t>ectares</w:t>
            </w:r>
            <w:r>
              <w:rPr>
                <w:lang w:eastAsia="en-AU"/>
              </w:rPr>
              <w:t xml:space="preserve"> </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1</w:t>
            </w:r>
            <w:r>
              <w:rPr>
                <w:lang w:eastAsia="en-AU"/>
              </w:rPr>
              <w:t> </w:t>
            </w:r>
            <w:r w:rsidRPr="00255B9B">
              <w:rPr>
                <w:lang w:eastAsia="en-AU"/>
              </w:rPr>
              <w:t>200</w:t>
            </w:r>
            <w:r>
              <w:rPr>
                <w:lang w:eastAsia="en-AU"/>
              </w:rPr>
              <w:t>–</w:t>
            </w:r>
            <w:r w:rsidRPr="00255B9B">
              <w:rPr>
                <w:lang w:eastAsia="en-AU"/>
              </w:rPr>
              <w:t>1</w:t>
            </w:r>
            <w:r>
              <w:rPr>
                <w:lang w:eastAsia="en-AU"/>
              </w:rPr>
              <w:t> </w:t>
            </w:r>
            <w:r w:rsidRPr="00255B9B">
              <w:rPr>
                <w:lang w:eastAsia="en-AU"/>
              </w:rPr>
              <w:t>600</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Landcare members and community volunteers participating in Landcare activities</w:t>
            </w:r>
          </w:p>
        </w:tc>
        <w:tc>
          <w:tcPr>
            <w:tcW w:w="907" w:type="dxa"/>
            <w:gridSpan w:val="2"/>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81</w:t>
            </w:r>
            <w:r>
              <w:rPr>
                <w:lang w:eastAsia="en-AU"/>
              </w:rPr>
              <w:t> </w:t>
            </w:r>
            <w:r w:rsidRPr="00255B9B">
              <w:rPr>
                <w:lang w:eastAsia="en-AU"/>
              </w:rPr>
              <w:t>000</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81</w:t>
            </w:r>
            <w:r>
              <w:rPr>
                <w:lang w:eastAsia="en-AU"/>
              </w:rPr>
              <w:t> </w:t>
            </w:r>
            <w:r w:rsidRPr="00255B9B">
              <w:rPr>
                <w:lang w:eastAsia="en-AU"/>
              </w:rPr>
              <w:t>000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81</w:t>
            </w:r>
            <w:r>
              <w:rPr>
                <w:lang w:eastAsia="en-AU"/>
              </w:rPr>
              <w:t> </w:t>
            </w:r>
            <w:r w:rsidRPr="00255B9B">
              <w:rPr>
                <w:lang w:eastAsia="en-AU"/>
              </w:rPr>
              <w:t>000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81</w:t>
            </w:r>
            <w:r>
              <w:rPr>
                <w:lang w:eastAsia="en-AU"/>
              </w:rPr>
              <w:t> </w:t>
            </w:r>
            <w:r w:rsidRPr="00255B9B">
              <w:rPr>
                <w:lang w:eastAsia="en-AU"/>
              </w:rPr>
              <w:t>000</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Native Vegetation Credit Trading Agreements (which produce potential offsets to clearing of native vegetation) signed through the BushBroker program</w:t>
            </w:r>
          </w:p>
        </w:tc>
        <w:tc>
          <w:tcPr>
            <w:tcW w:w="907" w:type="dxa"/>
            <w:gridSpan w:val="2"/>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60</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60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60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53</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Regional land health projects being implemented</w:t>
            </w:r>
          </w:p>
        </w:tc>
        <w:tc>
          <w:tcPr>
            <w:tcW w:w="907" w:type="dxa"/>
            <w:gridSpan w:val="2"/>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15</w:t>
            </w:r>
            <w:r w:rsidR="009F0F49">
              <w:rPr>
                <w:lang w:eastAsia="en-AU"/>
              </w:rPr>
              <w:noBreakHyphen/>
            </w:r>
            <w:r w:rsidRPr="00255B9B">
              <w:rPr>
                <w:lang w:eastAsia="en-AU"/>
              </w:rPr>
              <w:t>18</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16</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15</w:t>
            </w:r>
            <w:r w:rsidR="009F0F49">
              <w:rPr>
                <w:lang w:eastAsia="en-AU"/>
              </w:rPr>
              <w:noBreakHyphen/>
            </w:r>
            <w:r w:rsidRPr="00255B9B">
              <w:rPr>
                <w:lang w:eastAsia="en-AU"/>
              </w:rPr>
              <w:t>18</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16</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Quality</w:t>
            </w:r>
          </w:p>
        </w:tc>
        <w:tc>
          <w:tcPr>
            <w:tcW w:w="907" w:type="dxa"/>
            <w:gridSpan w:val="2"/>
            <w:tcBorders>
              <w:top w:val="single" w:sz="6" w:space="0" w:color="auto"/>
              <w:left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Corporate plans submitted by Catchment Management Authorities are aligned with Ministerial guidelines and template, and meet the requirement of relevant Acts</w:t>
            </w:r>
          </w:p>
        </w:tc>
        <w:tc>
          <w:tcPr>
            <w:tcW w:w="907" w:type="dxa"/>
            <w:gridSpan w:val="2"/>
            <w:tcBorders>
              <w:top w:val="nil"/>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100</w:t>
            </w:r>
          </w:p>
        </w:tc>
        <w:tc>
          <w:tcPr>
            <w:tcW w:w="993"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100</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100</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100</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Presentations made and scientific publications in peer reviewed journals</w:t>
            </w:r>
          </w:p>
        </w:tc>
        <w:tc>
          <w:tcPr>
            <w:tcW w:w="907" w:type="dxa"/>
            <w:gridSpan w:val="2"/>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60</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60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60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65</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Timeliness</w:t>
            </w:r>
          </w:p>
        </w:tc>
        <w:tc>
          <w:tcPr>
            <w:tcW w:w="907" w:type="dxa"/>
            <w:gridSpan w:val="2"/>
            <w:tcBorders>
              <w:top w:val="single" w:sz="6" w:space="0" w:color="auto"/>
              <w:left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Catchment Management Authority corporate plans submitted to the Minister by the prescribed date</w:t>
            </w:r>
          </w:p>
        </w:tc>
        <w:tc>
          <w:tcPr>
            <w:tcW w:w="907" w:type="dxa"/>
            <w:gridSpan w:val="2"/>
            <w:tcBorders>
              <w:top w:val="nil"/>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nil"/>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10</w:t>
            </w:r>
          </w:p>
        </w:tc>
        <w:tc>
          <w:tcPr>
            <w:tcW w:w="993"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10</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10</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10</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Planning referrals relating to native vegetation processed within statutory timeframes</w:t>
            </w:r>
          </w:p>
        </w:tc>
        <w:tc>
          <w:tcPr>
            <w:tcW w:w="907" w:type="dxa"/>
            <w:gridSpan w:val="2"/>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80</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87</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80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82.5</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Wildlife Licence renewals processed by target dates</w:t>
            </w:r>
          </w:p>
        </w:tc>
        <w:tc>
          <w:tcPr>
            <w:tcW w:w="907" w:type="dxa"/>
            <w:gridSpan w:val="2"/>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96</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98</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96</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99</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7"/>
            <w:tcBorders>
              <w:left w:val="nil"/>
              <w:bottom w:val="single" w:sz="6" w:space="0" w:color="auto"/>
              <w:right w:val="nil"/>
            </w:tcBorders>
            <w:shd w:val="clear" w:color="000000" w:fill="FFFFFF"/>
          </w:tcPr>
          <w:p w:rsidR="00B958B1" w:rsidRPr="00255B9B" w:rsidRDefault="00B958B1" w:rsidP="009F3B54">
            <w:pPr>
              <w:pStyle w:val="OGNotes"/>
            </w:pPr>
            <w:r>
              <w:t>This measure edits the 2012</w:t>
            </w:r>
            <w:r w:rsidR="009F0F49">
              <w:noBreakHyphen/>
            </w:r>
            <w:r>
              <w:t>13 performance measure ‘Game and Wildlife Licence renewals processed by target dates’. This is in response to the transfer of responsibilities for Game Licence renewals to the Development of Primary Industries output.</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Total output cost</w:t>
            </w:r>
          </w:p>
        </w:tc>
        <w:tc>
          <w:tcPr>
            <w:tcW w:w="907" w:type="dxa"/>
            <w:gridSpan w:val="2"/>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 million</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Pr>
                <w:lang w:eastAsia="en-AU"/>
              </w:rPr>
              <w:t>109.3</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na</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na</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na</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7"/>
            <w:tcBorders>
              <w:left w:val="nil"/>
              <w:bottom w:val="single" w:sz="6" w:space="0" w:color="auto"/>
              <w:right w:val="nil"/>
            </w:tcBorders>
            <w:shd w:val="clear" w:color="auto" w:fill="auto"/>
            <w:vAlign w:val="bottom"/>
            <w:hideMark/>
          </w:tcPr>
          <w:p w:rsidR="00B958B1" w:rsidRPr="00255B9B" w:rsidRDefault="00B958B1" w:rsidP="009F3B54">
            <w:pPr>
              <w:pStyle w:val="OGNotes"/>
            </w:pPr>
            <w:r w:rsidRPr="00255B9B">
              <w:t>As Environmental Programs is a new output, there is no 2012</w:t>
            </w:r>
            <w:r w:rsidR="009F0F49">
              <w:noBreakHyphen/>
            </w:r>
            <w:r w:rsidRPr="00255B9B">
              <w:t>13 budget or 2012</w:t>
            </w:r>
            <w:r w:rsidR="009F0F49">
              <w:noBreakHyphen/>
            </w:r>
            <w:r w:rsidRPr="00255B9B">
              <w:t>13 revised.</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7"/>
            <w:tcBorders>
              <w:top w:val="nil"/>
              <w:left w:val="nil"/>
              <w:bottom w:val="single" w:sz="6" w:space="0" w:color="auto"/>
              <w:right w:val="nil"/>
            </w:tcBorders>
            <w:shd w:val="clear" w:color="auto" w:fill="auto"/>
            <w:vAlign w:val="bottom"/>
            <w:hideMark/>
          </w:tcPr>
          <w:p w:rsidR="00B958B1" w:rsidRPr="00255B9B" w:rsidRDefault="00B958B1" w:rsidP="009F3B54">
            <w:pPr>
              <w:pStyle w:val="OGHeading2"/>
              <w:rPr>
                <w:lang w:eastAsia="en-AU"/>
              </w:rPr>
            </w:pPr>
            <w:r w:rsidRPr="00255B9B">
              <w:rPr>
                <w:lang w:eastAsia="en-AU"/>
              </w:rPr>
              <w:t>Statutory Activities and Environment Protection</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Quantity</w:t>
            </w:r>
          </w:p>
        </w:tc>
        <w:tc>
          <w:tcPr>
            <w:tcW w:w="907" w:type="dxa"/>
            <w:gridSpan w:val="2"/>
            <w:tcBorders>
              <w:top w:val="single" w:sz="6" w:space="0" w:color="auto"/>
              <w:left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Environmental condition research reports issued, improvement tools, guidelines, policies, systems and plans completed and issued</w:t>
            </w:r>
          </w:p>
        </w:tc>
        <w:tc>
          <w:tcPr>
            <w:tcW w:w="907" w:type="dxa"/>
            <w:gridSpan w:val="2"/>
            <w:tcBorders>
              <w:top w:val="nil"/>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nil"/>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54</w:t>
            </w:r>
          </w:p>
        </w:tc>
        <w:tc>
          <w:tcPr>
            <w:tcW w:w="993"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60</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54</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77</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Increase in EPA notices issued for illegal dumping of waste</w:t>
            </w:r>
          </w:p>
        </w:tc>
        <w:tc>
          <w:tcPr>
            <w:tcW w:w="907" w:type="dxa"/>
            <w:gridSpan w:val="2"/>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52</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46</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46</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69</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7"/>
            <w:tcBorders>
              <w:left w:val="nil"/>
              <w:bottom w:val="single" w:sz="6" w:space="0" w:color="auto"/>
            </w:tcBorders>
            <w:shd w:val="clear" w:color="000000" w:fill="FFFFFF"/>
          </w:tcPr>
          <w:p w:rsidR="00B958B1" w:rsidRPr="00255B9B" w:rsidRDefault="00B958B1" w:rsidP="009F3B54">
            <w:pPr>
              <w:pStyle w:val="OGNotes"/>
            </w:pPr>
            <w:r>
              <w:t>The 2013</w:t>
            </w:r>
            <w:r w:rsidR="009F0F49">
              <w:noBreakHyphen/>
            </w:r>
            <w:r>
              <w:t>14 target is higher than the 2012</w:t>
            </w:r>
            <w:r w:rsidR="009F0F49">
              <w:noBreakHyphen/>
            </w:r>
            <w:r>
              <w:t>13 target due to an increased emphasis on enforcement.</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Quality</w:t>
            </w:r>
          </w:p>
        </w:tc>
        <w:tc>
          <w:tcPr>
            <w:tcW w:w="907" w:type="dxa"/>
            <w:gridSpan w:val="2"/>
            <w:tcBorders>
              <w:top w:val="single" w:sz="6" w:space="0" w:color="auto"/>
              <w:left w:val="nil"/>
              <w:bottom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275" w:type="dxa"/>
            <w:gridSpan w:val="2"/>
            <w:tcBorders>
              <w:top w:val="nil"/>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 xml:space="preserve">EPA prosecutions are successful, and conditions in enforceable undertakings (entered into under the </w:t>
            </w:r>
            <w:r w:rsidRPr="00C10EF7">
              <w:rPr>
                <w:i/>
                <w:lang w:eastAsia="en-AU"/>
              </w:rPr>
              <w:t>Environment Protection Act 1970</w:t>
            </w:r>
            <w:r w:rsidRPr="00255B9B">
              <w:rPr>
                <w:lang w:eastAsia="en-AU"/>
              </w:rPr>
              <w:t xml:space="preserve">) are </w:t>
            </w:r>
            <w:r>
              <w:rPr>
                <w:lang w:eastAsia="en-AU"/>
              </w:rPr>
              <w:t>focused</w:t>
            </w:r>
            <w:r w:rsidRPr="00255B9B">
              <w:rPr>
                <w:lang w:eastAsia="en-AU"/>
              </w:rPr>
              <w:t xml:space="preserve"> on improving the environmental performance of the offe</w:t>
            </w:r>
            <w:r>
              <w:rPr>
                <w:lang w:eastAsia="en-AU"/>
              </w:rPr>
              <w:t>r.</w:t>
            </w:r>
          </w:p>
        </w:tc>
        <w:tc>
          <w:tcPr>
            <w:tcW w:w="787" w:type="dxa"/>
            <w:tcBorders>
              <w:top w:val="nil"/>
              <w:left w:val="nil"/>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nil"/>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90</w:t>
            </w:r>
          </w:p>
        </w:tc>
        <w:tc>
          <w:tcPr>
            <w:tcW w:w="993"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7"/>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 xml:space="preserve">This </w:t>
            </w:r>
            <w:r>
              <w:t xml:space="preserve">performance </w:t>
            </w:r>
            <w:r w:rsidRPr="00255B9B">
              <w:t xml:space="preserve">measure replaces the </w:t>
            </w:r>
            <w:r>
              <w:t>‘</w:t>
            </w:r>
            <w:r w:rsidRPr="00255B9B">
              <w:t>Hours during which air quality standards were met, as a proportion of hours in the reporting cycle</w:t>
            </w:r>
            <w:r>
              <w:t>’ performance measure</w:t>
            </w:r>
            <w:r w:rsidRPr="00255B9B">
              <w:t>. This measure has been replaced to improve the transparency of the measure.</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4"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Land audits submitted by EPA appointed auditors are reviewed to ensure compliance with statutory requirements and guidelines</w:t>
            </w:r>
          </w:p>
        </w:tc>
        <w:tc>
          <w:tcPr>
            <w:tcW w:w="907" w:type="dxa"/>
            <w:gridSpan w:val="2"/>
            <w:tcBorders>
              <w:top w:val="nil"/>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90</w:t>
            </w:r>
          </w:p>
        </w:tc>
        <w:tc>
          <w:tcPr>
            <w:tcW w:w="993"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95</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90</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95.2</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Notices complied with by due date or escalation in line with Compliance and Enforcement policy</w:t>
            </w:r>
          </w:p>
        </w:tc>
        <w:tc>
          <w:tcPr>
            <w:tcW w:w="907" w:type="dxa"/>
            <w:gridSpan w:val="2"/>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90</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75</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90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73</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7"/>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The lower 2012</w:t>
            </w:r>
            <w:r w:rsidR="009F0F49">
              <w:noBreakHyphen/>
            </w:r>
            <w:r w:rsidRPr="00255B9B">
              <w:t>13 expected outcome reflects a delay in implementing a new reporting system. This issue will be resolved in 2012</w:t>
            </w:r>
            <w:r w:rsidR="009F0F49">
              <w:noBreakHyphen/>
            </w:r>
            <w:r w:rsidRPr="00255B9B">
              <w:t>13 and performance is expected to improve in 2013</w:t>
            </w:r>
            <w:r w:rsidR="009F0F49">
              <w:noBreakHyphen/>
            </w:r>
            <w:r w:rsidRPr="00255B9B">
              <w:t>14.</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Timeliness</w:t>
            </w:r>
          </w:p>
        </w:tc>
        <w:tc>
          <w:tcPr>
            <w:tcW w:w="907" w:type="dxa"/>
            <w:gridSpan w:val="2"/>
            <w:tcBorders>
              <w:top w:val="single" w:sz="6" w:space="0" w:color="auto"/>
              <w:left w:val="nil"/>
              <w:bottom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When a pollution incident is reported to EPA and follow</w:t>
            </w:r>
            <w:r w:rsidR="009F0F49">
              <w:rPr>
                <w:lang w:eastAsia="en-AU"/>
              </w:rPr>
              <w:noBreakHyphen/>
            </w:r>
            <w:r w:rsidRPr="00255B9B">
              <w:rPr>
                <w:lang w:eastAsia="en-AU"/>
              </w:rPr>
              <w:t>up contact is requested, the reporter receives this within three working days.</w:t>
            </w:r>
          </w:p>
        </w:tc>
        <w:tc>
          <w:tcPr>
            <w:tcW w:w="907" w:type="dxa"/>
            <w:gridSpan w:val="2"/>
            <w:tcBorders>
              <w:top w:val="nil"/>
              <w:left w:val="nil"/>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nil"/>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75</w:t>
            </w:r>
          </w:p>
        </w:tc>
        <w:tc>
          <w:tcPr>
            <w:tcW w:w="993"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7"/>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 xml:space="preserve">This </w:t>
            </w:r>
            <w:r>
              <w:t xml:space="preserve">performance </w:t>
            </w:r>
            <w:r w:rsidRPr="00255B9B">
              <w:t xml:space="preserve">measure replaces the </w:t>
            </w:r>
            <w:r>
              <w:t>‘</w:t>
            </w:r>
            <w:r w:rsidRPr="00255B9B">
              <w:t>Pollution incident reports acted on within three days</w:t>
            </w:r>
            <w:r>
              <w:t>’ performance measure</w:t>
            </w:r>
            <w:r w:rsidRPr="00255B9B">
              <w:t>. This measure has been proposed to improve the transparency of the measure.</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Works approvals and licences completed within required statutory timelines</w:t>
            </w:r>
          </w:p>
        </w:tc>
        <w:tc>
          <w:tcPr>
            <w:tcW w:w="907" w:type="dxa"/>
            <w:gridSpan w:val="2"/>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96</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96</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96</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94</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Cost</w:t>
            </w:r>
          </w:p>
        </w:tc>
        <w:tc>
          <w:tcPr>
            <w:tcW w:w="907" w:type="dxa"/>
            <w:gridSpan w:val="2"/>
            <w:tcBorders>
              <w:top w:val="single" w:sz="6" w:space="0" w:color="auto"/>
              <w:left w:val="nil"/>
              <w:bottom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Total output cost</w:t>
            </w:r>
          </w:p>
        </w:tc>
        <w:tc>
          <w:tcPr>
            <w:tcW w:w="907" w:type="dxa"/>
            <w:gridSpan w:val="2"/>
            <w:tcBorders>
              <w:top w:val="nil"/>
              <w:left w:val="nil"/>
              <w:right w:val="nil"/>
            </w:tcBorders>
            <w:shd w:val="clear" w:color="000000" w:fill="FFFFFF"/>
            <w:hideMark/>
          </w:tcPr>
          <w:p w:rsidR="00B958B1" w:rsidRPr="00255B9B" w:rsidRDefault="00B958B1" w:rsidP="009F3B54">
            <w:pPr>
              <w:pStyle w:val="OGUoM"/>
              <w:rPr>
                <w:lang w:eastAsia="en-AU"/>
              </w:rPr>
            </w:pPr>
            <w:r>
              <w:rPr>
                <w:lang w:eastAsia="en-AU"/>
              </w:rPr>
              <w:t>$ million</w:t>
            </w:r>
          </w:p>
        </w:tc>
        <w:tc>
          <w:tcPr>
            <w:tcW w:w="907" w:type="dxa"/>
            <w:tcBorders>
              <w:top w:val="nil"/>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138.1</w:t>
            </w:r>
          </w:p>
        </w:tc>
        <w:tc>
          <w:tcPr>
            <w:tcW w:w="993"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138.2</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151.4</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135.3</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7"/>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The lower 2013</w:t>
            </w:r>
            <w:r w:rsidR="009F0F49">
              <w:noBreakHyphen/>
            </w:r>
            <w:r>
              <w:t>14 b</w:t>
            </w:r>
            <w:r w:rsidRPr="00255B9B">
              <w:t>udget and 2012</w:t>
            </w:r>
            <w:r w:rsidR="009F0F49">
              <w:noBreakHyphen/>
            </w:r>
            <w:r w:rsidRPr="00255B9B">
              <w:t xml:space="preserve">13 </w:t>
            </w:r>
            <w:r>
              <w:t>expected outcome</w:t>
            </w:r>
            <w:r w:rsidRPr="00255B9B">
              <w:t xml:space="preserve"> is due to the timing of payments from the Environment Protection Fund.</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7"/>
            <w:tcBorders>
              <w:top w:val="nil"/>
              <w:left w:val="nil"/>
              <w:bottom w:val="single" w:sz="6" w:space="0" w:color="auto"/>
              <w:right w:val="nil"/>
            </w:tcBorders>
            <w:shd w:val="clear" w:color="auto" w:fill="auto"/>
            <w:vAlign w:val="bottom"/>
            <w:hideMark/>
          </w:tcPr>
          <w:p w:rsidR="00B958B1" w:rsidRPr="00255B9B" w:rsidRDefault="00B958B1" w:rsidP="009F3B54">
            <w:pPr>
              <w:pStyle w:val="OGHeading2"/>
              <w:rPr>
                <w:lang w:eastAsia="en-AU"/>
              </w:rPr>
            </w:pPr>
            <w:r w:rsidRPr="00255B9B">
              <w:rPr>
                <w:lang w:eastAsia="en-AU"/>
              </w:rPr>
              <w:t>Environmental Policy</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Quantity</w:t>
            </w:r>
          </w:p>
        </w:tc>
        <w:tc>
          <w:tcPr>
            <w:tcW w:w="907" w:type="dxa"/>
            <w:gridSpan w:val="2"/>
            <w:tcBorders>
              <w:top w:val="single" w:sz="6" w:space="0" w:color="auto"/>
              <w:left w:val="nil"/>
              <w:bottom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Number of Victorian Local Sustainability Accord grant project evaluations and acquittals completed</w:t>
            </w:r>
          </w:p>
        </w:tc>
        <w:tc>
          <w:tcPr>
            <w:tcW w:w="907" w:type="dxa"/>
            <w:gridSpan w:val="2"/>
            <w:tcBorders>
              <w:top w:val="nil"/>
              <w:left w:val="nil"/>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nil"/>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20</w:t>
            </w:r>
          </w:p>
        </w:tc>
        <w:tc>
          <w:tcPr>
            <w:tcW w:w="993"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15</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10</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7"/>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The higher 2012</w:t>
            </w:r>
            <w:r w:rsidR="009F0F49">
              <w:noBreakHyphen/>
            </w:r>
            <w:r w:rsidRPr="00255B9B">
              <w:t>13 expected outcome and 2013</w:t>
            </w:r>
            <w:r w:rsidR="009F0F49">
              <w:noBreakHyphen/>
            </w:r>
            <w:r w:rsidRPr="00255B9B">
              <w:t>14 target are due to several projects running ahead of schedule.</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Pr>
                <w:lang w:eastAsia="en-AU"/>
              </w:rPr>
              <w:t>Percent</w:t>
            </w:r>
            <w:r w:rsidRPr="00255B9B">
              <w:rPr>
                <w:lang w:eastAsia="en-AU"/>
              </w:rPr>
              <w:t>age of Victorian Schools accredited in the ResourceSmart Schools program</w:t>
            </w:r>
          </w:p>
        </w:tc>
        <w:tc>
          <w:tcPr>
            <w:tcW w:w="907" w:type="dxa"/>
            <w:gridSpan w:val="2"/>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38</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33</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27</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7"/>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The higher 2012</w:t>
            </w:r>
            <w:r w:rsidR="009F0F49">
              <w:noBreakHyphen/>
            </w:r>
            <w:r w:rsidRPr="00255B9B">
              <w:t>13 expected outcome and 2013</w:t>
            </w:r>
            <w:r w:rsidR="009F0F49">
              <w:noBreakHyphen/>
            </w:r>
            <w:r w:rsidRPr="00255B9B">
              <w:t>14 target are due to increased interest in the program.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Quality</w:t>
            </w:r>
          </w:p>
        </w:tc>
        <w:tc>
          <w:tcPr>
            <w:tcW w:w="907" w:type="dxa"/>
            <w:gridSpan w:val="2"/>
            <w:tcBorders>
              <w:top w:val="single" w:sz="6" w:space="0" w:color="auto"/>
              <w:left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Completion of annual reporting and board appointment processes in accordance with legislation</w:t>
            </w:r>
          </w:p>
        </w:tc>
        <w:tc>
          <w:tcPr>
            <w:tcW w:w="907" w:type="dxa"/>
            <w:gridSpan w:val="2"/>
            <w:tcBorders>
              <w:top w:val="nil"/>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100</w:t>
            </w:r>
          </w:p>
        </w:tc>
        <w:tc>
          <w:tcPr>
            <w:tcW w:w="993"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100</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100</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Departmental Stakeholder satisfaction with completed policy projects</w:t>
            </w:r>
          </w:p>
        </w:tc>
        <w:tc>
          <w:tcPr>
            <w:tcW w:w="907" w:type="dxa"/>
            <w:gridSpan w:val="2"/>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95</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95</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95</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Departmental Stakeholder satisfaction with technical economic analysis, advice and support</w:t>
            </w:r>
          </w:p>
        </w:tc>
        <w:tc>
          <w:tcPr>
            <w:tcW w:w="907" w:type="dxa"/>
            <w:gridSpan w:val="2"/>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95</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100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85</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7"/>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The higher 2012</w:t>
            </w:r>
            <w:r w:rsidR="009F0F49">
              <w:noBreakHyphen/>
            </w:r>
            <w:r w:rsidRPr="00255B9B">
              <w:t>13 expected outcome and the 2013</w:t>
            </w:r>
            <w:r w:rsidR="009F0F49">
              <w:noBreakHyphen/>
            </w:r>
            <w:r w:rsidRPr="00255B9B">
              <w:t>14 target reflect improved performance following the conclusion of an organisational restructure in 2012.</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175147">
            <w:pPr>
              <w:pStyle w:val="OGTabHead"/>
              <w:pageBreakBefore/>
              <w:rPr>
                <w:lang w:eastAsia="en-AU"/>
              </w:rPr>
            </w:pPr>
            <w:r w:rsidRPr="00B34C4C">
              <w:rPr>
                <w:iCs/>
                <w:lang w:eastAsia="en-AU"/>
              </w:rPr>
              <w:t>Cost</w:t>
            </w:r>
          </w:p>
        </w:tc>
        <w:tc>
          <w:tcPr>
            <w:tcW w:w="907" w:type="dxa"/>
            <w:gridSpan w:val="2"/>
            <w:tcBorders>
              <w:top w:val="single" w:sz="6" w:space="0" w:color="auto"/>
              <w:left w:val="nil"/>
              <w:bottom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Total output cost</w:t>
            </w:r>
          </w:p>
        </w:tc>
        <w:tc>
          <w:tcPr>
            <w:tcW w:w="907" w:type="dxa"/>
            <w:gridSpan w:val="2"/>
            <w:tcBorders>
              <w:top w:val="nil"/>
              <w:left w:val="nil"/>
              <w:right w:val="nil"/>
            </w:tcBorders>
            <w:shd w:val="clear" w:color="000000" w:fill="FFFFFF"/>
            <w:hideMark/>
          </w:tcPr>
          <w:p w:rsidR="00B958B1" w:rsidRPr="00255B9B" w:rsidRDefault="00B958B1" w:rsidP="009F3B54">
            <w:pPr>
              <w:pStyle w:val="OGUoM"/>
              <w:rPr>
                <w:lang w:eastAsia="en-AU"/>
              </w:rPr>
            </w:pPr>
            <w:r>
              <w:rPr>
                <w:lang w:eastAsia="en-AU"/>
              </w:rPr>
              <w:t>$ million</w:t>
            </w:r>
          </w:p>
        </w:tc>
        <w:tc>
          <w:tcPr>
            <w:tcW w:w="907" w:type="dxa"/>
            <w:tcBorders>
              <w:top w:val="nil"/>
              <w:left w:val="nil"/>
              <w:right w:val="nil"/>
            </w:tcBorders>
            <w:shd w:val="clear" w:color="auto" w:fill="D9D9D9"/>
            <w:hideMark/>
          </w:tcPr>
          <w:p w:rsidR="00B958B1" w:rsidRPr="00255B9B" w:rsidRDefault="00B958B1" w:rsidP="009F3B54">
            <w:pPr>
              <w:pStyle w:val="OGTableofFigures"/>
              <w:rPr>
                <w:lang w:eastAsia="en-AU"/>
              </w:rPr>
            </w:pPr>
            <w:r>
              <w:rPr>
                <w:lang w:eastAsia="en-AU"/>
              </w:rPr>
              <w:t>48.8</w:t>
            </w:r>
          </w:p>
        </w:tc>
        <w:tc>
          <w:tcPr>
            <w:tcW w:w="993"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45.6</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37.6</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54.3</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7"/>
            <w:tcBorders>
              <w:top w:val="nil"/>
              <w:left w:val="nil"/>
              <w:bottom w:val="single" w:sz="12" w:space="0" w:color="auto"/>
              <w:right w:val="nil"/>
            </w:tcBorders>
            <w:shd w:val="clear" w:color="auto" w:fill="auto"/>
            <w:vAlign w:val="bottom"/>
            <w:hideMark/>
          </w:tcPr>
          <w:p w:rsidR="00B958B1" w:rsidRPr="00255B9B" w:rsidRDefault="00B958B1" w:rsidP="009F3B54">
            <w:pPr>
              <w:pStyle w:val="OGNotes"/>
            </w:pPr>
            <w:r w:rsidRPr="00255B9B">
              <w:t>The higher 2013</w:t>
            </w:r>
            <w:r w:rsidR="009F0F49">
              <w:noBreakHyphen/>
            </w:r>
            <w:r>
              <w:t>14 b</w:t>
            </w:r>
            <w:r w:rsidRPr="00255B9B">
              <w:t xml:space="preserve">udget is due to new </w:t>
            </w:r>
            <w:r w:rsidRPr="00C10EF7">
              <w:rPr>
                <w:i w:val="0"/>
              </w:rPr>
              <w:t>2013</w:t>
            </w:r>
            <w:r w:rsidR="009F0F49">
              <w:rPr>
                <w:i w:val="0"/>
              </w:rPr>
              <w:noBreakHyphen/>
            </w:r>
            <w:r w:rsidRPr="00C10EF7">
              <w:rPr>
                <w:i w:val="0"/>
              </w:rPr>
              <w:t>14 Budget</w:t>
            </w:r>
            <w:r w:rsidRPr="00255B9B">
              <w:t xml:space="preserve"> initiatives for A Cleaner Yarra and Port Phillip Bay, Environmental Partnerships, and the Implementation of the Victorian Waste and Resources Policy. The higher 2012</w:t>
            </w:r>
            <w:r w:rsidR="009F0F49">
              <w:noBreakHyphen/>
            </w:r>
            <w:r w:rsidRPr="00255B9B">
              <w:t xml:space="preserve">13 </w:t>
            </w:r>
            <w:r>
              <w:t>expected outcome</w:t>
            </w:r>
            <w:r w:rsidRPr="00255B9B">
              <w:t xml:space="preserve"> reflects additional funding associated with helping charities deal with illegal dumping, the Sustainability Accord and the development of the new policy work for waste and the Yarra river catchment.</w:t>
            </w:r>
          </w:p>
        </w:tc>
      </w:tr>
    </w:tbl>
    <w:p w:rsidR="00B958B1" w:rsidRDefault="00B958B1" w:rsidP="009F3B54">
      <w:pPr>
        <w:pStyle w:val="Source"/>
      </w:pPr>
      <w:r w:rsidRPr="00E44A23">
        <w:t>Source: Department of Environment and Primary Industries</w:t>
      </w:r>
    </w:p>
    <w:p w:rsidR="00B958B1" w:rsidRDefault="00B958B1" w:rsidP="009F3B54">
      <w:pPr>
        <w:pStyle w:val="Source"/>
      </w:pPr>
      <w:r>
        <w:fldChar w:fldCharType="begin"/>
      </w:r>
      <w:r>
        <w:instrText xml:space="preserve"> XE "</w:instrText>
      </w:r>
      <w:r w:rsidRPr="00212D09">
        <w:instrText>Department of Environment and Primary Industries:Effective Environmental and Adaptation Policy, Investment and Regulations</w:instrText>
      </w:r>
      <w:r>
        <w:instrText xml:space="preserve">" \r "BP3DEPIEnviroAdaptation" </w:instrText>
      </w:r>
      <w:r>
        <w:fldChar w:fldCharType="end"/>
      </w:r>
      <w:bookmarkEnd w:id="100"/>
    </w:p>
    <w:p w:rsidR="00B958B1" w:rsidRPr="00631242" w:rsidRDefault="00B958B1" w:rsidP="009F3B54">
      <w:pPr>
        <w:pStyle w:val="OGHeading1"/>
      </w:pPr>
      <w:r>
        <w:rPr>
          <w:rFonts w:ascii="Garamond" w:hAnsi="Garamond"/>
          <w:b w:val="0"/>
          <w:sz w:val="22"/>
          <w:szCs w:val="20"/>
        </w:rPr>
        <w:br w:type="page"/>
      </w:r>
      <w:bookmarkStart w:id="101" w:name="BP3DEPIReducedImpacts"/>
      <w:r w:rsidRPr="00631242">
        <w:t>Reduced impact of major bushfires and other extreme events on people, infrastructure and the environment</w:t>
      </w:r>
    </w:p>
    <w:tbl>
      <w:tblPr>
        <w:tblW w:w="7776" w:type="dxa"/>
        <w:tblInd w:w="29" w:type="dxa"/>
        <w:tblBorders>
          <w:top w:val="single" w:sz="4" w:space="0" w:color="auto"/>
          <w:left w:val="single" w:sz="4" w:space="0" w:color="auto"/>
          <w:bottom w:val="single" w:sz="4" w:space="0" w:color="auto"/>
          <w:right w:val="single" w:sz="4" w:space="0" w:color="auto"/>
        </w:tblBorders>
        <w:shd w:val="clear" w:color="auto" w:fill="000000"/>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D32CA4" w:rsidTr="009F3B54">
        <w:trPr>
          <w:cantSplit/>
          <w:tblHeader/>
        </w:trPr>
        <w:tc>
          <w:tcPr>
            <w:tcW w:w="3155" w:type="dxa"/>
            <w:shd w:val="clear" w:color="auto" w:fill="000000"/>
            <w:vAlign w:val="bottom"/>
          </w:tcPr>
          <w:p w:rsidR="00B958B1" w:rsidRPr="00D32CA4" w:rsidRDefault="00B958B1" w:rsidP="009F3B54">
            <w:pPr>
              <w:pStyle w:val="OGTabColLeft"/>
              <w:rPr>
                <w:i/>
              </w:rPr>
            </w:pPr>
            <w:r w:rsidRPr="00255B9B">
              <w:rPr>
                <w:shd w:val="clear" w:color="auto" w:fill="000000"/>
              </w:rPr>
              <w:t xml:space="preserve">Major </w:t>
            </w:r>
            <w:r w:rsidRPr="00D32CA4">
              <w:t>Outputs/Deliverables</w:t>
            </w:r>
            <w:r w:rsidRPr="00D32CA4">
              <w:br/>
            </w:r>
            <w:r w:rsidRPr="001D5E69">
              <w:rPr>
                <w:b w:val="0"/>
                <w:i/>
              </w:rPr>
              <w:t>Performance measures</w:t>
            </w:r>
          </w:p>
        </w:tc>
        <w:tc>
          <w:tcPr>
            <w:tcW w:w="907" w:type="dxa"/>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3" w:type="dxa"/>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07" w:type="dxa"/>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Heading2"/>
              <w:rPr>
                <w:lang w:eastAsia="en-AU"/>
              </w:rPr>
            </w:pPr>
            <w:r w:rsidRPr="00255B9B">
              <w:rPr>
                <w:lang w:eastAsia="en-AU"/>
              </w:rPr>
              <w:t>Land and Fire Management</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Quantity</w:t>
            </w: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Community engagement plans developed and implemented in response to social research findings on community consultation needs of the Planned Burning Program</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nil"/>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6</w:t>
            </w:r>
          </w:p>
        </w:tc>
        <w:tc>
          <w:tcPr>
            <w:tcW w:w="993"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6</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6</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5</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Fuel reduction burning completed to protect key assets</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h</w:t>
            </w:r>
            <w:r w:rsidRPr="00255B9B">
              <w:rPr>
                <w:lang w:eastAsia="en-AU"/>
              </w:rPr>
              <w:t>ectares</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260</w:t>
            </w:r>
            <w:r>
              <w:rPr>
                <w:lang w:eastAsia="en-AU"/>
              </w:rPr>
              <w:t> </w:t>
            </w:r>
            <w:r w:rsidRPr="00255B9B">
              <w:rPr>
                <w:lang w:eastAsia="en-AU"/>
              </w:rPr>
              <w:t>000</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250</w:t>
            </w:r>
            <w:r>
              <w:rPr>
                <w:lang w:eastAsia="en-AU"/>
              </w:rPr>
              <w:t> </w:t>
            </w:r>
            <w:r w:rsidRPr="00255B9B">
              <w:rPr>
                <w:lang w:eastAsia="en-AU"/>
              </w:rPr>
              <w:t>000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250</w:t>
            </w:r>
            <w:r>
              <w:rPr>
                <w:lang w:eastAsia="en-AU"/>
              </w:rPr>
              <w:t> </w:t>
            </w:r>
            <w:r w:rsidRPr="00255B9B">
              <w:rPr>
                <w:lang w:eastAsia="en-AU"/>
              </w:rPr>
              <w:t>000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197</w:t>
            </w:r>
            <w:r>
              <w:rPr>
                <w:lang w:eastAsia="en-AU"/>
              </w:rPr>
              <w:t> </w:t>
            </w:r>
            <w:r w:rsidRPr="00255B9B">
              <w:rPr>
                <w:lang w:eastAsia="en-AU"/>
              </w:rPr>
              <w:t>149</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left w:val="nil"/>
              <w:bottom w:val="single" w:sz="6" w:space="0" w:color="auto"/>
              <w:right w:val="nil"/>
            </w:tcBorders>
            <w:shd w:val="clear" w:color="000000" w:fill="FFFFFF"/>
          </w:tcPr>
          <w:p w:rsidR="00B958B1" w:rsidRPr="00255B9B" w:rsidRDefault="00B958B1" w:rsidP="009F3B54">
            <w:pPr>
              <w:pStyle w:val="OGNotes"/>
            </w:pPr>
            <w:r>
              <w:t>The 2013</w:t>
            </w:r>
            <w:r w:rsidR="009F0F49">
              <w:noBreakHyphen/>
            </w:r>
            <w:r>
              <w:t>14 target is higher than the 2012</w:t>
            </w:r>
            <w:r w:rsidR="009F0F49">
              <w:noBreakHyphen/>
            </w:r>
            <w:r>
              <w:t>13 target due to additional funding provided as part of the 2013</w:t>
            </w:r>
            <w:r w:rsidR="009F0F49">
              <w:noBreakHyphen/>
            </w:r>
            <w:r>
              <w:t>14 Budget.</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Personnel with accreditation in a fire role</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1</w:t>
            </w:r>
            <w:r>
              <w:rPr>
                <w:lang w:eastAsia="en-AU"/>
              </w:rPr>
              <w:t> </w:t>
            </w:r>
            <w:r w:rsidRPr="00255B9B">
              <w:rPr>
                <w:lang w:eastAsia="en-AU"/>
              </w:rPr>
              <w:t>800</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w:t>
            </w:r>
            <w:r>
              <w:rPr>
                <w:lang w:eastAsia="en-AU"/>
              </w:rPr>
              <w:t> </w:t>
            </w:r>
            <w:r w:rsidRPr="00255B9B">
              <w:rPr>
                <w:lang w:eastAsia="en-AU"/>
              </w:rPr>
              <w:t>800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w:t>
            </w:r>
            <w:r>
              <w:rPr>
                <w:lang w:eastAsia="en-AU"/>
              </w:rPr>
              <w:t> </w:t>
            </w:r>
            <w:r w:rsidRPr="00255B9B">
              <w:rPr>
                <w:lang w:eastAsia="en-AU"/>
              </w:rPr>
              <w:t>500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w:t>
            </w:r>
            <w:r>
              <w:rPr>
                <w:lang w:eastAsia="en-AU"/>
              </w:rPr>
              <w:t> </w:t>
            </w:r>
            <w:r w:rsidRPr="00255B9B">
              <w:rPr>
                <w:lang w:eastAsia="en-AU"/>
              </w:rPr>
              <w:t>856</w:t>
            </w:r>
          </w:p>
        </w:tc>
      </w:tr>
      <w:tr w:rsidR="00B958B1" w:rsidRPr="0027691A"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7691A" w:rsidRDefault="00B958B1" w:rsidP="009F3B54">
            <w:pPr>
              <w:pStyle w:val="OGNotes"/>
            </w:pPr>
            <w:r w:rsidRPr="0027691A">
              <w:t xml:space="preserve">The higher </w:t>
            </w:r>
            <w:r>
              <w:t>2013</w:t>
            </w:r>
            <w:r w:rsidR="009F0F49">
              <w:noBreakHyphen/>
            </w:r>
            <w:r>
              <w:t xml:space="preserve">14 target and the </w:t>
            </w:r>
            <w:r w:rsidRPr="0027691A">
              <w:t>2012</w:t>
            </w:r>
            <w:r w:rsidR="009F0F49">
              <w:noBreakHyphen/>
            </w:r>
            <w:r w:rsidRPr="0027691A">
              <w:t>13 expected outcome reflects the new accreditations and reaccreditations of General Fire Fighters.</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State forests bridges (on Category</w:t>
            </w:r>
            <w:r>
              <w:rPr>
                <w:lang w:eastAsia="en-AU"/>
              </w:rPr>
              <w:t> </w:t>
            </w:r>
            <w:r w:rsidRPr="00255B9B">
              <w:rPr>
                <w:lang w:eastAsia="en-AU"/>
              </w:rPr>
              <w:t>1 roads) with documented inspections to meet regulatory obligations</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100</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State forests roads (Category</w:t>
            </w:r>
            <w:r>
              <w:rPr>
                <w:lang w:eastAsia="en-AU"/>
              </w:rPr>
              <w:t> </w:t>
            </w:r>
            <w:r w:rsidRPr="00255B9B">
              <w:rPr>
                <w:lang w:eastAsia="en-AU"/>
              </w:rPr>
              <w:t>1) with documented inspection and maintenance programs to meet regulatory obligations</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100</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100</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Strategic engagement forums held to enhance community understanding and sustain support for the Planned Burning Program</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12</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12</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9</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The higher 2012</w:t>
            </w:r>
            <w:r w:rsidR="009F0F49">
              <w:noBreakHyphen/>
            </w:r>
            <w:r w:rsidRPr="00255B9B">
              <w:t>13 expected outcome and 2013</w:t>
            </w:r>
            <w:r w:rsidR="009F0F49">
              <w:noBreakHyphen/>
            </w:r>
            <w:r w:rsidRPr="00255B9B">
              <w:t>14 target are due to two additional regional stakeholder forums being established in the Grampians and Ovens.</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Quality</w:t>
            </w: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Fire controlled at less than five hectares to suppress fires before they become established, minimising impact</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80</w:t>
            </w:r>
          </w:p>
        </w:tc>
        <w:tc>
          <w:tcPr>
            <w:tcW w:w="993"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80</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80</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84</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175147">
            <w:pPr>
              <w:pStyle w:val="OGTabText"/>
              <w:pageBreakBefore/>
              <w:rPr>
                <w:lang w:eastAsia="en-AU"/>
              </w:rPr>
            </w:pPr>
            <w:r w:rsidRPr="00255B9B">
              <w:rPr>
                <w:lang w:eastAsia="en-AU"/>
              </w:rPr>
              <w:t>Personnel accredited to serve in a senior capacity (level 2 or 3) in a fire role</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300</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270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300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267</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4" w:space="0" w:color="auto"/>
              <w:right w:val="nil"/>
            </w:tcBorders>
            <w:shd w:val="clear" w:color="auto" w:fill="auto"/>
            <w:vAlign w:val="bottom"/>
            <w:hideMark/>
          </w:tcPr>
          <w:p w:rsidR="00B958B1" w:rsidRPr="00255B9B" w:rsidRDefault="00B958B1" w:rsidP="009F3B54">
            <w:pPr>
              <w:pStyle w:val="OGNotes"/>
            </w:pPr>
            <w:r>
              <w:t>The lower 2012</w:t>
            </w:r>
            <w:r w:rsidR="009F0F49">
              <w:noBreakHyphen/>
            </w:r>
            <w:r>
              <w:t xml:space="preserve">13 expected outcome reflects a decrease in the number of staff with a level 2 or level 3 accreditation due to a higher than anticipated fire suppression season. </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4"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Timeliness</w:t>
            </w:r>
          </w:p>
        </w:tc>
        <w:tc>
          <w:tcPr>
            <w:tcW w:w="907" w:type="dxa"/>
            <w:tcBorders>
              <w:top w:val="single" w:sz="4" w:space="0" w:color="auto"/>
              <w:left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4" w:space="0" w:color="auto"/>
              <w:left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4"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4"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4"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District fire operations plans completed</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UoM"/>
              <w:rPr>
                <w:lang w:eastAsia="en-AU"/>
              </w:rPr>
            </w:pPr>
            <w:r w:rsidRPr="00255B9B">
              <w:rPr>
                <w:lang w:eastAsia="en-AU"/>
              </w:rPr>
              <w:t>Date</w:t>
            </w:r>
          </w:p>
        </w:tc>
        <w:tc>
          <w:tcPr>
            <w:tcW w:w="907" w:type="dxa"/>
            <w:tcBorders>
              <w:top w:val="nil"/>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Oct</w:t>
            </w:r>
            <w:r w:rsidR="009F0F49">
              <w:rPr>
                <w:lang w:eastAsia="en-AU"/>
              </w:rPr>
              <w:noBreakHyphen/>
            </w:r>
            <w:r w:rsidRPr="00255B9B">
              <w:rPr>
                <w:lang w:eastAsia="en-AU"/>
              </w:rPr>
              <w:t>13</w:t>
            </w:r>
          </w:p>
        </w:tc>
        <w:tc>
          <w:tcPr>
            <w:tcW w:w="993"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Oct</w:t>
            </w:r>
            <w:r w:rsidR="009F0F49">
              <w:rPr>
                <w:lang w:eastAsia="en-AU"/>
              </w:rPr>
              <w:noBreakHyphen/>
            </w:r>
            <w:r w:rsidRPr="00255B9B">
              <w:rPr>
                <w:lang w:eastAsia="en-AU"/>
              </w:rPr>
              <w:t>12</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Oct</w:t>
            </w:r>
            <w:r w:rsidR="009F0F49">
              <w:rPr>
                <w:lang w:eastAsia="en-AU"/>
              </w:rPr>
              <w:noBreakHyphen/>
            </w:r>
            <w:r w:rsidRPr="00255B9B">
              <w:rPr>
                <w:lang w:eastAsia="en-AU"/>
              </w:rPr>
              <w:t>12</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Oct</w:t>
            </w:r>
            <w:r w:rsidR="009F0F49">
              <w:rPr>
                <w:lang w:eastAsia="en-AU"/>
              </w:rPr>
              <w:noBreakHyphen/>
            </w:r>
            <w:r w:rsidRPr="00255B9B">
              <w:rPr>
                <w:lang w:eastAsia="en-AU"/>
              </w:rPr>
              <w:t>11</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Fires controlled at First Attack to suppress fires before they become established, minimising impact</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80</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80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80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86</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Readiness and response plans completed prior to fire season</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sidRPr="00255B9B">
              <w:rPr>
                <w:lang w:eastAsia="en-AU"/>
              </w:rPr>
              <w:t>Date</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Dec</w:t>
            </w:r>
            <w:r w:rsidR="009F0F49">
              <w:rPr>
                <w:lang w:eastAsia="en-AU"/>
              </w:rPr>
              <w:noBreakHyphen/>
            </w:r>
            <w:r w:rsidRPr="00255B9B">
              <w:rPr>
                <w:lang w:eastAsia="en-AU"/>
              </w:rPr>
              <w:t>13</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Dec</w:t>
            </w:r>
            <w:r w:rsidR="009F0F49">
              <w:rPr>
                <w:lang w:eastAsia="en-AU"/>
              </w:rPr>
              <w:noBreakHyphen/>
            </w:r>
            <w:r w:rsidRPr="00255B9B">
              <w:rPr>
                <w:lang w:eastAsia="en-AU"/>
              </w:rPr>
              <w:t>12</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Dec</w:t>
            </w:r>
            <w:r w:rsidR="009F0F49">
              <w:rPr>
                <w:lang w:eastAsia="en-AU"/>
              </w:rPr>
              <w:noBreakHyphen/>
            </w:r>
            <w:r w:rsidRPr="00255B9B">
              <w:rPr>
                <w:lang w:eastAsia="en-AU"/>
              </w:rPr>
              <w:t>12</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Jan</w:t>
            </w:r>
            <w:r w:rsidR="009F0F49">
              <w:rPr>
                <w:lang w:eastAsia="en-AU"/>
              </w:rPr>
              <w:noBreakHyphen/>
            </w:r>
            <w:r w:rsidRPr="00255B9B">
              <w:rPr>
                <w:lang w:eastAsia="en-AU"/>
              </w:rPr>
              <w:t>12</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Cost</w:t>
            </w: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Total output cost</w:t>
            </w:r>
          </w:p>
        </w:tc>
        <w:tc>
          <w:tcPr>
            <w:tcW w:w="907" w:type="dxa"/>
            <w:tcBorders>
              <w:top w:val="nil"/>
              <w:left w:val="nil"/>
              <w:right w:val="nil"/>
            </w:tcBorders>
            <w:shd w:val="clear" w:color="000000" w:fill="FFFFFF"/>
            <w:hideMark/>
          </w:tcPr>
          <w:p w:rsidR="00B958B1" w:rsidRPr="00255B9B" w:rsidRDefault="00B958B1" w:rsidP="009F3B54">
            <w:pPr>
              <w:pStyle w:val="OGUoM"/>
              <w:rPr>
                <w:lang w:eastAsia="en-AU"/>
              </w:rPr>
            </w:pPr>
            <w:r>
              <w:rPr>
                <w:lang w:eastAsia="en-AU"/>
              </w:rPr>
              <w:t>$ million</w:t>
            </w:r>
          </w:p>
        </w:tc>
        <w:tc>
          <w:tcPr>
            <w:tcW w:w="907" w:type="dxa"/>
            <w:tcBorders>
              <w:top w:val="nil"/>
              <w:left w:val="nil"/>
              <w:right w:val="nil"/>
            </w:tcBorders>
            <w:shd w:val="clear" w:color="auto" w:fill="D9D9D9"/>
            <w:hideMark/>
          </w:tcPr>
          <w:p w:rsidR="00B958B1" w:rsidRPr="00255B9B" w:rsidRDefault="00B958B1" w:rsidP="009F3B54">
            <w:pPr>
              <w:pStyle w:val="OGTableofFigures"/>
              <w:rPr>
                <w:lang w:eastAsia="en-AU"/>
              </w:rPr>
            </w:pPr>
            <w:r>
              <w:rPr>
                <w:lang w:eastAsia="en-AU"/>
              </w:rPr>
              <w:t>338.7</w:t>
            </w:r>
          </w:p>
        </w:tc>
        <w:tc>
          <w:tcPr>
            <w:tcW w:w="993"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345.3</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Pr>
                <w:lang w:eastAsia="en-AU"/>
              </w:rPr>
              <w:t>353.2</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315</w:t>
            </w:r>
            <w:r>
              <w:rPr>
                <w:lang w:eastAsia="en-AU"/>
              </w:rPr>
              <w:t>.0</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12" w:space="0" w:color="auto"/>
              <w:right w:val="nil"/>
            </w:tcBorders>
            <w:shd w:val="clear" w:color="auto" w:fill="auto"/>
            <w:vAlign w:val="bottom"/>
            <w:hideMark/>
          </w:tcPr>
          <w:p w:rsidR="00B958B1" w:rsidRPr="00255B9B" w:rsidRDefault="00B958B1" w:rsidP="009F3B54">
            <w:pPr>
              <w:pStyle w:val="OGNotes"/>
            </w:pPr>
            <w:r w:rsidRPr="00255B9B">
              <w:t>The lower 2013</w:t>
            </w:r>
            <w:r w:rsidR="009F0F49">
              <w:noBreakHyphen/>
            </w:r>
            <w:r w:rsidRPr="00255B9B">
              <w:t>14 budget is due to the bulk purchase of fire equipment in 2012</w:t>
            </w:r>
            <w:r w:rsidR="009F0F49">
              <w:noBreakHyphen/>
            </w:r>
            <w:r w:rsidRPr="00255B9B">
              <w:t>13 to assist with the increased planned burning targets.</w:t>
            </w:r>
          </w:p>
        </w:tc>
      </w:tr>
    </w:tbl>
    <w:p w:rsidR="00B958B1" w:rsidRDefault="00B958B1" w:rsidP="009F3B54">
      <w:pPr>
        <w:pStyle w:val="Source"/>
      </w:pPr>
      <w:r>
        <w:t xml:space="preserve">Source: </w:t>
      </w:r>
      <w:r w:rsidRPr="0002334A">
        <w:t xml:space="preserve">Department </w:t>
      </w:r>
      <w:r>
        <w:t>o</w:t>
      </w:r>
      <w:r w:rsidRPr="0002334A">
        <w:t xml:space="preserve">f </w:t>
      </w:r>
      <w:r>
        <w:t xml:space="preserve">Environment and </w:t>
      </w:r>
      <w:r w:rsidRPr="000B036B">
        <w:t>Primary Industries</w:t>
      </w:r>
    </w:p>
    <w:p w:rsidR="00B958B1" w:rsidRDefault="00B958B1" w:rsidP="009F3B54">
      <w:pPr>
        <w:pStyle w:val="Source"/>
      </w:pPr>
      <w:r>
        <w:fldChar w:fldCharType="begin"/>
      </w:r>
      <w:r>
        <w:instrText xml:space="preserve"> XE "</w:instrText>
      </w:r>
      <w:r w:rsidRPr="002F226B">
        <w:instrText xml:space="preserve">Department of Environment and Primary Industries:Reduced </w:instrText>
      </w:r>
      <w:r>
        <w:instrText>I</w:instrText>
      </w:r>
      <w:r w:rsidRPr="002F226B">
        <w:instrText xml:space="preserve">mpact of </w:instrText>
      </w:r>
      <w:r>
        <w:instrText>M</w:instrText>
      </w:r>
      <w:r w:rsidRPr="002F226B">
        <w:instrText xml:space="preserve">ajor </w:instrText>
      </w:r>
      <w:r>
        <w:instrText>B</w:instrText>
      </w:r>
      <w:r w:rsidRPr="002F226B">
        <w:instrText xml:space="preserve">ushfires and other </w:instrText>
      </w:r>
      <w:r>
        <w:instrText>E</w:instrText>
      </w:r>
      <w:r w:rsidRPr="002F226B">
        <w:instrText xml:space="preserve">xtreme </w:instrText>
      </w:r>
      <w:r>
        <w:instrText>E</w:instrText>
      </w:r>
      <w:r w:rsidRPr="002F226B">
        <w:instrText xml:space="preserve">vents on </w:instrText>
      </w:r>
      <w:r>
        <w:instrText>P</w:instrText>
      </w:r>
      <w:r w:rsidRPr="002F226B">
        <w:instrText xml:space="preserve">eople, </w:instrText>
      </w:r>
      <w:r>
        <w:instrText>I</w:instrText>
      </w:r>
      <w:r w:rsidRPr="002F226B">
        <w:instrText xml:space="preserve">nfrastructure and the </w:instrText>
      </w:r>
      <w:r>
        <w:instrText>E</w:instrText>
      </w:r>
      <w:r w:rsidRPr="002F226B">
        <w:instrText>nvironment</w:instrText>
      </w:r>
      <w:r>
        <w:instrText xml:space="preserve">" \r "BP3DEPIReducedImpacts" </w:instrText>
      </w:r>
      <w:r>
        <w:fldChar w:fldCharType="end"/>
      </w:r>
    </w:p>
    <w:bookmarkEnd w:id="101"/>
    <w:p w:rsidR="00B958B1" w:rsidRDefault="00B958B1" w:rsidP="009F3B54">
      <w:pPr>
        <w:pStyle w:val="OGHeading1"/>
        <w:rPr>
          <w:rFonts w:ascii="Garamond" w:hAnsi="Garamond"/>
          <w:sz w:val="22"/>
          <w:szCs w:val="20"/>
        </w:rPr>
      </w:pPr>
    </w:p>
    <w:p w:rsidR="00B958B1" w:rsidRDefault="00B958B1" w:rsidP="009F3B54">
      <w:pPr>
        <w:pStyle w:val="OGHeading1"/>
      </w:pPr>
      <w:r>
        <w:rPr>
          <w:rFonts w:ascii="Garamond" w:hAnsi="Garamond"/>
          <w:sz w:val="22"/>
          <w:szCs w:val="20"/>
        </w:rPr>
        <w:br w:type="page"/>
      </w:r>
      <w:bookmarkStart w:id="102" w:name="BP3DEPIDevPrimIndustries"/>
      <w:r w:rsidRPr="00255B9B">
        <w:rPr>
          <w:lang w:eastAsia="en-AU"/>
        </w:rPr>
        <w:t>Development of Primary Industries</w:t>
      </w:r>
    </w:p>
    <w:tbl>
      <w:tblPr>
        <w:tblW w:w="7776" w:type="dxa"/>
        <w:tblInd w:w="29" w:type="dxa"/>
        <w:tblBorders>
          <w:top w:val="single" w:sz="4" w:space="0" w:color="auto"/>
          <w:left w:val="single" w:sz="4" w:space="0" w:color="auto"/>
          <w:bottom w:val="single" w:sz="4" w:space="0" w:color="auto"/>
          <w:right w:val="single" w:sz="4" w:space="0" w:color="auto"/>
        </w:tblBorders>
        <w:shd w:val="clear" w:color="auto" w:fill="000000"/>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D32CA4" w:rsidTr="009F3B54">
        <w:trPr>
          <w:cantSplit/>
          <w:tblHeader/>
        </w:trPr>
        <w:tc>
          <w:tcPr>
            <w:tcW w:w="3155" w:type="dxa"/>
            <w:shd w:val="clear" w:color="auto" w:fill="000000"/>
            <w:vAlign w:val="bottom"/>
          </w:tcPr>
          <w:p w:rsidR="00B958B1" w:rsidRPr="00D32CA4" w:rsidRDefault="00B958B1" w:rsidP="009F3B54">
            <w:pPr>
              <w:pStyle w:val="OGTabColLeft"/>
              <w:rPr>
                <w:i/>
              </w:rPr>
            </w:pPr>
            <w:r w:rsidRPr="00255B9B">
              <w:rPr>
                <w:shd w:val="clear" w:color="auto" w:fill="000000"/>
              </w:rPr>
              <w:t xml:space="preserve">Major </w:t>
            </w:r>
            <w:r w:rsidRPr="00D32CA4">
              <w:t>Outputs/Deliverables</w:t>
            </w:r>
            <w:r w:rsidRPr="00D32CA4">
              <w:br/>
            </w:r>
            <w:r w:rsidRPr="001D5E69">
              <w:rPr>
                <w:b w:val="0"/>
                <w:i/>
              </w:rPr>
              <w:t>Performance measures</w:t>
            </w:r>
          </w:p>
        </w:tc>
        <w:tc>
          <w:tcPr>
            <w:tcW w:w="907" w:type="dxa"/>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3" w:type="dxa"/>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07" w:type="dxa"/>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Heading2"/>
              <w:rPr>
                <w:lang w:eastAsia="en-AU"/>
              </w:rPr>
            </w:pPr>
            <w:r w:rsidRPr="00255B9B">
              <w:rPr>
                <w:lang w:eastAsia="en-AU"/>
              </w:rPr>
              <w:t>Development of Primary Industries</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Quantity</w:t>
            </w: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Animal pest, disease and residue control programs maintained to ensure Victorian agricultural produce complies with food safety and biosecurity standards required to access markets</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nil"/>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5</w:t>
            </w:r>
          </w:p>
        </w:tc>
        <w:tc>
          <w:tcPr>
            <w:tcW w:w="993"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5</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5</w:t>
            </w:r>
          </w:p>
        </w:tc>
        <w:tc>
          <w:tcPr>
            <w:tcW w:w="907" w:type="dxa"/>
            <w:tcBorders>
              <w:top w:val="nil"/>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5</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Commercial technology licence agreements finalised</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16</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19</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19</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25</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The lower 2013</w:t>
            </w:r>
            <w:r w:rsidR="009F0F49">
              <w:noBreakHyphen/>
            </w:r>
            <w:r>
              <w:t>14 t</w:t>
            </w:r>
            <w:r w:rsidRPr="00255B9B">
              <w:t>arget reflects a slower rate of achieving commercial technology licence agreements.</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Complete total allowable commercial catch setting processes for key quota managed fish species</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3</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New performance measure for 2013</w:t>
            </w:r>
            <w:r w:rsidR="009F0F49">
              <w:noBreakHyphen/>
            </w:r>
            <w:r w:rsidRPr="00255B9B">
              <w:t>14 to reflect the refocus in the fisheries management program on services that support core regulatory fisheries management decision making.</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Complete stock assessment for key quota managed fish species</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3</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New performance measure for 2013</w:t>
            </w:r>
            <w:r w:rsidR="009F0F49">
              <w:noBreakHyphen/>
            </w:r>
            <w:r w:rsidRPr="00255B9B">
              <w:t>14 to reflect the refocus in the fisheries management program on services that support core regulatory fisheries management decision making.</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Compliance with relevant industry standards for animal welfare</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25</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25</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25</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Compliance with relevant international and national quality assurance standards by meeting certification authorities required performance audits on biosecurity programs</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95</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95</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95</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Detect, disrupt and dismantle serious or organised fisheries criminal entities (individuals or groups)</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4</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4</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4</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Develop, implement and review overarching fisheries compliance strategy</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1</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Enhance levels of community participation in achieving fisheries compliance through calls to the 13FISH reporting line</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1</w:t>
            </w:r>
            <w:r>
              <w:rPr>
                <w:lang w:eastAsia="en-AU"/>
              </w:rPr>
              <w:t> </w:t>
            </w:r>
            <w:r w:rsidRPr="00255B9B">
              <w:rPr>
                <w:lang w:eastAsia="en-AU"/>
              </w:rPr>
              <w:t>500</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w:t>
            </w:r>
            <w:r>
              <w:rPr>
                <w:lang w:eastAsia="en-AU"/>
              </w:rPr>
              <w:t> </w:t>
            </w:r>
            <w:r w:rsidRPr="00255B9B">
              <w:rPr>
                <w:lang w:eastAsia="en-AU"/>
              </w:rPr>
              <w:t>500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w:t>
            </w:r>
            <w:r>
              <w:rPr>
                <w:lang w:eastAsia="en-AU"/>
              </w:rPr>
              <w:t> </w:t>
            </w:r>
            <w:r w:rsidRPr="00255B9B">
              <w:rPr>
                <w:lang w:eastAsia="en-AU"/>
              </w:rPr>
              <w:t>500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w:t>
            </w:r>
            <w:r>
              <w:rPr>
                <w:lang w:eastAsia="en-AU"/>
              </w:rPr>
              <w:t> </w:t>
            </w:r>
            <w:r w:rsidRPr="00255B9B">
              <w:rPr>
                <w:lang w:eastAsia="en-AU"/>
              </w:rPr>
              <w:t>490</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Farmers supported to make better informed decisions to increase productivity through network services</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2</w:t>
            </w:r>
            <w:r>
              <w:rPr>
                <w:lang w:eastAsia="en-AU"/>
              </w:rPr>
              <w:t> </w:t>
            </w:r>
            <w:r w:rsidRPr="00255B9B">
              <w:rPr>
                <w:lang w:eastAsia="en-AU"/>
              </w:rPr>
              <w:t>800</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2</w:t>
            </w:r>
            <w:r>
              <w:rPr>
                <w:lang w:eastAsia="en-AU"/>
              </w:rPr>
              <w:t> </w:t>
            </w:r>
            <w:r w:rsidRPr="00255B9B">
              <w:rPr>
                <w:lang w:eastAsia="en-AU"/>
              </w:rPr>
              <w:t>681</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2</w:t>
            </w:r>
            <w:r>
              <w:rPr>
                <w:lang w:eastAsia="en-AU"/>
              </w:rPr>
              <w:t> </w:t>
            </w:r>
            <w:r w:rsidRPr="00255B9B">
              <w:rPr>
                <w:lang w:eastAsia="en-AU"/>
              </w:rPr>
              <w:t>500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The higher 2013</w:t>
            </w:r>
            <w:r w:rsidR="009F0F49">
              <w:noBreakHyphen/>
            </w:r>
            <w:r>
              <w:t>14 t</w:t>
            </w:r>
            <w:r w:rsidRPr="00255B9B">
              <w:t>arget and 2012</w:t>
            </w:r>
            <w:r w:rsidR="009F0F49">
              <w:noBreakHyphen/>
            </w:r>
            <w:r>
              <w:t>13 expected o</w:t>
            </w:r>
            <w:r w:rsidRPr="00255B9B">
              <w:t>utcome reflects an increased emphasis of service delivery through networks.</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Farms and related small businesses facing significant adjustment pressures supported to make better informed decisions by the Rural Financial Counselling Service</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2</w:t>
            </w:r>
            <w:r>
              <w:rPr>
                <w:lang w:eastAsia="en-AU"/>
              </w:rPr>
              <w:t> </w:t>
            </w:r>
            <w:r w:rsidRPr="00255B9B">
              <w:rPr>
                <w:lang w:eastAsia="en-AU"/>
              </w:rPr>
              <w:t>000</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2</w:t>
            </w:r>
            <w:r>
              <w:rPr>
                <w:lang w:eastAsia="en-AU"/>
              </w:rPr>
              <w:t> </w:t>
            </w:r>
            <w:r w:rsidRPr="00255B9B">
              <w:rPr>
                <w:lang w:eastAsia="en-AU"/>
              </w:rPr>
              <w:t>159</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2</w:t>
            </w:r>
            <w:r>
              <w:rPr>
                <w:lang w:eastAsia="en-AU"/>
              </w:rPr>
              <w:t> </w:t>
            </w:r>
            <w:r w:rsidRPr="00255B9B">
              <w:rPr>
                <w:lang w:eastAsia="en-AU"/>
              </w:rPr>
              <w:t>500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w:t>
            </w:r>
            <w:r>
              <w:rPr>
                <w:lang w:eastAsia="en-AU"/>
              </w:rPr>
              <w:t> </w:t>
            </w:r>
            <w:r w:rsidRPr="00255B9B">
              <w:rPr>
                <w:lang w:eastAsia="en-AU"/>
              </w:rPr>
              <w:t>779</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255B9B">
              <w:t>This performance measure renames the 2012</w:t>
            </w:r>
            <w:r w:rsidR="009F0F49">
              <w:noBreakHyphen/>
            </w:r>
            <w:r w:rsidRPr="00255B9B">
              <w:t xml:space="preserve">13 performance measure </w:t>
            </w:r>
            <w:r>
              <w:t>‘</w:t>
            </w:r>
            <w:r w:rsidRPr="00255B9B">
              <w:t>Farmers facing significant adjustment pressures supported to make better informed decisions.</w:t>
            </w:r>
            <w:r>
              <w:t>’</w:t>
            </w:r>
            <w:r w:rsidRPr="00255B9B">
              <w:t xml:space="preserve"> The new measure reports on the same activity as the previous measure, however it has been amended for increased clarity.</w:t>
            </w:r>
          </w:p>
          <w:p w:rsidR="00B958B1" w:rsidRPr="00255B9B" w:rsidRDefault="00B958B1" w:rsidP="009F3B54">
            <w:pPr>
              <w:pStyle w:val="OGNotes"/>
            </w:pPr>
            <w:r w:rsidRPr="002B6D75">
              <w:t>The lower 2013</w:t>
            </w:r>
            <w:r w:rsidR="009F0F49">
              <w:noBreakHyphen/>
            </w:r>
            <w:r>
              <w:t>14 t</w:t>
            </w:r>
            <w:r w:rsidRPr="002B6D75">
              <w:t>arget and 2012</w:t>
            </w:r>
            <w:r w:rsidR="009F0F49">
              <w:noBreakHyphen/>
            </w:r>
            <w:r>
              <w:t>13 expected o</w:t>
            </w:r>
            <w:r w:rsidRPr="002B6D75">
              <w:t>utcome is due to reduced demand as a result of easing of farm adjustment pressures in the past 12 months.</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Formal evaluations that measure improvement to industry productivity</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4</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4</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4</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4</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Game licence applications, renewals and amendments processed within 15 business days of receipt</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100</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100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96</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96</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This performance measure renames the 2012</w:t>
            </w:r>
            <w:r w:rsidR="009F0F49">
              <w:noBreakHyphen/>
            </w:r>
            <w:r w:rsidRPr="00255B9B">
              <w:t xml:space="preserve">13 performance measure </w:t>
            </w:r>
            <w:r>
              <w:t>‘</w:t>
            </w:r>
            <w:r w:rsidRPr="00255B9B">
              <w:t>Game licence renewals processed by target dates.</w:t>
            </w:r>
            <w:r>
              <w:t>’</w:t>
            </w:r>
            <w:r w:rsidRPr="00255B9B">
              <w:t xml:space="preserve"> The new measure reports on the same activity as the previous measure, however it has been amended for increased clarity, reflecting that game licence renew</w:t>
            </w:r>
            <w:r>
              <w:t>als are processed automatically. This is also reflected in the higher 2013</w:t>
            </w:r>
            <w:r w:rsidR="009F0F49">
              <w:noBreakHyphen/>
            </w:r>
            <w:r>
              <w:t>14 target.</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Genetic improvement of dairy cows achieved through breeding contributing to increased milk production and dairy productivity</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1</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International scientific workshops/conferences led/organised by DEPI to promote science leadership among peers</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4</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4</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4</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5</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4"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Key fisheries managed in accordance with best practice management plans</w:t>
            </w:r>
          </w:p>
        </w:tc>
        <w:tc>
          <w:tcPr>
            <w:tcW w:w="907" w:type="dxa"/>
            <w:tcBorders>
              <w:top w:val="nil"/>
              <w:left w:val="nil"/>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nil"/>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5</w:t>
            </w:r>
          </w:p>
        </w:tc>
        <w:tc>
          <w:tcPr>
            <w:tcW w:w="993"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New performance measure for 2013</w:t>
            </w:r>
            <w:r w:rsidR="009F0F49">
              <w:noBreakHyphen/>
            </w:r>
            <w:r w:rsidRPr="00255B9B">
              <w:t>14 to respond to the findings and recommendations from the 2013 Victorian Auditor</w:t>
            </w:r>
            <w:r w:rsidR="009F0F49">
              <w:noBreakHyphen/>
            </w:r>
            <w:r w:rsidRPr="00255B9B">
              <w:t>General</w:t>
            </w:r>
            <w:r>
              <w:t>’</w:t>
            </w:r>
            <w:r w:rsidRPr="00255B9B">
              <w:t>s Office audit of DEPI</w:t>
            </w:r>
            <w:r>
              <w:t>’</w:t>
            </w:r>
            <w:r w:rsidRPr="00255B9B">
              <w:t>s Management of Freshwater Fisheries by focusing on a core fisheries regulatory output area.</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Known state prohibited weed sites monitored and treated in line with the relevant weed action plan</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90</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96</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Major strategic policy briefings to government</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4</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4</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4</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3</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Minimum number of Uniformed Fisheries Officers maintaining operational coverage for priority fishing activity periods, as defined by the Compliance Strategic Assessment</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17</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17</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17</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New key enabling technologies and core science capacity competencies established/upgraded by DEPI</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1</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1</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2</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Number of native and salmonid fish stocked</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340</w:t>
            </w:r>
            <w:r>
              <w:rPr>
                <w:lang w:eastAsia="en-AU"/>
              </w:rPr>
              <w:t> </w:t>
            </w:r>
            <w:r w:rsidRPr="00255B9B">
              <w:rPr>
                <w:lang w:eastAsia="en-AU"/>
              </w:rPr>
              <w:t>000</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340</w:t>
            </w:r>
            <w:r>
              <w:rPr>
                <w:lang w:eastAsia="en-AU"/>
              </w:rPr>
              <w:t> </w:t>
            </w:r>
            <w:r w:rsidRPr="00255B9B">
              <w:rPr>
                <w:lang w:eastAsia="en-AU"/>
              </w:rPr>
              <w:t>000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340</w:t>
            </w:r>
            <w:r>
              <w:rPr>
                <w:lang w:eastAsia="en-AU"/>
              </w:rPr>
              <w:t> </w:t>
            </w:r>
            <w:r w:rsidRPr="00255B9B">
              <w:rPr>
                <w:lang w:eastAsia="en-AU"/>
              </w:rPr>
              <w:t>000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340</w:t>
            </w:r>
            <w:r>
              <w:rPr>
                <w:lang w:eastAsia="en-AU"/>
              </w:rPr>
              <w:t> </w:t>
            </w:r>
            <w:r w:rsidRPr="00255B9B">
              <w:rPr>
                <w:lang w:eastAsia="en-AU"/>
              </w:rPr>
              <w:t>000</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Participation in agreed national biosecurity, agriculture/veterinary chemical use and animal welfare programs</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&gt;95</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&gt;95</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&gt;95</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nm</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Plant pest, disease and residue control programs maintained to ensure Victorian agricultural produce complies with food safety and biosecurity standards required to access markets</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6</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6</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6</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5</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Postgraduate level/PhD students in training by DEPI</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65</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81</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64</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87</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The 2012</w:t>
            </w:r>
            <w:r w:rsidR="009F0F49">
              <w:noBreakHyphen/>
            </w:r>
            <w:r>
              <w:t>13 expected o</w:t>
            </w:r>
            <w:r w:rsidRPr="00255B9B">
              <w:t>utcome is higher than the 2012</w:t>
            </w:r>
            <w:r w:rsidR="009F0F49">
              <w:noBreakHyphen/>
            </w:r>
            <w:r>
              <w:t>13 t</w:t>
            </w:r>
            <w:r w:rsidRPr="00255B9B">
              <w:t>arget due to improved relationships with universities, which have provided an increased opportunity for PhD students to be involved in DEPI</w:t>
            </w:r>
            <w:r>
              <w:t>’</w:t>
            </w:r>
            <w:r w:rsidRPr="00255B9B">
              <w:t>s work, particularly in relation to Future Farming Systems.</w:t>
            </w:r>
            <w:r>
              <w:t xml:space="preserve"> </w:t>
            </w:r>
            <w:r w:rsidRPr="00255B9B">
              <w:t>The 2013</w:t>
            </w:r>
            <w:r w:rsidR="009F0F49">
              <w:noBreakHyphen/>
            </w:r>
            <w:r>
              <w:t>14 t</w:t>
            </w:r>
            <w:r w:rsidRPr="00255B9B">
              <w:t>arget no longer has a contribution from Fisheries Victoria as the fisheries science program has refocused on services that support core regulatory fisheries management decision making.</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Properties inspected for invasive plant and animal priority species</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3</w:t>
            </w:r>
            <w:r>
              <w:rPr>
                <w:lang w:eastAsia="en-AU"/>
              </w:rPr>
              <w:t> </w:t>
            </w:r>
            <w:r w:rsidRPr="00255B9B">
              <w:rPr>
                <w:lang w:eastAsia="en-AU"/>
              </w:rPr>
              <w:t>800</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3</w:t>
            </w:r>
            <w:r>
              <w:rPr>
                <w:lang w:eastAsia="en-AU"/>
              </w:rPr>
              <w:t> </w:t>
            </w:r>
            <w:r w:rsidRPr="00255B9B">
              <w:rPr>
                <w:lang w:eastAsia="en-AU"/>
              </w:rPr>
              <w:t>800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4</w:t>
            </w:r>
            <w:r>
              <w:rPr>
                <w:lang w:eastAsia="en-AU"/>
              </w:rPr>
              <w:t> </w:t>
            </w:r>
            <w:r w:rsidRPr="00255B9B">
              <w:rPr>
                <w:lang w:eastAsia="en-AU"/>
              </w:rPr>
              <w:t>800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4</w:t>
            </w:r>
            <w:r>
              <w:rPr>
                <w:lang w:eastAsia="en-AU"/>
              </w:rPr>
              <w:t> </w:t>
            </w:r>
            <w:r w:rsidRPr="00255B9B">
              <w:rPr>
                <w:lang w:eastAsia="en-AU"/>
              </w:rPr>
              <w:t>971</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The lower 2013</w:t>
            </w:r>
            <w:r w:rsidR="009F0F49">
              <w:noBreakHyphen/>
            </w:r>
            <w:r>
              <w:t>14 t</w:t>
            </w:r>
            <w:r w:rsidRPr="00255B9B">
              <w:t>arget and 2012</w:t>
            </w:r>
            <w:r w:rsidR="009F0F49">
              <w:noBreakHyphen/>
            </w:r>
            <w:r>
              <w:t>13 expected o</w:t>
            </w:r>
            <w:r w:rsidRPr="00255B9B">
              <w:t>utcome reflects the refocusing of DEPI efforts into higher priorities.</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keepNext/>
              <w:rPr>
                <w:lang w:eastAsia="en-AU"/>
              </w:rPr>
            </w:pPr>
            <w:r w:rsidRPr="00255B9B">
              <w:rPr>
                <w:lang w:eastAsia="en-AU"/>
              </w:rPr>
              <w:t>Scientific and technical publications in international and/or peer review journals that promote productive, profi</w:t>
            </w:r>
            <w:r>
              <w:rPr>
                <w:lang w:eastAsia="en-AU"/>
              </w:rPr>
              <w:t xml:space="preserve">table </w:t>
            </w:r>
            <w:r w:rsidRPr="00255B9B">
              <w:rPr>
                <w:lang w:eastAsia="en-AU"/>
              </w:rPr>
              <w:t>and sustainable farming systems</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keepNext/>
              <w:rPr>
                <w:lang w:eastAsia="en-AU"/>
              </w:rPr>
            </w:pPr>
            <w:r>
              <w:rPr>
                <w:lang w:eastAsia="en-AU"/>
              </w:rPr>
              <w:t>number</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keepNext/>
              <w:rPr>
                <w:lang w:eastAsia="en-AU"/>
              </w:rPr>
            </w:pPr>
            <w:r w:rsidRPr="00255B9B">
              <w:rPr>
                <w:lang w:eastAsia="en-AU"/>
              </w:rPr>
              <w:t>258</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keepNext/>
              <w:rPr>
                <w:lang w:eastAsia="en-AU"/>
              </w:rPr>
            </w:pPr>
            <w:r w:rsidRPr="00255B9B">
              <w:rPr>
                <w:lang w:eastAsia="en-AU"/>
              </w:rPr>
              <w:t>371</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keepNext/>
              <w:rPr>
                <w:lang w:eastAsia="en-AU"/>
              </w:rPr>
            </w:pPr>
            <w:r w:rsidRPr="00255B9B">
              <w:rPr>
                <w:lang w:eastAsia="en-AU"/>
              </w:rPr>
              <w:t>298</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keepNext/>
              <w:rPr>
                <w:lang w:eastAsia="en-AU"/>
              </w:rPr>
            </w:pPr>
            <w:r w:rsidRPr="00255B9B">
              <w:rPr>
                <w:lang w:eastAsia="en-AU"/>
              </w:rPr>
              <w:t>359</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right w:val="nil"/>
            </w:tcBorders>
            <w:shd w:val="clear" w:color="auto" w:fill="auto"/>
            <w:vAlign w:val="bottom"/>
            <w:hideMark/>
          </w:tcPr>
          <w:p w:rsidR="00B958B1" w:rsidRDefault="00B958B1" w:rsidP="009F3B54">
            <w:pPr>
              <w:pStyle w:val="OGNotes"/>
            </w:pPr>
            <w:r w:rsidRPr="00255B9B">
              <w:t>This performance measure renames the 2012</w:t>
            </w:r>
            <w:r w:rsidR="009F0F49">
              <w:noBreakHyphen/>
            </w:r>
            <w:r w:rsidRPr="00255B9B">
              <w:t xml:space="preserve">13 performance measure </w:t>
            </w:r>
            <w:r>
              <w:t>‘</w:t>
            </w:r>
            <w:r w:rsidRPr="00255B9B">
              <w:t>Scientific and technical publications in international and/or peer review journals that promote productive, profi</w:t>
            </w:r>
            <w:r>
              <w:t xml:space="preserve">table </w:t>
            </w:r>
            <w:r w:rsidRPr="00255B9B">
              <w:t>and sustainable farming (including aquaculture) and fisheries systems.</w:t>
            </w:r>
            <w:r>
              <w:t>’</w:t>
            </w:r>
            <w:r w:rsidRPr="00255B9B">
              <w:t xml:space="preserve"> The new measure reports on the same activity as the previous measure, however it has been amended to reflect that the fisheries science program has refocused on services that support core regulatory fisheries management decision making.</w:t>
            </w:r>
          </w:p>
          <w:p w:rsidR="00B958B1" w:rsidRDefault="00B958B1" w:rsidP="009F3B54">
            <w:pPr>
              <w:pStyle w:val="OGNotes"/>
            </w:pPr>
            <w:r w:rsidRPr="00255B9B">
              <w:t>The lower 2013</w:t>
            </w:r>
            <w:r w:rsidR="009F0F49">
              <w:noBreakHyphen/>
            </w:r>
            <w:r w:rsidRPr="00255B9B">
              <w:t xml:space="preserve">14 </w:t>
            </w:r>
            <w:r>
              <w:t>t</w:t>
            </w:r>
            <w:r w:rsidRPr="00255B9B">
              <w:t>arget reflects the refocus in the fisheries science program on services that support core regulatory fisheries management decision making.</w:t>
            </w:r>
          </w:p>
          <w:p w:rsidR="00B958B1" w:rsidRPr="00255B9B" w:rsidRDefault="00B958B1" w:rsidP="009F3B54">
            <w:pPr>
              <w:pStyle w:val="OGNotes"/>
            </w:pPr>
            <w:r w:rsidRPr="00255B9B">
              <w:t>The 2012</w:t>
            </w:r>
            <w:r w:rsidR="009F0F49">
              <w:noBreakHyphen/>
            </w:r>
            <w:r>
              <w:t>13 expected o</w:t>
            </w:r>
            <w:r w:rsidRPr="00255B9B">
              <w:t>utcome is higher than the 2012</w:t>
            </w:r>
            <w:r w:rsidR="009F0F49">
              <w:noBreakHyphen/>
            </w:r>
            <w:r>
              <w:t>13 t</w:t>
            </w:r>
            <w:r w:rsidRPr="00255B9B">
              <w:t>arget due to higher than anticipated productivity.</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Significant customer interactions to facilitate export outcomes</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50</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51</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50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90</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Significant stakeholder interactions on climate variability, adaptation and risk management</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420</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w:t>
            </w:r>
            <w:r>
              <w:rPr>
                <w:lang w:eastAsia="en-AU"/>
              </w:rPr>
              <w:t> </w:t>
            </w:r>
            <w:r w:rsidRPr="00255B9B">
              <w:rPr>
                <w:lang w:eastAsia="en-AU"/>
              </w:rPr>
              <w:t>508</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w:t>
            </w:r>
            <w:r>
              <w:rPr>
                <w:lang w:eastAsia="en-AU"/>
              </w:rPr>
              <w:t> </w:t>
            </w:r>
            <w:r w:rsidRPr="00255B9B">
              <w:rPr>
                <w:lang w:eastAsia="en-AU"/>
              </w:rPr>
              <w:t>500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3</w:t>
            </w:r>
            <w:r>
              <w:rPr>
                <w:lang w:eastAsia="en-AU"/>
              </w:rPr>
              <w:t> </w:t>
            </w:r>
            <w:r w:rsidRPr="00255B9B">
              <w:rPr>
                <w:lang w:eastAsia="en-AU"/>
              </w:rPr>
              <w:t>451</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The lower 2013</w:t>
            </w:r>
            <w:r w:rsidR="009F0F49">
              <w:noBreakHyphen/>
            </w:r>
            <w:r w:rsidRPr="00255B9B">
              <w:t xml:space="preserve">14 </w:t>
            </w:r>
            <w:r>
              <w:t>t</w:t>
            </w:r>
            <w:r w:rsidRPr="00255B9B">
              <w:t>arget reflects the refocusing of DEPI efforts into higher priorities.</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Strategies developed to overcome identified trade barriers</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3</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3</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3</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3</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Value of external (non</w:t>
            </w:r>
            <w:r w:rsidR="009F0F49">
              <w:rPr>
                <w:lang w:eastAsia="en-AU"/>
              </w:rPr>
              <w:noBreakHyphen/>
            </w:r>
            <w:r w:rsidRPr="00255B9B">
              <w:rPr>
                <w:lang w:eastAsia="en-AU"/>
              </w:rPr>
              <w:t>state) funding contribution to research projects that support productive, profi</w:t>
            </w:r>
            <w:r>
              <w:rPr>
                <w:lang w:eastAsia="en-AU"/>
              </w:rPr>
              <w:t xml:space="preserve">table </w:t>
            </w:r>
            <w:r w:rsidRPr="00255B9B">
              <w:rPr>
                <w:lang w:eastAsia="en-AU"/>
              </w:rPr>
              <w:t>and sustainable farming systems</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 million</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36</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35.8</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33</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51.5</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right w:val="nil"/>
            </w:tcBorders>
            <w:shd w:val="clear" w:color="auto" w:fill="auto"/>
            <w:vAlign w:val="bottom"/>
            <w:hideMark/>
          </w:tcPr>
          <w:p w:rsidR="00B958B1" w:rsidRDefault="00B958B1" w:rsidP="009F3B54">
            <w:pPr>
              <w:pStyle w:val="OGNotes"/>
            </w:pPr>
            <w:r w:rsidRPr="00255B9B">
              <w:t>This performance measure renames the 2012</w:t>
            </w:r>
            <w:r w:rsidR="009F0F49">
              <w:noBreakHyphen/>
            </w:r>
            <w:r w:rsidRPr="00255B9B">
              <w:t xml:space="preserve">13 performance measure </w:t>
            </w:r>
            <w:r>
              <w:t>‘</w:t>
            </w:r>
            <w:r w:rsidRPr="00255B9B">
              <w:t>Value of external (non</w:t>
            </w:r>
            <w:r w:rsidR="009F0F49">
              <w:noBreakHyphen/>
            </w:r>
            <w:r w:rsidRPr="00255B9B">
              <w:t>state) funding contribution to research projects that support productive, profi</w:t>
            </w:r>
            <w:r>
              <w:t xml:space="preserve">table </w:t>
            </w:r>
            <w:r w:rsidRPr="00255B9B">
              <w:t>and sustainable farming (including aquaculture) and fisheries systems.</w:t>
            </w:r>
            <w:r>
              <w:t>’</w:t>
            </w:r>
            <w:r w:rsidRPr="00255B9B">
              <w:t xml:space="preserve"> The new measure reports on the same activity as the previous measure, however it has been amended to reflect the refocus in the fisheries science program on services that support core regulatory fisheries management decision making.</w:t>
            </w:r>
          </w:p>
          <w:p w:rsidR="00B958B1" w:rsidRDefault="00B958B1" w:rsidP="009F3B54">
            <w:pPr>
              <w:pStyle w:val="OGNotes"/>
            </w:pPr>
            <w:r w:rsidRPr="00255B9B">
              <w:t>The 2012</w:t>
            </w:r>
            <w:r w:rsidR="009F0F49">
              <w:noBreakHyphen/>
            </w:r>
            <w:r>
              <w:t>13 expected o</w:t>
            </w:r>
            <w:r w:rsidRPr="00255B9B">
              <w:t>utcome is higher than the 2012</w:t>
            </w:r>
            <w:r w:rsidR="009F0F49">
              <w:noBreakHyphen/>
            </w:r>
            <w:r>
              <w:t>13 t</w:t>
            </w:r>
            <w:r w:rsidRPr="00255B9B">
              <w:t>arget due to a successful collaboration with Dow AgroSciences, which has delivered larger than expected commercial revenue.</w:t>
            </w:r>
          </w:p>
          <w:p w:rsidR="00B958B1" w:rsidRPr="00255B9B" w:rsidRDefault="00B958B1" w:rsidP="009F3B54">
            <w:pPr>
              <w:pStyle w:val="OGNotes"/>
            </w:pPr>
            <w:r w:rsidRPr="00255B9B">
              <w:t>The higher 2013</w:t>
            </w:r>
            <w:r w:rsidR="009F0F49">
              <w:noBreakHyphen/>
            </w:r>
            <w:r>
              <w:t>14 t</w:t>
            </w:r>
            <w:r w:rsidRPr="00255B9B">
              <w:t>arget reflects that the higher level of commercial revenue from Dow AgroSciences is expected to continue, partially offset by other industry co</w:t>
            </w:r>
            <w:r w:rsidR="009F0F49">
              <w:noBreakHyphen/>
            </w:r>
            <w:r w:rsidRPr="00255B9B">
              <w:t>investment reductions in fisheries science.</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Quality</w:t>
            </w: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Clients are satisfied that services are accessible, timely and relevant</w:t>
            </w:r>
          </w:p>
        </w:tc>
        <w:tc>
          <w:tcPr>
            <w:tcW w:w="907" w:type="dxa"/>
            <w:tcBorders>
              <w:top w:val="nil"/>
              <w:left w:val="nil"/>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nil"/>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&gt;80</w:t>
            </w:r>
          </w:p>
        </w:tc>
        <w:tc>
          <w:tcPr>
            <w:tcW w:w="993"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na</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na</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na</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This is a bi</w:t>
            </w:r>
            <w:r w:rsidR="009F0F49">
              <w:noBreakHyphen/>
            </w:r>
            <w:r w:rsidRPr="00255B9B">
              <w:t>annual measure with a 2013</w:t>
            </w:r>
            <w:r w:rsidR="009F0F49">
              <w:noBreakHyphen/>
            </w:r>
            <w:r w:rsidRPr="00255B9B">
              <w:t>14 target.</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Proportion of practice change and technical publications submitted to conference proceedings and peer review journals that are accepted for publication</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90</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94</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Timeliness</w:t>
            </w: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Agrifood and natural resource management research and development project milestones and reports completed on time</w:t>
            </w:r>
          </w:p>
        </w:tc>
        <w:tc>
          <w:tcPr>
            <w:tcW w:w="907" w:type="dxa"/>
            <w:tcBorders>
              <w:top w:val="nil"/>
              <w:left w:val="nil"/>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nil"/>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80</w:t>
            </w:r>
          </w:p>
        </w:tc>
        <w:tc>
          <w:tcPr>
            <w:tcW w:w="993"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85</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80</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85</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This performance measure renames the 2012</w:t>
            </w:r>
            <w:r w:rsidR="009F0F49">
              <w:noBreakHyphen/>
            </w:r>
            <w:r w:rsidRPr="00255B9B">
              <w:t xml:space="preserve">13 performance measure </w:t>
            </w:r>
            <w:r>
              <w:t>‘</w:t>
            </w:r>
            <w:r w:rsidRPr="00255B9B">
              <w:t>Agrifood, fisheries and natural resource management research and development project milestones and reports completed on time.</w:t>
            </w:r>
            <w:r>
              <w:t>’</w:t>
            </w:r>
            <w:r w:rsidRPr="00255B9B">
              <w:t xml:space="preserve"> The new measure reports on the same activity as the previous measure, however it has been amended to reflect the refocus in the fisheries science program on services that support core regulatory fisheries management decision making. The 2013</w:t>
            </w:r>
            <w:r w:rsidR="009F0F49">
              <w:noBreakHyphen/>
            </w:r>
            <w:r>
              <w:t>14 t</w:t>
            </w:r>
            <w:r w:rsidRPr="00255B9B">
              <w:t>arget no longer has a contribution from Fisheries Victoria as the fisheries science program has refocused on services that support core regulatory fisheries management decision making.</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Applications for intellectual property protection</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number</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8</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20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8</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12</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The 2012</w:t>
            </w:r>
            <w:r w:rsidR="009F0F49">
              <w:noBreakHyphen/>
            </w:r>
            <w:r>
              <w:t>13 expected o</w:t>
            </w:r>
            <w:r w:rsidRPr="00255B9B">
              <w:t>utcome is higher than the 2012</w:t>
            </w:r>
            <w:r w:rsidR="009F0F49">
              <w:noBreakHyphen/>
            </w:r>
            <w:r>
              <w:t>13 t</w:t>
            </w:r>
            <w:r w:rsidRPr="00255B9B">
              <w:t>arget due to the need to develop and accelerate seven new provisional patent filings for one new commercial innovation and five new plant variety Plant Breeders Rights registrations brought forward due to commercial demand.</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Project milestone reports completed on time</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85</w:t>
            </w:r>
          </w:p>
        </w:tc>
        <w:tc>
          <w:tcPr>
            <w:tcW w:w="993"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80</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85</w:t>
            </w:r>
          </w:p>
        </w:tc>
        <w:tc>
          <w:tcPr>
            <w:tcW w:w="907" w:type="dxa"/>
            <w:tcBorders>
              <w:top w:val="single" w:sz="6" w:space="0" w:color="auto"/>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88</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6" w:space="0" w:color="auto"/>
              <w:right w:val="nil"/>
            </w:tcBorders>
            <w:shd w:val="clear" w:color="auto" w:fill="auto"/>
            <w:vAlign w:val="bottom"/>
            <w:hideMark/>
          </w:tcPr>
          <w:p w:rsidR="00B958B1" w:rsidRPr="00255B9B" w:rsidRDefault="00B958B1" w:rsidP="009F3B54">
            <w:pPr>
              <w:pStyle w:val="OGNotes"/>
            </w:pPr>
            <w:r w:rsidRPr="00255B9B">
              <w:t>The 2012</w:t>
            </w:r>
            <w:r w:rsidR="009F0F49">
              <w:noBreakHyphen/>
            </w:r>
            <w:r>
              <w:t>13 expected o</w:t>
            </w:r>
            <w:r w:rsidRPr="00255B9B">
              <w:t>utcome is lower than the 2012</w:t>
            </w:r>
            <w:r w:rsidR="009F0F49">
              <w:noBreakHyphen/>
            </w:r>
            <w:r>
              <w:t>13 t</w:t>
            </w:r>
            <w:r w:rsidRPr="00255B9B">
              <w:t>arget mainly due to the refocusing of DEPI efforts into higher priorities.</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Provision of technical advice, diagnostic identification tests on pests and diseases including suspected exotics within agreed timeframes</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80</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80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80</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95</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Response time to emergency animal pest, disease, residue and disaster incidents</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sidRPr="00255B9B">
              <w:rPr>
                <w:lang w:eastAsia="en-AU"/>
              </w:rPr>
              <w:t>Hours</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&lt;</w:t>
            </w:r>
            <w:r>
              <w:rPr>
                <w:lang w:eastAsia="en-AU"/>
              </w:rPr>
              <w:t> </w:t>
            </w:r>
            <w:r w:rsidRPr="00255B9B">
              <w:rPr>
                <w:lang w:eastAsia="en-AU"/>
              </w:rPr>
              <w:t>24</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&lt;</w:t>
            </w:r>
            <w:r>
              <w:rPr>
                <w:lang w:eastAsia="en-AU"/>
              </w:rPr>
              <w:t> </w:t>
            </w:r>
            <w:r w:rsidRPr="00255B9B">
              <w:rPr>
                <w:lang w:eastAsia="en-AU"/>
              </w:rPr>
              <w:t>24</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&lt;</w:t>
            </w:r>
            <w:r>
              <w:rPr>
                <w:lang w:eastAsia="en-AU"/>
              </w:rPr>
              <w:t> </w:t>
            </w:r>
            <w:r w:rsidRPr="00255B9B">
              <w:rPr>
                <w:lang w:eastAsia="en-AU"/>
              </w:rPr>
              <w:t>24</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&lt;</w:t>
            </w:r>
            <w:r>
              <w:rPr>
                <w:lang w:eastAsia="en-AU"/>
              </w:rPr>
              <w:t> </w:t>
            </w:r>
            <w:r w:rsidRPr="00255B9B">
              <w:rPr>
                <w:lang w:eastAsia="en-AU"/>
              </w:rPr>
              <w:t>24</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Text"/>
              <w:rPr>
                <w:lang w:eastAsia="en-AU"/>
              </w:rPr>
            </w:pPr>
            <w:r w:rsidRPr="00255B9B">
              <w:rPr>
                <w:lang w:eastAsia="en-AU"/>
              </w:rPr>
              <w:t xml:space="preserve">Response time to emergency </w:t>
            </w:r>
            <w:r>
              <w:rPr>
                <w:lang w:eastAsia="en-AU"/>
              </w:rPr>
              <w:t>plant</w:t>
            </w:r>
            <w:r w:rsidRPr="00255B9B">
              <w:rPr>
                <w:lang w:eastAsia="en-AU"/>
              </w:rPr>
              <w:t xml:space="preserve"> pest, disease, residue and disaster incidents</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UoM"/>
              <w:rPr>
                <w:lang w:eastAsia="en-AU"/>
              </w:rPr>
            </w:pPr>
            <w:r w:rsidRPr="00255B9B">
              <w:rPr>
                <w:lang w:eastAsia="en-AU"/>
              </w:rPr>
              <w:t>Hours</w:t>
            </w:r>
          </w:p>
        </w:tc>
        <w:tc>
          <w:tcPr>
            <w:tcW w:w="907" w:type="dxa"/>
            <w:tcBorders>
              <w:top w:val="single" w:sz="6" w:space="0" w:color="auto"/>
              <w:left w:val="nil"/>
              <w:bottom w:val="single" w:sz="6" w:space="0" w:color="auto"/>
              <w:right w:val="nil"/>
            </w:tcBorders>
            <w:shd w:val="clear" w:color="auto" w:fill="D9D9D9"/>
            <w:hideMark/>
          </w:tcPr>
          <w:p w:rsidR="00B958B1" w:rsidRPr="00255B9B" w:rsidRDefault="00B958B1" w:rsidP="009F3B54">
            <w:pPr>
              <w:pStyle w:val="OGTableofFigures"/>
              <w:rPr>
                <w:lang w:eastAsia="en-AU"/>
              </w:rPr>
            </w:pPr>
            <w:r w:rsidRPr="00255B9B">
              <w:rPr>
                <w:lang w:eastAsia="en-AU"/>
              </w:rPr>
              <w:t>&lt;</w:t>
            </w:r>
            <w:r>
              <w:rPr>
                <w:lang w:eastAsia="en-AU"/>
              </w:rPr>
              <w:t> </w:t>
            </w:r>
            <w:r w:rsidRPr="00255B9B">
              <w:rPr>
                <w:lang w:eastAsia="en-AU"/>
              </w:rPr>
              <w:t>24</w:t>
            </w:r>
          </w:p>
        </w:tc>
        <w:tc>
          <w:tcPr>
            <w:tcW w:w="993"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&lt;</w:t>
            </w:r>
            <w:r>
              <w:rPr>
                <w:lang w:eastAsia="en-AU"/>
              </w:rPr>
              <w:t> </w:t>
            </w:r>
            <w:r w:rsidRPr="00255B9B">
              <w:rPr>
                <w:lang w:eastAsia="en-AU"/>
              </w:rPr>
              <w:t>24</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&lt;</w:t>
            </w:r>
            <w:r>
              <w:rPr>
                <w:lang w:eastAsia="en-AU"/>
              </w:rPr>
              <w:t> </w:t>
            </w:r>
            <w:r w:rsidRPr="00255B9B">
              <w:rPr>
                <w:lang w:eastAsia="en-AU"/>
              </w:rPr>
              <w:t>24</w:t>
            </w:r>
          </w:p>
        </w:tc>
        <w:tc>
          <w:tcPr>
            <w:tcW w:w="907" w:type="dxa"/>
            <w:tcBorders>
              <w:top w:val="single" w:sz="6" w:space="0" w:color="auto"/>
              <w:left w:val="nil"/>
              <w:bottom w:val="single" w:sz="6" w:space="0" w:color="auto"/>
              <w:right w:val="nil"/>
            </w:tcBorders>
            <w:shd w:val="clear" w:color="000000" w:fill="FFFFFF"/>
            <w:hideMark/>
          </w:tcPr>
          <w:p w:rsidR="00B958B1" w:rsidRPr="00255B9B" w:rsidRDefault="00B958B1" w:rsidP="009F3B54">
            <w:pPr>
              <w:pStyle w:val="OGTableofFigures"/>
              <w:rPr>
                <w:lang w:eastAsia="en-AU"/>
              </w:rPr>
            </w:pPr>
            <w:r w:rsidRPr="00255B9B">
              <w:rPr>
                <w:lang w:eastAsia="en-AU"/>
              </w:rPr>
              <w:t>&lt;</w:t>
            </w:r>
            <w:r>
              <w:rPr>
                <w:lang w:eastAsia="en-AU"/>
              </w:rPr>
              <w:t> </w:t>
            </w:r>
            <w:r w:rsidRPr="00255B9B">
              <w:rPr>
                <w:lang w:eastAsia="en-AU"/>
              </w:rPr>
              <w:t>24</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single" w:sz="6" w:space="0" w:color="auto"/>
              <w:left w:val="nil"/>
              <w:right w:val="nil"/>
            </w:tcBorders>
            <w:shd w:val="clear" w:color="auto" w:fill="auto"/>
            <w:vAlign w:val="bottom"/>
            <w:hideMark/>
          </w:tcPr>
          <w:p w:rsidR="00B958B1" w:rsidRPr="00255B9B" w:rsidRDefault="00B958B1" w:rsidP="009F3B54">
            <w:pPr>
              <w:pStyle w:val="OGTabHead"/>
              <w:rPr>
                <w:lang w:eastAsia="en-AU"/>
              </w:rPr>
            </w:pPr>
            <w:r w:rsidRPr="00B34C4C">
              <w:rPr>
                <w:iCs/>
                <w:lang w:eastAsia="en-AU"/>
              </w:rPr>
              <w:t>Cost</w:t>
            </w: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255B9B" w:rsidRDefault="00B958B1" w:rsidP="009F3B54">
            <w:pPr>
              <w:pStyle w:val="OGTableofFigures"/>
              <w:rPr>
                <w:lang w:eastAsia="en-AU"/>
              </w:rPr>
            </w:pPr>
          </w:p>
        </w:tc>
        <w:tc>
          <w:tcPr>
            <w:tcW w:w="993"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255B9B" w:rsidRDefault="00B958B1" w:rsidP="009F3B54">
            <w:pPr>
              <w:pStyle w:val="OGTableofFigures"/>
              <w:rPr>
                <w:lang w:eastAsia="en-AU"/>
              </w:rPr>
            </w:pP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3155" w:type="dxa"/>
            <w:tcBorders>
              <w:top w:val="nil"/>
              <w:left w:val="nil"/>
              <w:right w:val="nil"/>
            </w:tcBorders>
            <w:shd w:val="clear" w:color="000000" w:fill="FFFFFF"/>
            <w:hideMark/>
          </w:tcPr>
          <w:p w:rsidR="00B958B1" w:rsidRPr="00255B9B" w:rsidRDefault="00B958B1" w:rsidP="009F3B54">
            <w:pPr>
              <w:pStyle w:val="OGTabText"/>
              <w:rPr>
                <w:lang w:eastAsia="en-AU"/>
              </w:rPr>
            </w:pPr>
            <w:r w:rsidRPr="00255B9B">
              <w:rPr>
                <w:lang w:eastAsia="en-AU"/>
              </w:rPr>
              <w:t>Total output cost</w:t>
            </w:r>
          </w:p>
        </w:tc>
        <w:tc>
          <w:tcPr>
            <w:tcW w:w="907" w:type="dxa"/>
            <w:tcBorders>
              <w:top w:val="nil"/>
              <w:left w:val="nil"/>
              <w:right w:val="nil"/>
            </w:tcBorders>
            <w:shd w:val="clear" w:color="000000" w:fill="FFFFFF"/>
            <w:hideMark/>
          </w:tcPr>
          <w:p w:rsidR="00B958B1" w:rsidRPr="00255B9B" w:rsidRDefault="00B958B1" w:rsidP="009F3B54">
            <w:pPr>
              <w:pStyle w:val="OGUoM"/>
              <w:rPr>
                <w:lang w:eastAsia="en-AU"/>
              </w:rPr>
            </w:pPr>
            <w:r>
              <w:rPr>
                <w:lang w:eastAsia="en-AU"/>
              </w:rPr>
              <w:t>$ million</w:t>
            </w:r>
          </w:p>
        </w:tc>
        <w:tc>
          <w:tcPr>
            <w:tcW w:w="907" w:type="dxa"/>
            <w:tcBorders>
              <w:top w:val="nil"/>
              <w:left w:val="nil"/>
              <w:right w:val="nil"/>
            </w:tcBorders>
            <w:shd w:val="clear" w:color="auto" w:fill="D9D9D9"/>
            <w:hideMark/>
          </w:tcPr>
          <w:p w:rsidR="00B958B1" w:rsidRPr="00255B9B" w:rsidRDefault="00B958B1" w:rsidP="009F3B54">
            <w:pPr>
              <w:pStyle w:val="OGTableofFigures"/>
              <w:rPr>
                <w:lang w:eastAsia="en-AU"/>
              </w:rPr>
            </w:pPr>
            <w:r w:rsidRPr="00255B9B">
              <w:rPr>
                <w:lang w:eastAsia="en-AU"/>
              </w:rPr>
              <w:t>44</w:t>
            </w:r>
            <w:r>
              <w:rPr>
                <w:lang w:eastAsia="en-AU"/>
              </w:rPr>
              <w:t>0</w:t>
            </w:r>
            <w:r w:rsidRPr="00255B9B">
              <w:rPr>
                <w:lang w:eastAsia="en-AU"/>
              </w:rPr>
              <w:t>.3</w:t>
            </w:r>
          </w:p>
        </w:tc>
        <w:tc>
          <w:tcPr>
            <w:tcW w:w="993"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na</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na</w:t>
            </w:r>
          </w:p>
        </w:tc>
        <w:tc>
          <w:tcPr>
            <w:tcW w:w="907" w:type="dxa"/>
            <w:tcBorders>
              <w:top w:val="nil"/>
              <w:left w:val="nil"/>
              <w:right w:val="nil"/>
            </w:tcBorders>
            <w:shd w:val="clear" w:color="000000" w:fill="FFFFFF"/>
            <w:hideMark/>
          </w:tcPr>
          <w:p w:rsidR="00B958B1" w:rsidRPr="00255B9B" w:rsidRDefault="00B958B1" w:rsidP="009F3B54">
            <w:pPr>
              <w:pStyle w:val="OGTableofFigures"/>
              <w:rPr>
                <w:lang w:eastAsia="en-AU"/>
              </w:rPr>
            </w:pPr>
            <w:r w:rsidRPr="00255B9B">
              <w:rPr>
                <w:lang w:eastAsia="en-AU"/>
              </w:rPr>
              <w:t>na</w:t>
            </w:r>
          </w:p>
        </w:tc>
      </w:tr>
      <w:tr w:rsidR="00B958B1" w:rsidRPr="00255B9B" w:rsidTr="009F3B54">
        <w:tblPrEx>
          <w:tblBorders>
            <w:top w:val="none" w:sz="0" w:space="0" w:color="auto"/>
            <w:left w:val="none" w:sz="0" w:space="0" w:color="auto"/>
            <w:bottom w:val="none" w:sz="0" w:space="0" w:color="auto"/>
            <w:right w:val="none" w:sz="0" w:space="0" w:color="auto"/>
          </w:tblBorders>
          <w:shd w:val="clear" w:color="auto" w:fill="auto"/>
        </w:tblPrEx>
        <w:trPr>
          <w:cantSplit/>
        </w:trPr>
        <w:tc>
          <w:tcPr>
            <w:tcW w:w="7776" w:type="dxa"/>
            <w:gridSpan w:val="6"/>
            <w:tcBorders>
              <w:top w:val="nil"/>
              <w:left w:val="nil"/>
              <w:bottom w:val="single" w:sz="12" w:space="0" w:color="auto"/>
              <w:right w:val="nil"/>
            </w:tcBorders>
            <w:shd w:val="clear" w:color="auto" w:fill="auto"/>
            <w:vAlign w:val="bottom"/>
            <w:hideMark/>
          </w:tcPr>
          <w:p w:rsidR="00B958B1" w:rsidRPr="00255B9B" w:rsidRDefault="00B958B1" w:rsidP="009F3B54">
            <w:pPr>
              <w:pStyle w:val="OGNotes"/>
            </w:pPr>
            <w:r w:rsidRPr="00255B9B">
              <w:t>The Development of Primary Industries is a new output due to machinery of government changes. As such there is no 2012</w:t>
            </w:r>
            <w:r w:rsidR="009F0F49">
              <w:noBreakHyphen/>
            </w:r>
            <w:r w:rsidRPr="00255B9B">
              <w:t>13 budget and 2012</w:t>
            </w:r>
            <w:r w:rsidR="009F0F49">
              <w:noBreakHyphen/>
            </w:r>
            <w:r w:rsidRPr="00255B9B">
              <w:t xml:space="preserve">13 </w:t>
            </w:r>
            <w:r>
              <w:t>expected outcome</w:t>
            </w:r>
            <w:r w:rsidRPr="00255B9B">
              <w:t>.</w:t>
            </w:r>
          </w:p>
        </w:tc>
      </w:tr>
    </w:tbl>
    <w:p w:rsidR="00B958B1" w:rsidRDefault="00B958B1" w:rsidP="009F3B54">
      <w:pPr>
        <w:pStyle w:val="Source"/>
      </w:pPr>
      <w:r>
        <w:t xml:space="preserve">Source: </w:t>
      </w:r>
      <w:r w:rsidRPr="0002334A">
        <w:t xml:space="preserve">Department </w:t>
      </w:r>
      <w:r>
        <w:t>o</w:t>
      </w:r>
      <w:r w:rsidRPr="0002334A">
        <w:t xml:space="preserve">f </w:t>
      </w:r>
      <w:r>
        <w:t xml:space="preserve">Environment and </w:t>
      </w:r>
      <w:r w:rsidRPr="000B036B">
        <w:t xml:space="preserve">Primary </w:t>
      </w:r>
      <w:r w:rsidRPr="004A51D9">
        <w:t>Industries</w:t>
      </w:r>
    </w:p>
    <w:p w:rsidR="00B958B1" w:rsidRDefault="00B958B1" w:rsidP="009F3B54">
      <w:pPr>
        <w:pStyle w:val="Source"/>
      </w:pPr>
      <w:r>
        <w:fldChar w:fldCharType="begin"/>
      </w:r>
      <w:r>
        <w:instrText xml:space="preserve"> XE "</w:instrText>
      </w:r>
      <w:r w:rsidRPr="00133180">
        <w:instrText>Department of Environment and Primary Industries:Development of Primary Industries</w:instrText>
      </w:r>
      <w:r>
        <w:instrText xml:space="preserve">" \r "BP3DEPIDevPrimIndustries" </w:instrText>
      </w:r>
      <w:r>
        <w:fldChar w:fldCharType="end"/>
      </w:r>
    </w:p>
    <w:bookmarkEnd w:id="102"/>
    <w:p w:rsidR="00B958B1" w:rsidRDefault="00B958B1" w:rsidP="009F3B54"/>
    <w:p w:rsidR="00B958B1" w:rsidRDefault="00B958B1" w:rsidP="00497606"/>
    <w:p w:rsidR="00B958B1" w:rsidRDefault="00B958B1" w:rsidP="00C45CC5">
      <w:pPr>
        <w:sectPr w:rsidR="00B958B1" w:rsidSect="004B42A1">
          <w:footerReference w:type="even" r:id="rId21"/>
          <w:footerReference w:type="default" r:id="rId22"/>
          <w:pgSz w:w="9979" w:h="14181" w:code="138"/>
          <w:pgMar w:top="1138" w:right="1138" w:bottom="1138" w:left="1138" w:header="720" w:footer="720" w:gutter="0"/>
          <w:cols w:space="708"/>
          <w:docGrid w:linePitch="360"/>
        </w:sectPr>
      </w:pPr>
    </w:p>
    <w:p w:rsidR="00B958B1" w:rsidRPr="00672E54" w:rsidRDefault="00B958B1" w:rsidP="009F3B54">
      <w:pPr>
        <w:pStyle w:val="Heading1"/>
      </w:pPr>
      <w:bookmarkStart w:id="103" w:name="_Toc355362282"/>
      <w:r>
        <w:t xml:space="preserve">Department </w:t>
      </w:r>
      <w:r w:rsidRPr="00376BA6">
        <w:t>of</w:t>
      </w:r>
      <w:r w:rsidRPr="00981AA0">
        <w:t xml:space="preserve"> </w:t>
      </w:r>
      <w:r>
        <w:t>Health</w:t>
      </w:r>
      <w:bookmarkEnd w:id="103"/>
    </w:p>
    <w:p w:rsidR="00B958B1" w:rsidRPr="009701EC" w:rsidRDefault="00B958B1" w:rsidP="009F3B54">
      <w:pPr>
        <w:pStyle w:val="Heading2"/>
      </w:pPr>
      <w:r w:rsidRPr="009701EC">
        <w:t>Ministerial portfolios</w:t>
      </w:r>
    </w:p>
    <w:p w:rsidR="00B958B1" w:rsidRPr="005D250D" w:rsidRDefault="00B958B1" w:rsidP="009F3B54">
      <w:r w:rsidRPr="005D250D">
        <w:t>The Department supports the ministerial portfolios of health, mental health and ageing.</w:t>
      </w:r>
    </w:p>
    <w:p w:rsidR="00B958B1" w:rsidRPr="009701EC" w:rsidRDefault="00B958B1" w:rsidP="009F3B54">
      <w:pPr>
        <w:pStyle w:val="Heading2"/>
      </w:pPr>
      <w:r w:rsidRPr="009701EC">
        <w:t>Departmental mission statement</w:t>
      </w:r>
    </w:p>
    <w:p w:rsidR="00B958B1" w:rsidRPr="005D250D" w:rsidRDefault="00B958B1" w:rsidP="009F3B54">
      <w:r w:rsidRPr="005D250D">
        <w:t>To achieve the best health and wellbeing for all Victorians.</w:t>
      </w:r>
    </w:p>
    <w:p w:rsidR="00B958B1" w:rsidRPr="005D250D" w:rsidRDefault="00B958B1" w:rsidP="009F3B54">
      <w:r w:rsidRPr="005D250D">
        <w:t>Together with our service p</w:t>
      </w:r>
      <w:r>
        <w:t>artners and the community, the D</w:t>
      </w:r>
      <w:r w:rsidRPr="005D250D">
        <w:t>epartment provides leadership to the health system through planning, policy, funding and regulation of health care activity to facilitate improvements in health system sustainability and health outcomes for Victorians. The department provides funding for:</w:t>
      </w:r>
    </w:p>
    <w:p w:rsidR="00B958B1" w:rsidRPr="005D250D" w:rsidRDefault="00B958B1" w:rsidP="009F3B54">
      <w:pPr>
        <w:pStyle w:val="BulletText"/>
      </w:pPr>
      <w:r w:rsidRPr="005D250D">
        <w:t xml:space="preserve">health care services provided through the public hospital system, community health services, </w:t>
      </w:r>
      <w:r w:rsidRPr="00917CC4">
        <w:t>ambulance</w:t>
      </w:r>
      <w:r w:rsidRPr="005D250D">
        <w:t xml:space="preserve"> services, dental services, public mental health and drug and alcohol services;</w:t>
      </w:r>
    </w:p>
    <w:p w:rsidR="00B958B1" w:rsidRPr="005D250D" w:rsidRDefault="00B958B1" w:rsidP="009F3B54">
      <w:pPr>
        <w:pStyle w:val="BulletText"/>
      </w:pPr>
      <w:r w:rsidRPr="005D250D">
        <w:t xml:space="preserve">home, residential and community care for older people, and other assistance to enable older people to live productive and independent lives; and </w:t>
      </w:r>
    </w:p>
    <w:p w:rsidR="00B958B1" w:rsidRPr="005D250D" w:rsidRDefault="00B958B1" w:rsidP="009F3B54">
      <w:pPr>
        <w:pStyle w:val="BulletText"/>
      </w:pPr>
      <w:r w:rsidRPr="005D250D">
        <w:t>health promotion and protection through emergency management activity, monitoring risks to public health and related preventative, education and regulatory services.</w:t>
      </w:r>
    </w:p>
    <w:p w:rsidR="00B958B1" w:rsidRPr="009701EC" w:rsidRDefault="00B958B1" w:rsidP="009F3B54">
      <w:pPr>
        <w:pStyle w:val="Heading2"/>
      </w:pPr>
      <w:r w:rsidRPr="009701EC">
        <w:t>Departmental objectives, indicators and outputs</w:t>
      </w:r>
    </w:p>
    <w:p w:rsidR="00B958B1" w:rsidRPr="005D250D" w:rsidRDefault="00B958B1" w:rsidP="009F3B54">
      <w:r>
        <w:t>The D</w:t>
      </w:r>
      <w:r w:rsidRPr="005D250D">
        <w:t>epartment</w:t>
      </w:r>
      <w:r>
        <w:t>’</w:t>
      </w:r>
      <w:r w:rsidRPr="005D250D">
        <w:t>s objectives and indicators reflect the Government</w:t>
      </w:r>
      <w:r>
        <w:t>’</w:t>
      </w:r>
      <w:r w:rsidRPr="005D250D">
        <w:t>s policy ambition to build a strong health system for all Victorians. The focus is on:</w:t>
      </w:r>
    </w:p>
    <w:p w:rsidR="00B958B1" w:rsidRPr="005D250D" w:rsidRDefault="00B958B1" w:rsidP="009F3B54">
      <w:pPr>
        <w:pStyle w:val="BulletText"/>
      </w:pPr>
      <w:r w:rsidRPr="005D250D">
        <w:t>developing a system that is responsive to people</w:t>
      </w:r>
      <w:r>
        <w:t>’</w:t>
      </w:r>
      <w:r w:rsidRPr="005D250D">
        <w:t xml:space="preserve">s needs, </w:t>
      </w:r>
    </w:p>
    <w:p w:rsidR="00B958B1" w:rsidRPr="005D250D" w:rsidRDefault="00B958B1" w:rsidP="009F3B54">
      <w:pPr>
        <w:pStyle w:val="BulletText"/>
      </w:pPr>
      <w:r w:rsidRPr="005D250D">
        <w:t>improving every Victorian</w:t>
      </w:r>
      <w:r>
        <w:t>’</w:t>
      </w:r>
      <w:r w:rsidRPr="005D250D">
        <w:t xml:space="preserve">s health status and experiences, </w:t>
      </w:r>
    </w:p>
    <w:p w:rsidR="00B958B1" w:rsidRPr="005D250D" w:rsidRDefault="00B958B1" w:rsidP="009F3B54">
      <w:pPr>
        <w:pStyle w:val="BulletText"/>
      </w:pPr>
      <w:r w:rsidRPr="005D250D">
        <w:t xml:space="preserve">expanding service, workforce and system capacity, </w:t>
      </w:r>
    </w:p>
    <w:p w:rsidR="00B958B1" w:rsidRPr="005D250D" w:rsidRDefault="00B958B1" w:rsidP="009F3B54">
      <w:pPr>
        <w:pStyle w:val="BulletText"/>
      </w:pPr>
      <w:r w:rsidRPr="005D250D">
        <w:t>increasing the system</w:t>
      </w:r>
      <w:r>
        <w:t>’</w:t>
      </w:r>
      <w:r w:rsidRPr="005D250D">
        <w:t xml:space="preserve">s financial sustainability and productivity, </w:t>
      </w:r>
    </w:p>
    <w:p w:rsidR="00B958B1" w:rsidRPr="005D250D" w:rsidRDefault="00B958B1" w:rsidP="009F3B54">
      <w:pPr>
        <w:pStyle w:val="BulletText"/>
      </w:pPr>
      <w:r w:rsidRPr="005D250D">
        <w:t xml:space="preserve">implementing continuous improvements and innovation, </w:t>
      </w:r>
    </w:p>
    <w:p w:rsidR="00B958B1" w:rsidRPr="005D250D" w:rsidRDefault="00B958B1" w:rsidP="009F3B54">
      <w:pPr>
        <w:pStyle w:val="BulletText"/>
      </w:pPr>
      <w:r w:rsidRPr="005D250D">
        <w:t xml:space="preserve">increasing accountability and transparency, and </w:t>
      </w:r>
    </w:p>
    <w:p w:rsidR="00B958B1" w:rsidRPr="005D250D" w:rsidRDefault="00B958B1" w:rsidP="009F3B54">
      <w:pPr>
        <w:pStyle w:val="BulletText"/>
      </w:pPr>
      <w:r w:rsidRPr="005D250D">
        <w:t xml:space="preserve">making better </w:t>
      </w:r>
      <w:r w:rsidRPr="00694A2E">
        <w:t>use</w:t>
      </w:r>
      <w:r w:rsidRPr="005D250D">
        <w:t xml:space="preserve"> of e</w:t>
      </w:r>
      <w:r w:rsidR="009F0F49">
        <w:noBreakHyphen/>
      </w:r>
      <w:r w:rsidRPr="005D250D">
        <w:t>health</w:t>
      </w:r>
      <w:r>
        <w:t xml:space="preserve"> and communications technology.</w:t>
      </w:r>
    </w:p>
    <w:p w:rsidR="00B958B1" w:rsidRPr="005D250D" w:rsidRDefault="00B958B1" w:rsidP="009F3B54">
      <w:r w:rsidRPr="005D250D">
        <w:t xml:space="preserve">Each output group contributes to </w:t>
      </w:r>
      <w:r>
        <w:t>the achievement of each of the D</w:t>
      </w:r>
      <w:r w:rsidRPr="005D250D">
        <w:t>epartment</w:t>
      </w:r>
      <w:r>
        <w:t>’</w:t>
      </w:r>
      <w:r w:rsidRPr="005D250D">
        <w:t>s objectiv</w:t>
      </w:r>
      <w:r>
        <w:t>es. This approach reflects the D</w:t>
      </w:r>
      <w:r w:rsidRPr="005D250D">
        <w:t>epartment</w:t>
      </w:r>
      <w:r>
        <w:t>’</w:t>
      </w:r>
      <w:r w:rsidRPr="005D250D">
        <w:t>s intent to build a health system that is integrated and responsive to the changing needs of the community.</w:t>
      </w:r>
    </w:p>
    <w:p w:rsidR="00B958B1" w:rsidRDefault="00B958B1" w:rsidP="009F3B54">
      <w:r>
        <w:br w:type="page"/>
        <w:t>The D</w:t>
      </w:r>
      <w:r w:rsidRPr="005D250D">
        <w:t>epartment</w:t>
      </w:r>
      <w:r>
        <w:t>’</w:t>
      </w:r>
      <w:r w:rsidRPr="005D250D">
        <w:t>s objectives, indicators and linked outputs are:</w:t>
      </w:r>
    </w:p>
    <w:tbl>
      <w:tblPr>
        <w:tblStyle w:val="TableGrid"/>
        <w:tblW w:w="7776" w:type="dxa"/>
        <w:tblInd w:w="29" w:type="dxa"/>
        <w:tblBorders>
          <w:insideH w:val="single" w:sz="6" w:space="0" w:color="auto"/>
        </w:tblBorders>
        <w:tblLayout w:type="fixed"/>
        <w:tblCellMar>
          <w:left w:w="43" w:type="dxa"/>
          <w:right w:w="43" w:type="dxa"/>
        </w:tblCellMar>
        <w:tblLook w:val="04A0" w:firstRow="1" w:lastRow="0" w:firstColumn="1" w:lastColumn="0" w:noHBand="0" w:noVBand="1"/>
      </w:tblPr>
      <w:tblGrid>
        <w:gridCol w:w="2592"/>
        <w:gridCol w:w="2592"/>
        <w:gridCol w:w="2592"/>
      </w:tblGrid>
      <w:tr w:rsidR="00B958B1" w:rsidTr="009F3B54">
        <w:trPr>
          <w:cantSplit/>
        </w:trPr>
        <w:tc>
          <w:tcPr>
            <w:tcW w:w="2592" w:type="dxa"/>
            <w:shd w:val="clear" w:color="auto" w:fill="000000"/>
          </w:tcPr>
          <w:p w:rsidR="00B958B1" w:rsidRDefault="00B958B1" w:rsidP="009F3B54">
            <w:pPr>
              <w:pStyle w:val="TabletextheadingLeft0"/>
            </w:pPr>
            <w:r w:rsidRPr="00013589">
              <w:rPr>
                <w:highlight w:val="black"/>
                <w:lang w:eastAsia="en-AU"/>
              </w:rPr>
              <w:t>Departmental objectives</w:t>
            </w:r>
          </w:p>
        </w:tc>
        <w:tc>
          <w:tcPr>
            <w:tcW w:w="2592" w:type="dxa"/>
            <w:shd w:val="clear" w:color="auto" w:fill="000000"/>
          </w:tcPr>
          <w:p w:rsidR="00B958B1" w:rsidRDefault="00B958B1" w:rsidP="009F3B54">
            <w:pPr>
              <w:pStyle w:val="TabletextheadingLeft0"/>
            </w:pPr>
            <w:r w:rsidRPr="00013589">
              <w:rPr>
                <w:highlight w:val="black"/>
                <w:lang w:eastAsia="en-AU"/>
              </w:rPr>
              <w:t>Indicators</w:t>
            </w:r>
          </w:p>
        </w:tc>
        <w:tc>
          <w:tcPr>
            <w:tcW w:w="2592" w:type="dxa"/>
            <w:shd w:val="clear" w:color="auto" w:fill="000000"/>
          </w:tcPr>
          <w:p w:rsidR="00B958B1" w:rsidRDefault="00B958B1" w:rsidP="009F3B54">
            <w:pPr>
              <w:pStyle w:val="TabletextheadingLeft0"/>
            </w:pPr>
            <w:r w:rsidRPr="00013589">
              <w:rPr>
                <w:highlight w:val="black"/>
                <w:lang w:eastAsia="en-AU"/>
              </w:rPr>
              <w:t>Outputs</w:t>
            </w:r>
          </w:p>
        </w:tc>
      </w:tr>
      <w:tr w:rsidR="00B958B1" w:rsidRPr="00002A66" w:rsidTr="009F3B54">
        <w:trPr>
          <w:cantSplit/>
        </w:trPr>
        <w:tc>
          <w:tcPr>
            <w:tcW w:w="2592" w:type="dxa"/>
          </w:tcPr>
          <w:p w:rsidR="00B958B1" w:rsidRPr="00917CC4" w:rsidRDefault="00B958B1" w:rsidP="009F3B54">
            <w:pPr>
              <w:pStyle w:val="Tabletextnoindent"/>
            </w:pPr>
            <w:r w:rsidRPr="00917CC4">
              <w:t>Reduce preventable disease and protect the community from public health hazards</w:t>
            </w:r>
          </w:p>
        </w:tc>
        <w:tc>
          <w:tcPr>
            <w:tcW w:w="2592" w:type="dxa"/>
          </w:tcPr>
          <w:p w:rsidR="00B958B1" w:rsidRPr="00917CC4" w:rsidRDefault="00B958B1" w:rsidP="009F3B54">
            <w:pPr>
              <w:pStyle w:val="Tabletextnoindent"/>
            </w:pPr>
            <w:r w:rsidRPr="00917CC4">
              <w:t>The prevalence of select chronic disease risk factors is reduced</w:t>
            </w:r>
          </w:p>
          <w:p w:rsidR="00B958B1" w:rsidRPr="00917CC4" w:rsidRDefault="00B958B1" w:rsidP="009F3B54">
            <w:pPr>
              <w:pStyle w:val="Tabletextnoindent"/>
            </w:pPr>
            <w:r w:rsidRPr="00917CC4">
              <w:t>Differences in health and social outcomes for disadvantaged groups are reduced</w:t>
            </w:r>
          </w:p>
          <w:p w:rsidR="00B958B1" w:rsidRPr="00917CC4" w:rsidRDefault="00B958B1" w:rsidP="009F3B54">
            <w:pPr>
              <w:pStyle w:val="Tabletextnoindent"/>
            </w:pPr>
            <w:r w:rsidRPr="00917CC4">
              <w:t>Immunisation rates for vaccine preventable illne</w:t>
            </w:r>
            <w:r>
              <w:t>ss improve or compare favourably</w:t>
            </w:r>
            <w:r w:rsidRPr="00917CC4">
              <w:t xml:space="preserve"> to other jurisdictions</w:t>
            </w:r>
          </w:p>
        </w:tc>
        <w:tc>
          <w:tcPr>
            <w:tcW w:w="2592" w:type="dxa"/>
          </w:tcPr>
          <w:p w:rsidR="00B958B1" w:rsidRPr="00917CC4" w:rsidRDefault="00B958B1" w:rsidP="009F3B54">
            <w:pPr>
              <w:pStyle w:val="Tabletextnoindent"/>
            </w:pPr>
            <w:r w:rsidRPr="00917CC4">
              <w:t>Acute Health Services</w:t>
            </w:r>
          </w:p>
          <w:p w:rsidR="00B958B1" w:rsidRPr="00917CC4" w:rsidRDefault="00B958B1" w:rsidP="009F3B54">
            <w:pPr>
              <w:pStyle w:val="Tabletextnoindent"/>
            </w:pPr>
            <w:r w:rsidRPr="00917CC4">
              <w:t>Ambulance Services</w:t>
            </w:r>
          </w:p>
          <w:p w:rsidR="00B958B1" w:rsidRPr="00917CC4" w:rsidRDefault="00B958B1" w:rsidP="009F3B54">
            <w:pPr>
              <w:pStyle w:val="Tabletextnoindent"/>
            </w:pPr>
            <w:r w:rsidRPr="00917CC4">
              <w:t>Mental Health</w:t>
            </w:r>
          </w:p>
          <w:p w:rsidR="00B958B1" w:rsidRPr="00917CC4" w:rsidRDefault="00B958B1" w:rsidP="009F3B54">
            <w:pPr>
              <w:pStyle w:val="Tabletextnoindent"/>
            </w:pPr>
            <w:r w:rsidRPr="00917CC4">
              <w:t>Ageing, Aged and Home Care</w:t>
            </w:r>
          </w:p>
          <w:p w:rsidR="00B958B1" w:rsidRPr="00917CC4" w:rsidRDefault="00B958B1" w:rsidP="009F3B54">
            <w:pPr>
              <w:pStyle w:val="Tabletextnoindent"/>
            </w:pPr>
            <w:r w:rsidRPr="00917CC4">
              <w:t>Primary, Community and Dental Health</w:t>
            </w:r>
          </w:p>
          <w:p w:rsidR="00B958B1" w:rsidRPr="00917CC4" w:rsidRDefault="00B958B1" w:rsidP="009F3B54">
            <w:pPr>
              <w:pStyle w:val="Tabletextnoindent"/>
            </w:pPr>
            <w:r w:rsidRPr="00917CC4">
              <w:t>Small Rural Services</w:t>
            </w:r>
          </w:p>
          <w:p w:rsidR="00B958B1" w:rsidRPr="00917CC4" w:rsidRDefault="00B958B1" w:rsidP="009F3B54">
            <w:pPr>
              <w:pStyle w:val="Tabletextnoindent"/>
            </w:pPr>
            <w:r w:rsidRPr="00917CC4">
              <w:t>Public Health</w:t>
            </w:r>
          </w:p>
          <w:p w:rsidR="00B958B1" w:rsidRPr="00917CC4" w:rsidRDefault="00B958B1" w:rsidP="009F3B54">
            <w:pPr>
              <w:pStyle w:val="Tabletextnoindent"/>
            </w:pPr>
            <w:r w:rsidRPr="00917CC4">
              <w:t>Drugs Services</w:t>
            </w:r>
          </w:p>
        </w:tc>
      </w:tr>
      <w:tr w:rsidR="00B958B1" w:rsidRPr="00002A66" w:rsidTr="009F3B54">
        <w:trPr>
          <w:cantSplit/>
        </w:trPr>
        <w:tc>
          <w:tcPr>
            <w:tcW w:w="2592" w:type="dxa"/>
            <w:tcBorders>
              <w:bottom w:val="single" w:sz="6" w:space="0" w:color="auto"/>
            </w:tcBorders>
          </w:tcPr>
          <w:p w:rsidR="00B958B1" w:rsidRPr="00917CC4" w:rsidRDefault="00B958B1" w:rsidP="009F3B54">
            <w:pPr>
              <w:pStyle w:val="Tabletextnoindent"/>
            </w:pPr>
            <w:r w:rsidRPr="00917CC4">
              <w:t xml:space="preserve">Improve the quality, </w:t>
            </w:r>
            <w:r>
              <w:t>effectiveness and efficiency of </w:t>
            </w:r>
            <w:r w:rsidRPr="00917CC4">
              <w:t>healthcare services for Victorians</w:t>
            </w:r>
          </w:p>
        </w:tc>
        <w:tc>
          <w:tcPr>
            <w:tcW w:w="2592" w:type="dxa"/>
            <w:tcBorders>
              <w:bottom w:val="single" w:sz="6" w:space="0" w:color="auto"/>
            </w:tcBorders>
          </w:tcPr>
          <w:p w:rsidR="00B958B1" w:rsidRPr="00917CC4" w:rsidRDefault="00B958B1" w:rsidP="009F3B54">
            <w:pPr>
              <w:pStyle w:val="Tabletextnoindent"/>
            </w:pPr>
            <w:r w:rsidRPr="00917CC4">
              <w:t>Health service performance outcomes meet or exceed agreed performance benchmarks</w:t>
            </w:r>
          </w:p>
          <w:p w:rsidR="00B958B1" w:rsidRPr="00917CC4" w:rsidRDefault="00B958B1" w:rsidP="009F3B54">
            <w:pPr>
              <w:pStyle w:val="Tabletextnoindent"/>
            </w:pPr>
            <w:r w:rsidRPr="00917CC4">
              <w:t>More people are treated within out of hospital care settings</w:t>
            </w:r>
          </w:p>
          <w:p w:rsidR="00B958B1" w:rsidRPr="00917CC4" w:rsidRDefault="00B958B1" w:rsidP="009F3B54">
            <w:pPr>
              <w:pStyle w:val="Tabletextnoindent"/>
            </w:pPr>
            <w:r w:rsidRPr="00917CC4">
              <w:t>Fewer people are dying prematurely</w:t>
            </w:r>
          </w:p>
          <w:p w:rsidR="00B958B1" w:rsidRPr="00917CC4" w:rsidRDefault="00B958B1" w:rsidP="009F3B54">
            <w:pPr>
              <w:pStyle w:val="Tabletextnoindent"/>
            </w:pPr>
            <w:r w:rsidRPr="00917CC4">
              <w:t>Patient/consumer experience demonstrates improvement in service</w:t>
            </w:r>
            <w:r w:rsidR="009F0F49">
              <w:noBreakHyphen/>
            </w:r>
            <w:r w:rsidRPr="00917CC4">
              <w:t>level engagement and individual care</w:t>
            </w:r>
          </w:p>
        </w:tc>
        <w:tc>
          <w:tcPr>
            <w:tcW w:w="2592" w:type="dxa"/>
            <w:tcBorders>
              <w:bottom w:val="single" w:sz="6" w:space="0" w:color="auto"/>
            </w:tcBorders>
          </w:tcPr>
          <w:p w:rsidR="00B958B1" w:rsidRPr="00917CC4" w:rsidRDefault="00B958B1" w:rsidP="009F3B54">
            <w:pPr>
              <w:pStyle w:val="Tabletextnoindent"/>
            </w:pPr>
            <w:r w:rsidRPr="00917CC4">
              <w:t>Acute Health Services</w:t>
            </w:r>
          </w:p>
          <w:p w:rsidR="00B958B1" w:rsidRPr="00917CC4" w:rsidRDefault="00B958B1" w:rsidP="009F3B54">
            <w:pPr>
              <w:pStyle w:val="Tabletextnoindent"/>
            </w:pPr>
            <w:r w:rsidRPr="00917CC4">
              <w:t>Ambulance Services</w:t>
            </w:r>
          </w:p>
          <w:p w:rsidR="00B958B1" w:rsidRPr="00917CC4" w:rsidRDefault="00B958B1" w:rsidP="009F3B54">
            <w:pPr>
              <w:pStyle w:val="Tabletextnoindent"/>
            </w:pPr>
            <w:r w:rsidRPr="00917CC4">
              <w:t>Mental Health</w:t>
            </w:r>
          </w:p>
          <w:p w:rsidR="00B958B1" w:rsidRPr="00917CC4" w:rsidRDefault="00B958B1" w:rsidP="009F3B54">
            <w:pPr>
              <w:pStyle w:val="Tabletextnoindent"/>
            </w:pPr>
            <w:r w:rsidRPr="00917CC4">
              <w:t>Ageing, Aged and Home Care</w:t>
            </w:r>
          </w:p>
          <w:p w:rsidR="00B958B1" w:rsidRPr="00917CC4" w:rsidRDefault="00B958B1" w:rsidP="009F3B54">
            <w:pPr>
              <w:pStyle w:val="Tabletextnoindent"/>
            </w:pPr>
            <w:r w:rsidRPr="00917CC4">
              <w:t>Primary, Community and Dental Health</w:t>
            </w:r>
          </w:p>
          <w:p w:rsidR="00B958B1" w:rsidRPr="00917CC4" w:rsidRDefault="00B958B1" w:rsidP="009F3B54">
            <w:pPr>
              <w:pStyle w:val="Tabletextnoindent"/>
            </w:pPr>
            <w:r w:rsidRPr="00917CC4">
              <w:t>Small Rural Services</w:t>
            </w:r>
          </w:p>
          <w:p w:rsidR="00B958B1" w:rsidRPr="00917CC4" w:rsidRDefault="00B958B1" w:rsidP="009F3B54">
            <w:pPr>
              <w:pStyle w:val="Tabletextnoindent"/>
            </w:pPr>
            <w:r w:rsidRPr="00917CC4">
              <w:t>Public Health</w:t>
            </w:r>
          </w:p>
          <w:p w:rsidR="00B958B1" w:rsidRPr="00917CC4" w:rsidRDefault="00B958B1" w:rsidP="009F3B54">
            <w:pPr>
              <w:pStyle w:val="Tabletextnoindent"/>
            </w:pPr>
            <w:r w:rsidRPr="00917CC4">
              <w:t>Drugs Services</w:t>
            </w:r>
          </w:p>
        </w:tc>
      </w:tr>
      <w:tr w:rsidR="00B958B1" w:rsidRPr="00002A66" w:rsidTr="009F3B54">
        <w:trPr>
          <w:cantSplit/>
        </w:trPr>
        <w:tc>
          <w:tcPr>
            <w:tcW w:w="2592" w:type="dxa"/>
            <w:tcBorders>
              <w:top w:val="single" w:sz="6" w:space="0" w:color="auto"/>
              <w:bottom w:val="single" w:sz="12" w:space="0" w:color="auto"/>
            </w:tcBorders>
          </w:tcPr>
          <w:p w:rsidR="00B958B1" w:rsidRPr="00917CC4" w:rsidRDefault="00B958B1" w:rsidP="009F3B54">
            <w:pPr>
              <w:pStyle w:val="Tabletextnoindent"/>
            </w:pPr>
            <w:r w:rsidRPr="00917CC4">
              <w:t xml:space="preserve">Increase the financial </w:t>
            </w:r>
            <w:r>
              <w:t>sustainability and productivity </w:t>
            </w:r>
            <w:r w:rsidRPr="00917CC4">
              <w:t>of the health system</w:t>
            </w:r>
          </w:p>
        </w:tc>
        <w:tc>
          <w:tcPr>
            <w:tcW w:w="2592" w:type="dxa"/>
            <w:tcBorders>
              <w:top w:val="single" w:sz="6" w:space="0" w:color="auto"/>
              <w:bottom w:val="single" w:sz="12" w:space="0" w:color="auto"/>
            </w:tcBorders>
          </w:tcPr>
          <w:p w:rsidR="00B958B1" w:rsidRPr="00917CC4" w:rsidRDefault="00B958B1" w:rsidP="009F3B54">
            <w:pPr>
              <w:pStyle w:val="Tabletextnoindent"/>
            </w:pPr>
            <w:r w:rsidRPr="00917CC4">
              <w:t>Victoria derives greater value from its health investments</w:t>
            </w:r>
          </w:p>
        </w:tc>
        <w:tc>
          <w:tcPr>
            <w:tcW w:w="2592" w:type="dxa"/>
            <w:tcBorders>
              <w:top w:val="single" w:sz="6" w:space="0" w:color="auto"/>
              <w:bottom w:val="single" w:sz="12" w:space="0" w:color="auto"/>
            </w:tcBorders>
          </w:tcPr>
          <w:p w:rsidR="00B958B1" w:rsidRPr="00917CC4" w:rsidRDefault="00B958B1" w:rsidP="009F3B54">
            <w:pPr>
              <w:pStyle w:val="Tabletextnoindent"/>
            </w:pPr>
            <w:r w:rsidRPr="00917CC4">
              <w:t>Acute Health Services</w:t>
            </w:r>
          </w:p>
          <w:p w:rsidR="00B958B1" w:rsidRPr="00917CC4" w:rsidRDefault="00B958B1" w:rsidP="009F3B54">
            <w:pPr>
              <w:pStyle w:val="Tabletextnoindent"/>
            </w:pPr>
            <w:r w:rsidRPr="00917CC4">
              <w:t>Ambulance Services</w:t>
            </w:r>
          </w:p>
          <w:p w:rsidR="00B958B1" w:rsidRPr="00917CC4" w:rsidRDefault="00B958B1" w:rsidP="009F3B54">
            <w:pPr>
              <w:pStyle w:val="Tabletextnoindent"/>
            </w:pPr>
            <w:r w:rsidRPr="00917CC4">
              <w:t>Mental Health</w:t>
            </w:r>
          </w:p>
          <w:p w:rsidR="00B958B1" w:rsidRPr="00917CC4" w:rsidRDefault="00B958B1" w:rsidP="009F3B54">
            <w:pPr>
              <w:pStyle w:val="Tabletextnoindent"/>
            </w:pPr>
            <w:r w:rsidRPr="00917CC4">
              <w:t>Ageing, Aged and Home Care</w:t>
            </w:r>
          </w:p>
          <w:p w:rsidR="00B958B1" w:rsidRPr="00917CC4" w:rsidRDefault="00B958B1" w:rsidP="009F3B54">
            <w:pPr>
              <w:pStyle w:val="Tabletextnoindent"/>
            </w:pPr>
            <w:r w:rsidRPr="00917CC4">
              <w:t>Primary, Community and Dental Health</w:t>
            </w:r>
          </w:p>
          <w:p w:rsidR="00B958B1" w:rsidRPr="00917CC4" w:rsidRDefault="00B958B1" w:rsidP="009F3B54">
            <w:pPr>
              <w:pStyle w:val="Tabletextnoindent"/>
            </w:pPr>
            <w:r w:rsidRPr="00917CC4">
              <w:t>Small Rural Services</w:t>
            </w:r>
          </w:p>
          <w:p w:rsidR="00B958B1" w:rsidRPr="00917CC4" w:rsidRDefault="00B958B1" w:rsidP="009F3B54">
            <w:pPr>
              <w:pStyle w:val="Tabletextnoindent"/>
            </w:pPr>
            <w:r w:rsidRPr="00917CC4">
              <w:t>Public Health</w:t>
            </w:r>
          </w:p>
          <w:p w:rsidR="00B958B1" w:rsidRPr="00917CC4" w:rsidRDefault="00B958B1" w:rsidP="009F3B54">
            <w:pPr>
              <w:pStyle w:val="Tabletextnoindent"/>
            </w:pPr>
            <w:r w:rsidRPr="00917CC4">
              <w:t>Drugs Services</w:t>
            </w:r>
          </w:p>
        </w:tc>
      </w:tr>
    </w:tbl>
    <w:p w:rsidR="00B958B1" w:rsidRDefault="00B958B1" w:rsidP="009F3B54">
      <w:pPr>
        <w:pStyle w:val="Source"/>
      </w:pPr>
      <w:r>
        <w:t>Source: Department of Health</w:t>
      </w:r>
    </w:p>
    <w:p w:rsidR="00B958B1" w:rsidRPr="009701EC" w:rsidRDefault="00B958B1" w:rsidP="009F3B54">
      <w:pPr>
        <w:pStyle w:val="Heading2"/>
      </w:pPr>
      <w:r>
        <w:br w:type="page"/>
      </w:r>
      <w:r w:rsidRPr="009701EC">
        <w:t xml:space="preserve">Changes to the output structure </w:t>
      </w:r>
    </w:p>
    <w:p w:rsidR="00B958B1" w:rsidRPr="009701EC" w:rsidRDefault="00B958B1" w:rsidP="009F3B54">
      <w:r w:rsidRPr="009701EC">
        <w:t>The Department has made no changes to its output structure for 2013</w:t>
      </w:r>
      <w:r w:rsidR="009F0F49">
        <w:noBreakHyphen/>
      </w:r>
      <w:r w:rsidRPr="009701EC">
        <w:t xml:space="preserve">14. </w:t>
      </w:r>
    </w:p>
    <w:p w:rsidR="00B958B1" w:rsidRPr="009701EC" w:rsidRDefault="00B958B1" w:rsidP="009F3B54">
      <w:r w:rsidRPr="009701EC">
        <w:t>The following table summarises the Department</w:t>
      </w:r>
      <w:r>
        <w:t>’</w:t>
      </w:r>
      <w:r w:rsidRPr="009701EC">
        <w:t>s total output cost.</w:t>
      </w:r>
    </w:p>
    <w:p w:rsidR="00B958B1" w:rsidRPr="009701EC" w:rsidRDefault="00B958B1" w:rsidP="009F3B54">
      <w:pPr>
        <w:pStyle w:val="Tableheading"/>
      </w:pPr>
      <w:r w:rsidRPr="009701EC">
        <w:t>Table</w:t>
      </w:r>
      <w:r>
        <w:t> 2.8</w:t>
      </w:r>
      <w:r w:rsidRPr="009701EC">
        <w:t xml:space="preserve">: </w:t>
      </w:r>
      <w:r w:rsidRPr="009701EC">
        <w:tab/>
        <w:t>Output summary</w:t>
      </w:r>
    </w:p>
    <w:p w:rsidR="00B958B1" w:rsidRPr="00D37378" w:rsidRDefault="00B958B1" w:rsidP="009F3B54">
      <w:pPr>
        <w:pStyle w:val="million"/>
        <w:rPr>
          <w:sz w:val="20"/>
        </w:rPr>
      </w:pPr>
      <w:r w:rsidRPr="009701EC">
        <w:rPr>
          <w:sz w:val="20"/>
        </w:rPr>
        <w:t>($</w:t>
      </w:r>
      <w:r>
        <w:rPr>
          <w:sz w:val="20"/>
        </w:rPr>
        <w:t> million)</w:t>
      </w:r>
    </w:p>
    <w:tbl>
      <w:tblPr>
        <w:tblW w:w="7776" w:type="dxa"/>
        <w:tblInd w:w="29" w:type="dxa"/>
        <w:tblLayout w:type="fixed"/>
        <w:tblCellMar>
          <w:left w:w="43" w:type="dxa"/>
          <w:right w:w="43" w:type="dxa"/>
        </w:tblCellMar>
        <w:tblLook w:val="0000" w:firstRow="0" w:lastRow="0" w:firstColumn="0" w:lastColumn="0" w:noHBand="0" w:noVBand="0"/>
      </w:tblPr>
      <w:tblGrid>
        <w:gridCol w:w="3974"/>
        <w:gridCol w:w="840"/>
        <w:gridCol w:w="840"/>
        <w:gridCol w:w="840"/>
        <w:gridCol w:w="1282"/>
      </w:tblGrid>
      <w:tr w:rsidR="00B958B1" w:rsidRPr="00D37378" w:rsidTr="009F3B54">
        <w:tc>
          <w:tcPr>
            <w:tcW w:w="3974" w:type="dxa"/>
            <w:tcBorders>
              <w:top w:val="single" w:sz="6" w:space="0" w:color="auto"/>
              <w:left w:val="single" w:sz="6" w:space="0" w:color="auto"/>
              <w:bottom w:val="nil"/>
              <w:right w:val="nil"/>
            </w:tcBorders>
            <w:shd w:val="clear" w:color="auto" w:fill="000000"/>
          </w:tcPr>
          <w:p w:rsidR="00B958B1" w:rsidRPr="00D37378" w:rsidRDefault="00B958B1" w:rsidP="009F3B54">
            <w:pPr>
              <w:pStyle w:val="Tabletext"/>
              <w:rPr>
                <w:lang w:eastAsia="en-AU"/>
              </w:rPr>
            </w:pPr>
            <w:r w:rsidRPr="00D37378">
              <w:rPr>
                <w:lang w:eastAsia="en-AU"/>
              </w:rPr>
              <w:t xml:space="preserve">  </w:t>
            </w:r>
          </w:p>
        </w:tc>
        <w:tc>
          <w:tcPr>
            <w:tcW w:w="840" w:type="dxa"/>
            <w:tcBorders>
              <w:top w:val="single" w:sz="6" w:space="0" w:color="auto"/>
              <w:left w:val="nil"/>
              <w:bottom w:val="nil"/>
              <w:right w:val="nil"/>
            </w:tcBorders>
            <w:shd w:val="clear" w:color="auto" w:fill="000000"/>
          </w:tcPr>
          <w:p w:rsidR="00B958B1" w:rsidRPr="00D37378" w:rsidRDefault="00B958B1" w:rsidP="009F3B54">
            <w:pPr>
              <w:pStyle w:val="Tabletextheading"/>
              <w:rPr>
                <w:lang w:eastAsia="en-AU"/>
              </w:rPr>
            </w:pPr>
            <w:r w:rsidRPr="00D37378">
              <w:rPr>
                <w:lang w:eastAsia="en-AU"/>
              </w:rPr>
              <w:t>2012</w:t>
            </w:r>
            <w:r w:rsidR="009F0F49">
              <w:rPr>
                <w:lang w:eastAsia="en-AU"/>
              </w:rPr>
              <w:noBreakHyphen/>
            </w:r>
            <w:r w:rsidRPr="00D37378">
              <w:rPr>
                <w:lang w:eastAsia="en-AU"/>
              </w:rPr>
              <w:t>13</w:t>
            </w:r>
          </w:p>
        </w:tc>
        <w:tc>
          <w:tcPr>
            <w:tcW w:w="840" w:type="dxa"/>
            <w:tcBorders>
              <w:top w:val="single" w:sz="6" w:space="0" w:color="auto"/>
              <w:left w:val="nil"/>
              <w:bottom w:val="nil"/>
              <w:right w:val="nil"/>
            </w:tcBorders>
            <w:shd w:val="clear" w:color="auto" w:fill="000000"/>
          </w:tcPr>
          <w:p w:rsidR="00B958B1" w:rsidRPr="00D37378" w:rsidRDefault="00B958B1" w:rsidP="009F3B54">
            <w:pPr>
              <w:pStyle w:val="Tabletextheading"/>
              <w:rPr>
                <w:lang w:eastAsia="en-AU"/>
              </w:rPr>
            </w:pPr>
            <w:r w:rsidRPr="00D37378">
              <w:rPr>
                <w:lang w:eastAsia="en-AU"/>
              </w:rPr>
              <w:t>2012</w:t>
            </w:r>
            <w:r w:rsidR="009F0F49">
              <w:rPr>
                <w:lang w:eastAsia="en-AU"/>
              </w:rPr>
              <w:noBreakHyphen/>
            </w:r>
            <w:r w:rsidRPr="00D37378">
              <w:rPr>
                <w:lang w:eastAsia="en-AU"/>
              </w:rPr>
              <w:t>13</w:t>
            </w:r>
          </w:p>
        </w:tc>
        <w:tc>
          <w:tcPr>
            <w:tcW w:w="840" w:type="dxa"/>
            <w:tcBorders>
              <w:top w:val="single" w:sz="6" w:space="0" w:color="auto"/>
              <w:left w:val="nil"/>
              <w:bottom w:val="nil"/>
              <w:right w:val="nil"/>
            </w:tcBorders>
            <w:shd w:val="clear" w:color="auto" w:fill="000000"/>
          </w:tcPr>
          <w:p w:rsidR="00B958B1" w:rsidRPr="00D37378" w:rsidRDefault="00B958B1" w:rsidP="009F3B54">
            <w:pPr>
              <w:pStyle w:val="Tabletextheading"/>
              <w:rPr>
                <w:lang w:eastAsia="en-AU"/>
              </w:rPr>
            </w:pPr>
            <w:r w:rsidRPr="00D37378">
              <w:rPr>
                <w:lang w:eastAsia="en-AU"/>
              </w:rPr>
              <w:t>2013</w:t>
            </w:r>
            <w:r w:rsidR="009F0F49">
              <w:rPr>
                <w:lang w:eastAsia="en-AU"/>
              </w:rPr>
              <w:noBreakHyphen/>
            </w:r>
            <w:r w:rsidRPr="00D37378">
              <w:rPr>
                <w:lang w:eastAsia="en-AU"/>
              </w:rPr>
              <w:t>14</w:t>
            </w:r>
          </w:p>
        </w:tc>
        <w:tc>
          <w:tcPr>
            <w:tcW w:w="1282" w:type="dxa"/>
            <w:tcBorders>
              <w:top w:val="single" w:sz="6" w:space="0" w:color="auto"/>
              <w:left w:val="nil"/>
              <w:bottom w:val="nil"/>
              <w:right w:val="single" w:sz="6" w:space="0" w:color="auto"/>
            </w:tcBorders>
            <w:shd w:val="clear" w:color="auto" w:fill="000000"/>
          </w:tcPr>
          <w:p w:rsidR="00B958B1" w:rsidRPr="00D37378" w:rsidRDefault="00B958B1" w:rsidP="009F3B54">
            <w:pPr>
              <w:pStyle w:val="Tabletextheading"/>
              <w:rPr>
                <w:vertAlign w:val="superscript"/>
                <w:lang w:eastAsia="en-AU"/>
              </w:rPr>
            </w:pPr>
            <w:r w:rsidRPr="00D37378">
              <w:rPr>
                <w:lang w:eastAsia="en-AU"/>
              </w:rPr>
              <w:t xml:space="preserve">Variation </w:t>
            </w:r>
            <w:r w:rsidRPr="00D37378">
              <w:rPr>
                <w:vertAlign w:val="superscript"/>
                <w:lang w:eastAsia="en-AU"/>
              </w:rPr>
              <w:t>(a) (b)</w:t>
            </w:r>
          </w:p>
        </w:tc>
      </w:tr>
      <w:tr w:rsidR="00B958B1" w:rsidRPr="00D37378" w:rsidTr="009F3B54">
        <w:tc>
          <w:tcPr>
            <w:tcW w:w="3974" w:type="dxa"/>
            <w:tcBorders>
              <w:top w:val="nil"/>
              <w:left w:val="single" w:sz="6" w:space="0" w:color="auto"/>
              <w:bottom w:val="single" w:sz="6" w:space="0" w:color="auto"/>
              <w:right w:val="nil"/>
            </w:tcBorders>
            <w:shd w:val="clear" w:color="auto" w:fill="000000"/>
          </w:tcPr>
          <w:p w:rsidR="00B958B1" w:rsidRPr="00D37378" w:rsidRDefault="00B958B1" w:rsidP="009F3B54">
            <w:pPr>
              <w:pStyle w:val="Tabletext"/>
              <w:rPr>
                <w:lang w:eastAsia="en-AU"/>
              </w:rPr>
            </w:pPr>
            <w:r w:rsidRPr="00D37378">
              <w:rPr>
                <w:lang w:eastAsia="en-AU"/>
              </w:rPr>
              <w:t xml:space="preserve">  </w:t>
            </w:r>
          </w:p>
        </w:tc>
        <w:tc>
          <w:tcPr>
            <w:tcW w:w="840" w:type="dxa"/>
            <w:tcBorders>
              <w:top w:val="nil"/>
              <w:left w:val="nil"/>
              <w:bottom w:val="single" w:sz="6" w:space="0" w:color="auto"/>
              <w:right w:val="nil"/>
            </w:tcBorders>
            <w:shd w:val="clear" w:color="auto" w:fill="000000"/>
          </w:tcPr>
          <w:p w:rsidR="00B958B1" w:rsidRPr="00D37378" w:rsidRDefault="00B958B1" w:rsidP="009F3B54">
            <w:pPr>
              <w:pStyle w:val="Tabletextheading"/>
              <w:rPr>
                <w:lang w:eastAsia="en-AU"/>
              </w:rPr>
            </w:pPr>
            <w:r w:rsidRPr="00D37378">
              <w:rPr>
                <w:lang w:eastAsia="en-AU"/>
              </w:rPr>
              <w:t>Budget</w:t>
            </w:r>
          </w:p>
        </w:tc>
        <w:tc>
          <w:tcPr>
            <w:tcW w:w="840" w:type="dxa"/>
            <w:tcBorders>
              <w:top w:val="nil"/>
              <w:left w:val="nil"/>
              <w:bottom w:val="single" w:sz="6" w:space="0" w:color="auto"/>
              <w:right w:val="nil"/>
            </w:tcBorders>
            <w:shd w:val="clear" w:color="auto" w:fill="000000"/>
          </w:tcPr>
          <w:p w:rsidR="00B958B1" w:rsidRPr="00D37378" w:rsidRDefault="00B958B1" w:rsidP="009F3B54">
            <w:pPr>
              <w:pStyle w:val="Tabletextheading"/>
              <w:rPr>
                <w:lang w:eastAsia="en-AU"/>
              </w:rPr>
            </w:pPr>
            <w:r w:rsidRPr="00D37378">
              <w:rPr>
                <w:lang w:eastAsia="en-AU"/>
              </w:rPr>
              <w:t>Revised</w:t>
            </w:r>
          </w:p>
        </w:tc>
        <w:tc>
          <w:tcPr>
            <w:tcW w:w="840" w:type="dxa"/>
            <w:tcBorders>
              <w:top w:val="nil"/>
              <w:left w:val="nil"/>
              <w:bottom w:val="single" w:sz="6" w:space="0" w:color="auto"/>
              <w:right w:val="nil"/>
            </w:tcBorders>
            <w:shd w:val="clear" w:color="auto" w:fill="000000"/>
          </w:tcPr>
          <w:p w:rsidR="00B958B1" w:rsidRPr="00D37378" w:rsidRDefault="00B958B1" w:rsidP="009F3B54">
            <w:pPr>
              <w:pStyle w:val="Tabletextheading"/>
              <w:rPr>
                <w:lang w:eastAsia="en-AU"/>
              </w:rPr>
            </w:pPr>
            <w:r w:rsidRPr="00D37378">
              <w:rPr>
                <w:lang w:eastAsia="en-AU"/>
              </w:rPr>
              <w:t>Budget</w:t>
            </w:r>
          </w:p>
        </w:tc>
        <w:tc>
          <w:tcPr>
            <w:tcW w:w="1282" w:type="dxa"/>
            <w:tcBorders>
              <w:top w:val="nil"/>
              <w:left w:val="nil"/>
              <w:bottom w:val="single" w:sz="6" w:space="0" w:color="auto"/>
              <w:right w:val="single" w:sz="6" w:space="0" w:color="auto"/>
            </w:tcBorders>
            <w:shd w:val="clear" w:color="auto" w:fill="000000"/>
          </w:tcPr>
          <w:p w:rsidR="00B958B1" w:rsidRPr="00D37378" w:rsidRDefault="00B958B1" w:rsidP="009F3B54">
            <w:pPr>
              <w:pStyle w:val="Tabletextheading"/>
              <w:rPr>
                <w:lang w:eastAsia="en-AU"/>
              </w:rPr>
            </w:pPr>
            <w:r w:rsidRPr="00D37378">
              <w:rPr>
                <w:lang w:eastAsia="en-AU"/>
              </w:rPr>
              <w:t>%</w:t>
            </w:r>
          </w:p>
        </w:tc>
      </w:tr>
      <w:tr w:rsidR="00B958B1" w:rsidRPr="00D37378" w:rsidTr="009F3B54">
        <w:tc>
          <w:tcPr>
            <w:tcW w:w="3974" w:type="dxa"/>
            <w:tcBorders>
              <w:top w:val="single" w:sz="6" w:space="0" w:color="auto"/>
              <w:left w:val="nil"/>
              <w:bottom w:val="nil"/>
              <w:right w:val="nil"/>
            </w:tcBorders>
          </w:tcPr>
          <w:p w:rsidR="00B958B1" w:rsidRPr="00D37378" w:rsidRDefault="00B958B1" w:rsidP="009F3B54">
            <w:pPr>
              <w:pStyle w:val="Tabletext"/>
              <w:rPr>
                <w:color w:val="000000"/>
                <w:vertAlign w:val="superscript"/>
                <w:lang w:eastAsia="en-AU"/>
              </w:rPr>
            </w:pPr>
            <w:r w:rsidRPr="00D37378">
              <w:rPr>
                <w:color w:val="000000"/>
                <w:lang w:eastAsia="en-AU"/>
              </w:rPr>
              <w:t xml:space="preserve">Acute Health Services </w:t>
            </w:r>
            <w:r w:rsidRPr="00D37378">
              <w:rPr>
                <w:color w:val="000000"/>
                <w:vertAlign w:val="superscript"/>
                <w:lang w:eastAsia="en-AU"/>
              </w:rPr>
              <w:t>(c)</w:t>
            </w:r>
          </w:p>
        </w:tc>
        <w:tc>
          <w:tcPr>
            <w:tcW w:w="840" w:type="dxa"/>
            <w:tcBorders>
              <w:top w:val="single" w:sz="6" w:space="0" w:color="auto"/>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9 </w:t>
            </w:r>
            <w:r w:rsidRPr="00D37378">
              <w:rPr>
                <w:rFonts w:cs="Calibri"/>
                <w:color w:val="000000"/>
                <w:szCs w:val="22"/>
                <w:lang w:eastAsia="en-AU"/>
              </w:rPr>
              <w:t>332.3</w:t>
            </w:r>
          </w:p>
        </w:tc>
        <w:tc>
          <w:tcPr>
            <w:tcW w:w="840" w:type="dxa"/>
            <w:tcBorders>
              <w:top w:val="single" w:sz="6" w:space="0" w:color="auto"/>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9 </w:t>
            </w:r>
            <w:r w:rsidRPr="00D37378">
              <w:rPr>
                <w:rFonts w:cs="Calibri"/>
                <w:color w:val="000000"/>
                <w:szCs w:val="22"/>
                <w:lang w:eastAsia="en-AU"/>
              </w:rPr>
              <w:t>331.8</w:t>
            </w:r>
          </w:p>
        </w:tc>
        <w:tc>
          <w:tcPr>
            <w:tcW w:w="840" w:type="dxa"/>
            <w:tcBorders>
              <w:top w:val="single" w:sz="6" w:space="0" w:color="auto"/>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9 </w:t>
            </w:r>
            <w:r w:rsidRPr="00D37378">
              <w:rPr>
                <w:rFonts w:cs="Calibri"/>
                <w:color w:val="000000"/>
                <w:szCs w:val="22"/>
                <w:lang w:eastAsia="en-AU"/>
              </w:rPr>
              <w:t>836.0</w:t>
            </w:r>
          </w:p>
        </w:tc>
        <w:tc>
          <w:tcPr>
            <w:tcW w:w="1282" w:type="dxa"/>
            <w:tcBorders>
              <w:top w:val="single" w:sz="6" w:space="0" w:color="auto"/>
              <w:left w:val="nil"/>
              <w:bottom w:val="nil"/>
              <w:right w:val="nil"/>
            </w:tcBorders>
          </w:tcPr>
          <w:p w:rsidR="00B958B1" w:rsidRPr="00D37378" w:rsidRDefault="00B958B1" w:rsidP="009F3B54">
            <w:pPr>
              <w:pStyle w:val="TableofFigures"/>
              <w:rPr>
                <w:color w:val="000000"/>
                <w:szCs w:val="22"/>
                <w:lang w:eastAsia="en-AU"/>
              </w:rPr>
            </w:pPr>
            <w:r w:rsidRPr="00D37378">
              <w:rPr>
                <w:color w:val="000000"/>
                <w:szCs w:val="22"/>
                <w:lang w:eastAsia="en-AU"/>
              </w:rPr>
              <w:t>5.4</w:t>
            </w:r>
          </w:p>
        </w:tc>
      </w:tr>
      <w:tr w:rsidR="00B958B1" w:rsidRPr="00D37378" w:rsidTr="009F3B54">
        <w:tc>
          <w:tcPr>
            <w:tcW w:w="3974" w:type="dxa"/>
            <w:tcBorders>
              <w:top w:val="nil"/>
              <w:left w:val="nil"/>
              <w:bottom w:val="nil"/>
              <w:right w:val="nil"/>
            </w:tcBorders>
          </w:tcPr>
          <w:p w:rsidR="00B958B1" w:rsidRPr="00D37378" w:rsidRDefault="00B958B1" w:rsidP="009F3B54">
            <w:pPr>
              <w:pStyle w:val="Tabletext"/>
              <w:rPr>
                <w:color w:val="000000"/>
                <w:lang w:eastAsia="en-AU"/>
              </w:rPr>
            </w:pPr>
            <w:r w:rsidRPr="00D37378">
              <w:rPr>
                <w:color w:val="000000"/>
                <w:lang w:eastAsia="en-AU"/>
              </w:rPr>
              <w:t>Ambulance Services</w:t>
            </w:r>
          </w:p>
        </w:tc>
        <w:tc>
          <w:tcPr>
            <w:tcW w:w="840" w:type="dxa"/>
            <w:tcBorders>
              <w:top w:val="nil"/>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 640.3</w:t>
            </w:r>
          </w:p>
        </w:tc>
        <w:tc>
          <w:tcPr>
            <w:tcW w:w="840" w:type="dxa"/>
            <w:tcBorders>
              <w:top w:val="nil"/>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 623.6</w:t>
            </w:r>
          </w:p>
        </w:tc>
        <w:tc>
          <w:tcPr>
            <w:tcW w:w="840" w:type="dxa"/>
            <w:tcBorders>
              <w:top w:val="nil"/>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 661.9</w:t>
            </w:r>
          </w:p>
        </w:tc>
        <w:tc>
          <w:tcPr>
            <w:tcW w:w="1282" w:type="dxa"/>
            <w:tcBorders>
              <w:top w:val="nil"/>
              <w:left w:val="nil"/>
              <w:bottom w:val="nil"/>
              <w:right w:val="nil"/>
            </w:tcBorders>
          </w:tcPr>
          <w:p w:rsidR="00B958B1" w:rsidRPr="00D37378" w:rsidRDefault="00B958B1" w:rsidP="009F3B54">
            <w:pPr>
              <w:pStyle w:val="TableofFigures"/>
              <w:rPr>
                <w:color w:val="000000"/>
                <w:szCs w:val="22"/>
                <w:lang w:eastAsia="en-AU"/>
              </w:rPr>
            </w:pPr>
            <w:r w:rsidRPr="00D37378">
              <w:rPr>
                <w:color w:val="000000"/>
                <w:szCs w:val="22"/>
                <w:lang w:eastAsia="en-AU"/>
              </w:rPr>
              <w:t>3.4</w:t>
            </w:r>
          </w:p>
        </w:tc>
      </w:tr>
      <w:tr w:rsidR="00B958B1" w:rsidRPr="00D37378" w:rsidTr="009F3B54">
        <w:tc>
          <w:tcPr>
            <w:tcW w:w="3974" w:type="dxa"/>
            <w:tcBorders>
              <w:top w:val="nil"/>
              <w:left w:val="nil"/>
              <w:bottom w:val="nil"/>
              <w:right w:val="nil"/>
            </w:tcBorders>
          </w:tcPr>
          <w:p w:rsidR="00B958B1" w:rsidRPr="00D37378" w:rsidRDefault="00B958B1" w:rsidP="009F3B54">
            <w:pPr>
              <w:pStyle w:val="Tabletext"/>
              <w:rPr>
                <w:color w:val="000000"/>
                <w:vertAlign w:val="superscript"/>
                <w:lang w:eastAsia="en-AU"/>
              </w:rPr>
            </w:pPr>
            <w:r w:rsidRPr="00D37378">
              <w:rPr>
                <w:color w:val="000000"/>
                <w:lang w:eastAsia="en-AU"/>
              </w:rPr>
              <w:t xml:space="preserve">Mental Health </w:t>
            </w:r>
            <w:r w:rsidRPr="00D37378">
              <w:rPr>
                <w:color w:val="000000"/>
                <w:vertAlign w:val="superscript"/>
                <w:lang w:eastAsia="en-AU"/>
              </w:rPr>
              <w:t>(d)</w:t>
            </w:r>
          </w:p>
        </w:tc>
        <w:tc>
          <w:tcPr>
            <w:tcW w:w="840" w:type="dxa"/>
            <w:tcBorders>
              <w:top w:val="nil"/>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1 </w:t>
            </w:r>
            <w:r w:rsidRPr="00D37378">
              <w:rPr>
                <w:rFonts w:cs="Calibri"/>
                <w:color w:val="000000"/>
                <w:szCs w:val="22"/>
                <w:lang w:eastAsia="en-AU"/>
              </w:rPr>
              <w:t>140.6</w:t>
            </w:r>
          </w:p>
        </w:tc>
        <w:tc>
          <w:tcPr>
            <w:tcW w:w="840" w:type="dxa"/>
            <w:tcBorders>
              <w:top w:val="nil"/>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1 </w:t>
            </w:r>
            <w:r w:rsidRPr="00D37378">
              <w:rPr>
                <w:rFonts w:cs="Calibri"/>
                <w:color w:val="000000"/>
                <w:szCs w:val="22"/>
                <w:lang w:eastAsia="en-AU"/>
              </w:rPr>
              <w:t>141.3</w:t>
            </w:r>
          </w:p>
        </w:tc>
        <w:tc>
          <w:tcPr>
            <w:tcW w:w="840" w:type="dxa"/>
            <w:tcBorders>
              <w:top w:val="nil"/>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1 </w:t>
            </w:r>
            <w:r w:rsidRPr="00D37378">
              <w:rPr>
                <w:rFonts w:cs="Calibri"/>
                <w:color w:val="000000"/>
                <w:szCs w:val="22"/>
                <w:lang w:eastAsia="en-AU"/>
              </w:rPr>
              <w:t>203.2</w:t>
            </w:r>
          </w:p>
        </w:tc>
        <w:tc>
          <w:tcPr>
            <w:tcW w:w="1282" w:type="dxa"/>
            <w:tcBorders>
              <w:top w:val="nil"/>
              <w:left w:val="nil"/>
              <w:bottom w:val="nil"/>
              <w:right w:val="nil"/>
            </w:tcBorders>
          </w:tcPr>
          <w:p w:rsidR="00B958B1" w:rsidRPr="00D37378" w:rsidRDefault="00B958B1" w:rsidP="009F3B54">
            <w:pPr>
              <w:pStyle w:val="TableofFigures"/>
              <w:rPr>
                <w:color w:val="000000"/>
                <w:szCs w:val="22"/>
                <w:lang w:eastAsia="en-AU"/>
              </w:rPr>
            </w:pPr>
            <w:r w:rsidRPr="00D37378">
              <w:rPr>
                <w:color w:val="000000"/>
                <w:szCs w:val="22"/>
                <w:lang w:eastAsia="en-AU"/>
              </w:rPr>
              <w:t>5.5</w:t>
            </w:r>
          </w:p>
        </w:tc>
      </w:tr>
      <w:tr w:rsidR="00B958B1" w:rsidRPr="00D37378" w:rsidTr="009F3B54">
        <w:tc>
          <w:tcPr>
            <w:tcW w:w="3974" w:type="dxa"/>
            <w:tcBorders>
              <w:top w:val="nil"/>
              <w:left w:val="nil"/>
              <w:bottom w:val="nil"/>
              <w:right w:val="nil"/>
            </w:tcBorders>
          </w:tcPr>
          <w:p w:rsidR="00B958B1" w:rsidRPr="00D37378" w:rsidRDefault="00B958B1" w:rsidP="009F3B54">
            <w:pPr>
              <w:pStyle w:val="Tabletext"/>
              <w:rPr>
                <w:color w:val="000000"/>
                <w:lang w:eastAsia="en-AU"/>
              </w:rPr>
            </w:pPr>
            <w:r w:rsidRPr="00D37378">
              <w:rPr>
                <w:color w:val="000000"/>
                <w:lang w:eastAsia="en-AU"/>
              </w:rPr>
              <w:t>Ageing, Aged and Home Care</w:t>
            </w:r>
          </w:p>
        </w:tc>
        <w:tc>
          <w:tcPr>
            <w:tcW w:w="840" w:type="dxa"/>
            <w:tcBorders>
              <w:top w:val="nil"/>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1 </w:t>
            </w:r>
            <w:r w:rsidRPr="00D37378">
              <w:rPr>
                <w:rFonts w:cs="Calibri"/>
                <w:color w:val="000000"/>
                <w:szCs w:val="22"/>
                <w:lang w:eastAsia="en-AU"/>
              </w:rPr>
              <w:t>168.1</w:t>
            </w:r>
          </w:p>
        </w:tc>
        <w:tc>
          <w:tcPr>
            <w:tcW w:w="840" w:type="dxa"/>
            <w:tcBorders>
              <w:top w:val="nil"/>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1 </w:t>
            </w:r>
            <w:r w:rsidRPr="00D37378">
              <w:rPr>
                <w:rFonts w:cs="Calibri"/>
                <w:color w:val="000000"/>
                <w:szCs w:val="22"/>
                <w:lang w:eastAsia="en-AU"/>
              </w:rPr>
              <w:t>166.5</w:t>
            </w:r>
          </w:p>
        </w:tc>
        <w:tc>
          <w:tcPr>
            <w:tcW w:w="840" w:type="dxa"/>
            <w:tcBorders>
              <w:top w:val="nil"/>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1 </w:t>
            </w:r>
            <w:r w:rsidRPr="00D37378">
              <w:rPr>
                <w:rFonts w:cs="Calibri"/>
                <w:color w:val="000000"/>
                <w:szCs w:val="22"/>
                <w:lang w:eastAsia="en-AU"/>
              </w:rPr>
              <w:t>216.1</w:t>
            </w:r>
          </w:p>
        </w:tc>
        <w:tc>
          <w:tcPr>
            <w:tcW w:w="1282" w:type="dxa"/>
            <w:tcBorders>
              <w:top w:val="nil"/>
              <w:left w:val="nil"/>
              <w:bottom w:val="nil"/>
              <w:right w:val="nil"/>
            </w:tcBorders>
          </w:tcPr>
          <w:p w:rsidR="00B958B1" w:rsidRPr="00D37378" w:rsidRDefault="00B958B1" w:rsidP="009F3B54">
            <w:pPr>
              <w:pStyle w:val="TableofFigures"/>
              <w:rPr>
                <w:color w:val="000000"/>
                <w:szCs w:val="22"/>
                <w:lang w:eastAsia="en-AU"/>
              </w:rPr>
            </w:pPr>
            <w:r w:rsidRPr="00D37378">
              <w:rPr>
                <w:color w:val="000000"/>
                <w:szCs w:val="22"/>
                <w:lang w:eastAsia="en-AU"/>
              </w:rPr>
              <w:t>4.1</w:t>
            </w:r>
          </w:p>
        </w:tc>
      </w:tr>
      <w:tr w:rsidR="00B958B1" w:rsidRPr="00D37378" w:rsidTr="009F3B54">
        <w:tc>
          <w:tcPr>
            <w:tcW w:w="3974" w:type="dxa"/>
            <w:tcBorders>
              <w:top w:val="nil"/>
              <w:left w:val="nil"/>
              <w:bottom w:val="nil"/>
              <w:right w:val="nil"/>
            </w:tcBorders>
          </w:tcPr>
          <w:p w:rsidR="00B958B1" w:rsidRPr="00D37378" w:rsidRDefault="00B958B1" w:rsidP="009F3B54">
            <w:pPr>
              <w:pStyle w:val="Tabletext"/>
              <w:rPr>
                <w:color w:val="000000"/>
                <w:vertAlign w:val="superscript"/>
                <w:lang w:eastAsia="en-AU"/>
              </w:rPr>
            </w:pPr>
            <w:r w:rsidRPr="00D37378">
              <w:rPr>
                <w:color w:val="000000"/>
                <w:lang w:eastAsia="en-AU"/>
              </w:rPr>
              <w:t>Primary, Community and Dental Health</w:t>
            </w:r>
            <w:r w:rsidRPr="00D37378">
              <w:rPr>
                <w:color w:val="000000"/>
                <w:vertAlign w:val="superscript"/>
                <w:lang w:eastAsia="en-AU"/>
              </w:rPr>
              <w:t xml:space="preserve"> (e)</w:t>
            </w:r>
          </w:p>
        </w:tc>
        <w:tc>
          <w:tcPr>
            <w:tcW w:w="840" w:type="dxa"/>
            <w:tcBorders>
              <w:top w:val="nil"/>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 396.0</w:t>
            </w:r>
          </w:p>
        </w:tc>
        <w:tc>
          <w:tcPr>
            <w:tcW w:w="840" w:type="dxa"/>
            <w:tcBorders>
              <w:top w:val="nil"/>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 409.3</w:t>
            </w:r>
          </w:p>
        </w:tc>
        <w:tc>
          <w:tcPr>
            <w:tcW w:w="840" w:type="dxa"/>
            <w:tcBorders>
              <w:top w:val="nil"/>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 420.9</w:t>
            </w:r>
          </w:p>
        </w:tc>
        <w:tc>
          <w:tcPr>
            <w:tcW w:w="1282" w:type="dxa"/>
            <w:tcBorders>
              <w:top w:val="nil"/>
              <w:left w:val="nil"/>
              <w:bottom w:val="nil"/>
              <w:right w:val="nil"/>
            </w:tcBorders>
          </w:tcPr>
          <w:p w:rsidR="00B958B1" w:rsidRPr="00D37378" w:rsidRDefault="00B958B1" w:rsidP="009F3B54">
            <w:pPr>
              <w:pStyle w:val="TableofFigures"/>
              <w:rPr>
                <w:color w:val="000000"/>
                <w:szCs w:val="22"/>
                <w:lang w:eastAsia="en-AU"/>
              </w:rPr>
            </w:pPr>
            <w:r w:rsidRPr="00D37378">
              <w:rPr>
                <w:color w:val="000000"/>
                <w:szCs w:val="22"/>
                <w:lang w:eastAsia="en-AU"/>
              </w:rPr>
              <w:t>6.3</w:t>
            </w:r>
          </w:p>
        </w:tc>
      </w:tr>
      <w:tr w:rsidR="00B958B1" w:rsidRPr="00D37378" w:rsidTr="009F3B54">
        <w:tc>
          <w:tcPr>
            <w:tcW w:w="3974" w:type="dxa"/>
            <w:tcBorders>
              <w:top w:val="nil"/>
              <w:left w:val="nil"/>
              <w:bottom w:val="nil"/>
              <w:right w:val="nil"/>
            </w:tcBorders>
          </w:tcPr>
          <w:p w:rsidR="00B958B1" w:rsidRPr="00D37378" w:rsidRDefault="00B958B1" w:rsidP="009F3B54">
            <w:pPr>
              <w:pStyle w:val="Tabletext"/>
              <w:rPr>
                <w:color w:val="000000"/>
                <w:lang w:eastAsia="en-AU"/>
              </w:rPr>
            </w:pPr>
            <w:r w:rsidRPr="00D37378">
              <w:rPr>
                <w:color w:val="000000"/>
                <w:lang w:eastAsia="en-AU"/>
              </w:rPr>
              <w:t>Small Rural Services</w:t>
            </w:r>
          </w:p>
        </w:tc>
        <w:tc>
          <w:tcPr>
            <w:tcW w:w="840" w:type="dxa"/>
            <w:tcBorders>
              <w:top w:val="nil"/>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 518.6</w:t>
            </w:r>
          </w:p>
        </w:tc>
        <w:tc>
          <w:tcPr>
            <w:tcW w:w="840" w:type="dxa"/>
            <w:tcBorders>
              <w:top w:val="nil"/>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 523.8</w:t>
            </w:r>
          </w:p>
        </w:tc>
        <w:tc>
          <w:tcPr>
            <w:tcW w:w="840" w:type="dxa"/>
            <w:tcBorders>
              <w:top w:val="nil"/>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 534.0</w:t>
            </w:r>
          </w:p>
        </w:tc>
        <w:tc>
          <w:tcPr>
            <w:tcW w:w="1282" w:type="dxa"/>
            <w:tcBorders>
              <w:top w:val="nil"/>
              <w:left w:val="nil"/>
              <w:bottom w:val="nil"/>
              <w:right w:val="nil"/>
            </w:tcBorders>
          </w:tcPr>
          <w:p w:rsidR="00B958B1" w:rsidRPr="00D37378" w:rsidRDefault="00B958B1" w:rsidP="009F3B54">
            <w:pPr>
              <w:pStyle w:val="TableofFigures"/>
              <w:rPr>
                <w:color w:val="000000"/>
                <w:szCs w:val="22"/>
                <w:lang w:eastAsia="en-AU"/>
              </w:rPr>
            </w:pPr>
            <w:r w:rsidRPr="00D37378">
              <w:rPr>
                <w:color w:val="000000"/>
                <w:szCs w:val="22"/>
                <w:lang w:eastAsia="en-AU"/>
              </w:rPr>
              <w:t>3.0</w:t>
            </w:r>
          </w:p>
        </w:tc>
      </w:tr>
      <w:tr w:rsidR="00B958B1" w:rsidRPr="00D37378" w:rsidTr="009F3B54">
        <w:tc>
          <w:tcPr>
            <w:tcW w:w="3974" w:type="dxa"/>
            <w:tcBorders>
              <w:top w:val="nil"/>
              <w:left w:val="nil"/>
              <w:bottom w:val="nil"/>
              <w:right w:val="nil"/>
            </w:tcBorders>
          </w:tcPr>
          <w:p w:rsidR="00B958B1" w:rsidRPr="00D37378" w:rsidRDefault="00B958B1" w:rsidP="009F3B54">
            <w:pPr>
              <w:pStyle w:val="Tabletext"/>
              <w:rPr>
                <w:color w:val="000000"/>
                <w:vertAlign w:val="superscript"/>
                <w:lang w:eastAsia="en-AU"/>
              </w:rPr>
            </w:pPr>
            <w:r w:rsidRPr="00D37378">
              <w:rPr>
                <w:color w:val="000000"/>
                <w:lang w:eastAsia="en-AU"/>
              </w:rPr>
              <w:t xml:space="preserve">Public Health </w:t>
            </w:r>
            <w:r w:rsidRPr="00D37378">
              <w:rPr>
                <w:color w:val="000000"/>
                <w:vertAlign w:val="superscript"/>
                <w:lang w:eastAsia="en-AU"/>
              </w:rPr>
              <w:t>(f)</w:t>
            </w:r>
          </w:p>
        </w:tc>
        <w:tc>
          <w:tcPr>
            <w:tcW w:w="840" w:type="dxa"/>
            <w:tcBorders>
              <w:top w:val="nil"/>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 341.3</w:t>
            </w:r>
          </w:p>
        </w:tc>
        <w:tc>
          <w:tcPr>
            <w:tcW w:w="840" w:type="dxa"/>
            <w:tcBorders>
              <w:top w:val="nil"/>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 319.5</w:t>
            </w:r>
          </w:p>
        </w:tc>
        <w:tc>
          <w:tcPr>
            <w:tcW w:w="840" w:type="dxa"/>
            <w:tcBorders>
              <w:top w:val="nil"/>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 319.3</w:t>
            </w:r>
          </w:p>
        </w:tc>
        <w:tc>
          <w:tcPr>
            <w:tcW w:w="1282" w:type="dxa"/>
            <w:tcBorders>
              <w:top w:val="nil"/>
              <w:left w:val="nil"/>
              <w:bottom w:val="nil"/>
              <w:right w:val="nil"/>
            </w:tcBorders>
          </w:tcPr>
          <w:p w:rsidR="00B958B1" w:rsidRPr="00D37378" w:rsidRDefault="009F0F49" w:rsidP="009F3B54">
            <w:pPr>
              <w:pStyle w:val="TableofFigures"/>
              <w:rPr>
                <w:color w:val="000000"/>
                <w:szCs w:val="22"/>
                <w:lang w:eastAsia="en-AU"/>
              </w:rPr>
            </w:pPr>
            <w:r>
              <w:rPr>
                <w:color w:val="000000"/>
                <w:szCs w:val="22"/>
                <w:lang w:eastAsia="en-AU"/>
              </w:rPr>
              <w:noBreakHyphen/>
            </w:r>
            <w:r w:rsidR="00B958B1" w:rsidRPr="00D37378">
              <w:rPr>
                <w:color w:val="000000"/>
                <w:szCs w:val="22"/>
                <w:lang w:eastAsia="en-AU"/>
              </w:rPr>
              <w:t>6.5</w:t>
            </w:r>
          </w:p>
        </w:tc>
      </w:tr>
      <w:tr w:rsidR="00B958B1" w:rsidRPr="00D37378" w:rsidTr="009F3B54">
        <w:tc>
          <w:tcPr>
            <w:tcW w:w="3974" w:type="dxa"/>
            <w:tcBorders>
              <w:top w:val="nil"/>
              <w:left w:val="nil"/>
              <w:bottom w:val="nil"/>
              <w:right w:val="nil"/>
            </w:tcBorders>
          </w:tcPr>
          <w:p w:rsidR="00B958B1" w:rsidRPr="00D37378" w:rsidRDefault="00B958B1" w:rsidP="009F3B54">
            <w:pPr>
              <w:pStyle w:val="Tabletext"/>
              <w:rPr>
                <w:rFonts w:cs="Calibri"/>
                <w:color w:val="000000"/>
                <w:vertAlign w:val="superscript"/>
                <w:lang w:eastAsia="en-AU"/>
              </w:rPr>
            </w:pPr>
            <w:r w:rsidRPr="00D37378">
              <w:rPr>
                <w:color w:val="000000"/>
                <w:lang w:eastAsia="en-AU"/>
              </w:rPr>
              <w:t>Drugs Services</w:t>
            </w:r>
            <w:r w:rsidRPr="00D37378">
              <w:rPr>
                <w:color w:val="000000"/>
                <w:vertAlign w:val="superscript"/>
                <w:lang w:eastAsia="en-AU"/>
              </w:rPr>
              <w:t xml:space="preserve"> </w:t>
            </w:r>
            <w:r w:rsidRPr="00D37378">
              <w:rPr>
                <w:rFonts w:cs="Calibri"/>
                <w:color w:val="000000"/>
                <w:vertAlign w:val="superscript"/>
                <w:lang w:eastAsia="en-AU"/>
              </w:rPr>
              <w:t>(g)</w:t>
            </w:r>
          </w:p>
        </w:tc>
        <w:tc>
          <w:tcPr>
            <w:tcW w:w="840" w:type="dxa"/>
            <w:tcBorders>
              <w:top w:val="nil"/>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 146.4</w:t>
            </w:r>
          </w:p>
        </w:tc>
        <w:tc>
          <w:tcPr>
            <w:tcW w:w="840" w:type="dxa"/>
            <w:tcBorders>
              <w:top w:val="nil"/>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 154.9</w:t>
            </w:r>
          </w:p>
        </w:tc>
        <w:tc>
          <w:tcPr>
            <w:tcW w:w="840" w:type="dxa"/>
            <w:tcBorders>
              <w:top w:val="nil"/>
              <w:left w:val="nil"/>
              <w:bottom w:val="nil"/>
              <w:right w:val="nil"/>
            </w:tcBorders>
          </w:tcPr>
          <w:p w:rsidR="00B958B1" w:rsidRPr="00D37378" w:rsidRDefault="00B958B1" w:rsidP="009F3B54">
            <w:pPr>
              <w:pStyle w:val="TableofFigures"/>
              <w:rPr>
                <w:rFonts w:cs="Calibri"/>
                <w:color w:val="000000"/>
                <w:szCs w:val="22"/>
                <w:lang w:eastAsia="en-AU"/>
              </w:rPr>
            </w:pPr>
            <w:r w:rsidRPr="00D37378">
              <w:rPr>
                <w:color w:val="000000"/>
                <w:szCs w:val="22"/>
                <w:lang w:eastAsia="en-AU"/>
              </w:rPr>
              <w:t xml:space="preserve"> 153.5</w:t>
            </w:r>
          </w:p>
        </w:tc>
        <w:tc>
          <w:tcPr>
            <w:tcW w:w="1282" w:type="dxa"/>
            <w:tcBorders>
              <w:top w:val="nil"/>
              <w:left w:val="nil"/>
              <w:bottom w:val="nil"/>
              <w:right w:val="nil"/>
            </w:tcBorders>
          </w:tcPr>
          <w:p w:rsidR="00B958B1" w:rsidRPr="00D37378" w:rsidRDefault="00B958B1" w:rsidP="009F3B54">
            <w:pPr>
              <w:pStyle w:val="TableofFigures"/>
              <w:rPr>
                <w:color w:val="000000"/>
                <w:szCs w:val="22"/>
                <w:lang w:eastAsia="en-AU"/>
              </w:rPr>
            </w:pPr>
            <w:r w:rsidRPr="00D37378">
              <w:rPr>
                <w:color w:val="000000"/>
                <w:szCs w:val="22"/>
                <w:lang w:eastAsia="en-AU"/>
              </w:rPr>
              <w:t>4.9</w:t>
            </w:r>
          </w:p>
        </w:tc>
      </w:tr>
      <w:tr w:rsidR="00B958B1" w:rsidRPr="00D37378" w:rsidTr="009F3B54">
        <w:tc>
          <w:tcPr>
            <w:tcW w:w="3974" w:type="dxa"/>
            <w:tcBorders>
              <w:top w:val="single" w:sz="6" w:space="0" w:color="auto"/>
              <w:left w:val="nil"/>
              <w:bottom w:val="single" w:sz="12" w:space="0" w:color="auto"/>
              <w:right w:val="nil"/>
            </w:tcBorders>
          </w:tcPr>
          <w:p w:rsidR="00B958B1" w:rsidRPr="00D37378" w:rsidRDefault="00B958B1" w:rsidP="009F3B54">
            <w:pPr>
              <w:pStyle w:val="Tabletext"/>
              <w:rPr>
                <w:b/>
                <w:bCs/>
                <w:color w:val="000000"/>
                <w:lang w:eastAsia="en-AU"/>
              </w:rPr>
            </w:pPr>
            <w:r w:rsidRPr="00D37378">
              <w:rPr>
                <w:b/>
                <w:bCs/>
                <w:color w:val="000000"/>
                <w:lang w:eastAsia="en-AU"/>
              </w:rPr>
              <w:t>Total</w:t>
            </w:r>
          </w:p>
        </w:tc>
        <w:tc>
          <w:tcPr>
            <w:tcW w:w="840" w:type="dxa"/>
            <w:tcBorders>
              <w:top w:val="single" w:sz="6" w:space="0" w:color="auto"/>
              <w:left w:val="nil"/>
              <w:bottom w:val="single" w:sz="12" w:space="0" w:color="auto"/>
              <w:right w:val="nil"/>
            </w:tcBorders>
          </w:tcPr>
          <w:p w:rsidR="00B958B1" w:rsidRPr="00D37378" w:rsidRDefault="00B958B1" w:rsidP="009F3B54">
            <w:pPr>
              <w:pStyle w:val="TableofFigures"/>
              <w:rPr>
                <w:rFonts w:cs="Calibri"/>
                <w:b/>
                <w:bCs/>
                <w:color w:val="000000"/>
                <w:szCs w:val="22"/>
                <w:lang w:eastAsia="en-AU"/>
              </w:rPr>
            </w:pPr>
            <w:r w:rsidRPr="00D37378">
              <w:rPr>
                <w:b/>
                <w:bCs/>
                <w:color w:val="000000"/>
                <w:szCs w:val="22"/>
                <w:lang w:eastAsia="en-AU"/>
              </w:rPr>
              <w:t>13</w:t>
            </w:r>
            <w:r w:rsidRPr="00D37378">
              <w:rPr>
                <w:rFonts w:cs="Calibri"/>
                <w:b/>
                <w:bCs/>
                <w:color w:val="000000"/>
                <w:szCs w:val="22"/>
                <w:lang w:eastAsia="en-AU"/>
              </w:rPr>
              <w:t xml:space="preserve"> 683.6</w:t>
            </w:r>
          </w:p>
        </w:tc>
        <w:tc>
          <w:tcPr>
            <w:tcW w:w="840" w:type="dxa"/>
            <w:tcBorders>
              <w:top w:val="single" w:sz="6" w:space="0" w:color="auto"/>
              <w:left w:val="nil"/>
              <w:bottom w:val="single" w:sz="12" w:space="0" w:color="auto"/>
              <w:right w:val="nil"/>
            </w:tcBorders>
          </w:tcPr>
          <w:p w:rsidR="00B958B1" w:rsidRPr="00D37378" w:rsidRDefault="00B958B1" w:rsidP="009F3B54">
            <w:pPr>
              <w:pStyle w:val="TableofFigures"/>
              <w:rPr>
                <w:rFonts w:cs="Calibri"/>
                <w:b/>
                <w:bCs/>
                <w:color w:val="000000"/>
                <w:szCs w:val="22"/>
                <w:lang w:eastAsia="en-AU"/>
              </w:rPr>
            </w:pPr>
            <w:r w:rsidRPr="00D37378">
              <w:rPr>
                <w:b/>
                <w:bCs/>
                <w:color w:val="000000"/>
                <w:szCs w:val="22"/>
                <w:lang w:eastAsia="en-AU"/>
              </w:rPr>
              <w:t>13</w:t>
            </w:r>
            <w:r w:rsidRPr="00D37378">
              <w:rPr>
                <w:rFonts w:cs="Calibri"/>
                <w:b/>
                <w:bCs/>
                <w:color w:val="000000"/>
                <w:szCs w:val="22"/>
                <w:lang w:eastAsia="en-AU"/>
              </w:rPr>
              <w:t xml:space="preserve"> 670.7</w:t>
            </w:r>
          </w:p>
        </w:tc>
        <w:tc>
          <w:tcPr>
            <w:tcW w:w="840" w:type="dxa"/>
            <w:tcBorders>
              <w:top w:val="single" w:sz="6" w:space="0" w:color="auto"/>
              <w:left w:val="nil"/>
              <w:bottom w:val="single" w:sz="12" w:space="0" w:color="auto"/>
              <w:right w:val="nil"/>
            </w:tcBorders>
          </w:tcPr>
          <w:p w:rsidR="00B958B1" w:rsidRPr="00D37378" w:rsidRDefault="00B958B1" w:rsidP="009F3B54">
            <w:pPr>
              <w:pStyle w:val="TableofFigures"/>
              <w:rPr>
                <w:rFonts w:cs="Calibri"/>
                <w:b/>
                <w:bCs/>
                <w:color w:val="000000"/>
                <w:szCs w:val="22"/>
                <w:lang w:eastAsia="en-AU"/>
              </w:rPr>
            </w:pPr>
            <w:r w:rsidRPr="00D37378">
              <w:rPr>
                <w:b/>
                <w:bCs/>
                <w:color w:val="000000"/>
                <w:szCs w:val="22"/>
                <w:lang w:eastAsia="en-AU"/>
              </w:rPr>
              <w:t>14</w:t>
            </w:r>
            <w:r w:rsidRPr="00D37378">
              <w:rPr>
                <w:rFonts w:cs="Calibri"/>
                <w:b/>
                <w:bCs/>
                <w:color w:val="000000"/>
                <w:szCs w:val="22"/>
                <w:lang w:eastAsia="en-AU"/>
              </w:rPr>
              <w:t xml:space="preserve"> 344.9</w:t>
            </w:r>
          </w:p>
        </w:tc>
        <w:tc>
          <w:tcPr>
            <w:tcW w:w="1282" w:type="dxa"/>
            <w:tcBorders>
              <w:top w:val="single" w:sz="6" w:space="0" w:color="auto"/>
              <w:left w:val="nil"/>
              <w:bottom w:val="single" w:sz="12" w:space="0" w:color="auto"/>
              <w:right w:val="nil"/>
            </w:tcBorders>
          </w:tcPr>
          <w:p w:rsidR="00B958B1" w:rsidRPr="00D37378" w:rsidRDefault="00B958B1" w:rsidP="009F3B54">
            <w:pPr>
              <w:pStyle w:val="TableofFigures"/>
              <w:rPr>
                <w:rFonts w:cs="Calibri"/>
                <w:b/>
                <w:bCs/>
                <w:color w:val="000000"/>
                <w:szCs w:val="22"/>
                <w:lang w:eastAsia="en-AU"/>
              </w:rPr>
            </w:pPr>
            <w:r w:rsidRPr="00D37378">
              <w:rPr>
                <w:b/>
                <w:bCs/>
                <w:color w:val="000000"/>
                <w:szCs w:val="22"/>
                <w:lang w:eastAsia="en-AU"/>
              </w:rPr>
              <w:t>4.8</w:t>
            </w:r>
          </w:p>
        </w:tc>
      </w:tr>
    </w:tbl>
    <w:p w:rsidR="00B958B1" w:rsidRPr="0010774E" w:rsidRDefault="00B958B1" w:rsidP="009F3B54">
      <w:pPr>
        <w:pStyle w:val="Source"/>
        <w:rPr>
          <w:rFonts w:ascii="Garamond" w:hAnsi="Garamond"/>
        </w:rPr>
      </w:pPr>
      <w:r w:rsidRPr="008A7D81">
        <w:t>Source:</w:t>
      </w:r>
      <w:r>
        <w:t xml:space="preserve"> </w:t>
      </w:r>
      <w:r w:rsidRPr="000C7754">
        <w:t>Department of Health</w:t>
      </w:r>
    </w:p>
    <w:p w:rsidR="00B958B1" w:rsidRPr="000C7754" w:rsidRDefault="00B958B1" w:rsidP="009F3B54">
      <w:pPr>
        <w:pStyle w:val="Source"/>
        <w:rPr>
          <w:rFonts w:cs="Calibri"/>
          <w:szCs w:val="15"/>
        </w:rPr>
      </w:pPr>
      <w:r>
        <w:rPr>
          <w:rFonts w:cs="Calibri"/>
          <w:szCs w:val="15"/>
        </w:rPr>
        <w:fldChar w:fldCharType="begin"/>
      </w:r>
      <w:r>
        <w:instrText xml:space="preserve"> XE "</w:instrText>
      </w:r>
      <w:r w:rsidRPr="0046105E">
        <w:instrText>Department of Health:Output summary</w:instrText>
      </w:r>
      <w:r>
        <w:instrText xml:space="preserve">" </w:instrText>
      </w:r>
      <w:r>
        <w:rPr>
          <w:rFonts w:cs="Calibri"/>
          <w:szCs w:val="15"/>
        </w:rPr>
        <w:fldChar w:fldCharType="end"/>
      </w:r>
      <w:r w:rsidRPr="000C7754">
        <w:rPr>
          <w:rFonts w:cs="Calibri"/>
          <w:szCs w:val="15"/>
        </w:rPr>
        <w:t>Notes:</w:t>
      </w:r>
    </w:p>
    <w:p w:rsidR="00B958B1" w:rsidRPr="000C7754" w:rsidRDefault="00B958B1" w:rsidP="009F3B54">
      <w:pPr>
        <w:pStyle w:val="Notes"/>
      </w:pPr>
      <w:r w:rsidRPr="000C7754">
        <w:t>(a)</w:t>
      </w:r>
      <w:r w:rsidRPr="000C7754">
        <w:tab/>
        <w:t xml:space="preserve">Variation </w:t>
      </w:r>
      <w:r w:rsidRPr="00917CC4">
        <w:t>between</w:t>
      </w:r>
      <w:r w:rsidRPr="000C7754">
        <w:t xml:space="preserve"> 2012</w:t>
      </w:r>
      <w:r w:rsidR="009F0F49">
        <w:noBreakHyphen/>
      </w:r>
      <w:r w:rsidRPr="000C7754">
        <w:t>13 budget and 2013</w:t>
      </w:r>
      <w:r w:rsidR="009F0F49">
        <w:noBreakHyphen/>
      </w:r>
      <w:r w:rsidRPr="000C7754">
        <w:t>14 budget.</w:t>
      </w:r>
    </w:p>
    <w:p w:rsidR="00B958B1" w:rsidRDefault="00B958B1" w:rsidP="009F3B54">
      <w:pPr>
        <w:pStyle w:val="Notes"/>
        <w:rPr>
          <w:rFonts w:cs="Calibri"/>
          <w:szCs w:val="15"/>
        </w:rPr>
      </w:pPr>
      <w:r w:rsidRPr="000C7754">
        <w:rPr>
          <w:rFonts w:cs="Calibri"/>
          <w:szCs w:val="15"/>
        </w:rPr>
        <w:t>(b)</w:t>
      </w:r>
      <w:r w:rsidRPr="000C7754">
        <w:rPr>
          <w:rFonts w:cs="Calibri"/>
          <w:szCs w:val="15"/>
        </w:rPr>
        <w:tab/>
        <w:t>The movement in the Department of Health’s 2013</w:t>
      </w:r>
      <w:r w:rsidR="009F0F49">
        <w:rPr>
          <w:rFonts w:cs="Calibri"/>
          <w:szCs w:val="15"/>
        </w:rPr>
        <w:noBreakHyphen/>
      </w:r>
      <w:r w:rsidRPr="000C7754">
        <w:rPr>
          <w:rFonts w:cs="Calibri"/>
          <w:szCs w:val="15"/>
        </w:rPr>
        <w:t>14 budget compared with the 2012</w:t>
      </w:r>
      <w:r w:rsidR="009F0F49">
        <w:rPr>
          <w:rFonts w:cs="Calibri"/>
          <w:szCs w:val="15"/>
        </w:rPr>
        <w:noBreakHyphen/>
      </w:r>
      <w:r w:rsidRPr="000C7754">
        <w:rPr>
          <w:rFonts w:cs="Calibri"/>
          <w:szCs w:val="15"/>
        </w:rPr>
        <w:t xml:space="preserve">13 budget </w:t>
      </w:r>
      <w:r>
        <w:rPr>
          <w:rFonts w:cs="Calibri"/>
          <w:szCs w:val="15"/>
        </w:rPr>
        <w:t>is</w:t>
      </w:r>
      <w:r w:rsidRPr="000C7754">
        <w:rPr>
          <w:rFonts w:cs="Calibri"/>
          <w:szCs w:val="15"/>
        </w:rPr>
        <w:t xml:space="preserve"> primarily due to:</w:t>
      </w:r>
    </w:p>
    <w:p w:rsidR="00B958B1" w:rsidRDefault="00B958B1" w:rsidP="009F3B54">
      <w:pPr>
        <w:pStyle w:val="NotesDash"/>
        <w:tabs>
          <w:tab w:val="clear" w:pos="922"/>
          <w:tab w:val="num" w:pos="720"/>
        </w:tabs>
        <w:ind w:left="720" w:hanging="266"/>
      </w:pPr>
      <w:r w:rsidRPr="00917CC4">
        <w:t>funding provided for government policy commitments including the full</w:t>
      </w:r>
      <w:r w:rsidR="009F0F49">
        <w:noBreakHyphen/>
      </w:r>
      <w:r w:rsidRPr="00917CC4">
        <w:t>year effect of initiative funding announced in previous years budgets;</w:t>
      </w:r>
    </w:p>
    <w:p w:rsidR="00B958B1" w:rsidRDefault="00B958B1" w:rsidP="009F3B54">
      <w:pPr>
        <w:pStyle w:val="NotesDash"/>
        <w:tabs>
          <w:tab w:val="clear" w:pos="922"/>
          <w:tab w:val="num" w:pos="720"/>
        </w:tabs>
        <w:ind w:left="720" w:hanging="266"/>
      </w:pPr>
      <w:r w:rsidRPr="00917CC4">
        <w:t>output price increases arising from price escalation for anticipated cost increases;</w:t>
      </w:r>
    </w:p>
    <w:p w:rsidR="00B958B1" w:rsidRDefault="00B958B1" w:rsidP="009F3B54">
      <w:pPr>
        <w:pStyle w:val="NotesDash"/>
        <w:tabs>
          <w:tab w:val="clear" w:pos="922"/>
          <w:tab w:val="num" w:pos="720"/>
        </w:tabs>
        <w:ind w:left="720" w:hanging="266"/>
      </w:pPr>
      <w:r w:rsidRPr="00917CC4">
        <w:t>output price increases for depreciation and capital asset charge costs associated with the approved asset investment program for 2013</w:t>
      </w:r>
      <w:r w:rsidR="009F0F49">
        <w:noBreakHyphen/>
      </w:r>
      <w:r w:rsidRPr="00917CC4">
        <w:t>14;</w:t>
      </w:r>
    </w:p>
    <w:p w:rsidR="00B958B1" w:rsidRDefault="00B958B1" w:rsidP="009F3B54">
      <w:pPr>
        <w:pStyle w:val="NotesDash"/>
        <w:tabs>
          <w:tab w:val="clear" w:pos="922"/>
          <w:tab w:val="num" w:pos="720"/>
        </w:tabs>
        <w:ind w:left="720" w:hanging="266"/>
      </w:pPr>
      <w:r w:rsidRPr="00917CC4">
        <w:t>increased Commonwealth funding due to the expansion of a number of programs; and</w:t>
      </w:r>
    </w:p>
    <w:p w:rsidR="00B958B1" w:rsidRPr="000C7754" w:rsidRDefault="00B958B1" w:rsidP="009F3B54">
      <w:pPr>
        <w:pStyle w:val="NotesDash"/>
        <w:tabs>
          <w:tab w:val="clear" w:pos="922"/>
          <w:tab w:val="num" w:pos="720"/>
        </w:tabs>
        <w:ind w:left="720" w:hanging="266"/>
      </w:pPr>
      <w:r w:rsidRPr="00917CC4">
        <w:t>increases</w:t>
      </w:r>
      <w:r w:rsidRPr="000C7754">
        <w:t xml:space="preserve"> in anticipated income fr</w:t>
      </w:r>
      <w:r>
        <w:t>om sales of goods and services.</w:t>
      </w:r>
    </w:p>
    <w:p w:rsidR="00B958B1" w:rsidRPr="000C7754" w:rsidRDefault="00B958B1" w:rsidP="009F3B54">
      <w:pPr>
        <w:pStyle w:val="Notes"/>
        <w:rPr>
          <w:rFonts w:cs="Calibri"/>
          <w:szCs w:val="15"/>
        </w:rPr>
      </w:pPr>
      <w:r w:rsidRPr="000C7754">
        <w:rPr>
          <w:rFonts w:cs="Calibri"/>
          <w:szCs w:val="15"/>
        </w:rPr>
        <w:t>(c)</w:t>
      </w:r>
      <w:r w:rsidRPr="000C7754">
        <w:rPr>
          <w:rFonts w:cs="Calibri"/>
          <w:szCs w:val="15"/>
        </w:rPr>
        <w:tab/>
        <w:t>The movement in the 2013</w:t>
      </w:r>
      <w:r w:rsidR="009F0F49">
        <w:rPr>
          <w:rFonts w:cs="Calibri"/>
          <w:szCs w:val="15"/>
        </w:rPr>
        <w:noBreakHyphen/>
      </w:r>
      <w:r w:rsidRPr="000C7754">
        <w:rPr>
          <w:rFonts w:cs="Calibri"/>
          <w:szCs w:val="15"/>
        </w:rPr>
        <w:t>14 Target reflects increased funding for government policy initiatives and output price increases arising from price escalation for anticipated cost increases.</w:t>
      </w:r>
    </w:p>
    <w:p w:rsidR="00B958B1" w:rsidRPr="000C7754" w:rsidRDefault="00B958B1" w:rsidP="009F3B54">
      <w:pPr>
        <w:pStyle w:val="Notes"/>
        <w:rPr>
          <w:rFonts w:cs="Calibri"/>
          <w:szCs w:val="15"/>
        </w:rPr>
      </w:pPr>
      <w:r w:rsidRPr="000C7754">
        <w:rPr>
          <w:rFonts w:cs="Calibri"/>
          <w:szCs w:val="15"/>
        </w:rPr>
        <w:t>(d)</w:t>
      </w:r>
      <w:r w:rsidRPr="000C7754">
        <w:rPr>
          <w:rFonts w:cs="Calibri"/>
          <w:szCs w:val="15"/>
        </w:rPr>
        <w:tab/>
        <w:t>The movement in the 2013</w:t>
      </w:r>
      <w:r w:rsidR="009F0F49">
        <w:rPr>
          <w:rFonts w:cs="Calibri"/>
          <w:szCs w:val="15"/>
        </w:rPr>
        <w:noBreakHyphen/>
      </w:r>
      <w:r w:rsidRPr="000C7754">
        <w:rPr>
          <w:rFonts w:cs="Calibri"/>
          <w:szCs w:val="15"/>
        </w:rPr>
        <w:t>14 Target reflects increased funding for growth in mental health beds capacity.</w:t>
      </w:r>
    </w:p>
    <w:p w:rsidR="00B958B1" w:rsidRPr="000C7754" w:rsidRDefault="00B958B1" w:rsidP="009F3B54">
      <w:pPr>
        <w:pStyle w:val="Notes"/>
        <w:rPr>
          <w:rFonts w:cs="Calibri"/>
          <w:szCs w:val="15"/>
        </w:rPr>
      </w:pPr>
      <w:r w:rsidRPr="000C7754">
        <w:rPr>
          <w:rFonts w:cs="Calibri"/>
          <w:szCs w:val="15"/>
        </w:rPr>
        <w:t>(e)</w:t>
      </w:r>
      <w:r w:rsidRPr="000C7754">
        <w:rPr>
          <w:rFonts w:cs="Calibri"/>
          <w:szCs w:val="15"/>
        </w:rPr>
        <w:tab/>
        <w:t>The movement in the 2013</w:t>
      </w:r>
      <w:r w:rsidR="009F0F49">
        <w:rPr>
          <w:rFonts w:cs="Calibri"/>
          <w:szCs w:val="15"/>
        </w:rPr>
        <w:noBreakHyphen/>
      </w:r>
      <w:r w:rsidRPr="000C7754">
        <w:rPr>
          <w:rFonts w:cs="Calibri"/>
          <w:szCs w:val="15"/>
        </w:rPr>
        <w:t>14 Target reflects increased funding for government policy initiatives and</w:t>
      </w:r>
      <w:r>
        <w:rPr>
          <w:rFonts w:cs="Calibri"/>
          <w:szCs w:val="15"/>
        </w:rPr>
        <w:t xml:space="preserve"> funding for</w:t>
      </w:r>
      <w:r w:rsidRPr="000C7754">
        <w:rPr>
          <w:rFonts w:cs="Calibri"/>
          <w:szCs w:val="15"/>
        </w:rPr>
        <w:t xml:space="preserve"> the implementation of the equal remuneration order in the Social and Community Services sector.</w:t>
      </w:r>
    </w:p>
    <w:p w:rsidR="00B958B1" w:rsidRDefault="00B958B1" w:rsidP="009F3B54">
      <w:pPr>
        <w:pStyle w:val="Notes"/>
        <w:rPr>
          <w:rFonts w:cs="Calibri"/>
          <w:szCs w:val="15"/>
        </w:rPr>
      </w:pPr>
      <w:r w:rsidRPr="000C7754">
        <w:rPr>
          <w:rFonts w:cs="Calibri"/>
          <w:szCs w:val="15"/>
        </w:rPr>
        <w:t>(f)</w:t>
      </w:r>
      <w:r w:rsidRPr="000C7754">
        <w:rPr>
          <w:rFonts w:cs="Calibri"/>
          <w:szCs w:val="15"/>
        </w:rPr>
        <w:tab/>
        <w:t>The movement in the 2013</w:t>
      </w:r>
      <w:r w:rsidR="009F0F49">
        <w:rPr>
          <w:rFonts w:cs="Calibri"/>
          <w:szCs w:val="15"/>
        </w:rPr>
        <w:noBreakHyphen/>
      </w:r>
      <w:r w:rsidRPr="000C7754">
        <w:rPr>
          <w:rFonts w:cs="Calibri"/>
          <w:szCs w:val="15"/>
        </w:rPr>
        <w:t xml:space="preserve">14 Target reflects a revision to </w:t>
      </w:r>
      <w:r>
        <w:rPr>
          <w:rFonts w:cs="Calibri"/>
          <w:szCs w:val="15"/>
        </w:rPr>
        <w:t>phasing</w:t>
      </w:r>
      <w:r w:rsidRPr="000C7754">
        <w:rPr>
          <w:rFonts w:cs="Calibri"/>
          <w:szCs w:val="15"/>
        </w:rPr>
        <w:t xml:space="preserve"> of funding provided under the National Partnership Agreement for Preventative Health.</w:t>
      </w:r>
    </w:p>
    <w:p w:rsidR="00B958B1" w:rsidRDefault="00B958B1" w:rsidP="009F3B54">
      <w:pPr>
        <w:pStyle w:val="Notes"/>
        <w:rPr>
          <w:rFonts w:cs="Calibri"/>
          <w:szCs w:val="15"/>
        </w:rPr>
      </w:pPr>
      <w:r>
        <w:rPr>
          <w:rFonts w:cs="Calibri"/>
          <w:szCs w:val="15"/>
        </w:rPr>
        <w:t>(g)</w:t>
      </w:r>
      <w:r>
        <w:rPr>
          <w:rFonts w:cs="Calibri"/>
          <w:szCs w:val="15"/>
        </w:rPr>
        <w:tab/>
        <w:t>The 2012</w:t>
      </w:r>
      <w:r w:rsidR="009F0F49">
        <w:rPr>
          <w:rFonts w:cs="Calibri"/>
          <w:szCs w:val="15"/>
        </w:rPr>
        <w:noBreakHyphen/>
      </w:r>
      <w:r>
        <w:rPr>
          <w:rFonts w:cs="Calibri"/>
          <w:szCs w:val="15"/>
        </w:rPr>
        <w:t>13 revised is higher than the 2012</w:t>
      </w:r>
      <w:r w:rsidR="009F0F49">
        <w:rPr>
          <w:rFonts w:cs="Calibri"/>
          <w:szCs w:val="15"/>
        </w:rPr>
        <w:noBreakHyphen/>
      </w:r>
      <w:r>
        <w:rPr>
          <w:rFonts w:cs="Calibri"/>
          <w:szCs w:val="15"/>
        </w:rPr>
        <w:t>13 Target as it reflects a revision in sentencing reform funds received from the Department of Justice for the drug and alcohol program and funding for</w:t>
      </w:r>
      <w:r w:rsidRPr="000C7754">
        <w:rPr>
          <w:rFonts w:cs="Calibri"/>
          <w:szCs w:val="15"/>
        </w:rPr>
        <w:t xml:space="preserve"> the implementation of the equal remuneration order in the Social and Community Services sector</w:t>
      </w:r>
      <w:r>
        <w:rPr>
          <w:rFonts w:cs="Calibri"/>
          <w:szCs w:val="15"/>
        </w:rPr>
        <w:t>.</w:t>
      </w:r>
    </w:p>
    <w:p w:rsidR="00B958B1" w:rsidRDefault="00B958B1" w:rsidP="009F3B54">
      <w:pPr>
        <w:pStyle w:val="Notes"/>
        <w:rPr>
          <w:rFonts w:cs="Calibri"/>
          <w:szCs w:val="15"/>
        </w:rPr>
      </w:pPr>
    </w:p>
    <w:p w:rsidR="00B958B1" w:rsidRDefault="00B958B1" w:rsidP="009F3B54">
      <w:pPr>
        <w:pStyle w:val="Tableheading"/>
      </w:pPr>
      <w:r w:rsidRPr="000E34B8">
        <w:t>Amounts available</w:t>
      </w:r>
    </w:p>
    <w:p w:rsidR="00B958B1" w:rsidRDefault="00B958B1" w:rsidP="009F3B54">
      <w:r>
        <w:t>The following tables detail the amounts available to the Department from Parliamentary authority and income generated through transactions.</w:t>
      </w:r>
    </w:p>
    <w:p w:rsidR="00B958B1" w:rsidRDefault="00B958B1" w:rsidP="009F3B54">
      <w:r>
        <w:t>Table 2.9 outlines the Department’s income from transactions and Table 2.10 summarises the sources of Parliamentary authority available to the Department to fund the provision of outputs, additions to the net asset base and payments made on behalf of the State.</w:t>
      </w:r>
    </w:p>
    <w:p w:rsidR="00B958B1" w:rsidRDefault="00B958B1" w:rsidP="009F3B54">
      <w:pPr>
        <w:pStyle w:val="Tableheading"/>
      </w:pPr>
      <w:r w:rsidRPr="00B71DAC">
        <w:t>Table</w:t>
      </w:r>
      <w:r>
        <w:t> 2.9</w:t>
      </w:r>
      <w:r w:rsidRPr="00B71DAC">
        <w:t>:</w:t>
      </w:r>
      <w:r>
        <w:tab/>
      </w:r>
      <w:r w:rsidRPr="00B71DAC">
        <w:t>Income from transactions</w:t>
      </w:r>
    </w:p>
    <w:p w:rsidR="00B958B1" w:rsidRPr="005E5EE8" w:rsidRDefault="00B958B1" w:rsidP="009F3B54">
      <w:pPr>
        <w:pStyle w:val="million"/>
        <w:rPr>
          <w:sz w:val="15"/>
        </w:rPr>
      </w:pPr>
      <w:r w:rsidRPr="00B71DAC">
        <w:rPr>
          <w:lang w:eastAsia="en-AU"/>
        </w:rPr>
        <w:t>($</w:t>
      </w:r>
      <w:r>
        <w:rPr>
          <w:lang w:eastAsia="en-AU"/>
        </w:rPr>
        <w:t> million</w:t>
      </w:r>
      <w:r w:rsidRPr="005E5EE8">
        <w:rPr>
          <w:lang w:eastAsia="en-AU"/>
        </w:rPr>
        <w:t>)</w:t>
      </w:r>
    </w:p>
    <w:tbl>
      <w:tblPr>
        <w:tblW w:w="7776" w:type="dxa"/>
        <w:tblInd w:w="29" w:type="dxa"/>
        <w:tblLayout w:type="fixed"/>
        <w:tblCellMar>
          <w:left w:w="43" w:type="dxa"/>
          <w:right w:w="43" w:type="dxa"/>
        </w:tblCellMar>
        <w:tblLook w:val="0000" w:firstRow="0" w:lastRow="0" w:firstColumn="0" w:lastColumn="0" w:noHBand="0" w:noVBand="0"/>
      </w:tblPr>
      <w:tblGrid>
        <w:gridCol w:w="4334"/>
        <w:gridCol w:w="860"/>
        <w:gridCol w:w="861"/>
        <w:gridCol w:w="860"/>
        <w:gridCol w:w="861"/>
      </w:tblGrid>
      <w:tr w:rsidR="00B958B1" w:rsidRPr="005E5EE8" w:rsidTr="009F3B54">
        <w:tc>
          <w:tcPr>
            <w:tcW w:w="4334" w:type="dxa"/>
            <w:tcBorders>
              <w:top w:val="single" w:sz="6" w:space="0" w:color="auto"/>
              <w:left w:val="single" w:sz="6" w:space="0" w:color="auto"/>
              <w:bottom w:val="nil"/>
              <w:right w:val="nil"/>
            </w:tcBorders>
            <w:shd w:val="clear" w:color="auto" w:fill="000000"/>
          </w:tcPr>
          <w:p w:rsidR="00B958B1" w:rsidRPr="005E5EE8" w:rsidRDefault="00B958B1" w:rsidP="009F3B54">
            <w:pPr>
              <w:pStyle w:val="Tabletext"/>
              <w:rPr>
                <w:lang w:eastAsia="en-AU"/>
              </w:rPr>
            </w:pPr>
            <w:r w:rsidRPr="005E5EE8">
              <w:rPr>
                <w:lang w:eastAsia="en-AU"/>
              </w:rPr>
              <w:t xml:space="preserve"> </w:t>
            </w:r>
          </w:p>
        </w:tc>
        <w:tc>
          <w:tcPr>
            <w:tcW w:w="860" w:type="dxa"/>
            <w:tcBorders>
              <w:top w:val="single" w:sz="6" w:space="0" w:color="auto"/>
              <w:left w:val="nil"/>
              <w:bottom w:val="nil"/>
              <w:right w:val="nil"/>
            </w:tcBorders>
            <w:shd w:val="clear" w:color="auto" w:fill="000000"/>
          </w:tcPr>
          <w:p w:rsidR="00B958B1" w:rsidRPr="005E5EE8" w:rsidRDefault="00B958B1" w:rsidP="009F3B54">
            <w:pPr>
              <w:pStyle w:val="Tabletextheading"/>
              <w:rPr>
                <w:lang w:eastAsia="en-AU"/>
              </w:rPr>
            </w:pPr>
            <w:r w:rsidRPr="005E5EE8">
              <w:rPr>
                <w:lang w:eastAsia="en-AU"/>
              </w:rPr>
              <w:t>2011</w:t>
            </w:r>
            <w:r w:rsidR="009F0F49">
              <w:rPr>
                <w:lang w:eastAsia="en-AU"/>
              </w:rPr>
              <w:noBreakHyphen/>
            </w:r>
            <w:r w:rsidRPr="005E5EE8">
              <w:rPr>
                <w:lang w:eastAsia="en-AU"/>
              </w:rPr>
              <w:t>12</w:t>
            </w:r>
          </w:p>
        </w:tc>
        <w:tc>
          <w:tcPr>
            <w:tcW w:w="861" w:type="dxa"/>
            <w:tcBorders>
              <w:top w:val="single" w:sz="6" w:space="0" w:color="auto"/>
              <w:left w:val="nil"/>
              <w:bottom w:val="nil"/>
              <w:right w:val="nil"/>
            </w:tcBorders>
            <w:shd w:val="clear" w:color="auto" w:fill="000000"/>
          </w:tcPr>
          <w:p w:rsidR="00B958B1" w:rsidRPr="005E5EE8" w:rsidRDefault="00B958B1" w:rsidP="009F3B54">
            <w:pPr>
              <w:pStyle w:val="Tabletextheading"/>
              <w:rPr>
                <w:lang w:eastAsia="en-AU"/>
              </w:rPr>
            </w:pPr>
            <w:r w:rsidRPr="005E5EE8">
              <w:rPr>
                <w:lang w:eastAsia="en-AU"/>
              </w:rPr>
              <w:t>2012</w:t>
            </w:r>
            <w:r w:rsidR="009F0F49">
              <w:rPr>
                <w:lang w:eastAsia="en-AU"/>
              </w:rPr>
              <w:noBreakHyphen/>
            </w:r>
            <w:r w:rsidRPr="005E5EE8">
              <w:rPr>
                <w:lang w:eastAsia="en-AU"/>
              </w:rPr>
              <w:t>13</w:t>
            </w:r>
          </w:p>
        </w:tc>
        <w:tc>
          <w:tcPr>
            <w:tcW w:w="860" w:type="dxa"/>
            <w:tcBorders>
              <w:top w:val="single" w:sz="6" w:space="0" w:color="auto"/>
              <w:left w:val="nil"/>
              <w:bottom w:val="nil"/>
              <w:right w:val="nil"/>
            </w:tcBorders>
            <w:shd w:val="clear" w:color="auto" w:fill="000000"/>
          </w:tcPr>
          <w:p w:rsidR="00B958B1" w:rsidRPr="005E5EE8" w:rsidRDefault="00B958B1" w:rsidP="009F3B54">
            <w:pPr>
              <w:pStyle w:val="Tabletextheading"/>
              <w:rPr>
                <w:lang w:eastAsia="en-AU"/>
              </w:rPr>
            </w:pPr>
            <w:r w:rsidRPr="005E5EE8">
              <w:rPr>
                <w:lang w:eastAsia="en-AU"/>
              </w:rPr>
              <w:t>2012</w:t>
            </w:r>
            <w:r w:rsidR="009F0F49">
              <w:rPr>
                <w:lang w:eastAsia="en-AU"/>
              </w:rPr>
              <w:noBreakHyphen/>
            </w:r>
            <w:r w:rsidRPr="005E5EE8">
              <w:rPr>
                <w:lang w:eastAsia="en-AU"/>
              </w:rPr>
              <w:t>13</w:t>
            </w:r>
          </w:p>
        </w:tc>
        <w:tc>
          <w:tcPr>
            <w:tcW w:w="861" w:type="dxa"/>
            <w:tcBorders>
              <w:top w:val="single" w:sz="6" w:space="0" w:color="auto"/>
              <w:left w:val="nil"/>
              <w:bottom w:val="nil"/>
              <w:right w:val="single" w:sz="6" w:space="0" w:color="auto"/>
            </w:tcBorders>
            <w:shd w:val="clear" w:color="auto" w:fill="000000"/>
          </w:tcPr>
          <w:p w:rsidR="00B958B1" w:rsidRPr="005E5EE8" w:rsidRDefault="00B958B1" w:rsidP="009F3B54">
            <w:pPr>
              <w:pStyle w:val="Tabletextheading"/>
              <w:rPr>
                <w:lang w:eastAsia="en-AU"/>
              </w:rPr>
            </w:pPr>
            <w:r w:rsidRPr="005E5EE8">
              <w:rPr>
                <w:lang w:eastAsia="en-AU"/>
              </w:rPr>
              <w:t>2013</w:t>
            </w:r>
            <w:r w:rsidR="009F0F49">
              <w:rPr>
                <w:lang w:eastAsia="en-AU"/>
              </w:rPr>
              <w:noBreakHyphen/>
            </w:r>
            <w:r w:rsidRPr="005E5EE8">
              <w:rPr>
                <w:lang w:eastAsia="en-AU"/>
              </w:rPr>
              <w:t>14</w:t>
            </w:r>
          </w:p>
        </w:tc>
      </w:tr>
      <w:tr w:rsidR="00B958B1" w:rsidRPr="005E5EE8" w:rsidTr="009F3B54">
        <w:tc>
          <w:tcPr>
            <w:tcW w:w="4334" w:type="dxa"/>
            <w:tcBorders>
              <w:top w:val="nil"/>
              <w:left w:val="single" w:sz="6" w:space="0" w:color="auto"/>
              <w:bottom w:val="single" w:sz="6" w:space="0" w:color="auto"/>
              <w:right w:val="nil"/>
            </w:tcBorders>
            <w:shd w:val="clear" w:color="auto" w:fill="000000"/>
          </w:tcPr>
          <w:p w:rsidR="00B958B1" w:rsidRPr="005E5EE8" w:rsidRDefault="00B958B1" w:rsidP="009F3B54">
            <w:pPr>
              <w:pStyle w:val="Tabletext"/>
              <w:rPr>
                <w:lang w:eastAsia="en-AU"/>
              </w:rPr>
            </w:pPr>
            <w:r w:rsidRPr="005E5EE8">
              <w:rPr>
                <w:lang w:eastAsia="en-AU"/>
              </w:rPr>
              <w:t xml:space="preserve"> </w:t>
            </w:r>
          </w:p>
        </w:tc>
        <w:tc>
          <w:tcPr>
            <w:tcW w:w="860" w:type="dxa"/>
            <w:tcBorders>
              <w:top w:val="nil"/>
              <w:left w:val="nil"/>
              <w:bottom w:val="single" w:sz="6" w:space="0" w:color="auto"/>
              <w:right w:val="nil"/>
            </w:tcBorders>
            <w:shd w:val="clear" w:color="auto" w:fill="000000"/>
          </w:tcPr>
          <w:p w:rsidR="00B958B1" w:rsidRPr="005E5EE8" w:rsidRDefault="00B958B1" w:rsidP="009F3B54">
            <w:pPr>
              <w:pStyle w:val="Tabletextheading"/>
              <w:rPr>
                <w:lang w:eastAsia="en-AU"/>
              </w:rPr>
            </w:pPr>
            <w:r w:rsidRPr="005E5EE8">
              <w:rPr>
                <w:lang w:eastAsia="en-AU"/>
              </w:rPr>
              <w:t>Actual</w:t>
            </w:r>
          </w:p>
        </w:tc>
        <w:tc>
          <w:tcPr>
            <w:tcW w:w="861" w:type="dxa"/>
            <w:tcBorders>
              <w:top w:val="nil"/>
              <w:left w:val="nil"/>
              <w:bottom w:val="single" w:sz="6" w:space="0" w:color="auto"/>
              <w:right w:val="nil"/>
            </w:tcBorders>
            <w:shd w:val="clear" w:color="auto" w:fill="000000"/>
          </w:tcPr>
          <w:p w:rsidR="00B958B1" w:rsidRPr="005E5EE8" w:rsidRDefault="00B958B1" w:rsidP="009F3B54">
            <w:pPr>
              <w:pStyle w:val="Tabletextheading"/>
              <w:rPr>
                <w:lang w:eastAsia="en-AU"/>
              </w:rPr>
            </w:pPr>
            <w:r w:rsidRPr="005E5EE8">
              <w:rPr>
                <w:lang w:eastAsia="en-AU"/>
              </w:rPr>
              <w:t>Budget</w:t>
            </w:r>
          </w:p>
        </w:tc>
        <w:tc>
          <w:tcPr>
            <w:tcW w:w="860" w:type="dxa"/>
            <w:tcBorders>
              <w:top w:val="nil"/>
              <w:left w:val="nil"/>
              <w:bottom w:val="single" w:sz="6" w:space="0" w:color="auto"/>
              <w:right w:val="nil"/>
            </w:tcBorders>
            <w:shd w:val="clear" w:color="auto" w:fill="000000"/>
          </w:tcPr>
          <w:p w:rsidR="00B958B1" w:rsidRPr="005E5EE8" w:rsidRDefault="00B958B1" w:rsidP="009F3B54">
            <w:pPr>
              <w:pStyle w:val="Tabletextheading"/>
              <w:rPr>
                <w:lang w:eastAsia="en-AU"/>
              </w:rPr>
            </w:pPr>
            <w:r w:rsidRPr="005E5EE8">
              <w:rPr>
                <w:lang w:eastAsia="en-AU"/>
              </w:rPr>
              <w:t>Revised</w:t>
            </w:r>
          </w:p>
        </w:tc>
        <w:tc>
          <w:tcPr>
            <w:tcW w:w="861" w:type="dxa"/>
            <w:tcBorders>
              <w:top w:val="nil"/>
              <w:left w:val="nil"/>
              <w:bottom w:val="single" w:sz="6" w:space="0" w:color="auto"/>
              <w:right w:val="single" w:sz="6" w:space="0" w:color="auto"/>
            </w:tcBorders>
            <w:shd w:val="clear" w:color="auto" w:fill="000000"/>
          </w:tcPr>
          <w:p w:rsidR="00B958B1" w:rsidRPr="005E5EE8" w:rsidRDefault="00B958B1" w:rsidP="009F3B54">
            <w:pPr>
              <w:pStyle w:val="Tabletextheading"/>
              <w:rPr>
                <w:lang w:eastAsia="en-AU"/>
              </w:rPr>
            </w:pPr>
            <w:r w:rsidRPr="005E5EE8">
              <w:rPr>
                <w:lang w:eastAsia="en-AU"/>
              </w:rPr>
              <w:t>Budget</w:t>
            </w:r>
          </w:p>
        </w:tc>
      </w:tr>
      <w:tr w:rsidR="00B958B1" w:rsidRPr="005E5EE8" w:rsidTr="009F3B54">
        <w:tc>
          <w:tcPr>
            <w:tcW w:w="4334" w:type="dxa"/>
            <w:tcBorders>
              <w:top w:val="single" w:sz="6" w:space="0" w:color="auto"/>
              <w:left w:val="nil"/>
              <w:bottom w:val="nil"/>
              <w:right w:val="nil"/>
            </w:tcBorders>
          </w:tcPr>
          <w:p w:rsidR="00B958B1" w:rsidRPr="005E5EE8" w:rsidRDefault="00B958B1" w:rsidP="009F3B54">
            <w:pPr>
              <w:pStyle w:val="Tabletext"/>
              <w:rPr>
                <w:rFonts w:cs="Calibri"/>
                <w:vertAlign w:val="superscript"/>
                <w:lang w:eastAsia="en-AU"/>
              </w:rPr>
            </w:pPr>
            <w:r w:rsidRPr="005E5EE8">
              <w:rPr>
                <w:lang w:eastAsia="en-AU"/>
              </w:rPr>
              <w:t xml:space="preserve">Output appropriations </w:t>
            </w:r>
            <w:r w:rsidRPr="005E5EE8">
              <w:rPr>
                <w:rFonts w:cs="Calibri"/>
                <w:vertAlign w:val="superscript"/>
                <w:lang w:eastAsia="en-AU"/>
              </w:rPr>
              <w:t>(a)</w:t>
            </w:r>
          </w:p>
        </w:tc>
        <w:tc>
          <w:tcPr>
            <w:tcW w:w="860" w:type="dxa"/>
            <w:tcBorders>
              <w:top w:val="single" w:sz="6" w:space="0" w:color="auto"/>
              <w:left w:val="nil"/>
              <w:bottom w:val="nil"/>
              <w:right w:val="nil"/>
            </w:tcBorders>
          </w:tcPr>
          <w:p w:rsidR="00B958B1" w:rsidRPr="005E5EE8" w:rsidRDefault="00B958B1" w:rsidP="009F3B54">
            <w:pPr>
              <w:pStyle w:val="TableofFigures"/>
              <w:rPr>
                <w:rFonts w:cs="Calibri"/>
                <w:lang w:eastAsia="en-AU"/>
              </w:rPr>
            </w:pPr>
            <w:r w:rsidRPr="005E5EE8">
              <w:rPr>
                <w:lang w:eastAsia="en-AU"/>
              </w:rPr>
              <w:t xml:space="preserve">10 </w:t>
            </w:r>
            <w:r w:rsidRPr="005E5EE8">
              <w:rPr>
                <w:rFonts w:cs="Calibri"/>
                <w:lang w:eastAsia="en-AU"/>
              </w:rPr>
              <w:t>510.0</w:t>
            </w:r>
          </w:p>
        </w:tc>
        <w:tc>
          <w:tcPr>
            <w:tcW w:w="861" w:type="dxa"/>
            <w:tcBorders>
              <w:top w:val="single" w:sz="6" w:space="0" w:color="auto"/>
              <w:left w:val="nil"/>
              <w:bottom w:val="nil"/>
              <w:right w:val="nil"/>
            </w:tcBorders>
          </w:tcPr>
          <w:p w:rsidR="00B958B1" w:rsidRPr="005E5EE8" w:rsidRDefault="00B958B1" w:rsidP="009F3B54">
            <w:pPr>
              <w:pStyle w:val="TableofFigures"/>
              <w:rPr>
                <w:rFonts w:cs="Calibri"/>
                <w:lang w:eastAsia="en-AU"/>
              </w:rPr>
            </w:pPr>
            <w:r w:rsidRPr="005E5EE8">
              <w:rPr>
                <w:lang w:eastAsia="en-AU"/>
              </w:rPr>
              <w:t xml:space="preserve">7 </w:t>
            </w:r>
            <w:r w:rsidRPr="005E5EE8">
              <w:rPr>
                <w:rFonts w:cs="Calibri"/>
                <w:lang w:eastAsia="en-AU"/>
              </w:rPr>
              <w:t>736.6</w:t>
            </w:r>
          </w:p>
        </w:tc>
        <w:tc>
          <w:tcPr>
            <w:tcW w:w="860" w:type="dxa"/>
            <w:tcBorders>
              <w:top w:val="single" w:sz="6" w:space="0" w:color="auto"/>
              <w:left w:val="nil"/>
              <w:bottom w:val="nil"/>
              <w:right w:val="nil"/>
            </w:tcBorders>
          </w:tcPr>
          <w:p w:rsidR="00B958B1" w:rsidRPr="005E5EE8" w:rsidRDefault="00B958B1" w:rsidP="009F3B54">
            <w:pPr>
              <w:pStyle w:val="TableofFigures"/>
              <w:rPr>
                <w:rFonts w:cs="Calibri"/>
                <w:lang w:eastAsia="en-AU"/>
              </w:rPr>
            </w:pPr>
            <w:r w:rsidRPr="005E5EE8">
              <w:rPr>
                <w:lang w:eastAsia="en-AU"/>
              </w:rPr>
              <w:t xml:space="preserve">8 </w:t>
            </w:r>
            <w:r w:rsidRPr="005E5EE8">
              <w:rPr>
                <w:rFonts w:cs="Calibri"/>
                <w:lang w:eastAsia="en-AU"/>
              </w:rPr>
              <w:t>487.0</w:t>
            </w:r>
          </w:p>
        </w:tc>
        <w:tc>
          <w:tcPr>
            <w:tcW w:w="861" w:type="dxa"/>
            <w:tcBorders>
              <w:top w:val="single" w:sz="6" w:space="0" w:color="auto"/>
              <w:left w:val="nil"/>
              <w:bottom w:val="nil"/>
              <w:right w:val="nil"/>
            </w:tcBorders>
          </w:tcPr>
          <w:p w:rsidR="00B958B1" w:rsidRPr="005E5EE8" w:rsidRDefault="00B958B1" w:rsidP="009F3B54">
            <w:pPr>
              <w:pStyle w:val="TableofFigures"/>
              <w:rPr>
                <w:rFonts w:cs="Calibri"/>
                <w:lang w:eastAsia="en-AU"/>
              </w:rPr>
            </w:pPr>
            <w:r w:rsidRPr="005E5EE8">
              <w:rPr>
                <w:lang w:eastAsia="en-AU"/>
              </w:rPr>
              <w:t xml:space="preserve">7 </w:t>
            </w:r>
            <w:r w:rsidRPr="005E5EE8">
              <w:rPr>
                <w:rFonts w:cs="Calibri"/>
                <w:lang w:eastAsia="en-AU"/>
              </w:rPr>
              <w:t>967.1</w:t>
            </w:r>
          </w:p>
        </w:tc>
      </w:tr>
      <w:tr w:rsidR="00B958B1" w:rsidRPr="005E5EE8" w:rsidTr="009F3B54">
        <w:tc>
          <w:tcPr>
            <w:tcW w:w="4334" w:type="dxa"/>
            <w:tcBorders>
              <w:top w:val="nil"/>
              <w:left w:val="nil"/>
              <w:bottom w:val="nil"/>
              <w:right w:val="nil"/>
            </w:tcBorders>
          </w:tcPr>
          <w:p w:rsidR="00B958B1" w:rsidRPr="005E5EE8" w:rsidRDefault="00B958B1" w:rsidP="009F3B54">
            <w:pPr>
              <w:pStyle w:val="Tabletext"/>
              <w:rPr>
                <w:lang w:eastAsia="en-AU"/>
              </w:rPr>
            </w:pPr>
            <w:r w:rsidRPr="005E5EE8">
              <w:rPr>
                <w:lang w:eastAsia="en-AU"/>
              </w:rPr>
              <w:t>Special appropriations</w:t>
            </w:r>
          </w:p>
        </w:tc>
        <w:tc>
          <w:tcPr>
            <w:tcW w:w="860" w:type="dxa"/>
            <w:tcBorders>
              <w:top w:val="nil"/>
              <w:left w:val="nil"/>
              <w:bottom w:val="nil"/>
              <w:right w:val="nil"/>
            </w:tcBorders>
          </w:tcPr>
          <w:p w:rsidR="00B958B1" w:rsidRPr="005E5EE8" w:rsidRDefault="00B958B1" w:rsidP="009F3B54">
            <w:pPr>
              <w:pStyle w:val="TableofFigures"/>
              <w:rPr>
                <w:rFonts w:cs="Calibri"/>
                <w:lang w:eastAsia="en-AU"/>
              </w:rPr>
            </w:pPr>
            <w:r w:rsidRPr="005E5EE8">
              <w:rPr>
                <w:lang w:eastAsia="en-AU"/>
              </w:rPr>
              <w:t xml:space="preserve">1 </w:t>
            </w:r>
            <w:r w:rsidRPr="005E5EE8">
              <w:rPr>
                <w:rFonts w:cs="Calibri"/>
                <w:lang w:eastAsia="en-AU"/>
              </w:rPr>
              <w:t>248.7</w:t>
            </w:r>
          </w:p>
        </w:tc>
        <w:tc>
          <w:tcPr>
            <w:tcW w:w="861" w:type="dxa"/>
            <w:tcBorders>
              <w:top w:val="nil"/>
              <w:left w:val="nil"/>
              <w:bottom w:val="nil"/>
              <w:right w:val="nil"/>
            </w:tcBorders>
          </w:tcPr>
          <w:p w:rsidR="00B958B1" w:rsidRPr="005E5EE8" w:rsidRDefault="00B958B1" w:rsidP="009F3B54">
            <w:pPr>
              <w:pStyle w:val="TableofFigures"/>
              <w:rPr>
                <w:rFonts w:cs="Calibri"/>
                <w:lang w:eastAsia="en-AU"/>
              </w:rPr>
            </w:pPr>
            <w:r w:rsidRPr="005E5EE8">
              <w:rPr>
                <w:lang w:eastAsia="en-AU"/>
              </w:rPr>
              <w:t xml:space="preserve">1 </w:t>
            </w:r>
            <w:r w:rsidRPr="005E5EE8">
              <w:rPr>
                <w:rFonts w:cs="Calibri"/>
                <w:lang w:eastAsia="en-AU"/>
              </w:rPr>
              <w:t>249.0</w:t>
            </w:r>
          </w:p>
        </w:tc>
        <w:tc>
          <w:tcPr>
            <w:tcW w:w="860" w:type="dxa"/>
            <w:tcBorders>
              <w:top w:val="nil"/>
              <w:left w:val="nil"/>
              <w:bottom w:val="nil"/>
              <w:right w:val="nil"/>
            </w:tcBorders>
          </w:tcPr>
          <w:p w:rsidR="00B958B1" w:rsidRPr="005E5EE8" w:rsidRDefault="00B958B1" w:rsidP="009F3B54">
            <w:pPr>
              <w:pStyle w:val="TableofFigures"/>
              <w:rPr>
                <w:rFonts w:cs="Calibri"/>
                <w:lang w:eastAsia="en-AU"/>
              </w:rPr>
            </w:pPr>
            <w:r w:rsidRPr="005E5EE8">
              <w:rPr>
                <w:lang w:eastAsia="en-AU"/>
              </w:rPr>
              <w:t xml:space="preserve">1 </w:t>
            </w:r>
            <w:r w:rsidRPr="005E5EE8">
              <w:rPr>
                <w:rFonts w:cs="Calibri"/>
                <w:lang w:eastAsia="en-AU"/>
              </w:rPr>
              <w:t>332.1</w:t>
            </w:r>
          </w:p>
        </w:tc>
        <w:tc>
          <w:tcPr>
            <w:tcW w:w="861" w:type="dxa"/>
            <w:tcBorders>
              <w:top w:val="nil"/>
              <w:left w:val="nil"/>
              <w:bottom w:val="nil"/>
              <w:right w:val="nil"/>
            </w:tcBorders>
          </w:tcPr>
          <w:p w:rsidR="00B958B1" w:rsidRPr="005E5EE8" w:rsidRDefault="00B958B1" w:rsidP="009F3B54">
            <w:pPr>
              <w:pStyle w:val="TableofFigures"/>
              <w:rPr>
                <w:rFonts w:cs="Calibri"/>
                <w:lang w:eastAsia="en-AU"/>
              </w:rPr>
            </w:pPr>
            <w:r w:rsidRPr="005E5EE8">
              <w:rPr>
                <w:lang w:eastAsia="en-AU"/>
              </w:rPr>
              <w:t xml:space="preserve">1 </w:t>
            </w:r>
            <w:r w:rsidRPr="005E5EE8">
              <w:rPr>
                <w:rFonts w:cs="Calibri"/>
                <w:lang w:eastAsia="en-AU"/>
              </w:rPr>
              <w:t>356.1</w:t>
            </w:r>
          </w:p>
        </w:tc>
      </w:tr>
      <w:tr w:rsidR="00B958B1" w:rsidRPr="005E5EE8" w:rsidTr="009F3B54">
        <w:tc>
          <w:tcPr>
            <w:tcW w:w="4334" w:type="dxa"/>
            <w:tcBorders>
              <w:top w:val="nil"/>
              <w:left w:val="nil"/>
              <w:bottom w:val="nil"/>
              <w:right w:val="nil"/>
            </w:tcBorders>
          </w:tcPr>
          <w:p w:rsidR="00B958B1" w:rsidRPr="005E5EE8" w:rsidRDefault="00B958B1" w:rsidP="009F3B54">
            <w:pPr>
              <w:pStyle w:val="Tabletext"/>
              <w:rPr>
                <w:lang w:eastAsia="en-AU"/>
              </w:rPr>
            </w:pPr>
            <w:r w:rsidRPr="005E5EE8">
              <w:rPr>
                <w:lang w:eastAsia="en-AU"/>
              </w:rPr>
              <w:t>Interest</w:t>
            </w:r>
          </w:p>
        </w:tc>
        <w:tc>
          <w:tcPr>
            <w:tcW w:w="860" w:type="dxa"/>
            <w:tcBorders>
              <w:top w:val="nil"/>
              <w:left w:val="nil"/>
              <w:bottom w:val="nil"/>
              <w:right w:val="nil"/>
            </w:tcBorders>
          </w:tcPr>
          <w:p w:rsidR="00B958B1" w:rsidRPr="005E5EE8" w:rsidRDefault="00B958B1" w:rsidP="009F3B54">
            <w:pPr>
              <w:pStyle w:val="TableofFigures"/>
              <w:rPr>
                <w:lang w:eastAsia="en-AU"/>
              </w:rPr>
            </w:pPr>
            <w:r w:rsidRPr="005E5EE8">
              <w:rPr>
                <w:lang w:eastAsia="en-AU"/>
              </w:rPr>
              <w:t xml:space="preserve"> 76.9</w:t>
            </w:r>
          </w:p>
        </w:tc>
        <w:tc>
          <w:tcPr>
            <w:tcW w:w="861" w:type="dxa"/>
            <w:tcBorders>
              <w:top w:val="nil"/>
              <w:left w:val="nil"/>
              <w:bottom w:val="nil"/>
              <w:right w:val="nil"/>
            </w:tcBorders>
          </w:tcPr>
          <w:p w:rsidR="00B958B1" w:rsidRPr="005E5EE8" w:rsidRDefault="00B958B1" w:rsidP="009F3B54">
            <w:pPr>
              <w:pStyle w:val="TableofFigures"/>
              <w:rPr>
                <w:lang w:eastAsia="en-AU"/>
              </w:rPr>
            </w:pPr>
            <w:r w:rsidRPr="005E5EE8">
              <w:rPr>
                <w:lang w:eastAsia="en-AU"/>
              </w:rPr>
              <w:t xml:space="preserve"> 67.8</w:t>
            </w:r>
          </w:p>
        </w:tc>
        <w:tc>
          <w:tcPr>
            <w:tcW w:w="860" w:type="dxa"/>
            <w:tcBorders>
              <w:top w:val="nil"/>
              <w:left w:val="nil"/>
              <w:bottom w:val="nil"/>
              <w:right w:val="nil"/>
            </w:tcBorders>
          </w:tcPr>
          <w:p w:rsidR="00B958B1" w:rsidRPr="005E5EE8" w:rsidRDefault="00B958B1" w:rsidP="009F3B54">
            <w:pPr>
              <w:pStyle w:val="TableofFigures"/>
              <w:rPr>
                <w:lang w:eastAsia="en-AU"/>
              </w:rPr>
            </w:pPr>
            <w:r w:rsidRPr="005E5EE8">
              <w:rPr>
                <w:lang w:eastAsia="en-AU"/>
              </w:rPr>
              <w:t xml:space="preserve"> 67.8</w:t>
            </w:r>
          </w:p>
        </w:tc>
        <w:tc>
          <w:tcPr>
            <w:tcW w:w="861" w:type="dxa"/>
            <w:tcBorders>
              <w:top w:val="nil"/>
              <w:left w:val="nil"/>
              <w:bottom w:val="nil"/>
              <w:right w:val="nil"/>
            </w:tcBorders>
          </w:tcPr>
          <w:p w:rsidR="00B958B1" w:rsidRPr="005E5EE8" w:rsidRDefault="00B958B1" w:rsidP="009F3B54">
            <w:pPr>
              <w:pStyle w:val="TableofFigures"/>
              <w:rPr>
                <w:lang w:eastAsia="en-AU"/>
              </w:rPr>
            </w:pPr>
            <w:r w:rsidRPr="005E5EE8">
              <w:rPr>
                <w:lang w:eastAsia="en-AU"/>
              </w:rPr>
              <w:t xml:space="preserve"> 67.8</w:t>
            </w:r>
          </w:p>
        </w:tc>
      </w:tr>
      <w:tr w:rsidR="00B958B1" w:rsidRPr="005E5EE8" w:rsidTr="009F3B54">
        <w:tc>
          <w:tcPr>
            <w:tcW w:w="4334" w:type="dxa"/>
            <w:tcBorders>
              <w:top w:val="nil"/>
              <w:left w:val="nil"/>
              <w:bottom w:val="nil"/>
              <w:right w:val="nil"/>
            </w:tcBorders>
          </w:tcPr>
          <w:p w:rsidR="00B958B1" w:rsidRPr="005E5EE8" w:rsidRDefault="00B958B1" w:rsidP="009F3B54">
            <w:pPr>
              <w:pStyle w:val="Tabletext"/>
              <w:rPr>
                <w:lang w:eastAsia="en-AU"/>
              </w:rPr>
            </w:pPr>
            <w:r w:rsidRPr="005E5EE8">
              <w:rPr>
                <w:lang w:eastAsia="en-AU"/>
              </w:rPr>
              <w:t>Sale of goods and services</w:t>
            </w:r>
          </w:p>
        </w:tc>
        <w:tc>
          <w:tcPr>
            <w:tcW w:w="860" w:type="dxa"/>
            <w:tcBorders>
              <w:top w:val="nil"/>
              <w:left w:val="nil"/>
              <w:bottom w:val="nil"/>
              <w:right w:val="nil"/>
            </w:tcBorders>
          </w:tcPr>
          <w:p w:rsidR="00B958B1" w:rsidRPr="005E5EE8" w:rsidRDefault="00B958B1" w:rsidP="009F3B54">
            <w:pPr>
              <w:pStyle w:val="TableofFigures"/>
              <w:rPr>
                <w:rFonts w:cs="Calibri"/>
                <w:lang w:eastAsia="en-AU"/>
              </w:rPr>
            </w:pPr>
            <w:r w:rsidRPr="005E5EE8">
              <w:rPr>
                <w:lang w:eastAsia="en-AU"/>
              </w:rPr>
              <w:t xml:space="preserve">1 </w:t>
            </w:r>
            <w:r w:rsidRPr="005E5EE8">
              <w:rPr>
                <w:rFonts w:cs="Calibri"/>
                <w:lang w:eastAsia="en-AU"/>
              </w:rPr>
              <w:t>627.9</w:t>
            </w:r>
          </w:p>
        </w:tc>
        <w:tc>
          <w:tcPr>
            <w:tcW w:w="861" w:type="dxa"/>
            <w:tcBorders>
              <w:top w:val="nil"/>
              <w:left w:val="nil"/>
              <w:bottom w:val="nil"/>
              <w:right w:val="nil"/>
            </w:tcBorders>
          </w:tcPr>
          <w:p w:rsidR="00B958B1" w:rsidRPr="005E5EE8" w:rsidRDefault="00B958B1" w:rsidP="009F3B54">
            <w:pPr>
              <w:pStyle w:val="TableofFigures"/>
              <w:rPr>
                <w:rFonts w:cs="Calibri"/>
                <w:lang w:eastAsia="en-AU"/>
              </w:rPr>
            </w:pPr>
            <w:r w:rsidRPr="005E5EE8">
              <w:rPr>
                <w:lang w:eastAsia="en-AU"/>
              </w:rPr>
              <w:t xml:space="preserve">1 </w:t>
            </w:r>
            <w:r w:rsidRPr="005E5EE8">
              <w:rPr>
                <w:rFonts w:cs="Calibri"/>
                <w:lang w:eastAsia="en-AU"/>
              </w:rPr>
              <w:t>490.7</w:t>
            </w:r>
          </w:p>
        </w:tc>
        <w:tc>
          <w:tcPr>
            <w:tcW w:w="860" w:type="dxa"/>
            <w:tcBorders>
              <w:top w:val="nil"/>
              <w:left w:val="nil"/>
              <w:bottom w:val="nil"/>
              <w:right w:val="nil"/>
            </w:tcBorders>
          </w:tcPr>
          <w:p w:rsidR="00B958B1" w:rsidRPr="005E5EE8" w:rsidRDefault="00B958B1" w:rsidP="009F3B54">
            <w:pPr>
              <w:pStyle w:val="TableofFigures"/>
              <w:rPr>
                <w:rFonts w:cs="Calibri"/>
                <w:lang w:eastAsia="en-AU"/>
              </w:rPr>
            </w:pPr>
            <w:r w:rsidRPr="005E5EE8">
              <w:rPr>
                <w:lang w:eastAsia="en-AU"/>
              </w:rPr>
              <w:t xml:space="preserve">1 </w:t>
            </w:r>
            <w:r w:rsidRPr="005E5EE8">
              <w:rPr>
                <w:rFonts w:cs="Calibri"/>
                <w:lang w:eastAsia="en-AU"/>
              </w:rPr>
              <w:t>575.7</w:t>
            </w:r>
          </w:p>
        </w:tc>
        <w:tc>
          <w:tcPr>
            <w:tcW w:w="861" w:type="dxa"/>
            <w:tcBorders>
              <w:top w:val="nil"/>
              <w:left w:val="nil"/>
              <w:bottom w:val="nil"/>
              <w:right w:val="nil"/>
            </w:tcBorders>
          </w:tcPr>
          <w:p w:rsidR="00B958B1" w:rsidRPr="005E5EE8" w:rsidRDefault="00B958B1" w:rsidP="009F3B54">
            <w:pPr>
              <w:pStyle w:val="TableofFigures"/>
              <w:rPr>
                <w:rFonts w:cs="Calibri"/>
                <w:lang w:eastAsia="en-AU"/>
              </w:rPr>
            </w:pPr>
            <w:r w:rsidRPr="005E5EE8">
              <w:rPr>
                <w:lang w:eastAsia="en-AU"/>
              </w:rPr>
              <w:t xml:space="preserve">1 </w:t>
            </w:r>
            <w:r w:rsidRPr="005E5EE8">
              <w:rPr>
                <w:rFonts w:cs="Calibri"/>
                <w:lang w:eastAsia="en-AU"/>
              </w:rPr>
              <w:t>638.8</w:t>
            </w:r>
          </w:p>
        </w:tc>
      </w:tr>
      <w:tr w:rsidR="00B958B1" w:rsidRPr="005E5EE8" w:rsidTr="009F3B54">
        <w:tc>
          <w:tcPr>
            <w:tcW w:w="4334" w:type="dxa"/>
            <w:tcBorders>
              <w:top w:val="nil"/>
              <w:left w:val="nil"/>
              <w:bottom w:val="nil"/>
              <w:right w:val="nil"/>
            </w:tcBorders>
          </w:tcPr>
          <w:p w:rsidR="00B958B1" w:rsidRPr="005E5EE8" w:rsidRDefault="00B958B1" w:rsidP="009F3B54">
            <w:pPr>
              <w:pStyle w:val="Tabletext"/>
              <w:rPr>
                <w:rFonts w:cs="Calibri"/>
                <w:vertAlign w:val="superscript"/>
                <w:lang w:eastAsia="en-AU"/>
              </w:rPr>
            </w:pPr>
            <w:r w:rsidRPr="005E5EE8">
              <w:rPr>
                <w:lang w:eastAsia="en-AU"/>
              </w:rPr>
              <w:t xml:space="preserve">Grants </w:t>
            </w:r>
            <w:r w:rsidRPr="005E5EE8">
              <w:rPr>
                <w:rFonts w:cs="Calibri"/>
                <w:vertAlign w:val="superscript"/>
                <w:lang w:eastAsia="en-AU"/>
              </w:rPr>
              <w:t>(a)</w:t>
            </w:r>
          </w:p>
        </w:tc>
        <w:tc>
          <w:tcPr>
            <w:tcW w:w="860" w:type="dxa"/>
            <w:tcBorders>
              <w:top w:val="nil"/>
              <w:left w:val="nil"/>
              <w:bottom w:val="nil"/>
              <w:right w:val="nil"/>
            </w:tcBorders>
          </w:tcPr>
          <w:p w:rsidR="00B958B1" w:rsidRPr="005E5EE8" w:rsidRDefault="00B958B1" w:rsidP="009F3B54">
            <w:pPr>
              <w:pStyle w:val="TableofFigures"/>
              <w:rPr>
                <w:lang w:eastAsia="en-AU"/>
              </w:rPr>
            </w:pPr>
            <w:r w:rsidRPr="005E5EE8">
              <w:rPr>
                <w:lang w:eastAsia="en-AU"/>
              </w:rPr>
              <w:t xml:space="preserve"> 539.3</w:t>
            </w:r>
          </w:p>
        </w:tc>
        <w:tc>
          <w:tcPr>
            <w:tcW w:w="861" w:type="dxa"/>
            <w:tcBorders>
              <w:top w:val="nil"/>
              <w:left w:val="nil"/>
              <w:bottom w:val="nil"/>
              <w:right w:val="nil"/>
            </w:tcBorders>
          </w:tcPr>
          <w:p w:rsidR="00B958B1" w:rsidRPr="005E5EE8" w:rsidRDefault="00B958B1" w:rsidP="009F3B54">
            <w:pPr>
              <w:pStyle w:val="TableofFigures"/>
              <w:rPr>
                <w:rFonts w:cs="Calibri"/>
                <w:lang w:eastAsia="en-AU"/>
              </w:rPr>
            </w:pPr>
            <w:r w:rsidRPr="005E5EE8">
              <w:rPr>
                <w:lang w:eastAsia="en-AU"/>
              </w:rPr>
              <w:t xml:space="preserve">3 </w:t>
            </w:r>
            <w:r w:rsidRPr="005E5EE8">
              <w:rPr>
                <w:rFonts w:cs="Calibri"/>
                <w:lang w:eastAsia="en-AU"/>
              </w:rPr>
              <w:t>952.3</w:t>
            </w:r>
          </w:p>
        </w:tc>
        <w:tc>
          <w:tcPr>
            <w:tcW w:w="860" w:type="dxa"/>
            <w:tcBorders>
              <w:top w:val="nil"/>
              <w:left w:val="nil"/>
              <w:bottom w:val="nil"/>
              <w:right w:val="nil"/>
            </w:tcBorders>
          </w:tcPr>
          <w:p w:rsidR="00B958B1" w:rsidRPr="005E5EE8" w:rsidRDefault="00B958B1" w:rsidP="009F3B54">
            <w:pPr>
              <w:pStyle w:val="TableofFigures"/>
              <w:rPr>
                <w:rFonts w:cs="Calibri"/>
                <w:lang w:eastAsia="en-AU"/>
              </w:rPr>
            </w:pPr>
            <w:r w:rsidRPr="005E5EE8">
              <w:rPr>
                <w:lang w:eastAsia="en-AU"/>
              </w:rPr>
              <w:t xml:space="preserve">3 </w:t>
            </w:r>
            <w:r w:rsidRPr="005E5EE8">
              <w:rPr>
                <w:rFonts w:cs="Calibri"/>
                <w:lang w:eastAsia="en-AU"/>
              </w:rPr>
              <w:t>080.8</w:t>
            </w:r>
          </w:p>
        </w:tc>
        <w:tc>
          <w:tcPr>
            <w:tcW w:w="861" w:type="dxa"/>
            <w:tcBorders>
              <w:top w:val="nil"/>
              <w:left w:val="nil"/>
              <w:bottom w:val="nil"/>
              <w:right w:val="nil"/>
            </w:tcBorders>
          </w:tcPr>
          <w:p w:rsidR="00B958B1" w:rsidRPr="005E5EE8" w:rsidRDefault="00B958B1" w:rsidP="009F3B54">
            <w:pPr>
              <w:pStyle w:val="TableofFigures"/>
              <w:rPr>
                <w:rFonts w:cs="Calibri"/>
                <w:lang w:eastAsia="en-AU"/>
              </w:rPr>
            </w:pPr>
            <w:r w:rsidRPr="005E5EE8">
              <w:rPr>
                <w:lang w:eastAsia="en-AU"/>
              </w:rPr>
              <w:t xml:space="preserve">4 </w:t>
            </w:r>
            <w:r w:rsidRPr="005E5EE8">
              <w:rPr>
                <w:rFonts w:cs="Calibri"/>
                <w:lang w:eastAsia="en-AU"/>
              </w:rPr>
              <w:t>179.4</w:t>
            </w:r>
          </w:p>
        </w:tc>
      </w:tr>
      <w:tr w:rsidR="00B958B1" w:rsidRPr="005E5EE8" w:rsidTr="009F3B54">
        <w:tc>
          <w:tcPr>
            <w:tcW w:w="4334" w:type="dxa"/>
            <w:tcBorders>
              <w:top w:val="nil"/>
              <w:left w:val="nil"/>
              <w:bottom w:val="nil"/>
              <w:right w:val="nil"/>
            </w:tcBorders>
          </w:tcPr>
          <w:p w:rsidR="00B958B1" w:rsidRPr="005E5EE8" w:rsidRDefault="00B958B1" w:rsidP="009F3B54">
            <w:pPr>
              <w:pStyle w:val="Tabletext"/>
              <w:rPr>
                <w:lang w:eastAsia="en-AU"/>
              </w:rPr>
            </w:pPr>
            <w:r w:rsidRPr="005E5EE8">
              <w:rPr>
                <w:lang w:eastAsia="en-AU"/>
              </w:rPr>
              <w:t>Fair value of assets and services received free of charge or for nominal consideration</w:t>
            </w:r>
          </w:p>
        </w:tc>
        <w:tc>
          <w:tcPr>
            <w:tcW w:w="860" w:type="dxa"/>
            <w:tcBorders>
              <w:top w:val="nil"/>
              <w:left w:val="nil"/>
              <w:bottom w:val="nil"/>
              <w:right w:val="nil"/>
            </w:tcBorders>
          </w:tcPr>
          <w:p w:rsidR="00B958B1" w:rsidRPr="005E5EE8" w:rsidRDefault="00B958B1" w:rsidP="009F3B54">
            <w:pPr>
              <w:pStyle w:val="TableofFigures"/>
              <w:rPr>
                <w:lang w:eastAsia="en-AU"/>
              </w:rPr>
            </w:pPr>
            <w:r w:rsidRPr="005E5EE8">
              <w:rPr>
                <w:lang w:eastAsia="en-AU"/>
              </w:rPr>
              <w:t xml:space="preserve"> 159.2</w:t>
            </w:r>
          </w:p>
        </w:tc>
        <w:tc>
          <w:tcPr>
            <w:tcW w:w="861" w:type="dxa"/>
            <w:tcBorders>
              <w:top w:val="nil"/>
              <w:left w:val="nil"/>
              <w:bottom w:val="nil"/>
              <w:right w:val="nil"/>
            </w:tcBorders>
          </w:tcPr>
          <w:p w:rsidR="00B958B1" w:rsidRPr="005E5EE8" w:rsidRDefault="00B958B1" w:rsidP="009F3B54">
            <w:pPr>
              <w:pStyle w:val="TableofFigures"/>
              <w:rPr>
                <w:lang w:eastAsia="en-AU"/>
              </w:rPr>
            </w:pPr>
            <w:r w:rsidRPr="005E5EE8">
              <w:rPr>
                <w:lang w:eastAsia="en-AU"/>
              </w:rPr>
              <w:t>..</w:t>
            </w:r>
          </w:p>
        </w:tc>
        <w:tc>
          <w:tcPr>
            <w:tcW w:w="860" w:type="dxa"/>
            <w:tcBorders>
              <w:top w:val="nil"/>
              <w:left w:val="nil"/>
              <w:bottom w:val="nil"/>
              <w:right w:val="nil"/>
            </w:tcBorders>
          </w:tcPr>
          <w:p w:rsidR="00B958B1" w:rsidRPr="005E5EE8" w:rsidRDefault="00B958B1" w:rsidP="009F3B54">
            <w:pPr>
              <w:pStyle w:val="TableofFigures"/>
              <w:rPr>
                <w:lang w:eastAsia="en-AU"/>
              </w:rPr>
            </w:pPr>
            <w:r w:rsidRPr="005E5EE8">
              <w:rPr>
                <w:lang w:eastAsia="en-AU"/>
              </w:rPr>
              <w:t>..</w:t>
            </w:r>
          </w:p>
        </w:tc>
        <w:tc>
          <w:tcPr>
            <w:tcW w:w="861" w:type="dxa"/>
            <w:tcBorders>
              <w:top w:val="nil"/>
              <w:left w:val="nil"/>
              <w:bottom w:val="nil"/>
              <w:right w:val="nil"/>
            </w:tcBorders>
          </w:tcPr>
          <w:p w:rsidR="00B958B1" w:rsidRPr="005E5EE8" w:rsidRDefault="00B958B1" w:rsidP="009F3B54">
            <w:pPr>
              <w:pStyle w:val="TableofFigures"/>
              <w:rPr>
                <w:lang w:eastAsia="en-AU"/>
              </w:rPr>
            </w:pPr>
            <w:r w:rsidRPr="005E5EE8">
              <w:rPr>
                <w:lang w:eastAsia="en-AU"/>
              </w:rPr>
              <w:t>..</w:t>
            </w:r>
          </w:p>
        </w:tc>
      </w:tr>
      <w:tr w:rsidR="00B958B1" w:rsidRPr="005E5EE8" w:rsidTr="009F3B54">
        <w:tc>
          <w:tcPr>
            <w:tcW w:w="4334" w:type="dxa"/>
            <w:tcBorders>
              <w:top w:val="nil"/>
              <w:left w:val="nil"/>
              <w:bottom w:val="nil"/>
              <w:right w:val="nil"/>
            </w:tcBorders>
          </w:tcPr>
          <w:p w:rsidR="00B958B1" w:rsidRPr="005E5EE8" w:rsidRDefault="00B958B1" w:rsidP="009F3B54">
            <w:pPr>
              <w:pStyle w:val="Tabletext"/>
              <w:rPr>
                <w:lang w:eastAsia="en-AU"/>
              </w:rPr>
            </w:pPr>
            <w:r w:rsidRPr="005E5EE8">
              <w:rPr>
                <w:lang w:eastAsia="en-AU"/>
              </w:rPr>
              <w:t>Other income</w:t>
            </w:r>
          </w:p>
        </w:tc>
        <w:tc>
          <w:tcPr>
            <w:tcW w:w="860" w:type="dxa"/>
            <w:tcBorders>
              <w:top w:val="nil"/>
              <w:left w:val="nil"/>
              <w:bottom w:val="nil"/>
              <w:right w:val="nil"/>
            </w:tcBorders>
          </w:tcPr>
          <w:p w:rsidR="00B958B1" w:rsidRPr="005E5EE8" w:rsidRDefault="00B958B1" w:rsidP="009F3B54">
            <w:pPr>
              <w:pStyle w:val="TableofFigures"/>
              <w:rPr>
                <w:lang w:eastAsia="en-AU"/>
              </w:rPr>
            </w:pPr>
            <w:r w:rsidRPr="005E5EE8">
              <w:rPr>
                <w:lang w:eastAsia="en-AU"/>
              </w:rPr>
              <w:t xml:space="preserve"> 462.9</w:t>
            </w:r>
          </w:p>
        </w:tc>
        <w:tc>
          <w:tcPr>
            <w:tcW w:w="861" w:type="dxa"/>
            <w:tcBorders>
              <w:top w:val="nil"/>
              <w:left w:val="nil"/>
              <w:bottom w:val="nil"/>
              <w:right w:val="nil"/>
            </w:tcBorders>
          </w:tcPr>
          <w:p w:rsidR="00B958B1" w:rsidRPr="005E5EE8" w:rsidRDefault="00B958B1" w:rsidP="009F3B54">
            <w:pPr>
              <w:pStyle w:val="TableofFigures"/>
              <w:rPr>
                <w:lang w:eastAsia="en-AU"/>
              </w:rPr>
            </w:pPr>
            <w:r w:rsidRPr="005E5EE8">
              <w:rPr>
                <w:lang w:eastAsia="en-AU"/>
              </w:rPr>
              <w:t xml:space="preserve"> 372.8</w:t>
            </w:r>
          </w:p>
        </w:tc>
        <w:tc>
          <w:tcPr>
            <w:tcW w:w="860" w:type="dxa"/>
            <w:tcBorders>
              <w:top w:val="nil"/>
              <w:left w:val="nil"/>
              <w:bottom w:val="nil"/>
              <w:right w:val="nil"/>
            </w:tcBorders>
          </w:tcPr>
          <w:p w:rsidR="00B958B1" w:rsidRPr="005E5EE8" w:rsidRDefault="00B958B1" w:rsidP="009F3B54">
            <w:pPr>
              <w:pStyle w:val="TableofFigures"/>
              <w:rPr>
                <w:lang w:eastAsia="en-AU"/>
              </w:rPr>
            </w:pPr>
            <w:r w:rsidRPr="005E5EE8">
              <w:rPr>
                <w:lang w:eastAsia="en-AU"/>
              </w:rPr>
              <w:t xml:space="preserve"> 394.3</w:t>
            </w:r>
          </w:p>
        </w:tc>
        <w:tc>
          <w:tcPr>
            <w:tcW w:w="861" w:type="dxa"/>
            <w:tcBorders>
              <w:top w:val="nil"/>
              <w:left w:val="nil"/>
              <w:bottom w:val="nil"/>
              <w:right w:val="nil"/>
            </w:tcBorders>
          </w:tcPr>
          <w:p w:rsidR="00B958B1" w:rsidRPr="005E5EE8" w:rsidRDefault="00B958B1" w:rsidP="009F3B54">
            <w:pPr>
              <w:pStyle w:val="TableofFigures"/>
              <w:rPr>
                <w:lang w:eastAsia="en-AU"/>
              </w:rPr>
            </w:pPr>
            <w:r w:rsidRPr="005E5EE8">
              <w:rPr>
                <w:lang w:eastAsia="en-AU"/>
              </w:rPr>
              <w:t xml:space="preserve"> 394.0</w:t>
            </w:r>
          </w:p>
        </w:tc>
      </w:tr>
      <w:tr w:rsidR="00B958B1" w:rsidRPr="005E5EE8" w:rsidTr="009F3B54">
        <w:tc>
          <w:tcPr>
            <w:tcW w:w="4334" w:type="dxa"/>
            <w:tcBorders>
              <w:top w:val="single" w:sz="6" w:space="0" w:color="auto"/>
              <w:left w:val="nil"/>
              <w:bottom w:val="single" w:sz="12" w:space="0" w:color="auto"/>
              <w:right w:val="nil"/>
            </w:tcBorders>
          </w:tcPr>
          <w:p w:rsidR="00B958B1" w:rsidRPr="005E5EE8" w:rsidRDefault="00B958B1" w:rsidP="009F3B54">
            <w:pPr>
              <w:pStyle w:val="Tabletext"/>
              <w:rPr>
                <w:b/>
                <w:bCs/>
                <w:lang w:eastAsia="en-AU"/>
              </w:rPr>
            </w:pPr>
            <w:r w:rsidRPr="005E5EE8">
              <w:rPr>
                <w:b/>
                <w:bCs/>
                <w:lang w:eastAsia="en-AU"/>
              </w:rPr>
              <w:t>Total income from transactions</w:t>
            </w:r>
          </w:p>
        </w:tc>
        <w:tc>
          <w:tcPr>
            <w:tcW w:w="860" w:type="dxa"/>
            <w:tcBorders>
              <w:top w:val="single" w:sz="6" w:space="0" w:color="auto"/>
              <w:left w:val="nil"/>
              <w:bottom w:val="single" w:sz="12" w:space="0" w:color="auto"/>
              <w:right w:val="nil"/>
            </w:tcBorders>
          </w:tcPr>
          <w:p w:rsidR="00B958B1" w:rsidRPr="005E5EE8" w:rsidRDefault="00B958B1" w:rsidP="009F3B54">
            <w:pPr>
              <w:pStyle w:val="TableofFigures"/>
              <w:rPr>
                <w:rFonts w:cs="Calibri"/>
                <w:b/>
                <w:bCs/>
                <w:lang w:eastAsia="en-AU"/>
              </w:rPr>
            </w:pPr>
            <w:r w:rsidRPr="005E5EE8">
              <w:rPr>
                <w:b/>
                <w:bCs/>
                <w:lang w:eastAsia="en-AU"/>
              </w:rPr>
              <w:t xml:space="preserve">14 </w:t>
            </w:r>
            <w:r w:rsidRPr="005E5EE8">
              <w:rPr>
                <w:rFonts w:cs="Calibri"/>
                <w:b/>
                <w:bCs/>
                <w:lang w:eastAsia="en-AU"/>
              </w:rPr>
              <w:t>624.9</w:t>
            </w:r>
          </w:p>
        </w:tc>
        <w:tc>
          <w:tcPr>
            <w:tcW w:w="861" w:type="dxa"/>
            <w:tcBorders>
              <w:top w:val="single" w:sz="6" w:space="0" w:color="auto"/>
              <w:left w:val="nil"/>
              <w:bottom w:val="single" w:sz="12" w:space="0" w:color="auto"/>
              <w:right w:val="nil"/>
            </w:tcBorders>
          </w:tcPr>
          <w:p w:rsidR="00B958B1" w:rsidRPr="005E5EE8" w:rsidRDefault="00B958B1" w:rsidP="009F3B54">
            <w:pPr>
              <w:pStyle w:val="TableofFigures"/>
              <w:rPr>
                <w:rFonts w:cs="Calibri"/>
                <w:b/>
                <w:bCs/>
                <w:lang w:eastAsia="en-AU"/>
              </w:rPr>
            </w:pPr>
            <w:r w:rsidRPr="005E5EE8">
              <w:rPr>
                <w:b/>
                <w:bCs/>
                <w:lang w:eastAsia="en-AU"/>
              </w:rPr>
              <w:t xml:space="preserve">14 </w:t>
            </w:r>
            <w:r w:rsidRPr="005E5EE8">
              <w:rPr>
                <w:rFonts w:cs="Calibri"/>
                <w:b/>
                <w:bCs/>
                <w:lang w:eastAsia="en-AU"/>
              </w:rPr>
              <w:t>869.1</w:t>
            </w:r>
          </w:p>
        </w:tc>
        <w:tc>
          <w:tcPr>
            <w:tcW w:w="860" w:type="dxa"/>
            <w:tcBorders>
              <w:top w:val="single" w:sz="6" w:space="0" w:color="auto"/>
              <w:left w:val="nil"/>
              <w:bottom w:val="single" w:sz="12" w:space="0" w:color="auto"/>
              <w:right w:val="nil"/>
            </w:tcBorders>
          </w:tcPr>
          <w:p w:rsidR="00B958B1" w:rsidRPr="005E5EE8" w:rsidRDefault="00B958B1" w:rsidP="009F3B54">
            <w:pPr>
              <w:pStyle w:val="TableofFigures"/>
              <w:rPr>
                <w:rFonts w:cs="Calibri"/>
                <w:b/>
                <w:bCs/>
                <w:lang w:eastAsia="en-AU"/>
              </w:rPr>
            </w:pPr>
            <w:r w:rsidRPr="005E5EE8">
              <w:rPr>
                <w:b/>
                <w:bCs/>
                <w:lang w:eastAsia="en-AU"/>
              </w:rPr>
              <w:t xml:space="preserve">14 </w:t>
            </w:r>
            <w:r w:rsidRPr="005E5EE8">
              <w:rPr>
                <w:rFonts w:cs="Calibri"/>
                <w:b/>
                <w:bCs/>
                <w:lang w:eastAsia="en-AU"/>
              </w:rPr>
              <w:t>937.7</w:t>
            </w:r>
          </w:p>
        </w:tc>
        <w:tc>
          <w:tcPr>
            <w:tcW w:w="861" w:type="dxa"/>
            <w:tcBorders>
              <w:top w:val="single" w:sz="6" w:space="0" w:color="auto"/>
              <w:left w:val="nil"/>
              <w:bottom w:val="single" w:sz="12" w:space="0" w:color="auto"/>
              <w:right w:val="nil"/>
            </w:tcBorders>
          </w:tcPr>
          <w:p w:rsidR="00B958B1" w:rsidRPr="005E5EE8" w:rsidRDefault="00B958B1" w:rsidP="009F3B54">
            <w:pPr>
              <w:pStyle w:val="TableofFigures"/>
              <w:rPr>
                <w:rFonts w:cs="Calibri"/>
                <w:b/>
                <w:bCs/>
                <w:lang w:eastAsia="en-AU"/>
              </w:rPr>
            </w:pPr>
            <w:r w:rsidRPr="005E5EE8">
              <w:rPr>
                <w:b/>
                <w:bCs/>
                <w:lang w:eastAsia="en-AU"/>
              </w:rPr>
              <w:t xml:space="preserve">15 </w:t>
            </w:r>
            <w:r w:rsidRPr="005E5EE8">
              <w:rPr>
                <w:rFonts w:cs="Calibri"/>
                <w:b/>
                <w:bCs/>
                <w:lang w:eastAsia="en-AU"/>
              </w:rPr>
              <w:t>603.2</w:t>
            </w:r>
          </w:p>
        </w:tc>
      </w:tr>
    </w:tbl>
    <w:p w:rsidR="00B958B1" w:rsidRPr="005E5EE8" w:rsidRDefault="00B958B1" w:rsidP="009F3B54">
      <w:pPr>
        <w:pStyle w:val="Source"/>
      </w:pPr>
      <w:r w:rsidRPr="005E5EE8">
        <w:rPr>
          <w:lang w:eastAsia="en-AU"/>
        </w:rPr>
        <w:t>Sources: Departments of Health and Treasury and Finance</w:t>
      </w:r>
    </w:p>
    <w:p w:rsidR="00B958B1" w:rsidRPr="005E5EE8" w:rsidRDefault="00B958B1" w:rsidP="009F3B54">
      <w:pPr>
        <w:pStyle w:val="Notes"/>
        <w:rPr>
          <w:rFonts w:cs="Calibri"/>
          <w:szCs w:val="15"/>
        </w:rPr>
      </w:pPr>
      <w:r w:rsidRPr="005E5EE8">
        <w:rPr>
          <w:rFonts w:cs="Calibri"/>
          <w:szCs w:val="15"/>
        </w:rPr>
        <w:fldChar w:fldCharType="begin"/>
      </w:r>
      <w:r w:rsidRPr="005E5EE8">
        <w:instrText xml:space="preserve"> XE "Department of Health:Income from transactions" </w:instrText>
      </w:r>
      <w:r w:rsidRPr="005E5EE8">
        <w:rPr>
          <w:rFonts w:cs="Calibri"/>
          <w:szCs w:val="15"/>
        </w:rPr>
        <w:fldChar w:fldCharType="end"/>
      </w:r>
      <w:r w:rsidRPr="005E5EE8">
        <w:rPr>
          <w:rFonts w:cs="Calibri"/>
          <w:szCs w:val="15"/>
        </w:rPr>
        <w:t>Note:</w:t>
      </w:r>
    </w:p>
    <w:p w:rsidR="00B958B1" w:rsidRPr="005E5EE8" w:rsidRDefault="00B958B1" w:rsidP="009F3B54">
      <w:pPr>
        <w:pStyle w:val="Notes"/>
        <w:rPr>
          <w:rFonts w:cs="Calibri"/>
          <w:szCs w:val="15"/>
        </w:rPr>
      </w:pPr>
      <w:r w:rsidRPr="005E5EE8">
        <w:rPr>
          <w:rFonts w:cs="Calibri"/>
          <w:szCs w:val="15"/>
        </w:rPr>
        <w:t>(a)</w:t>
      </w:r>
      <w:r w:rsidRPr="005E5EE8">
        <w:rPr>
          <w:rFonts w:cs="Calibri"/>
          <w:szCs w:val="15"/>
        </w:rPr>
        <w:tab/>
        <w:t>The National Health Reform Agreement was introduced in 2012</w:t>
      </w:r>
      <w:r w:rsidR="009F0F49">
        <w:rPr>
          <w:rFonts w:cs="Calibri"/>
          <w:szCs w:val="15"/>
        </w:rPr>
        <w:noBreakHyphen/>
      </w:r>
      <w:r w:rsidRPr="005E5EE8">
        <w:rPr>
          <w:rFonts w:cs="Calibri"/>
          <w:szCs w:val="15"/>
        </w:rPr>
        <w:t>13. Under the new arrangements Commonwealth funding for hospitals is directed via the Victorian funding pool. As a result, 2012</w:t>
      </w:r>
      <w:r w:rsidR="009F0F49">
        <w:rPr>
          <w:rFonts w:cs="Calibri"/>
          <w:szCs w:val="15"/>
        </w:rPr>
        <w:noBreakHyphen/>
      </w:r>
      <w:r w:rsidRPr="005E5EE8">
        <w:rPr>
          <w:rFonts w:cs="Calibri"/>
          <w:szCs w:val="15"/>
        </w:rPr>
        <w:t>13 saw a decrease in the Department of Health’s output appropriation and a corresponding increase in grants.</w:t>
      </w:r>
    </w:p>
    <w:p w:rsidR="00B958B1" w:rsidRPr="005E5EE8" w:rsidRDefault="00B958B1" w:rsidP="009F3B54">
      <w:pPr>
        <w:pStyle w:val="Source"/>
      </w:pPr>
    </w:p>
    <w:p w:rsidR="00B958B1" w:rsidRPr="005E5EE8" w:rsidRDefault="00B958B1" w:rsidP="009F3B54">
      <w:pPr>
        <w:pStyle w:val="Tableheading"/>
        <w:rPr>
          <w:lang w:eastAsia="en-AU"/>
        </w:rPr>
      </w:pPr>
      <w:r w:rsidRPr="005E5EE8">
        <w:t>Table 2.10:</w:t>
      </w:r>
      <w:r w:rsidRPr="005E5EE8">
        <w:tab/>
        <w:t>Parliamentary authority for resources</w:t>
      </w:r>
    </w:p>
    <w:p w:rsidR="00B958B1" w:rsidRPr="005E5EE8" w:rsidRDefault="00B958B1" w:rsidP="009F3B54">
      <w:pPr>
        <w:pStyle w:val="million"/>
        <w:rPr>
          <w:lang w:eastAsia="en-AU"/>
        </w:rPr>
      </w:pPr>
      <w:r w:rsidRPr="005E5EE8">
        <w:rPr>
          <w:lang w:eastAsia="en-AU"/>
        </w:rPr>
        <w:t>($</w:t>
      </w:r>
      <w:r>
        <w:rPr>
          <w:lang w:eastAsia="en-AU"/>
        </w:rPr>
        <w:t> million</w:t>
      </w:r>
      <w:r w:rsidRPr="005E5EE8">
        <w:rPr>
          <w:lang w:eastAsia="en-AU"/>
        </w:rPr>
        <w:t>)</w:t>
      </w:r>
    </w:p>
    <w:tbl>
      <w:tblPr>
        <w:tblW w:w="7776" w:type="dxa"/>
        <w:tblInd w:w="29" w:type="dxa"/>
        <w:tblLayout w:type="fixed"/>
        <w:tblCellMar>
          <w:left w:w="43" w:type="dxa"/>
          <w:right w:w="43" w:type="dxa"/>
        </w:tblCellMar>
        <w:tblLook w:val="0000" w:firstRow="0" w:lastRow="0" w:firstColumn="0" w:lastColumn="0" w:noHBand="0" w:noVBand="0"/>
      </w:tblPr>
      <w:tblGrid>
        <w:gridCol w:w="4964"/>
        <w:gridCol w:w="937"/>
        <w:gridCol w:w="937"/>
        <w:gridCol w:w="938"/>
      </w:tblGrid>
      <w:tr w:rsidR="00B958B1" w:rsidRPr="005E5EE8" w:rsidTr="009F3B54">
        <w:tc>
          <w:tcPr>
            <w:tcW w:w="4964" w:type="dxa"/>
            <w:tcBorders>
              <w:top w:val="single" w:sz="4" w:space="0" w:color="auto"/>
              <w:left w:val="single" w:sz="4" w:space="0" w:color="auto"/>
              <w:bottom w:val="nil"/>
              <w:right w:val="nil"/>
            </w:tcBorders>
            <w:shd w:val="clear" w:color="auto" w:fill="000000"/>
          </w:tcPr>
          <w:p w:rsidR="00B958B1" w:rsidRPr="005E5EE8" w:rsidRDefault="00B958B1" w:rsidP="009F3B54">
            <w:pPr>
              <w:pStyle w:val="Tabletext"/>
              <w:rPr>
                <w:lang w:eastAsia="en-AU"/>
              </w:rPr>
            </w:pPr>
            <w:r w:rsidRPr="005E5EE8">
              <w:rPr>
                <w:lang w:eastAsia="en-AU"/>
              </w:rPr>
              <w:t xml:space="preserve"> </w:t>
            </w:r>
          </w:p>
        </w:tc>
        <w:tc>
          <w:tcPr>
            <w:tcW w:w="937" w:type="dxa"/>
            <w:tcBorders>
              <w:top w:val="single" w:sz="4" w:space="0" w:color="auto"/>
              <w:left w:val="nil"/>
              <w:bottom w:val="nil"/>
              <w:right w:val="nil"/>
            </w:tcBorders>
            <w:shd w:val="clear" w:color="auto" w:fill="000000"/>
          </w:tcPr>
          <w:p w:rsidR="00B958B1" w:rsidRPr="005E5EE8" w:rsidRDefault="00B958B1" w:rsidP="009F3B54">
            <w:pPr>
              <w:pStyle w:val="Tabletextheading"/>
              <w:rPr>
                <w:lang w:eastAsia="en-AU"/>
              </w:rPr>
            </w:pPr>
            <w:r w:rsidRPr="005E5EE8">
              <w:rPr>
                <w:lang w:eastAsia="en-AU"/>
              </w:rPr>
              <w:t>2012</w:t>
            </w:r>
            <w:r w:rsidR="009F0F49">
              <w:rPr>
                <w:lang w:eastAsia="en-AU"/>
              </w:rPr>
              <w:noBreakHyphen/>
            </w:r>
            <w:r w:rsidRPr="005E5EE8">
              <w:rPr>
                <w:lang w:eastAsia="en-AU"/>
              </w:rPr>
              <w:t>13</w:t>
            </w:r>
          </w:p>
        </w:tc>
        <w:tc>
          <w:tcPr>
            <w:tcW w:w="937" w:type="dxa"/>
            <w:tcBorders>
              <w:top w:val="single" w:sz="4" w:space="0" w:color="auto"/>
              <w:left w:val="nil"/>
              <w:bottom w:val="nil"/>
              <w:right w:val="nil"/>
            </w:tcBorders>
            <w:shd w:val="clear" w:color="auto" w:fill="000000"/>
          </w:tcPr>
          <w:p w:rsidR="00B958B1" w:rsidRPr="005E5EE8" w:rsidRDefault="00B958B1" w:rsidP="009F3B54">
            <w:pPr>
              <w:pStyle w:val="Tabletextheading"/>
              <w:rPr>
                <w:lang w:eastAsia="en-AU"/>
              </w:rPr>
            </w:pPr>
            <w:r w:rsidRPr="005E5EE8">
              <w:rPr>
                <w:lang w:eastAsia="en-AU"/>
              </w:rPr>
              <w:t>2012</w:t>
            </w:r>
            <w:r w:rsidR="009F0F49">
              <w:rPr>
                <w:lang w:eastAsia="en-AU"/>
              </w:rPr>
              <w:noBreakHyphen/>
            </w:r>
            <w:r w:rsidRPr="005E5EE8">
              <w:rPr>
                <w:lang w:eastAsia="en-AU"/>
              </w:rPr>
              <w:t>13</w:t>
            </w:r>
          </w:p>
        </w:tc>
        <w:tc>
          <w:tcPr>
            <w:tcW w:w="938" w:type="dxa"/>
            <w:tcBorders>
              <w:top w:val="single" w:sz="4" w:space="0" w:color="auto"/>
              <w:left w:val="nil"/>
              <w:bottom w:val="nil"/>
              <w:right w:val="single" w:sz="4" w:space="0" w:color="auto"/>
            </w:tcBorders>
            <w:shd w:val="clear" w:color="auto" w:fill="000000"/>
          </w:tcPr>
          <w:p w:rsidR="00B958B1" w:rsidRPr="005E5EE8" w:rsidRDefault="00B958B1" w:rsidP="009F3B54">
            <w:pPr>
              <w:pStyle w:val="Tabletextheading"/>
              <w:rPr>
                <w:lang w:eastAsia="en-AU"/>
              </w:rPr>
            </w:pPr>
            <w:r w:rsidRPr="005E5EE8">
              <w:rPr>
                <w:lang w:eastAsia="en-AU"/>
              </w:rPr>
              <w:t>2013</w:t>
            </w:r>
            <w:r w:rsidR="009F0F49">
              <w:rPr>
                <w:lang w:eastAsia="en-AU"/>
              </w:rPr>
              <w:noBreakHyphen/>
            </w:r>
            <w:r w:rsidRPr="005E5EE8">
              <w:rPr>
                <w:lang w:eastAsia="en-AU"/>
              </w:rPr>
              <w:t>14</w:t>
            </w:r>
          </w:p>
        </w:tc>
      </w:tr>
      <w:tr w:rsidR="00B958B1" w:rsidRPr="005E5EE8" w:rsidTr="009F3B54">
        <w:tc>
          <w:tcPr>
            <w:tcW w:w="4964" w:type="dxa"/>
            <w:tcBorders>
              <w:top w:val="nil"/>
              <w:left w:val="single" w:sz="4" w:space="0" w:color="auto"/>
              <w:bottom w:val="single" w:sz="4" w:space="0" w:color="auto"/>
              <w:right w:val="nil"/>
            </w:tcBorders>
            <w:shd w:val="clear" w:color="auto" w:fill="000000"/>
          </w:tcPr>
          <w:p w:rsidR="00B958B1" w:rsidRPr="005E5EE8" w:rsidRDefault="00B958B1" w:rsidP="009F3B54">
            <w:pPr>
              <w:pStyle w:val="Tabletext"/>
              <w:rPr>
                <w:lang w:eastAsia="en-AU"/>
              </w:rPr>
            </w:pPr>
            <w:r w:rsidRPr="005E5EE8">
              <w:rPr>
                <w:lang w:eastAsia="en-AU"/>
              </w:rPr>
              <w:t xml:space="preserve"> </w:t>
            </w:r>
          </w:p>
        </w:tc>
        <w:tc>
          <w:tcPr>
            <w:tcW w:w="937" w:type="dxa"/>
            <w:tcBorders>
              <w:top w:val="nil"/>
              <w:left w:val="nil"/>
              <w:bottom w:val="single" w:sz="4" w:space="0" w:color="auto"/>
              <w:right w:val="nil"/>
            </w:tcBorders>
            <w:shd w:val="clear" w:color="auto" w:fill="000000"/>
          </w:tcPr>
          <w:p w:rsidR="00B958B1" w:rsidRPr="005E5EE8" w:rsidRDefault="00B958B1" w:rsidP="009F3B54">
            <w:pPr>
              <w:pStyle w:val="Tabletextheading"/>
              <w:rPr>
                <w:lang w:eastAsia="en-AU"/>
              </w:rPr>
            </w:pPr>
            <w:r w:rsidRPr="005E5EE8">
              <w:rPr>
                <w:lang w:eastAsia="en-AU"/>
              </w:rPr>
              <w:t>Budget</w:t>
            </w:r>
          </w:p>
        </w:tc>
        <w:tc>
          <w:tcPr>
            <w:tcW w:w="937" w:type="dxa"/>
            <w:tcBorders>
              <w:top w:val="nil"/>
              <w:left w:val="nil"/>
              <w:bottom w:val="single" w:sz="4" w:space="0" w:color="auto"/>
              <w:right w:val="nil"/>
            </w:tcBorders>
            <w:shd w:val="clear" w:color="auto" w:fill="000000"/>
          </w:tcPr>
          <w:p w:rsidR="00B958B1" w:rsidRPr="005E5EE8" w:rsidRDefault="00B958B1" w:rsidP="009F3B54">
            <w:pPr>
              <w:pStyle w:val="Tabletextheading"/>
              <w:rPr>
                <w:lang w:eastAsia="en-AU"/>
              </w:rPr>
            </w:pPr>
            <w:r w:rsidRPr="005E5EE8">
              <w:rPr>
                <w:lang w:eastAsia="en-AU"/>
              </w:rPr>
              <w:t>Revised</w:t>
            </w:r>
          </w:p>
        </w:tc>
        <w:tc>
          <w:tcPr>
            <w:tcW w:w="938" w:type="dxa"/>
            <w:tcBorders>
              <w:top w:val="nil"/>
              <w:left w:val="nil"/>
              <w:bottom w:val="single" w:sz="4" w:space="0" w:color="auto"/>
              <w:right w:val="single" w:sz="4" w:space="0" w:color="auto"/>
            </w:tcBorders>
            <w:shd w:val="clear" w:color="auto" w:fill="000000"/>
          </w:tcPr>
          <w:p w:rsidR="00B958B1" w:rsidRPr="005E5EE8" w:rsidRDefault="00B958B1" w:rsidP="009F3B54">
            <w:pPr>
              <w:pStyle w:val="Tabletextheading"/>
              <w:rPr>
                <w:lang w:eastAsia="en-AU"/>
              </w:rPr>
            </w:pPr>
            <w:r w:rsidRPr="005E5EE8">
              <w:rPr>
                <w:lang w:eastAsia="en-AU"/>
              </w:rPr>
              <w:t xml:space="preserve">Budget </w:t>
            </w:r>
          </w:p>
        </w:tc>
      </w:tr>
      <w:tr w:rsidR="00B958B1" w:rsidRPr="005E5EE8" w:rsidTr="009F3B54">
        <w:tc>
          <w:tcPr>
            <w:tcW w:w="4964" w:type="dxa"/>
            <w:tcBorders>
              <w:top w:val="single" w:sz="4" w:space="0" w:color="auto"/>
              <w:left w:val="nil"/>
              <w:bottom w:val="nil"/>
              <w:right w:val="nil"/>
            </w:tcBorders>
            <w:shd w:val="solid" w:color="FFFFFF" w:fill="auto"/>
          </w:tcPr>
          <w:p w:rsidR="00B958B1" w:rsidRPr="005E5EE8" w:rsidRDefault="00B958B1" w:rsidP="009F3B54">
            <w:pPr>
              <w:pStyle w:val="Tabletext"/>
              <w:rPr>
                <w:b/>
                <w:bCs/>
                <w:lang w:eastAsia="en-AU"/>
              </w:rPr>
            </w:pPr>
            <w:r w:rsidRPr="005E5EE8">
              <w:rPr>
                <w:b/>
                <w:bCs/>
                <w:lang w:eastAsia="en-AU"/>
              </w:rPr>
              <w:t>Annual appropriations</w:t>
            </w:r>
          </w:p>
        </w:tc>
        <w:tc>
          <w:tcPr>
            <w:tcW w:w="937" w:type="dxa"/>
            <w:tcBorders>
              <w:top w:val="single" w:sz="4" w:space="0" w:color="auto"/>
              <w:left w:val="nil"/>
              <w:bottom w:val="nil"/>
              <w:right w:val="nil"/>
            </w:tcBorders>
            <w:shd w:val="solid" w:color="FFFFFF" w:fill="auto"/>
          </w:tcPr>
          <w:p w:rsidR="00B958B1" w:rsidRPr="005E5EE8" w:rsidRDefault="00B958B1" w:rsidP="009F3B54">
            <w:pPr>
              <w:pStyle w:val="TableofFigures"/>
              <w:rPr>
                <w:rFonts w:cs="Calibri"/>
                <w:b/>
                <w:bCs/>
                <w:lang w:eastAsia="en-AU"/>
              </w:rPr>
            </w:pPr>
            <w:r w:rsidRPr="005E5EE8">
              <w:rPr>
                <w:b/>
                <w:bCs/>
                <w:lang w:eastAsia="en-AU"/>
              </w:rPr>
              <w:t xml:space="preserve">6 </w:t>
            </w:r>
            <w:r w:rsidRPr="005E5EE8">
              <w:rPr>
                <w:rFonts w:cs="Calibri"/>
                <w:b/>
                <w:bCs/>
                <w:lang w:eastAsia="en-AU"/>
              </w:rPr>
              <w:t>867.1</w:t>
            </w:r>
          </w:p>
        </w:tc>
        <w:tc>
          <w:tcPr>
            <w:tcW w:w="937" w:type="dxa"/>
            <w:tcBorders>
              <w:top w:val="single" w:sz="4" w:space="0" w:color="auto"/>
              <w:left w:val="nil"/>
              <w:bottom w:val="nil"/>
              <w:right w:val="nil"/>
            </w:tcBorders>
            <w:shd w:val="solid" w:color="FFFFFF" w:fill="auto"/>
          </w:tcPr>
          <w:p w:rsidR="00B958B1" w:rsidRPr="005E5EE8" w:rsidRDefault="00B958B1" w:rsidP="009F3B54">
            <w:pPr>
              <w:pStyle w:val="TableofFigures"/>
              <w:rPr>
                <w:rFonts w:cs="Calibri"/>
                <w:b/>
                <w:bCs/>
                <w:lang w:eastAsia="en-AU"/>
              </w:rPr>
            </w:pPr>
            <w:r w:rsidRPr="005E5EE8">
              <w:rPr>
                <w:b/>
                <w:bCs/>
                <w:lang w:eastAsia="en-AU"/>
              </w:rPr>
              <w:t xml:space="preserve">6 </w:t>
            </w:r>
            <w:r w:rsidRPr="005E5EE8">
              <w:rPr>
                <w:rFonts w:cs="Calibri"/>
                <w:b/>
                <w:bCs/>
                <w:lang w:eastAsia="en-AU"/>
              </w:rPr>
              <w:t>594.2</w:t>
            </w:r>
          </w:p>
        </w:tc>
        <w:tc>
          <w:tcPr>
            <w:tcW w:w="938" w:type="dxa"/>
            <w:tcBorders>
              <w:top w:val="single" w:sz="4" w:space="0" w:color="auto"/>
              <w:left w:val="nil"/>
              <w:bottom w:val="nil"/>
              <w:right w:val="nil"/>
            </w:tcBorders>
            <w:shd w:val="solid" w:color="FFFFFF" w:fill="auto"/>
          </w:tcPr>
          <w:p w:rsidR="00B958B1" w:rsidRPr="005E5EE8" w:rsidRDefault="00B958B1" w:rsidP="009F3B54">
            <w:pPr>
              <w:pStyle w:val="TableofFigures"/>
              <w:rPr>
                <w:rFonts w:cs="Calibri"/>
                <w:b/>
                <w:bCs/>
                <w:lang w:eastAsia="en-AU"/>
              </w:rPr>
            </w:pPr>
            <w:r w:rsidRPr="005E5EE8">
              <w:rPr>
                <w:b/>
                <w:bCs/>
                <w:lang w:eastAsia="en-AU"/>
              </w:rPr>
              <w:t xml:space="preserve">7 </w:t>
            </w:r>
            <w:r w:rsidRPr="005E5EE8">
              <w:rPr>
                <w:rFonts w:cs="Calibri"/>
                <w:b/>
                <w:bCs/>
                <w:lang w:eastAsia="en-AU"/>
              </w:rPr>
              <w:t>273.5</w:t>
            </w:r>
          </w:p>
        </w:tc>
      </w:tr>
      <w:tr w:rsidR="00B958B1" w:rsidRPr="005E5EE8" w:rsidTr="009F3B54">
        <w:tc>
          <w:tcPr>
            <w:tcW w:w="4964" w:type="dxa"/>
            <w:tcBorders>
              <w:top w:val="nil"/>
              <w:left w:val="nil"/>
              <w:bottom w:val="nil"/>
              <w:right w:val="nil"/>
            </w:tcBorders>
            <w:shd w:val="solid" w:color="FFFFFF" w:fill="auto"/>
          </w:tcPr>
          <w:p w:rsidR="00B958B1" w:rsidRPr="005E5EE8" w:rsidRDefault="00B958B1" w:rsidP="009F3B54">
            <w:pPr>
              <w:pStyle w:val="Tabletext"/>
              <w:rPr>
                <w:lang w:eastAsia="en-AU"/>
              </w:rPr>
            </w:pPr>
            <w:r w:rsidRPr="005E5EE8">
              <w:rPr>
                <w:lang w:eastAsia="en-AU"/>
              </w:rPr>
              <w:t xml:space="preserve"> Provision of outputs</w:t>
            </w:r>
          </w:p>
        </w:tc>
        <w:tc>
          <w:tcPr>
            <w:tcW w:w="937" w:type="dxa"/>
            <w:tcBorders>
              <w:top w:val="nil"/>
              <w:left w:val="nil"/>
              <w:bottom w:val="nil"/>
              <w:right w:val="nil"/>
            </w:tcBorders>
            <w:shd w:val="solid" w:color="FFFFFF" w:fill="auto"/>
          </w:tcPr>
          <w:p w:rsidR="00B958B1" w:rsidRPr="005E5EE8" w:rsidRDefault="00B958B1" w:rsidP="009F3B54">
            <w:pPr>
              <w:pStyle w:val="TableofFigures"/>
              <w:rPr>
                <w:rFonts w:cs="Calibri"/>
                <w:lang w:eastAsia="en-AU"/>
              </w:rPr>
            </w:pPr>
            <w:r w:rsidRPr="005E5EE8">
              <w:rPr>
                <w:lang w:eastAsia="en-AU"/>
              </w:rPr>
              <w:t xml:space="preserve">6 </w:t>
            </w:r>
            <w:r w:rsidRPr="005E5EE8">
              <w:rPr>
                <w:rFonts w:cs="Calibri"/>
                <w:lang w:eastAsia="en-AU"/>
              </w:rPr>
              <w:t>796.0</w:t>
            </w:r>
          </w:p>
        </w:tc>
        <w:tc>
          <w:tcPr>
            <w:tcW w:w="937" w:type="dxa"/>
            <w:tcBorders>
              <w:top w:val="nil"/>
              <w:left w:val="nil"/>
              <w:bottom w:val="nil"/>
              <w:right w:val="nil"/>
            </w:tcBorders>
            <w:shd w:val="solid" w:color="FFFFFF" w:fill="auto"/>
          </w:tcPr>
          <w:p w:rsidR="00B958B1" w:rsidRPr="005E5EE8" w:rsidRDefault="00B958B1" w:rsidP="009F3B54">
            <w:pPr>
              <w:pStyle w:val="TableofFigures"/>
              <w:rPr>
                <w:rFonts w:cs="Calibri"/>
                <w:lang w:eastAsia="en-AU"/>
              </w:rPr>
            </w:pPr>
            <w:r w:rsidRPr="005E5EE8">
              <w:rPr>
                <w:lang w:eastAsia="en-AU"/>
              </w:rPr>
              <w:t xml:space="preserve">6 </w:t>
            </w:r>
            <w:r w:rsidRPr="005E5EE8">
              <w:rPr>
                <w:rFonts w:cs="Calibri"/>
                <w:lang w:eastAsia="en-AU"/>
              </w:rPr>
              <w:t>594.2</w:t>
            </w:r>
          </w:p>
        </w:tc>
        <w:tc>
          <w:tcPr>
            <w:tcW w:w="938" w:type="dxa"/>
            <w:tcBorders>
              <w:top w:val="nil"/>
              <w:left w:val="nil"/>
              <w:bottom w:val="nil"/>
              <w:right w:val="nil"/>
            </w:tcBorders>
            <w:shd w:val="solid" w:color="FFFFFF" w:fill="auto"/>
          </w:tcPr>
          <w:p w:rsidR="00B958B1" w:rsidRPr="005E5EE8" w:rsidRDefault="00B958B1" w:rsidP="009F3B54">
            <w:pPr>
              <w:pStyle w:val="TableofFigures"/>
              <w:rPr>
                <w:rFonts w:cs="Calibri"/>
                <w:lang w:eastAsia="en-AU"/>
              </w:rPr>
            </w:pPr>
            <w:r w:rsidRPr="005E5EE8">
              <w:rPr>
                <w:lang w:eastAsia="en-AU"/>
              </w:rPr>
              <w:t xml:space="preserve">6 </w:t>
            </w:r>
            <w:r w:rsidRPr="005E5EE8">
              <w:rPr>
                <w:rFonts w:cs="Calibri"/>
                <w:lang w:eastAsia="en-AU"/>
              </w:rPr>
              <w:t>978.4</w:t>
            </w:r>
          </w:p>
        </w:tc>
      </w:tr>
      <w:tr w:rsidR="00B958B1" w:rsidRPr="005E5EE8" w:rsidTr="009F3B54">
        <w:tc>
          <w:tcPr>
            <w:tcW w:w="4964" w:type="dxa"/>
            <w:tcBorders>
              <w:top w:val="nil"/>
              <w:left w:val="nil"/>
              <w:bottom w:val="nil"/>
              <w:right w:val="nil"/>
            </w:tcBorders>
            <w:shd w:val="solid" w:color="FFFFFF" w:fill="auto"/>
          </w:tcPr>
          <w:p w:rsidR="00B958B1" w:rsidRPr="005E5EE8" w:rsidRDefault="00B958B1" w:rsidP="009F3B54">
            <w:pPr>
              <w:pStyle w:val="Tabletext"/>
              <w:rPr>
                <w:lang w:eastAsia="en-AU"/>
              </w:rPr>
            </w:pPr>
            <w:r w:rsidRPr="005E5EE8">
              <w:rPr>
                <w:lang w:eastAsia="en-AU"/>
              </w:rPr>
              <w:t xml:space="preserve"> Additions to the net asset base</w:t>
            </w:r>
          </w:p>
        </w:tc>
        <w:tc>
          <w:tcPr>
            <w:tcW w:w="937" w:type="dxa"/>
            <w:tcBorders>
              <w:top w:val="nil"/>
              <w:left w:val="nil"/>
              <w:bottom w:val="nil"/>
              <w:right w:val="nil"/>
            </w:tcBorders>
            <w:shd w:val="solid" w:color="FFFFFF" w:fill="auto"/>
          </w:tcPr>
          <w:p w:rsidR="00B958B1" w:rsidRPr="005E5EE8" w:rsidRDefault="00B958B1" w:rsidP="009F3B54">
            <w:pPr>
              <w:pStyle w:val="TableofFigures"/>
              <w:rPr>
                <w:lang w:eastAsia="en-AU"/>
              </w:rPr>
            </w:pPr>
            <w:r w:rsidRPr="005E5EE8">
              <w:rPr>
                <w:lang w:eastAsia="en-AU"/>
              </w:rPr>
              <w:t xml:space="preserve"> 71.1</w:t>
            </w:r>
          </w:p>
        </w:tc>
        <w:tc>
          <w:tcPr>
            <w:tcW w:w="937" w:type="dxa"/>
            <w:tcBorders>
              <w:top w:val="nil"/>
              <w:left w:val="nil"/>
              <w:bottom w:val="nil"/>
              <w:right w:val="nil"/>
            </w:tcBorders>
            <w:shd w:val="solid" w:color="FFFFFF" w:fill="auto"/>
          </w:tcPr>
          <w:p w:rsidR="00B958B1" w:rsidRPr="005E5EE8" w:rsidRDefault="00B958B1" w:rsidP="009F3B54">
            <w:pPr>
              <w:pStyle w:val="TableofFigures"/>
              <w:rPr>
                <w:lang w:eastAsia="en-AU"/>
              </w:rPr>
            </w:pPr>
            <w:r w:rsidRPr="005E5EE8">
              <w:rPr>
                <w:lang w:eastAsia="en-AU"/>
              </w:rPr>
              <w:t>..</w:t>
            </w:r>
          </w:p>
        </w:tc>
        <w:tc>
          <w:tcPr>
            <w:tcW w:w="938" w:type="dxa"/>
            <w:tcBorders>
              <w:top w:val="nil"/>
              <w:left w:val="nil"/>
              <w:bottom w:val="nil"/>
              <w:right w:val="nil"/>
            </w:tcBorders>
            <w:shd w:val="solid" w:color="FFFFFF" w:fill="auto"/>
          </w:tcPr>
          <w:p w:rsidR="00B958B1" w:rsidRPr="005E5EE8" w:rsidRDefault="00B958B1" w:rsidP="009F3B54">
            <w:pPr>
              <w:pStyle w:val="TableofFigures"/>
              <w:rPr>
                <w:lang w:eastAsia="en-AU"/>
              </w:rPr>
            </w:pPr>
            <w:r w:rsidRPr="005E5EE8">
              <w:rPr>
                <w:lang w:eastAsia="en-AU"/>
              </w:rPr>
              <w:t xml:space="preserve"> 295.1</w:t>
            </w:r>
          </w:p>
        </w:tc>
      </w:tr>
      <w:tr w:rsidR="00B958B1" w:rsidRPr="005E5EE8" w:rsidTr="009F3B54">
        <w:tc>
          <w:tcPr>
            <w:tcW w:w="4964" w:type="dxa"/>
            <w:tcBorders>
              <w:top w:val="nil"/>
              <w:left w:val="nil"/>
              <w:bottom w:val="nil"/>
              <w:right w:val="nil"/>
            </w:tcBorders>
            <w:shd w:val="solid" w:color="FFFFFF" w:fill="auto"/>
          </w:tcPr>
          <w:p w:rsidR="00B958B1" w:rsidRPr="005E5EE8" w:rsidRDefault="00B958B1" w:rsidP="009F3B54">
            <w:pPr>
              <w:pStyle w:val="Tabletext"/>
              <w:rPr>
                <w:rFonts w:cs="Calibri"/>
                <w:vertAlign w:val="superscript"/>
                <w:lang w:eastAsia="en-AU"/>
              </w:rPr>
            </w:pPr>
            <w:r w:rsidRPr="005E5EE8">
              <w:rPr>
                <w:lang w:eastAsia="en-AU"/>
              </w:rPr>
              <w:t xml:space="preserve">Receipts credited to appropriations </w:t>
            </w:r>
            <w:r w:rsidRPr="005E5EE8">
              <w:rPr>
                <w:rFonts w:cs="Calibri"/>
                <w:vertAlign w:val="superscript"/>
                <w:lang w:eastAsia="en-AU"/>
              </w:rPr>
              <w:t>(a)</w:t>
            </w:r>
          </w:p>
        </w:tc>
        <w:tc>
          <w:tcPr>
            <w:tcW w:w="937" w:type="dxa"/>
            <w:tcBorders>
              <w:top w:val="nil"/>
              <w:left w:val="nil"/>
              <w:bottom w:val="nil"/>
              <w:right w:val="nil"/>
            </w:tcBorders>
            <w:shd w:val="solid" w:color="FFFFFF" w:fill="auto"/>
          </w:tcPr>
          <w:p w:rsidR="00B958B1" w:rsidRPr="005E5EE8" w:rsidRDefault="00B958B1" w:rsidP="009F3B54">
            <w:pPr>
              <w:pStyle w:val="TableofFigures"/>
              <w:rPr>
                <w:rFonts w:cs="Calibri"/>
                <w:lang w:eastAsia="en-AU"/>
              </w:rPr>
            </w:pPr>
            <w:r w:rsidRPr="005E5EE8">
              <w:rPr>
                <w:lang w:eastAsia="en-AU"/>
              </w:rPr>
              <w:t xml:space="preserve">1 </w:t>
            </w:r>
            <w:r w:rsidRPr="005E5EE8">
              <w:rPr>
                <w:rFonts w:cs="Calibri"/>
                <w:lang w:eastAsia="en-AU"/>
              </w:rPr>
              <w:t>149.3</w:t>
            </w:r>
          </w:p>
        </w:tc>
        <w:tc>
          <w:tcPr>
            <w:tcW w:w="937" w:type="dxa"/>
            <w:tcBorders>
              <w:top w:val="nil"/>
              <w:left w:val="nil"/>
              <w:bottom w:val="nil"/>
              <w:right w:val="nil"/>
            </w:tcBorders>
            <w:shd w:val="solid" w:color="FFFFFF" w:fill="auto"/>
          </w:tcPr>
          <w:p w:rsidR="00B958B1" w:rsidRPr="005E5EE8" w:rsidRDefault="00B958B1" w:rsidP="009F3B54">
            <w:pPr>
              <w:pStyle w:val="TableofFigures"/>
              <w:rPr>
                <w:rFonts w:cs="Calibri"/>
                <w:lang w:eastAsia="en-AU"/>
              </w:rPr>
            </w:pPr>
            <w:r w:rsidRPr="005E5EE8">
              <w:rPr>
                <w:lang w:eastAsia="en-AU"/>
              </w:rPr>
              <w:t xml:space="preserve">1 </w:t>
            </w:r>
            <w:r w:rsidRPr="005E5EE8">
              <w:rPr>
                <w:rFonts w:cs="Calibri"/>
                <w:lang w:eastAsia="en-AU"/>
              </w:rPr>
              <w:t>874.6</w:t>
            </w:r>
          </w:p>
        </w:tc>
        <w:tc>
          <w:tcPr>
            <w:tcW w:w="938" w:type="dxa"/>
            <w:tcBorders>
              <w:top w:val="nil"/>
              <w:left w:val="nil"/>
              <w:bottom w:val="nil"/>
              <w:right w:val="nil"/>
            </w:tcBorders>
            <w:shd w:val="solid" w:color="FFFFFF" w:fill="auto"/>
          </w:tcPr>
          <w:p w:rsidR="00B958B1" w:rsidRPr="005E5EE8" w:rsidRDefault="00B958B1" w:rsidP="009F3B54">
            <w:pPr>
              <w:pStyle w:val="TableofFigures"/>
              <w:rPr>
                <w:rFonts w:cs="Calibri"/>
                <w:lang w:eastAsia="en-AU"/>
              </w:rPr>
            </w:pPr>
            <w:r w:rsidRPr="005E5EE8">
              <w:rPr>
                <w:lang w:eastAsia="en-AU"/>
              </w:rPr>
              <w:t xml:space="preserve">1 </w:t>
            </w:r>
            <w:r w:rsidRPr="005E5EE8">
              <w:rPr>
                <w:rFonts w:cs="Calibri"/>
                <w:lang w:eastAsia="en-AU"/>
              </w:rPr>
              <w:t>073.1</w:t>
            </w:r>
          </w:p>
        </w:tc>
      </w:tr>
      <w:tr w:rsidR="00B958B1" w:rsidRPr="005E5EE8" w:rsidTr="009F3B54">
        <w:tc>
          <w:tcPr>
            <w:tcW w:w="4964" w:type="dxa"/>
            <w:tcBorders>
              <w:top w:val="nil"/>
              <w:left w:val="nil"/>
              <w:bottom w:val="nil"/>
              <w:right w:val="nil"/>
            </w:tcBorders>
            <w:shd w:val="solid" w:color="FFFFFF" w:fill="auto"/>
          </w:tcPr>
          <w:p w:rsidR="00B958B1" w:rsidRPr="005E5EE8" w:rsidRDefault="00B958B1" w:rsidP="009F3B54">
            <w:pPr>
              <w:pStyle w:val="Tabletext"/>
              <w:rPr>
                <w:b/>
                <w:bCs/>
                <w:lang w:eastAsia="en-AU"/>
              </w:rPr>
            </w:pPr>
            <w:r w:rsidRPr="005E5EE8">
              <w:rPr>
                <w:b/>
                <w:bCs/>
                <w:lang w:eastAsia="en-AU"/>
              </w:rPr>
              <w:t>Unapplied previous years appropriation</w:t>
            </w:r>
          </w:p>
        </w:tc>
        <w:tc>
          <w:tcPr>
            <w:tcW w:w="937" w:type="dxa"/>
            <w:tcBorders>
              <w:top w:val="nil"/>
              <w:left w:val="nil"/>
              <w:bottom w:val="nil"/>
              <w:right w:val="nil"/>
            </w:tcBorders>
            <w:shd w:val="solid" w:color="FFFFFF" w:fill="auto"/>
          </w:tcPr>
          <w:p w:rsidR="00B958B1" w:rsidRPr="005E5EE8" w:rsidRDefault="00B958B1" w:rsidP="009F3B54">
            <w:pPr>
              <w:pStyle w:val="TableofFigures"/>
              <w:rPr>
                <w:lang w:eastAsia="en-AU"/>
              </w:rPr>
            </w:pPr>
            <w:r w:rsidRPr="005E5EE8">
              <w:rPr>
                <w:lang w:eastAsia="en-AU"/>
              </w:rPr>
              <w:t xml:space="preserve"> 66.2</w:t>
            </w:r>
          </w:p>
        </w:tc>
        <w:tc>
          <w:tcPr>
            <w:tcW w:w="937" w:type="dxa"/>
            <w:tcBorders>
              <w:top w:val="nil"/>
              <w:left w:val="nil"/>
              <w:bottom w:val="nil"/>
              <w:right w:val="nil"/>
            </w:tcBorders>
            <w:shd w:val="solid" w:color="FFFFFF" w:fill="auto"/>
          </w:tcPr>
          <w:p w:rsidR="00B958B1" w:rsidRPr="005E5EE8" w:rsidRDefault="00B958B1" w:rsidP="009F3B54">
            <w:pPr>
              <w:pStyle w:val="TableofFigures"/>
              <w:rPr>
                <w:lang w:eastAsia="en-AU"/>
              </w:rPr>
            </w:pPr>
            <w:r w:rsidRPr="005E5EE8">
              <w:rPr>
                <w:lang w:eastAsia="en-AU"/>
              </w:rPr>
              <w:t xml:space="preserve"> 282.0</w:t>
            </w:r>
          </w:p>
        </w:tc>
        <w:tc>
          <w:tcPr>
            <w:tcW w:w="938" w:type="dxa"/>
            <w:tcBorders>
              <w:top w:val="nil"/>
              <w:left w:val="nil"/>
              <w:bottom w:val="nil"/>
              <w:right w:val="nil"/>
            </w:tcBorders>
            <w:shd w:val="solid" w:color="FFFFFF" w:fill="auto"/>
          </w:tcPr>
          <w:p w:rsidR="00B958B1" w:rsidRPr="005E5EE8" w:rsidRDefault="00B958B1" w:rsidP="009F3B54">
            <w:pPr>
              <w:pStyle w:val="TableofFigures"/>
              <w:rPr>
                <w:lang w:eastAsia="en-AU"/>
              </w:rPr>
            </w:pPr>
            <w:r w:rsidRPr="005E5EE8">
              <w:rPr>
                <w:lang w:eastAsia="en-AU"/>
              </w:rPr>
              <w:t xml:space="preserve"> 125.9</w:t>
            </w:r>
          </w:p>
        </w:tc>
      </w:tr>
      <w:tr w:rsidR="00B958B1" w:rsidRPr="005E5EE8" w:rsidTr="009F3B54">
        <w:tc>
          <w:tcPr>
            <w:tcW w:w="4964" w:type="dxa"/>
            <w:tcBorders>
              <w:top w:val="nil"/>
              <w:left w:val="nil"/>
              <w:bottom w:val="nil"/>
              <w:right w:val="nil"/>
            </w:tcBorders>
            <w:shd w:val="solid" w:color="FFFFFF" w:fill="auto"/>
          </w:tcPr>
          <w:p w:rsidR="00B958B1" w:rsidRPr="005E5EE8" w:rsidRDefault="00B958B1" w:rsidP="009F3B54">
            <w:pPr>
              <w:pStyle w:val="Tabletext"/>
              <w:rPr>
                <w:lang w:eastAsia="en-AU"/>
              </w:rPr>
            </w:pPr>
            <w:r w:rsidRPr="005E5EE8">
              <w:rPr>
                <w:lang w:eastAsia="en-AU"/>
              </w:rPr>
              <w:t xml:space="preserve"> Provision of outputs</w:t>
            </w:r>
          </w:p>
        </w:tc>
        <w:tc>
          <w:tcPr>
            <w:tcW w:w="937" w:type="dxa"/>
            <w:tcBorders>
              <w:top w:val="nil"/>
              <w:left w:val="nil"/>
              <w:bottom w:val="nil"/>
              <w:right w:val="nil"/>
            </w:tcBorders>
            <w:shd w:val="solid" w:color="FFFFFF" w:fill="auto"/>
          </w:tcPr>
          <w:p w:rsidR="00B958B1" w:rsidRPr="005E5EE8" w:rsidRDefault="00B958B1" w:rsidP="009F3B54">
            <w:pPr>
              <w:pStyle w:val="TableofFigures"/>
              <w:rPr>
                <w:lang w:eastAsia="en-AU"/>
              </w:rPr>
            </w:pPr>
            <w:r w:rsidRPr="005E5EE8">
              <w:rPr>
                <w:lang w:eastAsia="en-AU"/>
              </w:rPr>
              <w:t xml:space="preserve"> 66.2</w:t>
            </w:r>
          </w:p>
        </w:tc>
        <w:tc>
          <w:tcPr>
            <w:tcW w:w="937" w:type="dxa"/>
            <w:tcBorders>
              <w:top w:val="nil"/>
              <w:left w:val="nil"/>
              <w:bottom w:val="nil"/>
              <w:right w:val="nil"/>
            </w:tcBorders>
            <w:shd w:val="solid" w:color="FFFFFF" w:fill="auto"/>
          </w:tcPr>
          <w:p w:rsidR="00B958B1" w:rsidRPr="005E5EE8" w:rsidRDefault="00B958B1" w:rsidP="009F3B54">
            <w:pPr>
              <w:pStyle w:val="TableofFigures"/>
              <w:rPr>
                <w:lang w:eastAsia="en-AU"/>
              </w:rPr>
            </w:pPr>
            <w:r w:rsidRPr="005E5EE8">
              <w:rPr>
                <w:lang w:eastAsia="en-AU"/>
              </w:rPr>
              <w:t xml:space="preserve"> 130.8</w:t>
            </w:r>
          </w:p>
        </w:tc>
        <w:tc>
          <w:tcPr>
            <w:tcW w:w="938" w:type="dxa"/>
            <w:tcBorders>
              <w:top w:val="nil"/>
              <w:left w:val="nil"/>
              <w:bottom w:val="nil"/>
              <w:right w:val="nil"/>
            </w:tcBorders>
            <w:shd w:val="solid" w:color="FFFFFF" w:fill="auto"/>
          </w:tcPr>
          <w:p w:rsidR="00B958B1" w:rsidRPr="005E5EE8" w:rsidRDefault="00B958B1" w:rsidP="009F3B54">
            <w:pPr>
              <w:pStyle w:val="TableofFigures"/>
              <w:rPr>
                <w:lang w:eastAsia="en-AU"/>
              </w:rPr>
            </w:pPr>
            <w:r w:rsidRPr="005E5EE8">
              <w:rPr>
                <w:lang w:eastAsia="en-AU"/>
              </w:rPr>
              <w:t xml:space="preserve"> 73.5</w:t>
            </w:r>
          </w:p>
        </w:tc>
      </w:tr>
      <w:tr w:rsidR="00B958B1" w:rsidRPr="005E5EE8" w:rsidTr="009F3B54">
        <w:tc>
          <w:tcPr>
            <w:tcW w:w="4964" w:type="dxa"/>
            <w:tcBorders>
              <w:top w:val="nil"/>
              <w:left w:val="nil"/>
              <w:bottom w:val="nil"/>
              <w:right w:val="nil"/>
            </w:tcBorders>
            <w:shd w:val="solid" w:color="FFFFFF" w:fill="auto"/>
          </w:tcPr>
          <w:p w:rsidR="00B958B1" w:rsidRPr="005E5EE8" w:rsidRDefault="00B958B1" w:rsidP="009F3B54">
            <w:pPr>
              <w:pStyle w:val="Tabletext"/>
              <w:rPr>
                <w:lang w:eastAsia="en-AU"/>
              </w:rPr>
            </w:pPr>
            <w:r w:rsidRPr="005E5EE8">
              <w:rPr>
                <w:lang w:eastAsia="en-AU"/>
              </w:rPr>
              <w:t xml:space="preserve"> Additions to the net asset base</w:t>
            </w:r>
          </w:p>
        </w:tc>
        <w:tc>
          <w:tcPr>
            <w:tcW w:w="937" w:type="dxa"/>
            <w:tcBorders>
              <w:top w:val="nil"/>
              <w:left w:val="nil"/>
              <w:bottom w:val="nil"/>
              <w:right w:val="nil"/>
            </w:tcBorders>
            <w:shd w:val="solid" w:color="FFFFFF" w:fill="auto"/>
          </w:tcPr>
          <w:p w:rsidR="00B958B1" w:rsidRPr="005E5EE8" w:rsidRDefault="00B958B1" w:rsidP="009F3B54">
            <w:pPr>
              <w:pStyle w:val="TableofFigures"/>
              <w:rPr>
                <w:lang w:eastAsia="en-AU"/>
              </w:rPr>
            </w:pPr>
            <w:r w:rsidRPr="005E5EE8">
              <w:rPr>
                <w:lang w:eastAsia="en-AU"/>
              </w:rPr>
              <w:t>..</w:t>
            </w:r>
          </w:p>
        </w:tc>
        <w:tc>
          <w:tcPr>
            <w:tcW w:w="937" w:type="dxa"/>
            <w:tcBorders>
              <w:top w:val="nil"/>
              <w:left w:val="nil"/>
              <w:bottom w:val="nil"/>
              <w:right w:val="nil"/>
            </w:tcBorders>
            <w:shd w:val="solid" w:color="FFFFFF" w:fill="auto"/>
          </w:tcPr>
          <w:p w:rsidR="00B958B1" w:rsidRPr="005E5EE8" w:rsidRDefault="00B958B1" w:rsidP="009F3B54">
            <w:pPr>
              <w:pStyle w:val="TableofFigures"/>
              <w:rPr>
                <w:lang w:eastAsia="en-AU"/>
              </w:rPr>
            </w:pPr>
            <w:r w:rsidRPr="005E5EE8">
              <w:rPr>
                <w:lang w:eastAsia="en-AU"/>
              </w:rPr>
              <w:t xml:space="preserve"> 151.3</w:t>
            </w:r>
          </w:p>
        </w:tc>
        <w:tc>
          <w:tcPr>
            <w:tcW w:w="938" w:type="dxa"/>
            <w:tcBorders>
              <w:top w:val="nil"/>
              <w:left w:val="nil"/>
              <w:bottom w:val="nil"/>
              <w:right w:val="nil"/>
            </w:tcBorders>
            <w:shd w:val="solid" w:color="FFFFFF" w:fill="auto"/>
          </w:tcPr>
          <w:p w:rsidR="00B958B1" w:rsidRPr="005E5EE8" w:rsidRDefault="00B958B1" w:rsidP="009F3B54">
            <w:pPr>
              <w:pStyle w:val="TableofFigures"/>
              <w:rPr>
                <w:lang w:eastAsia="en-AU"/>
              </w:rPr>
            </w:pPr>
            <w:r w:rsidRPr="005E5EE8">
              <w:rPr>
                <w:lang w:eastAsia="en-AU"/>
              </w:rPr>
              <w:t xml:space="preserve"> 52.4</w:t>
            </w:r>
          </w:p>
        </w:tc>
      </w:tr>
      <w:tr w:rsidR="00B958B1" w:rsidRPr="005E5EE8" w:rsidTr="009F3B54">
        <w:tc>
          <w:tcPr>
            <w:tcW w:w="4964" w:type="dxa"/>
            <w:tcBorders>
              <w:top w:val="nil"/>
              <w:left w:val="nil"/>
              <w:bottom w:val="single" w:sz="6" w:space="0" w:color="auto"/>
              <w:right w:val="nil"/>
            </w:tcBorders>
            <w:shd w:val="solid" w:color="FFFFFF" w:fill="auto"/>
          </w:tcPr>
          <w:p w:rsidR="00B958B1" w:rsidRPr="005E5EE8" w:rsidRDefault="00B958B1" w:rsidP="009F3B54">
            <w:pPr>
              <w:pStyle w:val="Tabletext"/>
              <w:rPr>
                <w:lang w:eastAsia="en-AU"/>
              </w:rPr>
            </w:pPr>
            <w:r w:rsidRPr="005E5EE8">
              <w:rPr>
                <w:lang w:eastAsia="en-AU"/>
              </w:rPr>
              <w:t>Accumulated surplus – previously applied appropriation</w:t>
            </w:r>
          </w:p>
        </w:tc>
        <w:tc>
          <w:tcPr>
            <w:tcW w:w="937" w:type="dxa"/>
            <w:tcBorders>
              <w:top w:val="nil"/>
              <w:left w:val="nil"/>
              <w:bottom w:val="single" w:sz="6" w:space="0" w:color="auto"/>
              <w:right w:val="nil"/>
            </w:tcBorders>
            <w:shd w:val="solid" w:color="FFFFFF" w:fill="auto"/>
          </w:tcPr>
          <w:p w:rsidR="00B958B1" w:rsidRPr="005E5EE8" w:rsidRDefault="00B958B1" w:rsidP="009F3B54">
            <w:pPr>
              <w:pStyle w:val="TableofFigures"/>
              <w:rPr>
                <w:lang w:eastAsia="en-AU"/>
              </w:rPr>
            </w:pPr>
            <w:r w:rsidRPr="005E5EE8">
              <w:rPr>
                <w:lang w:eastAsia="en-AU"/>
              </w:rPr>
              <w:t>..</w:t>
            </w:r>
          </w:p>
        </w:tc>
        <w:tc>
          <w:tcPr>
            <w:tcW w:w="937" w:type="dxa"/>
            <w:tcBorders>
              <w:top w:val="nil"/>
              <w:left w:val="nil"/>
              <w:bottom w:val="single" w:sz="6" w:space="0" w:color="auto"/>
              <w:right w:val="nil"/>
            </w:tcBorders>
            <w:shd w:val="solid" w:color="FFFFFF" w:fill="auto"/>
          </w:tcPr>
          <w:p w:rsidR="00B958B1" w:rsidRPr="005E5EE8" w:rsidRDefault="00B958B1" w:rsidP="009F3B54">
            <w:pPr>
              <w:pStyle w:val="TableofFigures"/>
              <w:rPr>
                <w:lang w:eastAsia="en-AU"/>
              </w:rPr>
            </w:pPr>
            <w:r w:rsidRPr="005E5EE8">
              <w:rPr>
                <w:lang w:eastAsia="en-AU"/>
              </w:rPr>
              <w:t xml:space="preserve"> 24.8</w:t>
            </w:r>
          </w:p>
        </w:tc>
        <w:tc>
          <w:tcPr>
            <w:tcW w:w="938" w:type="dxa"/>
            <w:tcBorders>
              <w:top w:val="nil"/>
              <w:left w:val="nil"/>
              <w:bottom w:val="single" w:sz="6" w:space="0" w:color="auto"/>
              <w:right w:val="nil"/>
            </w:tcBorders>
            <w:shd w:val="solid" w:color="FFFFFF" w:fill="auto"/>
          </w:tcPr>
          <w:p w:rsidR="00B958B1" w:rsidRPr="005E5EE8" w:rsidRDefault="00B958B1" w:rsidP="009F3B54">
            <w:pPr>
              <w:pStyle w:val="TableofFigures"/>
              <w:rPr>
                <w:lang w:eastAsia="en-AU"/>
              </w:rPr>
            </w:pPr>
            <w:r w:rsidRPr="005E5EE8">
              <w:rPr>
                <w:lang w:eastAsia="en-AU"/>
              </w:rPr>
              <w:t>..</w:t>
            </w:r>
          </w:p>
        </w:tc>
      </w:tr>
      <w:tr w:rsidR="00B958B1" w:rsidRPr="005E5EE8" w:rsidTr="009F3B54">
        <w:tc>
          <w:tcPr>
            <w:tcW w:w="4964" w:type="dxa"/>
            <w:tcBorders>
              <w:top w:val="nil"/>
              <w:left w:val="nil"/>
              <w:bottom w:val="nil"/>
              <w:right w:val="nil"/>
            </w:tcBorders>
            <w:shd w:val="solid" w:color="FFFFFF" w:fill="auto"/>
          </w:tcPr>
          <w:p w:rsidR="00B958B1" w:rsidRPr="005E5EE8" w:rsidRDefault="00B958B1" w:rsidP="009F3B54">
            <w:pPr>
              <w:pStyle w:val="Tabletext"/>
              <w:rPr>
                <w:b/>
                <w:bCs/>
                <w:lang w:eastAsia="en-AU"/>
              </w:rPr>
            </w:pPr>
            <w:r w:rsidRPr="005E5EE8">
              <w:rPr>
                <w:b/>
                <w:bCs/>
                <w:lang w:eastAsia="en-AU"/>
              </w:rPr>
              <w:t>Gross annual appropriation</w:t>
            </w:r>
          </w:p>
        </w:tc>
        <w:tc>
          <w:tcPr>
            <w:tcW w:w="937" w:type="dxa"/>
            <w:tcBorders>
              <w:top w:val="nil"/>
              <w:left w:val="nil"/>
              <w:bottom w:val="nil"/>
              <w:right w:val="nil"/>
            </w:tcBorders>
            <w:shd w:val="solid" w:color="FFFFFF" w:fill="auto"/>
          </w:tcPr>
          <w:p w:rsidR="00B958B1" w:rsidRPr="005E5EE8" w:rsidRDefault="00B958B1" w:rsidP="009F3B54">
            <w:pPr>
              <w:pStyle w:val="TableofFigures"/>
              <w:rPr>
                <w:rFonts w:cs="Calibri"/>
                <w:b/>
                <w:bCs/>
                <w:lang w:eastAsia="en-AU"/>
              </w:rPr>
            </w:pPr>
            <w:r w:rsidRPr="005E5EE8">
              <w:rPr>
                <w:b/>
                <w:bCs/>
                <w:lang w:eastAsia="en-AU"/>
              </w:rPr>
              <w:t xml:space="preserve">8 </w:t>
            </w:r>
            <w:r w:rsidRPr="005E5EE8">
              <w:rPr>
                <w:rFonts w:cs="Calibri"/>
                <w:b/>
                <w:bCs/>
                <w:lang w:eastAsia="en-AU"/>
              </w:rPr>
              <w:t>082.6</w:t>
            </w:r>
          </w:p>
        </w:tc>
        <w:tc>
          <w:tcPr>
            <w:tcW w:w="937" w:type="dxa"/>
            <w:tcBorders>
              <w:top w:val="nil"/>
              <w:left w:val="nil"/>
              <w:bottom w:val="nil"/>
              <w:right w:val="nil"/>
            </w:tcBorders>
            <w:shd w:val="solid" w:color="FFFFFF" w:fill="auto"/>
          </w:tcPr>
          <w:p w:rsidR="00B958B1" w:rsidRPr="005E5EE8" w:rsidRDefault="00B958B1" w:rsidP="009F3B54">
            <w:pPr>
              <w:pStyle w:val="TableofFigures"/>
              <w:rPr>
                <w:rFonts w:cs="Calibri"/>
                <w:b/>
                <w:bCs/>
                <w:lang w:eastAsia="en-AU"/>
              </w:rPr>
            </w:pPr>
            <w:r w:rsidRPr="005E5EE8">
              <w:rPr>
                <w:b/>
                <w:bCs/>
                <w:lang w:eastAsia="en-AU"/>
              </w:rPr>
              <w:t xml:space="preserve">8 </w:t>
            </w:r>
            <w:r w:rsidRPr="005E5EE8">
              <w:rPr>
                <w:rFonts w:cs="Calibri"/>
                <w:b/>
                <w:bCs/>
                <w:lang w:eastAsia="en-AU"/>
              </w:rPr>
              <w:t>775.6</w:t>
            </w:r>
          </w:p>
        </w:tc>
        <w:tc>
          <w:tcPr>
            <w:tcW w:w="938" w:type="dxa"/>
            <w:tcBorders>
              <w:top w:val="nil"/>
              <w:left w:val="nil"/>
              <w:bottom w:val="nil"/>
              <w:right w:val="nil"/>
            </w:tcBorders>
            <w:shd w:val="solid" w:color="FFFFFF" w:fill="auto"/>
          </w:tcPr>
          <w:p w:rsidR="00B958B1" w:rsidRPr="005E5EE8" w:rsidRDefault="00B958B1" w:rsidP="009F3B54">
            <w:pPr>
              <w:pStyle w:val="TableofFigures"/>
              <w:rPr>
                <w:rFonts w:cs="Calibri"/>
                <w:b/>
                <w:bCs/>
                <w:lang w:eastAsia="en-AU"/>
              </w:rPr>
            </w:pPr>
            <w:r w:rsidRPr="005E5EE8">
              <w:rPr>
                <w:b/>
                <w:bCs/>
                <w:lang w:eastAsia="en-AU"/>
              </w:rPr>
              <w:t xml:space="preserve">8 </w:t>
            </w:r>
            <w:r w:rsidRPr="005E5EE8">
              <w:rPr>
                <w:rFonts w:cs="Calibri"/>
                <w:b/>
                <w:bCs/>
                <w:lang w:eastAsia="en-AU"/>
              </w:rPr>
              <w:t>472.5</w:t>
            </w:r>
          </w:p>
        </w:tc>
      </w:tr>
      <w:tr w:rsidR="00B958B1" w:rsidRPr="005E5EE8" w:rsidTr="009F3B54">
        <w:tc>
          <w:tcPr>
            <w:tcW w:w="4964" w:type="dxa"/>
            <w:tcBorders>
              <w:top w:val="nil"/>
              <w:left w:val="nil"/>
              <w:bottom w:val="nil"/>
              <w:right w:val="nil"/>
            </w:tcBorders>
            <w:shd w:val="solid" w:color="FFFFFF" w:fill="auto"/>
          </w:tcPr>
          <w:p w:rsidR="00B958B1" w:rsidRPr="005E5EE8" w:rsidRDefault="00B958B1" w:rsidP="009F3B54">
            <w:pPr>
              <w:pStyle w:val="Tabletext"/>
              <w:rPr>
                <w:lang w:eastAsia="en-AU"/>
              </w:rPr>
            </w:pPr>
            <w:r w:rsidRPr="005E5EE8">
              <w:rPr>
                <w:lang w:eastAsia="en-AU"/>
              </w:rPr>
              <w:t>Special appropriations</w:t>
            </w:r>
          </w:p>
        </w:tc>
        <w:tc>
          <w:tcPr>
            <w:tcW w:w="937" w:type="dxa"/>
            <w:tcBorders>
              <w:top w:val="nil"/>
              <w:left w:val="nil"/>
              <w:bottom w:val="nil"/>
              <w:right w:val="nil"/>
            </w:tcBorders>
            <w:shd w:val="solid" w:color="FFFFFF" w:fill="auto"/>
          </w:tcPr>
          <w:p w:rsidR="00B958B1" w:rsidRPr="005E5EE8" w:rsidRDefault="00B958B1" w:rsidP="009F3B54">
            <w:pPr>
              <w:pStyle w:val="TableofFigures"/>
              <w:rPr>
                <w:rFonts w:cs="Calibri"/>
                <w:lang w:eastAsia="en-AU"/>
              </w:rPr>
            </w:pPr>
            <w:r w:rsidRPr="005E5EE8">
              <w:rPr>
                <w:lang w:eastAsia="en-AU"/>
              </w:rPr>
              <w:t xml:space="preserve">1 </w:t>
            </w:r>
            <w:r w:rsidRPr="005E5EE8">
              <w:rPr>
                <w:rFonts w:cs="Calibri"/>
                <w:lang w:eastAsia="en-AU"/>
              </w:rPr>
              <w:t>332.2</w:t>
            </w:r>
          </w:p>
        </w:tc>
        <w:tc>
          <w:tcPr>
            <w:tcW w:w="937" w:type="dxa"/>
            <w:tcBorders>
              <w:top w:val="nil"/>
              <w:left w:val="nil"/>
              <w:bottom w:val="nil"/>
              <w:right w:val="nil"/>
            </w:tcBorders>
            <w:shd w:val="solid" w:color="FFFFFF" w:fill="auto"/>
          </w:tcPr>
          <w:p w:rsidR="00B958B1" w:rsidRPr="005E5EE8" w:rsidRDefault="00B958B1" w:rsidP="009F3B54">
            <w:pPr>
              <w:pStyle w:val="TableofFigures"/>
              <w:rPr>
                <w:rFonts w:cs="Calibri"/>
                <w:lang w:eastAsia="en-AU"/>
              </w:rPr>
            </w:pPr>
            <w:r w:rsidRPr="005E5EE8">
              <w:rPr>
                <w:lang w:eastAsia="en-AU"/>
              </w:rPr>
              <w:t xml:space="preserve">1 </w:t>
            </w:r>
            <w:r w:rsidRPr="005E5EE8">
              <w:rPr>
                <w:rFonts w:cs="Calibri"/>
                <w:lang w:eastAsia="en-AU"/>
              </w:rPr>
              <w:t>415.4</w:t>
            </w:r>
          </w:p>
        </w:tc>
        <w:tc>
          <w:tcPr>
            <w:tcW w:w="938" w:type="dxa"/>
            <w:tcBorders>
              <w:top w:val="nil"/>
              <w:left w:val="nil"/>
              <w:bottom w:val="nil"/>
              <w:right w:val="nil"/>
            </w:tcBorders>
            <w:shd w:val="solid" w:color="FFFFFF" w:fill="auto"/>
          </w:tcPr>
          <w:p w:rsidR="00B958B1" w:rsidRPr="005E5EE8" w:rsidRDefault="00B958B1" w:rsidP="009F3B54">
            <w:pPr>
              <w:pStyle w:val="TableofFigures"/>
              <w:rPr>
                <w:rFonts w:cs="Calibri"/>
                <w:lang w:eastAsia="en-AU"/>
              </w:rPr>
            </w:pPr>
            <w:r w:rsidRPr="005E5EE8">
              <w:rPr>
                <w:lang w:eastAsia="en-AU"/>
              </w:rPr>
              <w:t xml:space="preserve">1 </w:t>
            </w:r>
            <w:r w:rsidRPr="005E5EE8">
              <w:rPr>
                <w:rFonts w:cs="Calibri"/>
                <w:lang w:eastAsia="en-AU"/>
              </w:rPr>
              <w:t>445.4</w:t>
            </w:r>
          </w:p>
        </w:tc>
      </w:tr>
      <w:tr w:rsidR="00B958B1" w:rsidRPr="005E5EE8" w:rsidTr="009F3B54">
        <w:tc>
          <w:tcPr>
            <w:tcW w:w="4964" w:type="dxa"/>
            <w:tcBorders>
              <w:top w:val="nil"/>
              <w:left w:val="nil"/>
              <w:bottom w:val="single" w:sz="6" w:space="0" w:color="auto"/>
              <w:right w:val="nil"/>
            </w:tcBorders>
            <w:shd w:val="solid" w:color="FFFFFF" w:fill="auto"/>
          </w:tcPr>
          <w:p w:rsidR="00B958B1" w:rsidRPr="005E5EE8" w:rsidRDefault="00B958B1" w:rsidP="009F3B54">
            <w:pPr>
              <w:pStyle w:val="Tabletext"/>
              <w:rPr>
                <w:lang w:eastAsia="en-AU"/>
              </w:rPr>
            </w:pPr>
            <w:r w:rsidRPr="005E5EE8">
              <w:rPr>
                <w:lang w:eastAsia="en-AU"/>
              </w:rPr>
              <w:t>Trust funds</w:t>
            </w:r>
          </w:p>
        </w:tc>
        <w:tc>
          <w:tcPr>
            <w:tcW w:w="937" w:type="dxa"/>
            <w:tcBorders>
              <w:top w:val="nil"/>
              <w:left w:val="nil"/>
              <w:bottom w:val="single" w:sz="6" w:space="0" w:color="auto"/>
              <w:right w:val="nil"/>
            </w:tcBorders>
            <w:shd w:val="solid" w:color="FFFFFF" w:fill="auto"/>
          </w:tcPr>
          <w:p w:rsidR="00B958B1" w:rsidRPr="005E5EE8" w:rsidRDefault="00B958B1" w:rsidP="009F3B54">
            <w:pPr>
              <w:pStyle w:val="TableofFigures"/>
              <w:rPr>
                <w:rFonts w:cs="Calibri"/>
                <w:lang w:eastAsia="en-AU"/>
              </w:rPr>
            </w:pPr>
            <w:r w:rsidRPr="005E5EE8">
              <w:rPr>
                <w:lang w:eastAsia="en-AU"/>
              </w:rPr>
              <w:t xml:space="preserve">3 </w:t>
            </w:r>
            <w:r w:rsidRPr="005E5EE8">
              <w:rPr>
                <w:rFonts w:cs="Calibri"/>
                <w:lang w:eastAsia="en-AU"/>
              </w:rPr>
              <w:t>480.3</w:t>
            </w:r>
          </w:p>
        </w:tc>
        <w:tc>
          <w:tcPr>
            <w:tcW w:w="937" w:type="dxa"/>
            <w:tcBorders>
              <w:top w:val="nil"/>
              <w:left w:val="nil"/>
              <w:bottom w:val="single" w:sz="6" w:space="0" w:color="auto"/>
              <w:right w:val="nil"/>
            </w:tcBorders>
            <w:shd w:val="solid" w:color="FFFFFF" w:fill="auto"/>
          </w:tcPr>
          <w:p w:rsidR="00B958B1" w:rsidRPr="005E5EE8" w:rsidRDefault="00B958B1" w:rsidP="009F3B54">
            <w:pPr>
              <w:pStyle w:val="TableofFigures"/>
              <w:rPr>
                <w:rFonts w:cs="Calibri"/>
                <w:lang w:eastAsia="en-AU"/>
              </w:rPr>
            </w:pPr>
            <w:r w:rsidRPr="005E5EE8">
              <w:rPr>
                <w:lang w:eastAsia="en-AU"/>
              </w:rPr>
              <w:t xml:space="preserve">2 </w:t>
            </w:r>
            <w:r w:rsidRPr="005E5EE8">
              <w:rPr>
                <w:rFonts w:cs="Calibri"/>
                <w:lang w:eastAsia="en-AU"/>
              </w:rPr>
              <w:t>461.7</w:t>
            </w:r>
          </w:p>
        </w:tc>
        <w:tc>
          <w:tcPr>
            <w:tcW w:w="938" w:type="dxa"/>
            <w:tcBorders>
              <w:top w:val="nil"/>
              <w:left w:val="nil"/>
              <w:bottom w:val="single" w:sz="6" w:space="0" w:color="auto"/>
              <w:right w:val="nil"/>
            </w:tcBorders>
            <w:shd w:val="solid" w:color="FFFFFF" w:fill="auto"/>
          </w:tcPr>
          <w:p w:rsidR="00B958B1" w:rsidRPr="005E5EE8" w:rsidRDefault="00B958B1" w:rsidP="009F3B54">
            <w:pPr>
              <w:pStyle w:val="TableofFigures"/>
              <w:rPr>
                <w:rFonts w:cs="Calibri"/>
                <w:lang w:eastAsia="en-AU"/>
              </w:rPr>
            </w:pPr>
            <w:r w:rsidRPr="005E5EE8">
              <w:rPr>
                <w:lang w:eastAsia="en-AU"/>
              </w:rPr>
              <w:t xml:space="preserve">3 </w:t>
            </w:r>
            <w:r w:rsidRPr="005E5EE8">
              <w:rPr>
                <w:rFonts w:cs="Calibri"/>
                <w:lang w:eastAsia="en-AU"/>
              </w:rPr>
              <w:t>572.6</w:t>
            </w:r>
          </w:p>
        </w:tc>
      </w:tr>
      <w:tr w:rsidR="00B958B1" w:rsidRPr="005E5EE8" w:rsidTr="009F3B54">
        <w:tc>
          <w:tcPr>
            <w:tcW w:w="4964" w:type="dxa"/>
            <w:tcBorders>
              <w:top w:val="nil"/>
              <w:left w:val="nil"/>
              <w:bottom w:val="single" w:sz="12" w:space="0" w:color="auto"/>
              <w:right w:val="nil"/>
            </w:tcBorders>
            <w:shd w:val="solid" w:color="FFFFFF" w:fill="auto"/>
          </w:tcPr>
          <w:p w:rsidR="00B958B1" w:rsidRPr="005E5EE8" w:rsidRDefault="00B958B1" w:rsidP="009F3B54">
            <w:pPr>
              <w:pStyle w:val="Tabletext"/>
              <w:rPr>
                <w:b/>
                <w:bCs/>
                <w:lang w:eastAsia="en-AU"/>
              </w:rPr>
            </w:pPr>
            <w:r w:rsidRPr="005E5EE8">
              <w:rPr>
                <w:b/>
                <w:bCs/>
                <w:lang w:eastAsia="en-AU"/>
              </w:rPr>
              <w:t>Total parliamentary authority</w:t>
            </w:r>
          </w:p>
        </w:tc>
        <w:tc>
          <w:tcPr>
            <w:tcW w:w="937" w:type="dxa"/>
            <w:tcBorders>
              <w:top w:val="nil"/>
              <w:left w:val="nil"/>
              <w:bottom w:val="single" w:sz="12" w:space="0" w:color="auto"/>
              <w:right w:val="nil"/>
            </w:tcBorders>
            <w:shd w:val="solid" w:color="FFFFFF" w:fill="auto"/>
          </w:tcPr>
          <w:p w:rsidR="00B958B1" w:rsidRPr="005E5EE8" w:rsidRDefault="00B958B1" w:rsidP="009F3B54">
            <w:pPr>
              <w:pStyle w:val="TableofFigures"/>
              <w:rPr>
                <w:rFonts w:cs="Calibri"/>
                <w:b/>
                <w:bCs/>
                <w:lang w:eastAsia="en-AU"/>
              </w:rPr>
            </w:pPr>
            <w:r w:rsidRPr="005E5EE8">
              <w:rPr>
                <w:b/>
                <w:bCs/>
                <w:lang w:eastAsia="en-AU"/>
              </w:rPr>
              <w:t xml:space="preserve">12 </w:t>
            </w:r>
            <w:r w:rsidRPr="005E5EE8">
              <w:rPr>
                <w:rFonts w:cs="Calibri"/>
                <w:b/>
                <w:bCs/>
                <w:lang w:eastAsia="en-AU"/>
              </w:rPr>
              <w:t>895.2</w:t>
            </w:r>
          </w:p>
        </w:tc>
        <w:tc>
          <w:tcPr>
            <w:tcW w:w="937" w:type="dxa"/>
            <w:tcBorders>
              <w:top w:val="nil"/>
              <w:left w:val="nil"/>
              <w:bottom w:val="single" w:sz="12" w:space="0" w:color="auto"/>
              <w:right w:val="nil"/>
            </w:tcBorders>
            <w:shd w:val="solid" w:color="FFFFFF" w:fill="auto"/>
          </w:tcPr>
          <w:p w:rsidR="00B958B1" w:rsidRPr="005E5EE8" w:rsidRDefault="00B958B1" w:rsidP="009F3B54">
            <w:pPr>
              <w:pStyle w:val="TableofFigures"/>
              <w:rPr>
                <w:rFonts w:cs="Calibri"/>
                <w:b/>
                <w:bCs/>
                <w:lang w:eastAsia="en-AU"/>
              </w:rPr>
            </w:pPr>
            <w:r w:rsidRPr="005E5EE8">
              <w:rPr>
                <w:b/>
                <w:bCs/>
                <w:lang w:eastAsia="en-AU"/>
              </w:rPr>
              <w:t xml:space="preserve">12 </w:t>
            </w:r>
            <w:r w:rsidRPr="005E5EE8">
              <w:rPr>
                <w:rFonts w:cs="Calibri"/>
                <w:b/>
                <w:bCs/>
                <w:lang w:eastAsia="en-AU"/>
              </w:rPr>
              <w:t>652.6</w:t>
            </w:r>
          </w:p>
        </w:tc>
        <w:tc>
          <w:tcPr>
            <w:tcW w:w="938" w:type="dxa"/>
            <w:tcBorders>
              <w:top w:val="nil"/>
              <w:left w:val="nil"/>
              <w:bottom w:val="single" w:sz="12" w:space="0" w:color="auto"/>
              <w:right w:val="nil"/>
            </w:tcBorders>
            <w:shd w:val="solid" w:color="FFFFFF" w:fill="auto"/>
          </w:tcPr>
          <w:p w:rsidR="00B958B1" w:rsidRPr="005E5EE8" w:rsidRDefault="00B958B1" w:rsidP="009F3B54">
            <w:pPr>
              <w:pStyle w:val="TableofFigures"/>
              <w:rPr>
                <w:rFonts w:cs="Calibri"/>
                <w:b/>
                <w:bCs/>
                <w:lang w:eastAsia="en-AU"/>
              </w:rPr>
            </w:pPr>
            <w:r w:rsidRPr="005E5EE8">
              <w:rPr>
                <w:b/>
                <w:bCs/>
                <w:lang w:eastAsia="en-AU"/>
              </w:rPr>
              <w:t xml:space="preserve">13 </w:t>
            </w:r>
            <w:r w:rsidRPr="005E5EE8">
              <w:rPr>
                <w:rFonts w:cs="Calibri"/>
                <w:b/>
                <w:bCs/>
                <w:lang w:eastAsia="en-AU"/>
              </w:rPr>
              <w:t>490.5</w:t>
            </w:r>
          </w:p>
        </w:tc>
      </w:tr>
    </w:tbl>
    <w:p w:rsidR="00B958B1" w:rsidRPr="000A6CE5" w:rsidRDefault="00B958B1" w:rsidP="009F3B54">
      <w:pPr>
        <w:pStyle w:val="Source"/>
        <w:rPr>
          <w:lang w:eastAsia="en-AU"/>
        </w:rPr>
      </w:pPr>
      <w:r w:rsidRPr="000A6CE5">
        <w:t>Sources</w:t>
      </w:r>
      <w:r w:rsidRPr="000A6CE5">
        <w:rPr>
          <w:lang w:eastAsia="en-AU"/>
        </w:rPr>
        <w:t>: Departments of Health and Treasury and Finance</w:t>
      </w:r>
    </w:p>
    <w:p w:rsidR="00B958B1" w:rsidRPr="000A6CE5" w:rsidRDefault="00B958B1" w:rsidP="009F3B54">
      <w:pPr>
        <w:pStyle w:val="Notes"/>
      </w:pPr>
      <w:r>
        <w:rPr>
          <w:rFonts w:cs="Calibri"/>
          <w:szCs w:val="15"/>
        </w:rPr>
        <w:fldChar w:fldCharType="begin"/>
      </w:r>
      <w:r>
        <w:instrText xml:space="preserve"> XE "</w:instrText>
      </w:r>
      <w:r w:rsidRPr="0046105E">
        <w:instrText>Department of Health:</w:instrText>
      </w:r>
      <w:r>
        <w:instrText xml:space="preserve">Parliamentary authority for resources" </w:instrText>
      </w:r>
      <w:r>
        <w:rPr>
          <w:rFonts w:cs="Calibri"/>
          <w:szCs w:val="15"/>
        </w:rPr>
        <w:fldChar w:fldCharType="end"/>
      </w:r>
      <w:r w:rsidRPr="000A6CE5">
        <w:t>Note:</w:t>
      </w:r>
    </w:p>
    <w:p w:rsidR="00B958B1" w:rsidRPr="000A6CE5" w:rsidRDefault="00B958B1" w:rsidP="009F3B54">
      <w:pPr>
        <w:pStyle w:val="Notes"/>
      </w:pPr>
      <w:r w:rsidRPr="000A6CE5">
        <w:t>(a)</w:t>
      </w:r>
      <w:r w:rsidRPr="000A6CE5">
        <w:tab/>
        <w:t>The movement in the 2012</w:t>
      </w:r>
      <w:r w:rsidR="009F0F49">
        <w:noBreakHyphen/>
      </w:r>
      <w:r w:rsidRPr="000A6CE5">
        <w:t>13 revised reflects the delayed implementation of the National Health Reform Agreement which commenced on 1 October 2013.</w:t>
      </w:r>
    </w:p>
    <w:p w:rsidR="00B958B1" w:rsidRDefault="00B958B1" w:rsidP="009F3B54">
      <w:pPr>
        <w:pStyle w:val="Source"/>
      </w:pPr>
    </w:p>
    <w:p w:rsidR="00B958B1" w:rsidRDefault="00B958B1" w:rsidP="009F3B54">
      <w:pPr>
        <w:pStyle w:val="OGHeading1"/>
      </w:pPr>
      <w:r>
        <w:br w:type="page"/>
      </w:r>
      <w:bookmarkStart w:id="104" w:name="BP3DHAcuteHealth"/>
      <w:r>
        <w:t>Acute Health Services</w:t>
      </w:r>
    </w:p>
    <w:p w:rsidR="00B958B1" w:rsidRDefault="00B958B1" w:rsidP="009F3B54">
      <w:pPr>
        <w:pStyle w:val="OGText"/>
      </w:pPr>
      <w:r>
        <w:t>Acute Health Services outputs provide a range of timely and high</w:t>
      </w:r>
      <w:r w:rsidR="009F0F49">
        <w:noBreakHyphen/>
      </w:r>
      <w:r>
        <w:t>quality acute hospital inpatient, ambulatory, emergency, community</w:t>
      </w:r>
      <w:r w:rsidR="009F0F49">
        <w:noBreakHyphen/>
      </w:r>
      <w:r>
        <w:t>based and specialist services. This output group contributes to the Department’s priority of achieving the best health and wellbeing for all Victorians through developing service and system capacity, increasing accountability and transparency, improving quality and safety and driving improvement and innovation.</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D32CA4" w:rsidTr="009F3B54">
        <w:trPr>
          <w:cantSplit/>
          <w:tblHeader/>
        </w:trPr>
        <w:tc>
          <w:tcPr>
            <w:tcW w:w="3155" w:type="dxa"/>
            <w:tcBorders>
              <w:top w:val="single" w:sz="4" w:space="0" w:color="auto"/>
              <w:left w:val="single" w:sz="4" w:space="0" w:color="auto"/>
              <w:bottom w:val="single" w:sz="4" w:space="0" w:color="auto"/>
              <w:right w:val="nil"/>
            </w:tcBorders>
            <w:shd w:val="clear" w:color="auto" w:fill="000000"/>
            <w:vAlign w:val="bottom"/>
          </w:tcPr>
          <w:p w:rsidR="00B958B1" w:rsidRPr="00D32CA4" w:rsidRDefault="00B958B1" w:rsidP="009F3B54">
            <w:pPr>
              <w:pStyle w:val="OGTabColLeft"/>
              <w:rPr>
                <w:i/>
              </w:rPr>
            </w:pPr>
            <w:r w:rsidRPr="00D32CA4">
              <w:t>Major Outputs/Deliverables</w:t>
            </w:r>
            <w:r w:rsidRPr="00D32CA4">
              <w:br/>
            </w:r>
            <w:r w:rsidRPr="0085011C">
              <w:rPr>
                <w:b w:val="0"/>
                <w:i/>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3"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63769A" w:rsidTr="009F3B54">
        <w:trPr>
          <w:cantSplit/>
        </w:trPr>
        <w:tc>
          <w:tcPr>
            <w:tcW w:w="7776" w:type="dxa"/>
            <w:gridSpan w:val="6"/>
            <w:tcBorders>
              <w:top w:val="nil"/>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Admitted Services</w:t>
            </w:r>
          </w:p>
        </w:tc>
      </w:tr>
      <w:tr w:rsidR="00B958B1" w:rsidRPr="0063769A" w:rsidTr="009F3B54">
        <w:trPr>
          <w:cantSplit/>
          <w:trHeight w:val="569"/>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TabText"/>
              <w:rPr>
                <w:lang w:eastAsia="en-AU"/>
              </w:rPr>
            </w:pPr>
            <w:r w:rsidRPr="0063769A">
              <w:rPr>
                <w:lang w:eastAsia="en-AU"/>
              </w:rPr>
              <w:t>Acute and sub</w:t>
            </w:r>
            <w:r w:rsidR="009F0F49">
              <w:rPr>
                <w:lang w:eastAsia="en-AU"/>
              </w:rPr>
              <w:noBreakHyphen/>
            </w:r>
            <w:r w:rsidRPr="0063769A">
              <w:rPr>
                <w:lang w:eastAsia="en-AU"/>
              </w:rPr>
              <w:t>acute patient services (elective and non</w:t>
            </w:r>
            <w:r w:rsidR="009F0F49">
              <w:rPr>
                <w:lang w:eastAsia="en-AU"/>
              </w:rPr>
              <w:noBreakHyphen/>
            </w:r>
            <w:r w:rsidRPr="0063769A">
              <w:rPr>
                <w:lang w:eastAsia="en-AU"/>
              </w:rPr>
              <w:t>elective) provided in Victorian metropolitan and rural public hospitals.</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Quantity</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Palliative care bed days</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number (000)</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92</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92</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92</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95</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Sub</w:t>
            </w:r>
            <w:r w:rsidR="009F0F49">
              <w:rPr>
                <w:color w:val="000000"/>
                <w:lang w:eastAsia="en-AU"/>
              </w:rPr>
              <w:noBreakHyphen/>
            </w:r>
            <w:r w:rsidRPr="0063769A">
              <w:rPr>
                <w:color w:val="000000"/>
                <w:lang w:eastAsia="en-AU"/>
              </w:rPr>
              <w:t>acute bed days</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number (000)</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733</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714</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714</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700</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pPr>
            <w:r w:rsidRPr="0063769A">
              <w:t>The higher 2013</w:t>
            </w:r>
            <w:r w:rsidR="009F0F49">
              <w:noBreakHyphen/>
            </w:r>
            <w:r w:rsidRPr="0063769A">
              <w:t>14 Target reflects additional activity growth.</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separations</w:t>
            </w:r>
            <w:r>
              <w:rPr>
                <w:color w:val="000000"/>
                <w:lang w:eastAsia="en-AU"/>
              </w:rPr>
              <w:t xml:space="preserve"> – </w:t>
            </w:r>
            <w:r w:rsidRPr="0063769A">
              <w:rPr>
                <w:color w:val="000000"/>
                <w:lang w:eastAsia="en-AU"/>
              </w:rPr>
              <w:t>all hospitals</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number (000)</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477</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449</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423</w:t>
            </w:r>
            <w:r>
              <w:rPr>
                <w:color w:val="000000"/>
                <w:lang w:eastAsia="en-AU"/>
              </w:rPr>
              <w:t xml:space="preserve"> </w:t>
            </w:r>
            <w:r w:rsidRPr="0063769A">
              <w:rPr>
                <w:color w:val="000000"/>
                <w:lang w:eastAsia="en-AU"/>
              </w:rPr>
              <w:t>(1</w:t>
            </w:r>
            <w:r>
              <w:rPr>
                <w:color w:val="000000"/>
                <w:lang w:eastAsia="en-AU"/>
              </w:rPr>
              <w:t> </w:t>
            </w:r>
            <w:r w:rsidRPr="0063769A">
              <w:rPr>
                <w:color w:val="000000"/>
                <w:lang w:eastAsia="en-AU"/>
              </w:rPr>
              <w:t>566)</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Pr>
                <w:color w:val="000000"/>
                <w:lang w:eastAsia="en-AU"/>
              </w:rPr>
              <w:t>na</w:t>
            </w:r>
            <w:r>
              <w:rPr>
                <w:color w:val="000000"/>
                <w:lang w:eastAsia="en-AU"/>
              </w:rPr>
              <w:br/>
              <w:t>(</w:t>
            </w:r>
            <w:r w:rsidRPr="0063769A">
              <w:rPr>
                <w:color w:val="000000"/>
                <w:lang w:eastAsia="en-AU"/>
              </w:rPr>
              <w:t>1</w:t>
            </w:r>
            <w:r>
              <w:rPr>
                <w:color w:val="000000"/>
                <w:lang w:eastAsia="en-AU"/>
              </w:rPr>
              <w:t> </w:t>
            </w:r>
            <w:r w:rsidRPr="0063769A">
              <w:rPr>
                <w:color w:val="000000"/>
                <w:lang w:eastAsia="en-AU"/>
              </w:rPr>
              <w:t>589</w:t>
            </w:r>
            <w:r>
              <w:rPr>
                <w:color w:val="000000"/>
                <w:lang w:eastAsia="en-AU"/>
              </w:rPr>
              <w:t>)</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t xml:space="preserve">The </w:t>
            </w:r>
            <w:r w:rsidRPr="0063769A">
              <w:t>2012</w:t>
            </w:r>
            <w:r w:rsidR="009F0F49">
              <w:noBreakHyphen/>
            </w:r>
            <w:r w:rsidRPr="0063769A">
              <w:t>13 Target has been adjusted to account for the impact of changes to admission policy from 1 July 2012, as a result of national hospital funding reforms. These changes result in some hospital activity which was previously counted as admitted activity now being counted as non</w:t>
            </w:r>
            <w:r w:rsidR="009F0F49">
              <w:noBreakHyphen/>
            </w:r>
            <w:r w:rsidRPr="0063769A">
              <w:t xml:space="preserve">admitted activity. </w:t>
            </w:r>
          </w:p>
          <w:p w:rsidR="00B958B1" w:rsidRDefault="00B958B1" w:rsidP="009F3B54">
            <w:pPr>
              <w:pStyle w:val="OGNotes"/>
            </w:pPr>
            <w:r w:rsidRPr="0063769A">
              <w:t>The lower 2012</w:t>
            </w:r>
            <w:r w:rsidR="009F0F49">
              <w:noBreakHyphen/>
            </w:r>
            <w:r w:rsidRPr="0063769A">
              <w:t>13 Expected Outcome also reflects the disruption to hospital activity caused by mid</w:t>
            </w:r>
            <w:r w:rsidR="009F0F49">
              <w:noBreakHyphen/>
            </w:r>
            <w:r w:rsidRPr="0063769A">
              <w:t xml:space="preserve">year changes to Commonwealth funding levels. </w:t>
            </w:r>
          </w:p>
          <w:p w:rsidR="00B958B1" w:rsidRPr="0063769A" w:rsidRDefault="00B958B1" w:rsidP="009F3B54">
            <w:pPr>
              <w:pStyle w:val="OGNotes"/>
            </w:pPr>
            <w:r w:rsidRPr="0063769A">
              <w:t xml:space="preserve">The </w:t>
            </w:r>
            <w:r>
              <w:t xml:space="preserve">higher </w:t>
            </w:r>
            <w:r w:rsidRPr="0063769A">
              <w:t>2013</w:t>
            </w:r>
            <w:r w:rsidR="009F0F49">
              <w:noBreakHyphen/>
            </w:r>
            <w:r w:rsidRPr="0063769A">
              <w:t xml:space="preserve">14 Target </w:t>
            </w:r>
            <w:r>
              <w:t xml:space="preserve">reflects </w:t>
            </w:r>
            <w:r w:rsidRPr="0063769A">
              <w:t>the impact of the additional funding provided in the 2013</w:t>
            </w:r>
            <w:r w:rsidR="009F0F49">
              <w:noBreakHyphen/>
            </w:r>
            <w:r w:rsidRPr="0063769A">
              <w:t xml:space="preserve">14 </w:t>
            </w:r>
            <w:r>
              <w:t>b</w:t>
            </w:r>
            <w:r w:rsidRPr="0063769A">
              <w:t>udget.</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Weighted Inlier Equivalent Separations (WIES)</w:t>
            </w:r>
            <w:r>
              <w:rPr>
                <w:color w:val="000000"/>
                <w:lang w:eastAsia="en-AU"/>
              </w:rPr>
              <w:t xml:space="preserve"> – </w:t>
            </w:r>
            <w:r w:rsidRPr="0063769A">
              <w:rPr>
                <w:color w:val="000000"/>
                <w:lang w:eastAsia="en-AU"/>
              </w:rPr>
              <w:t>all hospitals except small rural health services</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number (000)</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070</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047</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026 (1</w:t>
            </w:r>
            <w:r>
              <w:rPr>
                <w:color w:val="000000"/>
                <w:lang w:eastAsia="en-AU"/>
              </w:rPr>
              <w:t> </w:t>
            </w:r>
            <w:r w:rsidRPr="0063769A">
              <w:rPr>
                <w:color w:val="000000"/>
                <w:lang w:eastAsia="en-AU"/>
              </w:rPr>
              <w:t>066)</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068</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t xml:space="preserve">The </w:t>
            </w:r>
            <w:r w:rsidRPr="0063769A">
              <w:t>2012</w:t>
            </w:r>
            <w:r w:rsidR="009F0F49">
              <w:noBreakHyphen/>
            </w:r>
            <w:r w:rsidRPr="0063769A">
              <w:t>13 Target has been adjusted to account for the impact of changes to admission policy from 1 July 2012, as a result of national hospital funding reforms. These changes result in some hospital activity which was previously counted as admitted activity now being counted as non</w:t>
            </w:r>
            <w:r w:rsidR="009F0F49">
              <w:noBreakHyphen/>
            </w:r>
            <w:r w:rsidRPr="0063769A">
              <w:t xml:space="preserve">admitted activity. </w:t>
            </w:r>
          </w:p>
          <w:p w:rsidR="00B958B1" w:rsidRDefault="00B958B1" w:rsidP="009F3B54">
            <w:pPr>
              <w:pStyle w:val="OGNotes"/>
            </w:pPr>
            <w:r w:rsidRPr="0063769A">
              <w:t>The lower 2012</w:t>
            </w:r>
            <w:r w:rsidR="009F0F49">
              <w:noBreakHyphen/>
            </w:r>
            <w:r w:rsidRPr="0063769A">
              <w:t>13 Expected Outcome also reflects the disruption to hospital activity caused by mid</w:t>
            </w:r>
            <w:r w:rsidR="009F0F49">
              <w:noBreakHyphen/>
            </w:r>
            <w:r w:rsidRPr="0063769A">
              <w:t xml:space="preserve">year changes to Commonwealth funding levels. </w:t>
            </w:r>
          </w:p>
          <w:p w:rsidR="00B958B1" w:rsidRDefault="00B958B1" w:rsidP="009F3B54">
            <w:pPr>
              <w:pStyle w:val="OGNotes"/>
            </w:pPr>
            <w:r w:rsidRPr="0063769A">
              <w:t xml:space="preserve">The </w:t>
            </w:r>
            <w:r>
              <w:t xml:space="preserve">higher </w:t>
            </w:r>
            <w:r w:rsidRPr="0063769A">
              <w:t>2013</w:t>
            </w:r>
            <w:r w:rsidR="009F0F49">
              <w:noBreakHyphen/>
            </w:r>
            <w:r w:rsidRPr="0063769A">
              <w:t xml:space="preserve">14 Target </w:t>
            </w:r>
            <w:r>
              <w:t xml:space="preserve">reflects </w:t>
            </w:r>
            <w:r w:rsidRPr="0063769A">
              <w:t>the impact of the additional funding provided for in the 2013</w:t>
            </w:r>
            <w:r w:rsidR="009F0F49">
              <w:noBreakHyphen/>
            </w:r>
            <w:r w:rsidRPr="0063769A">
              <w:t xml:space="preserve">14 </w:t>
            </w:r>
            <w:r>
              <w:t>b</w:t>
            </w:r>
            <w:r w:rsidRPr="0063769A">
              <w:t xml:space="preserve">udget. </w:t>
            </w:r>
          </w:p>
          <w:p w:rsidR="00B958B1" w:rsidRPr="0063769A" w:rsidRDefault="00B958B1" w:rsidP="009F3B54">
            <w:pPr>
              <w:pStyle w:val="OGNotes"/>
            </w:pPr>
            <w:r w:rsidRPr="0063769A">
              <w:t xml:space="preserve">It is expected activity targets for hospital services will transition to be consistent with the </w:t>
            </w:r>
            <w:r>
              <w:t>Independent Hospital Pricing Authority (</w:t>
            </w:r>
            <w:r w:rsidRPr="0063769A">
              <w:t>IHPA</w:t>
            </w:r>
            <w:r>
              <w:t>)</w:t>
            </w:r>
            <w:r w:rsidRPr="0063769A">
              <w:t xml:space="preserve"> pricing framework over time as agreed in the </w:t>
            </w:r>
            <w:r>
              <w:t>National Health Reform Agreement (NHRA)</w:t>
            </w:r>
            <w:r w:rsidRPr="0063769A">
              <w:t>.</w:t>
            </w:r>
          </w:p>
        </w:tc>
      </w:tr>
      <w:tr w:rsidR="00B958B1" w:rsidRPr="0010062E" w:rsidTr="009F3B54">
        <w:trPr>
          <w:cantSplit/>
        </w:trPr>
        <w:tc>
          <w:tcPr>
            <w:tcW w:w="3155" w:type="dxa"/>
            <w:tcBorders>
              <w:top w:val="single" w:sz="6" w:space="0" w:color="auto"/>
              <w:left w:val="nil"/>
              <w:right w:val="nil"/>
            </w:tcBorders>
            <w:shd w:val="clear" w:color="000000" w:fill="FFFFFF"/>
            <w:hideMark/>
          </w:tcPr>
          <w:p w:rsidR="00B958B1" w:rsidRPr="0010062E" w:rsidRDefault="00B958B1" w:rsidP="009F3B54">
            <w:pPr>
              <w:pStyle w:val="OGTabText"/>
              <w:pageBreakBefore/>
              <w:rPr>
                <w:lang w:eastAsia="en-AU"/>
              </w:rPr>
            </w:pPr>
            <w:r w:rsidRPr="0010062E">
              <w:rPr>
                <w:lang w:eastAsia="en-AU"/>
              </w:rPr>
              <w:t xml:space="preserve">WIES funded separations – all </w:t>
            </w:r>
            <w:r w:rsidRPr="0010062E">
              <w:t>hospitals</w:t>
            </w:r>
            <w:r>
              <w:rPr>
                <w:lang w:eastAsia="en-AU"/>
              </w:rPr>
              <w:t xml:space="preserve"> except small rural health </w:t>
            </w:r>
            <w:r w:rsidRPr="0010062E">
              <w:rPr>
                <w:lang w:eastAsia="en-AU"/>
              </w:rPr>
              <w:t xml:space="preserve">services </w:t>
            </w:r>
          </w:p>
        </w:tc>
        <w:tc>
          <w:tcPr>
            <w:tcW w:w="907" w:type="dxa"/>
            <w:tcBorders>
              <w:top w:val="single" w:sz="6" w:space="0" w:color="auto"/>
              <w:left w:val="nil"/>
              <w:right w:val="nil"/>
            </w:tcBorders>
            <w:shd w:val="clear" w:color="000000" w:fill="FFFFFF"/>
            <w:hideMark/>
          </w:tcPr>
          <w:p w:rsidR="00B958B1" w:rsidRPr="0010062E" w:rsidRDefault="00B958B1" w:rsidP="009F3B54">
            <w:pPr>
              <w:pStyle w:val="OGUoM"/>
              <w:rPr>
                <w:lang w:eastAsia="en-AU"/>
              </w:rPr>
            </w:pPr>
            <w:r w:rsidRPr="0010062E">
              <w:rPr>
                <w:lang w:eastAsia="en-AU"/>
              </w:rPr>
              <w:t>number (000)</w:t>
            </w:r>
          </w:p>
        </w:tc>
        <w:tc>
          <w:tcPr>
            <w:tcW w:w="907" w:type="dxa"/>
            <w:tcBorders>
              <w:top w:val="single" w:sz="6" w:space="0" w:color="auto"/>
              <w:left w:val="nil"/>
              <w:right w:val="nil"/>
            </w:tcBorders>
            <w:shd w:val="clear" w:color="auto" w:fill="D9D9D9"/>
            <w:hideMark/>
          </w:tcPr>
          <w:p w:rsidR="00B958B1" w:rsidRPr="0010062E" w:rsidRDefault="00B958B1" w:rsidP="009F3B54">
            <w:pPr>
              <w:pStyle w:val="OGTableofFigures"/>
              <w:rPr>
                <w:lang w:eastAsia="en-AU"/>
              </w:rPr>
            </w:pPr>
            <w:r w:rsidRPr="0010062E">
              <w:rPr>
                <w:lang w:eastAsia="en-AU"/>
              </w:rPr>
              <w:t>1 328</w:t>
            </w:r>
          </w:p>
        </w:tc>
        <w:tc>
          <w:tcPr>
            <w:tcW w:w="993" w:type="dxa"/>
            <w:tcBorders>
              <w:top w:val="single" w:sz="6" w:space="0" w:color="auto"/>
              <w:left w:val="nil"/>
              <w:right w:val="nil"/>
            </w:tcBorders>
            <w:shd w:val="clear" w:color="000000" w:fill="FFFFFF"/>
            <w:hideMark/>
          </w:tcPr>
          <w:p w:rsidR="00B958B1" w:rsidRPr="0010062E" w:rsidRDefault="00B958B1" w:rsidP="009F3B54">
            <w:pPr>
              <w:pStyle w:val="OGTableofFigures"/>
              <w:rPr>
                <w:lang w:eastAsia="en-AU"/>
              </w:rPr>
            </w:pPr>
            <w:r w:rsidRPr="0010062E">
              <w:rPr>
                <w:lang w:eastAsia="en-AU"/>
              </w:rPr>
              <w:t>1 301</w:t>
            </w:r>
          </w:p>
        </w:tc>
        <w:tc>
          <w:tcPr>
            <w:tcW w:w="907" w:type="dxa"/>
            <w:tcBorders>
              <w:top w:val="single" w:sz="6" w:space="0" w:color="auto"/>
              <w:left w:val="nil"/>
              <w:right w:val="nil"/>
            </w:tcBorders>
            <w:shd w:val="clear" w:color="000000" w:fill="FFFFFF"/>
            <w:hideMark/>
          </w:tcPr>
          <w:p w:rsidR="00B958B1" w:rsidRPr="0010062E" w:rsidRDefault="00B958B1" w:rsidP="009F3B54">
            <w:pPr>
              <w:pStyle w:val="OGTableofFigures"/>
              <w:rPr>
                <w:lang w:eastAsia="en-AU"/>
              </w:rPr>
            </w:pPr>
            <w:r w:rsidRPr="0010062E">
              <w:rPr>
                <w:lang w:eastAsia="en-AU"/>
              </w:rPr>
              <w:t>1 275 (1 463)</w:t>
            </w:r>
          </w:p>
        </w:tc>
        <w:tc>
          <w:tcPr>
            <w:tcW w:w="907" w:type="dxa"/>
            <w:tcBorders>
              <w:top w:val="single" w:sz="6" w:space="0" w:color="auto"/>
              <w:left w:val="nil"/>
              <w:right w:val="nil"/>
            </w:tcBorders>
            <w:shd w:val="clear" w:color="000000" w:fill="FFFFFF"/>
            <w:hideMark/>
          </w:tcPr>
          <w:p w:rsidR="00B958B1" w:rsidRPr="0010062E" w:rsidRDefault="00B958B1" w:rsidP="009F3B54">
            <w:pPr>
              <w:pStyle w:val="OGTableofFigures"/>
              <w:rPr>
                <w:lang w:eastAsia="en-AU"/>
              </w:rPr>
            </w:pPr>
            <w:r w:rsidRPr="0010062E">
              <w:rPr>
                <w:lang w:eastAsia="en-AU"/>
              </w:rPr>
              <w:t>na</w:t>
            </w:r>
          </w:p>
          <w:p w:rsidR="00B958B1" w:rsidRPr="0010062E" w:rsidRDefault="00B958B1" w:rsidP="009F3B54">
            <w:pPr>
              <w:pStyle w:val="OGTableofFigures"/>
              <w:rPr>
                <w:lang w:eastAsia="en-AU"/>
              </w:rPr>
            </w:pPr>
            <w:r w:rsidRPr="0010062E">
              <w:rPr>
                <w:lang w:eastAsia="en-AU"/>
              </w:rPr>
              <w:t>(1 488)</w:t>
            </w:r>
          </w:p>
        </w:tc>
      </w:tr>
      <w:tr w:rsidR="00B958B1" w:rsidRPr="0010062E"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10062E" w:rsidRDefault="00B958B1" w:rsidP="009F3B54">
            <w:pPr>
              <w:pStyle w:val="OGNotes"/>
            </w:pPr>
            <w:r w:rsidRPr="0010062E">
              <w:t>The 2012</w:t>
            </w:r>
            <w:r w:rsidR="009F0F49">
              <w:noBreakHyphen/>
            </w:r>
            <w:r w:rsidRPr="0010062E">
              <w:t>13 Target has been adjusted to account for the impact of changes to admission policy from 1 July 2012, as a result of national hospital funding reforms. These changes result in some hospital activity which was previously counted as admitted activity now being counted as non</w:t>
            </w:r>
            <w:r w:rsidR="009F0F49">
              <w:noBreakHyphen/>
            </w:r>
            <w:r w:rsidRPr="0010062E">
              <w:t xml:space="preserve">admitted activity. </w:t>
            </w:r>
          </w:p>
          <w:p w:rsidR="00B958B1" w:rsidRPr="0010062E" w:rsidRDefault="00B958B1" w:rsidP="009F3B54">
            <w:pPr>
              <w:pStyle w:val="OGNotes"/>
            </w:pPr>
            <w:r w:rsidRPr="0010062E">
              <w:t>The lower 2012</w:t>
            </w:r>
            <w:r w:rsidR="009F0F49">
              <w:noBreakHyphen/>
            </w:r>
            <w:r w:rsidRPr="0010062E">
              <w:t>13 Expected Outcome also reflects the disruption to hospital activity caused by mid</w:t>
            </w:r>
            <w:r w:rsidR="009F0F49">
              <w:noBreakHyphen/>
            </w:r>
            <w:r w:rsidRPr="0010062E">
              <w:t>year changes to Commonwealth funding levels.</w:t>
            </w:r>
          </w:p>
          <w:p w:rsidR="00B958B1" w:rsidRPr="0010062E" w:rsidRDefault="00B958B1" w:rsidP="009F3B54">
            <w:pPr>
              <w:pStyle w:val="OGNotes"/>
            </w:pPr>
            <w:r w:rsidRPr="0010062E">
              <w:t>The higher 2013</w:t>
            </w:r>
            <w:r w:rsidR="009F0F49">
              <w:noBreakHyphen/>
            </w:r>
            <w:r w:rsidRPr="0010062E">
              <w:t>14 Target reflects the impact of the additional funding provided in the 2013</w:t>
            </w:r>
            <w:r w:rsidR="009F0F49">
              <w:noBreakHyphen/>
            </w:r>
            <w:r w:rsidRPr="0010062E">
              <w:t xml:space="preserve">14 budget. </w:t>
            </w:r>
          </w:p>
          <w:p w:rsidR="00B958B1" w:rsidRPr="0010062E" w:rsidRDefault="00B958B1" w:rsidP="009F3B54">
            <w:pPr>
              <w:pStyle w:val="OGNotes"/>
            </w:pPr>
            <w:r w:rsidRPr="0010062E">
              <w:t>It is expected activity targets for hospital services will tran</w:t>
            </w:r>
            <w:r>
              <w:t>sition to be consistent with</w:t>
            </w:r>
            <w:r w:rsidRPr="0010062E">
              <w:t xml:space="preserve"> </w:t>
            </w:r>
            <w:r>
              <w:t>IHPA</w:t>
            </w:r>
            <w:r w:rsidRPr="0010062E">
              <w:t xml:space="preserve"> pricing frame</w:t>
            </w:r>
            <w:r>
              <w:t>work over time as agreed in NHRA</w:t>
            </w:r>
            <w:r w:rsidRPr="0010062E">
              <w:t>.</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WIES funded emergency separations</w:t>
            </w:r>
            <w:r>
              <w:rPr>
                <w:color w:val="000000"/>
                <w:lang w:eastAsia="en-AU"/>
              </w:rPr>
              <w:t xml:space="preserve"> – </w:t>
            </w:r>
            <w:r w:rsidRPr="0063769A">
              <w:rPr>
                <w:color w:val="000000"/>
                <w:lang w:eastAsia="en-AU"/>
              </w:rPr>
              <w:t>all hospitals</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number (000)</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439</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430</w:t>
            </w:r>
          </w:p>
        </w:tc>
        <w:tc>
          <w:tcPr>
            <w:tcW w:w="907" w:type="dxa"/>
            <w:tcBorders>
              <w:top w:val="single" w:sz="6" w:space="0" w:color="auto"/>
              <w:left w:val="nil"/>
              <w:right w:val="nil"/>
            </w:tcBorders>
            <w:shd w:val="clear" w:color="000000" w:fill="FFFFFF"/>
            <w:hideMark/>
          </w:tcPr>
          <w:p w:rsidR="00B958B1" w:rsidRDefault="00B958B1" w:rsidP="009F3B54">
            <w:pPr>
              <w:pStyle w:val="OGTableofFigures"/>
              <w:rPr>
                <w:color w:val="000000"/>
                <w:lang w:eastAsia="en-AU"/>
              </w:rPr>
            </w:pPr>
            <w:r w:rsidRPr="0063769A">
              <w:rPr>
                <w:color w:val="000000"/>
                <w:lang w:eastAsia="en-AU"/>
              </w:rPr>
              <w:t xml:space="preserve">416 </w:t>
            </w:r>
          </w:p>
          <w:p w:rsidR="00B958B1" w:rsidRPr="0063769A" w:rsidRDefault="00B958B1" w:rsidP="009F3B54">
            <w:pPr>
              <w:pStyle w:val="OGTableofFigures"/>
              <w:rPr>
                <w:color w:val="000000"/>
                <w:lang w:eastAsia="en-AU"/>
              </w:rPr>
            </w:pPr>
            <w:r w:rsidRPr="0063769A">
              <w:rPr>
                <w:color w:val="000000"/>
                <w:lang w:eastAsia="en-AU"/>
              </w:rPr>
              <w:t>(556)</w:t>
            </w:r>
          </w:p>
        </w:tc>
        <w:tc>
          <w:tcPr>
            <w:tcW w:w="907" w:type="dxa"/>
            <w:tcBorders>
              <w:top w:val="single" w:sz="6" w:space="0" w:color="auto"/>
              <w:left w:val="nil"/>
              <w:right w:val="nil"/>
            </w:tcBorders>
            <w:shd w:val="clear" w:color="000000" w:fill="FFFFFF"/>
            <w:hideMark/>
          </w:tcPr>
          <w:p w:rsidR="00B958B1" w:rsidRDefault="00B958B1" w:rsidP="009F3B54">
            <w:pPr>
              <w:pStyle w:val="OGTableofFigures"/>
              <w:rPr>
                <w:color w:val="000000"/>
                <w:lang w:eastAsia="en-AU"/>
              </w:rPr>
            </w:pPr>
            <w:r>
              <w:rPr>
                <w:color w:val="000000"/>
                <w:lang w:eastAsia="en-AU"/>
              </w:rPr>
              <w:t>na</w:t>
            </w:r>
          </w:p>
          <w:p w:rsidR="00B958B1" w:rsidRPr="0063769A" w:rsidRDefault="00B958B1" w:rsidP="009F3B54">
            <w:pPr>
              <w:pStyle w:val="OGTableofFigures"/>
              <w:rPr>
                <w:color w:val="000000"/>
                <w:lang w:eastAsia="en-AU"/>
              </w:rPr>
            </w:pPr>
            <w:r>
              <w:rPr>
                <w:color w:val="000000"/>
                <w:lang w:eastAsia="en-AU"/>
              </w:rPr>
              <w:t>(</w:t>
            </w:r>
            <w:r w:rsidRPr="0063769A">
              <w:rPr>
                <w:color w:val="000000"/>
                <w:lang w:eastAsia="en-AU"/>
              </w:rPr>
              <w:t>558</w:t>
            </w:r>
            <w:r>
              <w:rPr>
                <w:color w:val="000000"/>
                <w:lang w:eastAsia="en-AU"/>
              </w:rPr>
              <w:t>)</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t xml:space="preserve">The </w:t>
            </w:r>
            <w:r w:rsidRPr="0063769A">
              <w:t>2012</w:t>
            </w:r>
            <w:r w:rsidR="009F0F49">
              <w:noBreakHyphen/>
            </w:r>
            <w:r w:rsidRPr="0063769A">
              <w:t>13 Target has been adjusted to account for the impact of changes to admission policy from 1</w:t>
            </w:r>
            <w:r>
              <w:t> </w:t>
            </w:r>
            <w:r w:rsidRPr="0063769A">
              <w:t>July</w:t>
            </w:r>
            <w:r>
              <w:t> </w:t>
            </w:r>
            <w:r w:rsidRPr="0063769A">
              <w:t>2012, as a result of national hospital funding reforms. These changes result in some hospital activity which was previously counted as admitted activity now being counted as non</w:t>
            </w:r>
            <w:r w:rsidR="009F0F49">
              <w:noBreakHyphen/>
            </w:r>
            <w:r w:rsidRPr="0063769A">
              <w:t xml:space="preserve">admitted activity. </w:t>
            </w:r>
          </w:p>
          <w:p w:rsidR="00B958B1" w:rsidRDefault="00B958B1" w:rsidP="009F3B54">
            <w:pPr>
              <w:pStyle w:val="OGNotes"/>
            </w:pPr>
            <w:r w:rsidRPr="0063769A">
              <w:t>The</w:t>
            </w:r>
            <w:r>
              <w:t xml:space="preserve"> lower</w:t>
            </w:r>
            <w:r w:rsidRPr="0063769A">
              <w:t xml:space="preserve"> 2012</w:t>
            </w:r>
            <w:r w:rsidR="009F0F49">
              <w:noBreakHyphen/>
            </w:r>
            <w:r w:rsidRPr="0063769A">
              <w:t>13 Expected Outcome also reflects the disruption to hospital activity caused by mid</w:t>
            </w:r>
            <w:r w:rsidR="009F0F49">
              <w:noBreakHyphen/>
            </w:r>
            <w:r w:rsidRPr="0063769A">
              <w:t xml:space="preserve">year changes to Commonwealth funding levels. </w:t>
            </w:r>
          </w:p>
          <w:p w:rsidR="00B958B1" w:rsidRDefault="00B958B1" w:rsidP="009F3B54">
            <w:pPr>
              <w:pStyle w:val="OGNotes"/>
            </w:pPr>
            <w:r w:rsidRPr="0063769A">
              <w:t xml:space="preserve">The </w:t>
            </w:r>
            <w:r>
              <w:t xml:space="preserve">higher </w:t>
            </w:r>
            <w:r w:rsidRPr="0063769A">
              <w:t>2013</w:t>
            </w:r>
            <w:r w:rsidR="009F0F49">
              <w:noBreakHyphen/>
            </w:r>
            <w:r w:rsidRPr="0063769A">
              <w:t xml:space="preserve">14 Target </w:t>
            </w:r>
            <w:r>
              <w:t>reflects</w:t>
            </w:r>
            <w:r w:rsidRPr="0063769A">
              <w:t xml:space="preserve"> the impact of the additional funding provided for in the 2013</w:t>
            </w:r>
            <w:r w:rsidR="009F0F49">
              <w:noBreakHyphen/>
            </w:r>
            <w:r w:rsidRPr="0063769A">
              <w:t xml:space="preserve">14 </w:t>
            </w:r>
            <w:r>
              <w:t>b</w:t>
            </w:r>
            <w:r w:rsidRPr="0063769A">
              <w:t>udget.</w:t>
            </w:r>
          </w:p>
          <w:p w:rsidR="00B958B1" w:rsidRPr="0063769A" w:rsidRDefault="00B958B1" w:rsidP="009F3B54">
            <w:pPr>
              <w:pStyle w:val="OGNotes"/>
            </w:pPr>
            <w:r w:rsidRPr="0063769A">
              <w:t xml:space="preserve">It is expected activity targets for hospital services will transition to be consistent with the </w:t>
            </w:r>
            <w:r>
              <w:t>IHPA</w:t>
            </w:r>
            <w:r w:rsidRPr="0063769A">
              <w:t xml:space="preserve"> pricing framework over time as agreed in the </w:t>
            </w:r>
            <w:r>
              <w:t>NHRA</w:t>
            </w:r>
            <w:r w:rsidRPr="0063769A">
              <w:t>.</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Quality</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Eligible newborns screened for hear</w:t>
            </w:r>
            <w:r>
              <w:rPr>
                <w:color w:val="000000"/>
                <w:lang w:eastAsia="en-AU"/>
              </w:rPr>
              <w:t>ing deficit before one month of </w:t>
            </w:r>
            <w:r w:rsidRPr="0063769A">
              <w:rPr>
                <w:color w:val="000000"/>
                <w:lang w:eastAsia="en-AU"/>
              </w:rPr>
              <w:t>age</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97</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98</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97</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97</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Hand hygiene compliance</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70</w:t>
            </w:r>
          </w:p>
        </w:tc>
        <w:tc>
          <w:tcPr>
            <w:tcW w:w="993"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nm</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Hospitals participating in Victorian Hospital Acquired Infection Surveillance System (VICNISS)</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93"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99.5</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99.5</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Intensive Care Unit central line associated blood s</w:t>
            </w:r>
            <w:r>
              <w:rPr>
                <w:color w:val="000000"/>
                <w:lang w:eastAsia="en-AU"/>
              </w:rPr>
              <w:t>tream infections (CLABSI) per 1 </w:t>
            </w:r>
            <w:r w:rsidRPr="0063769A">
              <w:rPr>
                <w:color w:val="000000"/>
                <w:lang w:eastAsia="en-AU"/>
              </w:rPr>
              <w:t>000 device days</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ratio</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Pr>
                <w:rFonts w:cs="Calibri"/>
                <w:color w:val="000000"/>
                <w:lang w:eastAsia="en-AU"/>
              </w:rPr>
              <w:t>≤</w:t>
            </w:r>
            <w:r w:rsidRPr="0063769A">
              <w:rPr>
                <w:color w:val="000000"/>
                <w:lang w:eastAsia="en-AU"/>
              </w:rPr>
              <w:t>2.5</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1.6</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Pr>
                <w:rFonts w:cs="Calibri"/>
                <w:color w:val="000000"/>
                <w:lang w:eastAsia="en-AU"/>
              </w:rPr>
              <w:t>≤</w:t>
            </w:r>
            <w:r w:rsidRPr="0063769A">
              <w:rPr>
                <w:color w:val="000000"/>
                <w:lang w:eastAsia="en-AU"/>
              </w:rPr>
              <w:t>2.5</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1.35</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The 2012</w:t>
            </w:r>
            <w:r w:rsidR="009F0F49">
              <w:noBreakHyphen/>
            </w:r>
            <w:r w:rsidRPr="0063769A">
              <w:t>13 Expected Outcome is lower than 2012</w:t>
            </w:r>
            <w:r w:rsidR="009F0F49">
              <w:noBreakHyphen/>
            </w:r>
            <w:r>
              <w:t>13 Target (a positive result)</w:t>
            </w:r>
            <w:r w:rsidRPr="0063769A">
              <w:t>, is due to education and training in hand hygiene principles.</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Major trauma patients transferred to a major trauma service</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75</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88</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75</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83.8</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The 2012</w:t>
            </w:r>
            <w:r w:rsidR="009F0F49">
              <w:noBreakHyphen/>
            </w:r>
            <w:r w:rsidRPr="0063769A">
              <w:t>13 Expected Outcome is higher than the 2012</w:t>
            </w:r>
            <w:r w:rsidR="009F0F49">
              <w:noBreakHyphen/>
            </w:r>
            <w:r w:rsidRPr="0063769A">
              <w:t>13 Target due to high</w:t>
            </w:r>
            <w:r>
              <w:t>er than expected</w:t>
            </w:r>
            <w:r w:rsidRPr="0063769A">
              <w:t xml:space="preserve"> compliance with the major trauma triage guideline</w:t>
            </w:r>
            <w:r>
              <w:t>s by health services.</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Perinatal morbidity notices received, processed and reported</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93"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pageBreakBefore/>
              <w:rPr>
                <w:color w:val="000000"/>
                <w:lang w:eastAsia="en-AU"/>
              </w:rPr>
            </w:pPr>
            <w:r w:rsidRPr="0063769A">
              <w:rPr>
                <w:color w:val="000000"/>
                <w:lang w:eastAsia="en-AU"/>
              </w:rPr>
              <w:t>Public hospitals accredited</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r>
      <w:tr w:rsidR="00B958B1" w:rsidRPr="0063769A" w:rsidTr="009F3B54">
        <w:trPr>
          <w:cantSplit/>
        </w:trPr>
        <w:tc>
          <w:tcPr>
            <w:tcW w:w="7776" w:type="dxa"/>
            <w:gridSpan w:val="6"/>
            <w:tcBorders>
              <w:left w:val="nil"/>
              <w:bottom w:val="single" w:sz="6" w:space="0" w:color="auto"/>
              <w:right w:val="nil"/>
            </w:tcBorders>
            <w:shd w:val="clear" w:color="000000" w:fill="FFFFFF"/>
          </w:tcPr>
          <w:p w:rsidR="00B958B1" w:rsidRPr="0063769A" w:rsidRDefault="00B958B1" w:rsidP="009F3B54">
            <w:pPr>
              <w:pStyle w:val="OGNotes"/>
              <w:rPr>
                <w:color w:val="000000"/>
              </w:rPr>
            </w:pPr>
            <w:r w:rsidRPr="00C84D4A">
              <w:t>New national accreditation arrangement</w:t>
            </w:r>
            <w:r>
              <w:t>s</w:t>
            </w:r>
            <w:r w:rsidRPr="00C84D4A">
              <w:t xml:space="preserve"> are being phased in from 1 January 2013 and the measure definition and target are under review.</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Public hospitals meeting cleaning standards, as assessed by external audit</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93"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97</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97</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Staphylococcus aureus bacteraemias (SAB) infections per 10</w:t>
            </w:r>
            <w:r>
              <w:rPr>
                <w:color w:val="000000"/>
                <w:lang w:eastAsia="en-AU"/>
              </w:rPr>
              <w:t> </w:t>
            </w:r>
            <w:r w:rsidRPr="0063769A">
              <w:rPr>
                <w:color w:val="000000"/>
                <w:lang w:eastAsia="en-AU"/>
              </w:rPr>
              <w:t>000 patient days</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ratio</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Pr>
                <w:rFonts w:cs="Calibri"/>
                <w:color w:val="000000"/>
                <w:lang w:eastAsia="en-AU"/>
              </w:rPr>
              <w:t>≤</w:t>
            </w:r>
            <w:r w:rsidRPr="0063769A">
              <w:rPr>
                <w:color w:val="000000"/>
                <w:lang w:eastAsia="en-AU"/>
              </w:rPr>
              <w:t>2</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Pr>
                <w:rFonts w:cs="Calibri"/>
                <w:color w:val="000000"/>
                <w:lang w:eastAsia="en-AU"/>
              </w:rPr>
              <w:t>≤</w:t>
            </w:r>
            <w:r w:rsidRPr="0063769A">
              <w:rPr>
                <w:color w:val="000000"/>
                <w:lang w:eastAsia="en-AU"/>
              </w:rPr>
              <w:t>2</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The 2012</w:t>
            </w:r>
            <w:r w:rsidR="009F0F49">
              <w:noBreakHyphen/>
            </w:r>
            <w:r w:rsidRPr="0063769A">
              <w:t xml:space="preserve">13 Expected Outcome </w:t>
            </w:r>
            <w:r>
              <w:t xml:space="preserve">is </w:t>
            </w:r>
            <w:r w:rsidRPr="0063769A">
              <w:t>lower than the 2012</w:t>
            </w:r>
            <w:r w:rsidR="009F0F49">
              <w:noBreakHyphen/>
            </w:r>
            <w:r w:rsidRPr="0063769A">
              <w:t>13 Target (a positive result) due to hand hygiene compliance, environmental cleaning assessments and infection surveillance.</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Unplanned/unexpected readmission for acute myocardial infarction</w:t>
            </w:r>
            <w:r>
              <w:rPr>
                <w:color w:val="000000"/>
                <w:lang w:eastAsia="en-AU"/>
              </w:rPr>
              <w:t xml:space="preserve"> </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3.7</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2.6</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3.7</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2.6</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C839AD">
              <w:t>This performance measure renames the 2012</w:t>
            </w:r>
            <w:r w:rsidR="009F0F49">
              <w:noBreakHyphen/>
            </w:r>
            <w:r w:rsidRPr="00C839AD">
              <w:t>13 performance measure 'Unplanned/unexpected readmission for acute myocardial infarction per 1 000 separations'. The new measure reports on the same activity as the previous measure however has been amended for increased clarity.</w:t>
            </w:r>
            <w:r w:rsidRPr="0063769A">
              <w:t xml:space="preserve"> </w:t>
            </w:r>
          </w:p>
          <w:p w:rsidR="00B958B1" w:rsidRPr="0063769A" w:rsidRDefault="00B958B1" w:rsidP="009F3B54">
            <w:pPr>
              <w:pStyle w:val="OGNotes"/>
              <w:rPr>
                <w:color w:val="000000"/>
                <w:sz w:val="16"/>
                <w:szCs w:val="16"/>
              </w:rPr>
            </w:pPr>
            <w:r w:rsidRPr="0063769A">
              <w:t>The 2012</w:t>
            </w:r>
            <w:r w:rsidR="009F0F49">
              <w:noBreakHyphen/>
            </w:r>
            <w:r w:rsidRPr="0063769A">
              <w:t>13 Expected Outcome is lower than the 2012</w:t>
            </w:r>
            <w:r w:rsidR="009F0F49">
              <w:noBreakHyphen/>
            </w:r>
            <w:r w:rsidRPr="0063769A">
              <w:t>13 Target due to inherent volatility in this performance measure, given the small numbers involved.</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Unplanned/unexpected readmission for heart failure</w:t>
            </w:r>
            <w:r>
              <w:rPr>
                <w:color w:val="000000"/>
                <w:lang w:eastAsia="en-AU"/>
              </w:rPr>
              <w:t xml:space="preserve"> </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10.25</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8.9</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10.25</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8.9</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C839AD">
              <w:t>This performance measure renames the 2012</w:t>
            </w:r>
            <w:r w:rsidR="009F0F49">
              <w:noBreakHyphen/>
            </w:r>
            <w:r w:rsidRPr="00C839AD">
              <w:t>13 performance measure 'Unplanned/unexpected readmission for heart failure per 1 000 separations'. The new measure reports on the same activity as the previous measure however has been amended for increased clarity.</w:t>
            </w:r>
          </w:p>
          <w:p w:rsidR="00B958B1" w:rsidRPr="0063769A" w:rsidRDefault="00B958B1" w:rsidP="009F3B54">
            <w:pPr>
              <w:pStyle w:val="OGNotes"/>
              <w:rPr>
                <w:color w:val="000000"/>
                <w:sz w:val="16"/>
                <w:szCs w:val="16"/>
              </w:rPr>
            </w:pPr>
            <w:r w:rsidRPr="0063769A">
              <w:t>The 2012</w:t>
            </w:r>
            <w:r w:rsidR="009F0F49">
              <w:noBreakHyphen/>
            </w:r>
            <w:r w:rsidRPr="0063769A">
              <w:t>13 Expected Outcome is lower than the 2012</w:t>
            </w:r>
            <w:r w:rsidR="009F0F49">
              <w:noBreakHyphen/>
            </w:r>
            <w:r w:rsidRPr="0063769A">
              <w:t>13 Target due to inherent volatility in this performance measure, given the small numbers involved.</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Unplanned/unexpected readmission for hip replacement</w:t>
            </w:r>
            <w:r>
              <w:rPr>
                <w:color w:val="000000"/>
                <w:lang w:eastAsia="en-AU"/>
              </w:rPr>
              <w:t xml:space="preserve"> </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2.5</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2.7</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2.5</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3.1</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C839AD">
              <w:t>This performance measure renames the 2012</w:t>
            </w:r>
            <w:r w:rsidR="009F0F49">
              <w:noBreakHyphen/>
            </w:r>
            <w:r w:rsidRPr="00C839AD">
              <w:t>13 performance measure 'Unplanned/unexpected readmission for hip replacement per 1 000 separations'. The new measure reports on the same activity as the previous measure however has been amended for increased clarity.</w:t>
            </w:r>
          </w:p>
          <w:p w:rsidR="00B958B1" w:rsidRPr="0063769A" w:rsidRDefault="00B958B1" w:rsidP="009F3B54">
            <w:pPr>
              <w:pStyle w:val="OGNotes"/>
              <w:rPr>
                <w:color w:val="000000"/>
                <w:sz w:val="16"/>
                <w:szCs w:val="16"/>
              </w:rPr>
            </w:pPr>
            <w:r w:rsidRPr="0063769A">
              <w:t>The 2012</w:t>
            </w:r>
            <w:r w:rsidR="009F0F49">
              <w:noBreakHyphen/>
            </w:r>
            <w:r w:rsidRPr="0063769A">
              <w:t>13 Expected Outcome is higher than the 2012</w:t>
            </w:r>
            <w:r w:rsidR="009F0F49">
              <w:noBreakHyphen/>
            </w:r>
            <w:r w:rsidRPr="0063769A">
              <w:t>13 Target due to inherent volatility in this performance measure, given the small numbers involved.</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Unplanned/unexpected readmission for knee replacement</w:t>
            </w:r>
            <w:r>
              <w:rPr>
                <w:color w:val="000000"/>
                <w:lang w:eastAsia="en-AU"/>
              </w:rPr>
              <w:t xml:space="preserve"> </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6</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6.3</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6</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6.6</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C839AD">
              <w:t>This performance measure renames the 2012</w:t>
            </w:r>
            <w:r w:rsidR="009F0F49">
              <w:noBreakHyphen/>
            </w:r>
            <w:r w:rsidRPr="00C839AD">
              <w:t>13 performance measure 'Unplanned/unexpected readmission for knee replacement per 1 000 separations'. The new measure reports on the same activity as the previous measure however has been amended for increased clarity.</w:t>
            </w:r>
          </w:p>
          <w:p w:rsidR="00B958B1" w:rsidRPr="0063769A" w:rsidRDefault="00B958B1" w:rsidP="009F3B54">
            <w:pPr>
              <w:pStyle w:val="OGNotes"/>
              <w:rPr>
                <w:color w:val="000000"/>
                <w:sz w:val="16"/>
                <w:szCs w:val="16"/>
              </w:rPr>
            </w:pPr>
            <w:r w:rsidRPr="0063769A">
              <w:t>The 2012</w:t>
            </w:r>
            <w:r w:rsidR="009F0F49">
              <w:noBreakHyphen/>
            </w:r>
            <w:r w:rsidRPr="0063769A">
              <w:t>13 Expected Outcome is higher than the 2012</w:t>
            </w:r>
            <w:r w:rsidR="009F0F49">
              <w:noBreakHyphen/>
            </w:r>
            <w:r w:rsidRPr="0063769A">
              <w:t>13 Target due to inherent volatility in this performance measure, given the small numbers involved.</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Unplanned/unexpected readmission for paediatric tonsillectomy and adenoidectomy</w:t>
            </w:r>
            <w:r>
              <w:rPr>
                <w:color w:val="000000"/>
                <w:lang w:eastAsia="en-AU"/>
              </w:rPr>
              <w:t xml:space="preserve"> </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2.2</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2.2</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2.2</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1.5</w:t>
            </w:r>
          </w:p>
        </w:tc>
      </w:tr>
      <w:tr w:rsidR="00B958B1" w:rsidRPr="00AA001C" w:rsidTr="009F3B54">
        <w:trPr>
          <w:cantSplit/>
        </w:trPr>
        <w:tc>
          <w:tcPr>
            <w:tcW w:w="7776" w:type="dxa"/>
            <w:gridSpan w:val="6"/>
            <w:tcBorders>
              <w:left w:val="nil"/>
              <w:bottom w:val="single" w:sz="6" w:space="0" w:color="auto"/>
              <w:right w:val="nil"/>
            </w:tcBorders>
            <w:shd w:val="clear" w:color="000000" w:fill="FFFFFF"/>
          </w:tcPr>
          <w:p w:rsidR="00B958B1" w:rsidRPr="00AA001C" w:rsidRDefault="00B958B1" w:rsidP="009F3B54">
            <w:pPr>
              <w:pStyle w:val="OGNotes"/>
            </w:pPr>
            <w:r w:rsidRPr="00AA001C">
              <w:t>This performance measure renames the 2012</w:t>
            </w:r>
            <w:r w:rsidR="009F0F49">
              <w:noBreakHyphen/>
            </w:r>
            <w:r w:rsidRPr="00AA001C">
              <w:t>13 performance measure 'Unplanned/unexpected readmission for paediatric tonsillectomy and adenoidectomy per 1 000 separations'. The new measure reports on the same activity as the previous measure however has been amended for increased clarity.</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Timeliness</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Non</w:t>
            </w:r>
            <w:r w:rsidR="009F0F49">
              <w:rPr>
                <w:color w:val="000000"/>
                <w:lang w:eastAsia="en-AU"/>
              </w:rPr>
              <w:noBreakHyphen/>
            </w:r>
            <w:r w:rsidRPr="0063769A">
              <w:rPr>
                <w:color w:val="000000"/>
                <w:lang w:eastAsia="en-AU"/>
              </w:rPr>
              <w:t>urgent (Category 3) elective surgery patients admitted within 365 days</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94.5</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90</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93</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91</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The</w:t>
            </w:r>
            <w:r>
              <w:t xml:space="preserve"> higher</w:t>
            </w:r>
            <w:r w:rsidRPr="0063769A">
              <w:t xml:space="preserve"> 2013</w:t>
            </w:r>
            <w:r w:rsidR="009F0F49">
              <w:noBreakHyphen/>
            </w:r>
            <w:r w:rsidRPr="0063769A">
              <w:t xml:space="preserve">14 </w:t>
            </w:r>
            <w:r>
              <w:t>Target reflects</w:t>
            </w:r>
            <w:r w:rsidRPr="0063769A">
              <w:t xml:space="preserve"> align</w:t>
            </w:r>
            <w:r>
              <w:t>ment</w:t>
            </w:r>
            <w:r w:rsidRPr="0063769A">
              <w:t xml:space="preserve"> with the National Partnership Agreement on Improving Public Hospital Services.</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keepNext/>
              <w:rPr>
                <w:color w:val="000000"/>
                <w:lang w:eastAsia="en-AU"/>
              </w:rPr>
            </w:pPr>
            <w:r w:rsidRPr="0063769A">
              <w:rPr>
                <w:color w:val="000000"/>
                <w:lang w:eastAsia="en-AU"/>
              </w:rPr>
              <w:t>Semi</w:t>
            </w:r>
            <w:r w:rsidR="009F0F49">
              <w:rPr>
                <w:color w:val="000000"/>
                <w:lang w:eastAsia="en-AU"/>
              </w:rPr>
              <w:noBreakHyphen/>
            </w:r>
            <w:r w:rsidRPr="0063769A">
              <w:rPr>
                <w:color w:val="000000"/>
                <w:lang w:eastAsia="en-AU"/>
              </w:rPr>
              <w:t>urgent (Category 2) elective surg</w:t>
            </w:r>
            <w:r>
              <w:rPr>
                <w:color w:val="000000"/>
                <w:lang w:eastAsia="en-AU"/>
              </w:rPr>
              <w:t>ery patients admitted within 90 </w:t>
            </w:r>
            <w:r w:rsidRPr="0063769A">
              <w:rPr>
                <w:color w:val="000000"/>
                <w:lang w:eastAsia="en-AU"/>
              </w:rPr>
              <w:t>days</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keepNext/>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keepNext/>
              <w:rPr>
                <w:color w:val="000000"/>
                <w:lang w:eastAsia="en-AU"/>
              </w:rPr>
            </w:pPr>
            <w:r w:rsidRPr="0063769A">
              <w:rPr>
                <w:color w:val="000000"/>
                <w:lang w:eastAsia="en-AU"/>
              </w:rPr>
              <w:t>80</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keepNext/>
              <w:rPr>
                <w:color w:val="000000"/>
                <w:lang w:eastAsia="en-AU"/>
              </w:rPr>
            </w:pPr>
            <w:r w:rsidRPr="0063769A">
              <w:rPr>
                <w:color w:val="000000"/>
                <w:lang w:eastAsia="en-AU"/>
              </w:rPr>
              <w:t>67</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keepNext/>
              <w:rPr>
                <w:color w:val="000000"/>
                <w:lang w:eastAsia="en-AU"/>
              </w:rPr>
            </w:pPr>
            <w:r w:rsidRPr="0063769A">
              <w:rPr>
                <w:color w:val="000000"/>
                <w:lang w:eastAsia="en-AU"/>
              </w:rPr>
              <w:t>75</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keepNext/>
              <w:rPr>
                <w:color w:val="000000"/>
                <w:lang w:eastAsia="en-AU"/>
              </w:rPr>
            </w:pPr>
            <w:r w:rsidRPr="0063769A">
              <w:rPr>
                <w:color w:val="000000"/>
                <w:lang w:eastAsia="en-AU"/>
              </w:rPr>
              <w:t>72</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3769A">
              <w:t>The 2012</w:t>
            </w:r>
            <w:r w:rsidR="009F0F49">
              <w:noBreakHyphen/>
            </w:r>
            <w:r w:rsidRPr="0063769A">
              <w:t>13 Expected Outcome is lower than</w:t>
            </w:r>
            <w:r>
              <w:t xml:space="preserve"> the</w:t>
            </w:r>
            <w:r w:rsidRPr="0063769A">
              <w:t xml:space="preserve"> 2012</w:t>
            </w:r>
            <w:r w:rsidR="009F0F49">
              <w:noBreakHyphen/>
            </w:r>
            <w:r w:rsidRPr="0063769A">
              <w:t xml:space="preserve">13 Target, however patients with an urgent need for surgery continue to receive priority and are treated in accordance with the targets. </w:t>
            </w:r>
          </w:p>
          <w:p w:rsidR="00B958B1" w:rsidRPr="0063769A" w:rsidRDefault="00B958B1" w:rsidP="009F3B54">
            <w:pPr>
              <w:pStyle w:val="OGNotes"/>
              <w:rPr>
                <w:color w:val="000000"/>
                <w:sz w:val="16"/>
                <w:szCs w:val="16"/>
              </w:rPr>
            </w:pPr>
            <w:r w:rsidRPr="0063769A">
              <w:t xml:space="preserve">The </w:t>
            </w:r>
            <w:r>
              <w:t xml:space="preserve">higher </w:t>
            </w:r>
            <w:r w:rsidRPr="0063769A">
              <w:t>2013</w:t>
            </w:r>
            <w:r w:rsidR="009F0F49">
              <w:noBreakHyphen/>
            </w:r>
            <w:r w:rsidRPr="0063769A">
              <w:t xml:space="preserve">14 </w:t>
            </w:r>
            <w:r>
              <w:t>Target reflects</w:t>
            </w:r>
            <w:r w:rsidRPr="0063769A">
              <w:t xml:space="preserve"> align</w:t>
            </w:r>
            <w:r>
              <w:t>ment</w:t>
            </w:r>
            <w:r w:rsidRPr="0063769A">
              <w:t xml:space="preserve"> with the National Partnership Agreement on Improving</w:t>
            </w:r>
            <w:r>
              <w:t xml:space="preserve"> Public</w:t>
            </w:r>
            <w:r w:rsidRPr="0063769A">
              <w:t xml:space="preserve"> Hospital Services.</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Urgent (Category 1) elective surg</w:t>
            </w:r>
            <w:r>
              <w:rPr>
                <w:color w:val="000000"/>
                <w:lang w:eastAsia="en-AU"/>
              </w:rPr>
              <w:t>ery patients admitted within 30 </w:t>
            </w:r>
            <w:r w:rsidRPr="0063769A">
              <w:rPr>
                <w:color w:val="000000"/>
                <w:lang w:eastAsia="en-AU"/>
              </w:rPr>
              <w:t>days</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93"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Cost</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output cost</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7</w:t>
            </w:r>
            <w:r>
              <w:rPr>
                <w:color w:val="000000"/>
                <w:lang w:eastAsia="en-AU"/>
              </w:rPr>
              <w:t> 556.9</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w:t>
            </w:r>
            <w:r>
              <w:rPr>
                <w:color w:val="000000"/>
                <w:lang w:eastAsia="en-AU"/>
              </w:rPr>
              <w:t> 118.3</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w:t>
            </w:r>
            <w:r>
              <w:rPr>
                <w:color w:val="000000"/>
                <w:lang w:eastAsia="en-AU"/>
              </w:rPr>
              <w:t> 257.5</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6</w:t>
            </w:r>
            <w:r>
              <w:rPr>
                <w:color w:val="000000"/>
                <w:lang w:eastAsia="en-AU"/>
              </w:rPr>
              <w:t> 854.2</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3769A">
              <w:t>The 2012</w:t>
            </w:r>
            <w:r w:rsidR="009F0F49">
              <w:noBreakHyphen/>
            </w:r>
            <w:r w:rsidRPr="0063769A">
              <w:t xml:space="preserve">13 Expected Outcome is </w:t>
            </w:r>
            <w:r>
              <w:t>lower</w:t>
            </w:r>
            <w:r w:rsidRPr="0063769A">
              <w:t xml:space="preserve"> than the 2012</w:t>
            </w:r>
            <w:r w:rsidR="009F0F49">
              <w:noBreakHyphen/>
            </w:r>
            <w:r w:rsidRPr="0063769A">
              <w:t>13 Target because some funding for Acute Admitted services was transferred to the Emergency Services output as a result of reforms under national activity</w:t>
            </w:r>
            <w:r w:rsidR="009F0F49">
              <w:noBreakHyphen/>
            </w:r>
            <w:r w:rsidRPr="0063769A">
              <w:t>based funding models.</w:t>
            </w:r>
          </w:p>
          <w:p w:rsidR="00B958B1" w:rsidRPr="0063769A" w:rsidRDefault="00B958B1" w:rsidP="009F3B54">
            <w:pPr>
              <w:pStyle w:val="OGNotes"/>
              <w:rPr>
                <w:color w:val="000000"/>
                <w:sz w:val="16"/>
                <w:szCs w:val="16"/>
              </w:rPr>
            </w:pPr>
            <w:r w:rsidRPr="0063769A">
              <w:t xml:space="preserve">The </w:t>
            </w:r>
            <w:r>
              <w:t xml:space="preserve">higher </w:t>
            </w:r>
            <w:r w:rsidRPr="0063769A">
              <w:t>2013</w:t>
            </w:r>
            <w:r w:rsidR="009F0F49">
              <w:noBreakHyphen/>
            </w:r>
            <w:r w:rsidRPr="0063769A">
              <w:t xml:space="preserve">14 Target reflects funding provided in the </w:t>
            </w:r>
            <w:r w:rsidRPr="004511B6">
              <w:rPr>
                <w:i w:val="0"/>
              </w:rPr>
              <w:t>2013</w:t>
            </w:r>
            <w:r w:rsidR="009F0F49">
              <w:rPr>
                <w:i w:val="0"/>
              </w:rPr>
              <w:noBreakHyphen/>
            </w:r>
            <w:r w:rsidRPr="004511B6">
              <w:rPr>
                <w:i w:val="0"/>
              </w:rPr>
              <w:t>14 Budget</w:t>
            </w:r>
            <w:r>
              <w:t xml:space="preserve"> and funding for indexation.</w:t>
            </w:r>
            <w:r w:rsidRPr="0063769A">
              <w:t xml:space="preserve"> </w:t>
            </w:r>
          </w:p>
        </w:tc>
      </w:tr>
      <w:tr w:rsidR="00B958B1" w:rsidRPr="0063769A" w:rsidTr="009F3B54">
        <w:trPr>
          <w:cantSplit/>
        </w:trPr>
        <w:tc>
          <w:tcPr>
            <w:tcW w:w="7776" w:type="dxa"/>
            <w:gridSpan w:val="6"/>
            <w:tcBorders>
              <w:top w:val="single" w:sz="6" w:space="0" w:color="auto"/>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Non</w:t>
            </w:r>
            <w:r w:rsidR="009F0F49">
              <w:rPr>
                <w:lang w:eastAsia="en-AU"/>
              </w:rPr>
              <w:noBreakHyphen/>
            </w:r>
            <w:r w:rsidRPr="0063769A">
              <w:rPr>
                <w:lang w:eastAsia="en-AU"/>
              </w:rPr>
              <w:t>admitted Services</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TabText"/>
              <w:rPr>
                <w:lang w:eastAsia="en-AU"/>
              </w:rPr>
            </w:pPr>
            <w:r w:rsidRPr="0063769A">
              <w:rPr>
                <w:lang w:eastAsia="en-AU"/>
              </w:rPr>
              <w:t>Non</w:t>
            </w:r>
            <w:r w:rsidR="009F0F49">
              <w:rPr>
                <w:lang w:eastAsia="en-AU"/>
              </w:rPr>
              <w:noBreakHyphen/>
            </w:r>
            <w:r w:rsidRPr="0063769A">
              <w:rPr>
                <w:lang w:eastAsia="en-AU"/>
              </w:rPr>
              <w:t>admitted Services include acute and sub</w:t>
            </w:r>
            <w:r w:rsidR="009F0F49">
              <w:rPr>
                <w:lang w:eastAsia="en-AU"/>
              </w:rPr>
              <w:noBreakHyphen/>
            </w:r>
            <w:r w:rsidRPr="0063769A">
              <w:rPr>
                <w:lang w:eastAsia="en-AU"/>
              </w:rPr>
              <w:t>acute services provided at Victorian metropolitan and rural p</w:t>
            </w:r>
            <w:r>
              <w:rPr>
                <w:lang w:eastAsia="en-AU"/>
              </w:rPr>
              <w:t>ublic hospitals. Access to high</w:t>
            </w:r>
            <w:r w:rsidR="009F0F49">
              <w:rPr>
                <w:lang w:eastAsia="en-AU"/>
              </w:rPr>
              <w:noBreakHyphen/>
            </w:r>
            <w:r w:rsidRPr="0063769A">
              <w:rPr>
                <w:lang w:eastAsia="en-AU"/>
              </w:rPr>
              <w:t>quality services allows the right care to be delivered at the right time in the right location. Non</w:t>
            </w:r>
            <w:r w:rsidR="009F0F49">
              <w:rPr>
                <w:lang w:eastAsia="en-AU"/>
              </w:rPr>
              <w:noBreakHyphen/>
            </w:r>
            <w:r w:rsidRPr="0063769A">
              <w:rPr>
                <w:lang w:eastAsia="en-AU"/>
              </w:rPr>
              <w:t>admitted sub</w:t>
            </w:r>
            <w:r w:rsidR="009F0F49">
              <w:rPr>
                <w:lang w:eastAsia="en-AU"/>
              </w:rPr>
              <w:noBreakHyphen/>
            </w:r>
            <w:r w:rsidRPr="0063769A">
              <w:rPr>
                <w:lang w:eastAsia="en-AU"/>
              </w:rPr>
              <w:t>acute services improve consumer access to services closer to home by providing models of integrated community care, which significantly reduces the demand for hospital beds and supports the transition from hospital to home in a safe and timely manner. The services improve health outcomes, particularly for older people and people with complex care needs.</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Quantity</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Completed post</w:t>
            </w:r>
            <w:r w:rsidR="009F0F49">
              <w:rPr>
                <w:color w:val="000000"/>
                <w:lang w:eastAsia="en-AU"/>
              </w:rPr>
              <w:noBreakHyphen/>
            </w:r>
            <w:r w:rsidRPr="0063769A">
              <w:rPr>
                <w:color w:val="000000"/>
                <w:lang w:eastAsia="en-AU"/>
              </w:rPr>
              <w:t>acute episodes</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number</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44</w:t>
            </w:r>
            <w:r>
              <w:rPr>
                <w:color w:val="000000"/>
                <w:lang w:eastAsia="en-AU"/>
              </w:rPr>
              <w:t> </w:t>
            </w:r>
            <w:r w:rsidRPr="0063769A">
              <w:rPr>
                <w:color w:val="000000"/>
                <w:lang w:eastAsia="en-AU"/>
              </w:rPr>
              <w:t>700</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44</w:t>
            </w:r>
            <w:r>
              <w:rPr>
                <w:color w:val="000000"/>
                <w:lang w:eastAsia="en-AU"/>
              </w:rPr>
              <w:t> </w:t>
            </w:r>
            <w:r w:rsidRPr="0063769A">
              <w:rPr>
                <w:color w:val="000000"/>
                <w:lang w:eastAsia="en-AU"/>
              </w:rPr>
              <w:t>700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44</w:t>
            </w:r>
            <w:r>
              <w:rPr>
                <w:color w:val="000000"/>
                <w:lang w:eastAsia="en-AU"/>
              </w:rPr>
              <w:t> </w:t>
            </w:r>
            <w:r w:rsidRPr="0063769A">
              <w:rPr>
                <w:color w:val="000000"/>
                <w:lang w:eastAsia="en-AU"/>
              </w:rPr>
              <w:t>700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43</w:t>
            </w:r>
            <w:r>
              <w:rPr>
                <w:color w:val="000000"/>
                <w:lang w:eastAsia="en-AU"/>
              </w:rPr>
              <w:t> </w:t>
            </w:r>
            <w:r w:rsidRPr="0063769A">
              <w:rPr>
                <w:color w:val="000000"/>
                <w:lang w:eastAsia="en-AU"/>
              </w:rPr>
              <w:t>512</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Patients treated in specialist outpatient clinics</w:t>
            </w:r>
            <w:r>
              <w:rPr>
                <w:color w:val="000000"/>
                <w:lang w:eastAsia="en-AU"/>
              </w:rPr>
              <w:t xml:space="preserve"> – </w:t>
            </w:r>
            <w:r w:rsidRPr="0063769A">
              <w:rPr>
                <w:color w:val="000000"/>
                <w:lang w:eastAsia="en-AU"/>
              </w:rPr>
              <w:t>unweighted</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number (000)</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643</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596</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454</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485</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3769A">
              <w:t>The 2012</w:t>
            </w:r>
            <w:r w:rsidR="009F0F49">
              <w:noBreakHyphen/>
            </w:r>
            <w:r w:rsidRPr="0063769A">
              <w:t>13 Expected Outcome is higher than the 2012</w:t>
            </w:r>
            <w:r w:rsidR="009F0F49">
              <w:noBreakHyphen/>
            </w:r>
            <w:r w:rsidRPr="0063769A">
              <w:t>13 Target as the 2012</w:t>
            </w:r>
            <w:r w:rsidR="009F0F49">
              <w:noBreakHyphen/>
            </w:r>
            <w:r w:rsidRPr="0063769A">
              <w:t xml:space="preserve">13 Target was not adjusted to account for the impact of changes in admission policy (from 1 July 2012) as a result of reforms under national activity based funding models. </w:t>
            </w:r>
          </w:p>
          <w:p w:rsidR="00B958B1" w:rsidRDefault="00B958B1" w:rsidP="009F3B54">
            <w:pPr>
              <w:pStyle w:val="OGNotes"/>
            </w:pPr>
            <w:r w:rsidRPr="0063769A">
              <w:t xml:space="preserve">The </w:t>
            </w:r>
            <w:r>
              <w:t xml:space="preserve">higher </w:t>
            </w:r>
            <w:r w:rsidRPr="0063769A">
              <w:t>2013</w:t>
            </w:r>
            <w:r w:rsidR="009F0F49">
              <w:noBreakHyphen/>
            </w:r>
            <w:r w:rsidRPr="0063769A">
              <w:t xml:space="preserve">14 Target </w:t>
            </w:r>
            <w:r>
              <w:t>reflects</w:t>
            </w:r>
            <w:r w:rsidRPr="0063769A">
              <w:t xml:space="preserve"> growth activity and has been adjusted to account for the impact of changes in admission policy. </w:t>
            </w:r>
          </w:p>
          <w:p w:rsidR="00B958B1" w:rsidRPr="0063769A" w:rsidRDefault="00B958B1" w:rsidP="009F3B54">
            <w:pPr>
              <w:pStyle w:val="OGNotes"/>
              <w:rPr>
                <w:color w:val="000000"/>
                <w:sz w:val="16"/>
                <w:szCs w:val="16"/>
              </w:rPr>
            </w:pPr>
            <w:r>
              <w:t>The</w:t>
            </w:r>
            <w:r w:rsidRPr="0063769A">
              <w:t xml:space="preserve"> revision to classifications and counting rules required under National Health Reform has impacted the comparability of data between 2011</w:t>
            </w:r>
            <w:r w:rsidR="009F0F49">
              <w:noBreakHyphen/>
            </w:r>
            <w:r w:rsidRPr="0063769A">
              <w:t>12 and 2012</w:t>
            </w:r>
            <w:r w:rsidR="009F0F49">
              <w:noBreakHyphen/>
            </w:r>
            <w:r w:rsidRPr="0063769A">
              <w:t>13.</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pageBreakBefore/>
              <w:rPr>
                <w:color w:val="000000"/>
                <w:lang w:eastAsia="en-AU"/>
              </w:rPr>
            </w:pPr>
            <w:r w:rsidRPr="0063769A">
              <w:rPr>
                <w:color w:val="000000"/>
                <w:lang w:eastAsia="en-AU"/>
              </w:rPr>
              <w:t>Sub</w:t>
            </w:r>
            <w:r w:rsidR="009F0F49">
              <w:rPr>
                <w:color w:val="000000"/>
                <w:lang w:eastAsia="en-AU"/>
              </w:rPr>
              <w:noBreakHyphen/>
            </w:r>
            <w:r w:rsidRPr="0063769A">
              <w:rPr>
                <w:color w:val="000000"/>
                <w:lang w:eastAsia="en-AU"/>
              </w:rPr>
              <w:t>acute ambulatory care occasions of service</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number</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645</w:t>
            </w:r>
            <w:r>
              <w:rPr>
                <w:color w:val="000000"/>
                <w:lang w:eastAsia="en-AU"/>
              </w:rPr>
              <w:t> </w:t>
            </w:r>
            <w:r w:rsidRPr="0063769A">
              <w:rPr>
                <w:color w:val="000000"/>
                <w:lang w:eastAsia="en-AU"/>
              </w:rPr>
              <w:t>000</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620</w:t>
            </w:r>
            <w:r>
              <w:rPr>
                <w:color w:val="000000"/>
                <w:lang w:eastAsia="en-AU"/>
              </w:rPr>
              <w:t> </w:t>
            </w:r>
            <w:r w:rsidRPr="0063769A">
              <w:rPr>
                <w:color w:val="000000"/>
                <w:lang w:eastAsia="en-AU"/>
              </w:rPr>
              <w:t>000</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620</w:t>
            </w:r>
            <w:r>
              <w:rPr>
                <w:color w:val="000000"/>
                <w:lang w:eastAsia="en-AU"/>
              </w:rPr>
              <w:t> </w:t>
            </w:r>
            <w:r w:rsidRPr="0063769A">
              <w:rPr>
                <w:color w:val="000000"/>
                <w:lang w:eastAsia="en-AU"/>
              </w:rPr>
              <w:t>000</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621</w:t>
            </w:r>
            <w:r>
              <w:rPr>
                <w:color w:val="000000"/>
                <w:lang w:eastAsia="en-AU"/>
              </w:rPr>
              <w:t> </w:t>
            </w:r>
            <w:r w:rsidRPr="0063769A">
              <w:rPr>
                <w:color w:val="000000"/>
                <w:lang w:eastAsia="en-AU"/>
              </w:rPr>
              <w:t>591</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rPr>
            </w:pPr>
            <w:r w:rsidRPr="0063769A">
              <w:t>The higher 2013</w:t>
            </w:r>
            <w:r w:rsidR="009F0F49">
              <w:noBreakHyphen/>
            </w:r>
            <w:r w:rsidRPr="0063769A">
              <w:t>14 Target reflects additional activity growth.</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Quality</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Post</w:t>
            </w:r>
            <w:r w:rsidR="009F0F49">
              <w:rPr>
                <w:color w:val="000000"/>
                <w:lang w:eastAsia="en-AU"/>
              </w:rPr>
              <w:noBreakHyphen/>
            </w:r>
            <w:r w:rsidRPr="0063769A">
              <w:rPr>
                <w:color w:val="000000"/>
                <w:lang w:eastAsia="en-AU"/>
              </w:rPr>
              <w:t>acute clients not readmitted to acute hospital</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90</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92</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Timeliness</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Sub</w:t>
            </w:r>
            <w:r w:rsidR="009F0F49">
              <w:rPr>
                <w:color w:val="000000"/>
                <w:lang w:eastAsia="en-AU"/>
              </w:rPr>
              <w:noBreakHyphen/>
            </w:r>
            <w:r w:rsidRPr="0063769A">
              <w:rPr>
                <w:color w:val="000000"/>
                <w:lang w:eastAsia="en-AU"/>
              </w:rPr>
              <w:t>acute ambulatory care service clients contacted within three days of referral</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80</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79</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Cost</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output cost</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387.9</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333.6</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336.4</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271.0</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The</w:t>
            </w:r>
            <w:r>
              <w:t xml:space="preserve"> higher</w:t>
            </w:r>
            <w:r w:rsidRPr="0063769A">
              <w:t xml:space="preserve"> 2013</w:t>
            </w:r>
            <w:r w:rsidR="009F0F49">
              <w:noBreakHyphen/>
            </w:r>
            <w:r w:rsidRPr="0063769A">
              <w:t xml:space="preserve">14 Target reflects funding provided in the </w:t>
            </w:r>
            <w:r w:rsidRPr="004511B6">
              <w:rPr>
                <w:i w:val="0"/>
              </w:rPr>
              <w:t>2013</w:t>
            </w:r>
            <w:r w:rsidR="009F0F49">
              <w:rPr>
                <w:i w:val="0"/>
              </w:rPr>
              <w:noBreakHyphen/>
            </w:r>
            <w:r w:rsidRPr="004511B6">
              <w:rPr>
                <w:i w:val="0"/>
              </w:rPr>
              <w:t>14 Budget</w:t>
            </w:r>
            <w:r>
              <w:t xml:space="preserve"> and </w:t>
            </w:r>
            <w:r w:rsidRPr="0063769A">
              <w:t>funding for indexation</w:t>
            </w:r>
            <w:r>
              <w:t xml:space="preserve">. </w:t>
            </w:r>
          </w:p>
        </w:tc>
      </w:tr>
      <w:tr w:rsidR="00B958B1" w:rsidRPr="0063769A" w:rsidTr="009F3B54">
        <w:trPr>
          <w:cantSplit/>
        </w:trPr>
        <w:tc>
          <w:tcPr>
            <w:tcW w:w="7776" w:type="dxa"/>
            <w:gridSpan w:val="6"/>
            <w:tcBorders>
              <w:top w:val="nil"/>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Emergency Services</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TabText"/>
              <w:rPr>
                <w:lang w:eastAsia="en-AU"/>
              </w:rPr>
            </w:pPr>
            <w:r>
              <w:rPr>
                <w:lang w:eastAsia="en-AU"/>
              </w:rPr>
              <w:t>This output relates to emergency</w:t>
            </w:r>
            <w:r w:rsidRPr="0063769A">
              <w:rPr>
                <w:lang w:eastAsia="en-AU"/>
              </w:rPr>
              <w:t xml:space="preserve"> presentations at reporting hospitals with emergency departments. This output aims to provide </w:t>
            </w:r>
            <w:r>
              <w:rPr>
                <w:lang w:eastAsia="en-AU"/>
              </w:rPr>
              <w:t>high</w:t>
            </w:r>
            <w:r w:rsidR="009F0F49">
              <w:rPr>
                <w:lang w:eastAsia="en-AU"/>
              </w:rPr>
              <w:noBreakHyphen/>
            </w:r>
            <w:r>
              <w:rPr>
                <w:lang w:eastAsia="en-AU"/>
              </w:rPr>
              <w:t>quality</w:t>
            </w:r>
            <w:r w:rsidRPr="0063769A">
              <w:rPr>
                <w:lang w:eastAsia="en-AU"/>
              </w:rPr>
              <w:t>, accessible health and community services, specifically in the area of improving waiting times for emergency services.</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Quantity</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Emergency presentations</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number (000)</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574</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525</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533</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507</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 xml:space="preserve">The </w:t>
            </w:r>
            <w:r>
              <w:t xml:space="preserve">higher </w:t>
            </w:r>
            <w:r w:rsidRPr="0063769A">
              <w:t>2013</w:t>
            </w:r>
            <w:r w:rsidR="009F0F49">
              <w:noBreakHyphen/>
            </w:r>
            <w:r w:rsidRPr="0063769A">
              <w:t xml:space="preserve">14 Target </w:t>
            </w:r>
            <w:r>
              <w:t>reflects</w:t>
            </w:r>
            <w:r w:rsidRPr="0063769A">
              <w:t xml:space="preserve"> the impact of the additional funding provided in the </w:t>
            </w:r>
            <w:r w:rsidRPr="004511B6">
              <w:rPr>
                <w:i w:val="0"/>
              </w:rPr>
              <w:t>2013</w:t>
            </w:r>
            <w:r w:rsidR="009F0F49">
              <w:rPr>
                <w:i w:val="0"/>
              </w:rPr>
              <w:noBreakHyphen/>
            </w:r>
            <w:r w:rsidRPr="004511B6">
              <w:rPr>
                <w:i w:val="0"/>
              </w:rPr>
              <w:t>14 Budget</w:t>
            </w:r>
            <w:r w:rsidRPr="0063769A">
              <w:t>.</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Quality</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Number of occasions on Hospital Early Warning System (HEWS)</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number</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11</w:t>
            </w:r>
            <w:r>
              <w:rPr>
                <w:color w:val="000000"/>
                <w:lang w:eastAsia="en-AU"/>
              </w:rPr>
              <w:t> </w:t>
            </w:r>
            <w:r w:rsidRPr="0063769A">
              <w:rPr>
                <w:color w:val="000000"/>
                <w:lang w:eastAsia="en-AU"/>
              </w:rPr>
              <w:t>388</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4</w:t>
            </w:r>
            <w:r>
              <w:rPr>
                <w:color w:val="000000"/>
                <w:lang w:eastAsia="en-AU"/>
              </w:rPr>
              <w:t> </w:t>
            </w:r>
            <w:r w:rsidRPr="0063769A">
              <w:rPr>
                <w:color w:val="000000"/>
                <w:lang w:eastAsia="en-AU"/>
              </w:rPr>
              <w:t>885</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11</w:t>
            </w:r>
            <w:r>
              <w:rPr>
                <w:color w:val="000000"/>
                <w:lang w:eastAsia="en-AU"/>
              </w:rPr>
              <w:t> </w:t>
            </w:r>
            <w:r w:rsidRPr="0063769A">
              <w:rPr>
                <w:color w:val="000000"/>
                <w:lang w:eastAsia="en-AU"/>
              </w:rPr>
              <w:t>388</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4</w:t>
            </w:r>
            <w:r>
              <w:rPr>
                <w:color w:val="000000"/>
                <w:lang w:eastAsia="en-AU"/>
              </w:rPr>
              <w:t> </w:t>
            </w:r>
            <w:r w:rsidRPr="0063769A">
              <w:rPr>
                <w:color w:val="000000"/>
                <w:lang w:eastAsia="en-AU"/>
              </w:rPr>
              <w:t>232</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rPr>
            </w:pPr>
            <w:r w:rsidRPr="0063769A">
              <w:t>The 2012</w:t>
            </w:r>
            <w:r w:rsidR="009F0F49">
              <w:noBreakHyphen/>
            </w:r>
            <w:r w:rsidRPr="0063769A">
              <w:t xml:space="preserve">13 Expected Outcome </w:t>
            </w:r>
            <w:r>
              <w:t xml:space="preserve">is </w:t>
            </w:r>
            <w:r w:rsidRPr="0063769A">
              <w:t>lower than 2012</w:t>
            </w:r>
            <w:r w:rsidR="009F0F49">
              <w:noBreakHyphen/>
            </w:r>
            <w:r w:rsidRPr="0063769A">
              <w:t>13 Target</w:t>
            </w:r>
            <w:r>
              <w:t xml:space="preserve"> which</w:t>
            </w:r>
            <w:r w:rsidRPr="0063769A">
              <w:t xml:space="preserve"> is a positive result.</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keepNext/>
              <w:rPr>
                <w:color w:val="000000"/>
                <w:lang w:eastAsia="en-AU"/>
              </w:rPr>
            </w:pPr>
            <w:r w:rsidRPr="0063769A">
              <w:rPr>
                <w:color w:val="000000"/>
                <w:lang w:eastAsia="en-AU"/>
              </w:rPr>
              <w:t>Operating time on HEWS</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keepNext/>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keepNext/>
              <w:rPr>
                <w:color w:val="000000"/>
                <w:lang w:eastAsia="en-AU"/>
              </w:rPr>
            </w:pPr>
            <w:r w:rsidRPr="0063769A">
              <w:rPr>
                <w:color w:val="000000"/>
                <w:lang w:eastAsia="en-AU"/>
              </w:rPr>
              <w:t>10</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keepNext/>
              <w:rPr>
                <w:color w:val="000000"/>
                <w:lang w:eastAsia="en-AU"/>
              </w:rPr>
            </w:pPr>
            <w:r w:rsidRPr="0063769A">
              <w:rPr>
                <w:color w:val="000000"/>
                <w:lang w:eastAsia="en-AU"/>
              </w:rPr>
              <w:t>4</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keepNext/>
              <w:rPr>
                <w:color w:val="000000"/>
                <w:lang w:eastAsia="en-AU"/>
              </w:rPr>
            </w:pPr>
            <w:r w:rsidRPr="0063769A">
              <w:rPr>
                <w:color w:val="000000"/>
                <w:lang w:eastAsia="en-AU"/>
              </w:rPr>
              <w:t>10</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keepNext/>
              <w:rPr>
                <w:color w:val="000000"/>
                <w:lang w:eastAsia="en-AU"/>
              </w:rPr>
            </w:pPr>
            <w:r w:rsidRPr="0063769A">
              <w:rPr>
                <w:color w:val="000000"/>
                <w:lang w:eastAsia="en-AU"/>
              </w:rPr>
              <w:t>3.7</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rPr>
            </w:pPr>
            <w:r w:rsidRPr="0063769A">
              <w:t>The 2012</w:t>
            </w:r>
            <w:r w:rsidR="009F0F49">
              <w:noBreakHyphen/>
            </w:r>
            <w:r w:rsidRPr="0063769A">
              <w:t>13 Expected Outcome</w:t>
            </w:r>
            <w:r>
              <w:t xml:space="preserve"> is</w:t>
            </w:r>
            <w:r w:rsidRPr="0063769A">
              <w:t xml:space="preserve"> lower than 2012</w:t>
            </w:r>
            <w:r w:rsidR="009F0F49">
              <w:noBreakHyphen/>
            </w:r>
            <w:r w:rsidRPr="0063769A">
              <w:t>13 Target</w:t>
            </w:r>
            <w:r>
              <w:t xml:space="preserve"> which</w:t>
            </w:r>
            <w:r w:rsidRPr="0063769A">
              <w:t xml:space="preserve"> is a positive result.</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Time on hospital bypass</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3</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2.1</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3</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1.7</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rPr>
            </w:pPr>
            <w:r w:rsidRPr="0063769A">
              <w:t>The 2012</w:t>
            </w:r>
            <w:r w:rsidR="009F0F49">
              <w:noBreakHyphen/>
            </w:r>
            <w:r w:rsidRPr="0063769A">
              <w:t>13 Expected Outcome</w:t>
            </w:r>
            <w:r>
              <w:t xml:space="preserve"> is</w:t>
            </w:r>
            <w:r w:rsidRPr="0063769A">
              <w:t xml:space="preserve"> lower than 2012</w:t>
            </w:r>
            <w:r w:rsidR="009F0F49">
              <w:noBreakHyphen/>
            </w:r>
            <w:r w:rsidRPr="0063769A">
              <w:t xml:space="preserve">13 Target </w:t>
            </w:r>
            <w:r>
              <w:t xml:space="preserve">which </w:t>
            </w:r>
            <w:r w:rsidRPr="0063769A">
              <w:t>is a positive result.</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Timeliness</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Emergency Category 1 treated immediately</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Emergency patients treated within time</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80</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73</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80</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72</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3769A">
              <w:t>The 2012</w:t>
            </w:r>
            <w:r w:rsidR="009F0F49">
              <w:noBreakHyphen/>
            </w:r>
            <w:r w:rsidRPr="0063769A">
              <w:t>13 Expected Outcome is lower than</w:t>
            </w:r>
            <w:r>
              <w:t xml:space="preserve"> the</w:t>
            </w:r>
            <w:r w:rsidRPr="0063769A">
              <w:t xml:space="preserve"> 2012</w:t>
            </w:r>
            <w:r w:rsidR="009F0F49">
              <w:noBreakHyphen/>
            </w:r>
            <w:r w:rsidRPr="0063769A">
              <w:t xml:space="preserve">13 Target, however performance </w:t>
            </w:r>
            <w:r>
              <w:t xml:space="preserve">in Category 2 and 3 </w:t>
            </w:r>
            <w:r w:rsidRPr="0063769A">
              <w:t>has improved</w:t>
            </w:r>
            <w:r>
              <w:t>. Patients with urgent care needs continue to be treated as a priority.</w:t>
            </w:r>
          </w:p>
          <w:p w:rsidR="00B958B1" w:rsidRPr="0063769A" w:rsidRDefault="00B958B1" w:rsidP="009F3B54">
            <w:pPr>
              <w:pStyle w:val="OGNotes"/>
              <w:rPr>
                <w:color w:val="000000"/>
                <w:sz w:val="16"/>
                <w:szCs w:val="16"/>
              </w:rPr>
            </w:pPr>
            <w:r w:rsidRPr="0063769A">
              <w:t>The 2012</w:t>
            </w:r>
            <w:r w:rsidR="009F0F49">
              <w:noBreakHyphen/>
            </w:r>
            <w:r w:rsidRPr="0063769A">
              <w:t xml:space="preserve">13 Target has been amended to correct an error in the </w:t>
            </w:r>
            <w:r w:rsidRPr="007B029A">
              <w:rPr>
                <w:i w:val="0"/>
              </w:rPr>
              <w:t>2012</w:t>
            </w:r>
            <w:r w:rsidR="009F0F49">
              <w:rPr>
                <w:i w:val="0"/>
              </w:rPr>
              <w:noBreakHyphen/>
            </w:r>
            <w:r w:rsidRPr="007B029A">
              <w:rPr>
                <w:i w:val="0"/>
              </w:rPr>
              <w:t>13 Budget</w:t>
            </w:r>
            <w:r w:rsidRPr="0063769A">
              <w:t>, with the target now aligning to Commonwealth Targets.</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Emergency patients with a length of stay of less than four hours</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75</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65</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70</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64</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3769A">
              <w:t>The 2012</w:t>
            </w:r>
            <w:r w:rsidR="009F0F49">
              <w:noBreakHyphen/>
            </w:r>
            <w:r w:rsidRPr="0063769A">
              <w:t>13 Expected Outcome is lower than the 2012</w:t>
            </w:r>
            <w:r w:rsidR="009F0F49">
              <w:noBreakHyphen/>
            </w:r>
            <w:r w:rsidRPr="0063769A">
              <w:t>13 Target</w:t>
            </w:r>
            <w:r>
              <w:t>,</w:t>
            </w:r>
            <w:r w:rsidRPr="0063769A">
              <w:t xml:space="preserve"> </w:t>
            </w:r>
            <w:r>
              <w:t>however</w:t>
            </w:r>
            <w:r w:rsidRPr="0063769A">
              <w:t xml:space="preserve"> continuing reforms around models of care and redesign within emergency departments, aimed at improving patient access and emergency care, are currently underway. This is the National Emergency Access Target (NEAT).</w:t>
            </w:r>
          </w:p>
          <w:p w:rsidR="00B958B1" w:rsidRPr="0063769A" w:rsidRDefault="00B958B1" w:rsidP="009F3B54">
            <w:pPr>
              <w:pStyle w:val="OGNotes"/>
              <w:rPr>
                <w:color w:val="000000"/>
                <w:sz w:val="16"/>
                <w:szCs w:val="16"/>
              </w:rPr>
            </w:pPr>
            <w:r w:rsidRPr="0063769A">
              <w:t xml:space="preserve">The </w:t>
            </w:r>
            <w:r>
              <w:t xml:space="preserve">higher </w:t>
            </w:r>
            <w:r w:rsidRPr="0063769A">
              <w:t>2013</w:t>
            </w:r>
            <w:r w:rsidR="009F0F49">
              <w:noBreakHyphen/>
            </w:r>
            <w:r w:rsidRPr="0063769A">
              <w:t xml:space="preserve">14 Target </w:t>
            </w:r>
            <w:r>
              <w:t>reflects</w:t>
            </w:r>
            <w:r w:rsidRPr="0063769A">
              <w:t xml:space="preserve"> align</w:t>
            </w:r>
            <w:r>
              <w:t>ment</w:t>
            </w:r>
            <w:r w:rsidRPr="0063769A">
              <w:t xml:space="preserve"> with the National Partnership Agreement on Improving </w:t>
            </w:r>
            <w:r>
              <w:t xml:space="preserve">Public </w:t>
            </w:r>
            <w:r w:rsidRPr="0063769A">
              <w:t xml:space="preserve">Hospital Services. </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Proportion of ambulance patient transfers within 40 minutes</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90</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76</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90</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81.7</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The 2012</w:t>
            </w:r>
            <w:r w:rsidR="009F0F49">
              <w:noBreakHyphen/>
            </w:r>
            <w:r w:rsidRPr="0063769A">
              <w:t>13 Expected Outcome is lower than the 2012</w:t>
            </w:r>
            <w:r w:rsidR="009F0F49">
              <w:noBreakHyphen/>
            </w:r>
            <w:r w:rsidRPr="0063769A">
              <w:t>13 Target and is a focus for improvement initiatives by hospitals and Ambulance Victoria.</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Cost</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output cost</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604.2</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601.7</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425.4</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404.8</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3769A">
              <w:t>The 2012</w:t>
            </w:r>
            <w:r w:rsidR="009F0F49">
              <w:noBreakHyphen/>
            </w:r>
            <w:r w:rsidRPr="0063769A">
              <w:t>13 Expected Outcome is higher than the 2012</w:t>
            </w:r>
            <w:r w:rsidR="009F0F49">
              <w:noBreakHyphen/>
            </w:r>
            <w:r w:rsidRPr="0063769A">
              <w:t>13 Target because some funding for Acute Admitted Services was transferred to the Emergency Services output as a result of reforms under national activity</w:t>
            </w:r>
            <w:r w:rsidR="009F0F49">
              <w:noBreakHyphen/>
            </w:r>
            <w:r w:rsidRPr="0063769A">
              <w:t>based funding models.</w:t>
            </w:r>
          </w:p>
          <w:p w:rsidR="00B958B1" w:rsidRPr="0063769A" w:rsidRDefault="00B958B1" w:rsidP="009F3B54">
            <w:pPr>
              <w:pStyle w:val="OGNotes"/>
              <w:rPr>
                <w:color w:val="000000"/>
                <w:sz w:val="16"/>
                <w:szCs w:val="16"/>
              </w:rPr>
            </w:pPr>
            <w:r w:rsidRPr="0063769A">
              <w:t xml:space="preserve">The </w:t>
            </w:r>
            <w:r>
              <w:t xml:space="preserve">higher </w:t>
            </w:r>
            <w:r w:rsidRPr="0063769A">
              <w:t>2013</w:t>
            </w:r>
            <w:r w:rsidR="009F0F49">
              <w:noBreakHyphen/>
            </w:r>
            <w:r w:rsidRPr="0063769A">
              <w:t xml:space="preserve">14 Target reflects funding provided in the </w:t>
            </w:r>
            <w:r w:rsidRPr="004511B6">
              <w:rPr>
                <w:i w:val="0"/>
              </w:rPr>
              <w:t>2013</w:t>
            </w:r>
            <w:r w:rsidR="009F0F49">
              <w:rPr>
                <w:i w:val="0"/>
              </w:rPr>
              <w:noBreakHyphen/>
            </w:r>
            <w:r w:rsidRPr="004511B6">
              <w:rPr>
                <w:i w:val="0"/>
              </w:rPr>
              <w:t>14 Budget</w:t>
            </w:r>
            <w:r>
              <w:t xml:space="preserve"> and </w:t>
            </w:r>
            <w:r w:rsidRPr="0063769A">
              <w:t>funding for indexation</w:t>
            </w:r>
            <w:r>
              <w:t>.</w:t>
            </w:r>
            <w:r w:rsidRPr="0063769A">
              <w:t xml:space="preserve"> </w:t>
            </w:r>
          </w:p>
        </w:tc>
      </w:tr>
      <w:tr w:rsidR="00B958B1" w:rsidRPr="0063769A" w:rsidTr="009F3B54">
        <w:trPr>
          <w:cantSplit/>
        </w:trPr>
        <w:tc>
          <w:tcPr>
            <w:tcW w:w="7776" w:type="dxa"/>
            <w:gridSpan w:val="6"/>
            <w:tcBorders>
              <w:top w:val="nil"/>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Acute Training and Development</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TabText"/>
              <w:rPr>
                <w:lang w:eastAsia="en-AU"/>
              </w:rPr>
            </w:pPr>
            <w:r w:rsidRPr="0063769A">
              <w:rPr>
                <w:lang w:eastAsia="en-AU"/>
              </w:rPr>
              <w:t>Provision of grants to hospitals for the training and accreditation of health workers. This output aims to provide career opportunities and contribute towards a stable and accredited workforce in the health sector in Victoria. This output supports the Department</w:t>
            </w:r>
            <w:r>
              <w:rPr>
                <w:lang w:eastAsia="en-AU"/>
              </w:rPr>
              <w:t>’</w:t>
            </w:r>
            <w:r w:rsidRPr="0063769A">
              <w:rPr>
                <w:lang w:eastAsia="en-AU"/>
              </w:rPr>
              <w:t>s priority of developing the service system capacity through increasing the skilled medical workforce.</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Quantity</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Post graduate nursing places at Diploma and Certificate level</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number</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832</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832</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832</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832</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FTE (early graduate) allied health positions in public system</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number</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684</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654</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461</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461</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3769A">
              <w:t>The 2012</w:t>
            </w:r>
            <w:r w:rsidR="009F0F49">
              <w:noBreakHyphen/>
            </w:r>
            <w:r w:rsidRPr="0063769A">
              <w:t>13 Expected Outcome is higher than the 2012</w:t>
            </w:r>
            <w:r w:rsidR="009F0F49">
              <w:noBreakHyphen/>
            </w:r>
            <w:r w:rsidRPr="0063769A">
              <w:t>13 Target due to growth in the number of professions and health services eligible to receive funding support for allied health early graduates</w:t>
            </w:r>
            <w:r>
              <w:t>.</w:t>
            </w:r>
            <w:r w:rsidRPr="0063769A">
              <w:t xml:space="preserve"> </w:t>
            </w:r>
          </w:p>
          <w:p w:rsidR="00B958B1" w:rsidRPr="0063769A" w:rsidRDefault="00B958B1" w:rsidP="009F3B54">
            <w:pPr>
              <w:pStyle w:val="OGNotes"/>
              <w:rPr>
                <w:color w:val="000000"/>
                <w:sz w:val="16"/>
                <w:szCs w:val="16"/>
              </w:rPr>
            </w:pPr>
            <w:r w:rsidRPr="0063769A">
              <w:t>The</w:t>
            </w:r>
            <w:r>
              <w:t xml:space="preserve"> higher</w:t>
            </w:r>
            <w:r w:rsidRPr="0063769A">
              <w:t xml:space="preserve"> 2013</w:t>
            </w:r>
            <w:r w:rsidR="009F0F49">
              <w:noBreakHyphen/>
            </w:r>
            <w:r w:rsidRPr="0063769A">
              <w:t xml:space="preserve">14 Target </w:t>
            </w:r>
            <w:r>
              <w:t xml:space="preserve">reflects </w:t>
            </w:r>
            <w:r w:rsidRPr="0063769A">
              <w:t xml:space="preserve">the impact of the additional funding provided in the </w:t>
            </w:r>
            <w:r w:rsidRPr="004511B6">
              <w:rPr>
                <w:i w:val="0"/>
              </w:rPr>
              <w:t>2013</w:t>
            </w:r>
            <w:r w:rsidR="009F0F49">
              <w:rPr>
                <w:i w:val="0"/>
              </w:rPr>
              <w:noBreakHyphen/>
            </w:r>
            <w:r w:rsidRPr="004511B6">
              <w:rPr>
                <w:i w:val="0"/>
              </w:rPr>
              <w:t>14 Budget</w:t>
            </w:r>
            <w:r>
              <w:t xml:space="preserve"> </w:t>
            </w:r>
            <w:r w:rsidRPr="0063769A">
              <w:t>and the growth in the number of professions and health services eligible to receive funding support for allied health early graduates</w:t>
            </w:r>
            <w:r>
              <w:t>.</w:t>
            </w:r>
            <w:r w:rsidRPr="0063769A">
              <w:t xml:space="preserve"> </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FTE (early graduate) medical positions in public system</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number</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390</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297</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300</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224</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rPr>
            </w:pPr>
            <w:r w:rsidRPr="0063769A">
              <w:t>The</w:t>
            </w:r>
            <w:r>
              <w:t xml:space="preserve"> higher</w:t>
            </w:r>
            <w:r w:rsidRPr="0063769A">
              <w:t xml:space="preserve"> 2013</w:t>
            </w:r>
            <w:r w:rsidR="009F0F49">
              <w:noBreakHyphen/>
            </w:r>
            <w:r w:rsidRPr="0063769A">
              <w:t xml:space="preserve">14 Target reflects funding provided in the </w:t>
            </w:r>
            <w:r w:rsidRPr="004511B6">
              <w:rPr>
                <w:i w:val="0"/>
              </w:rPr>
              <w:t>2013</w:t>
            </w:r>
            <w:r w:rsidR="009F0F49">
              <w:rPr>
                <w:i w:val="0"/>
              </w:rPr>
              <w:noBreakHyphen/>
            </w:r>
            <w:r w:rsidRPr="004511B6">
              <w:rPr>
                <w:i w:val="0"/>
              </w:rPr>
              <w:t>14 Budget</w:t>
            </w:r>
            <w:r w:rsidRPr="0063769A">
              <w:t>.</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FTE (early graduate) nursing positions in public system</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number</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455</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335</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305</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w:t>
            </w:r>
            <w:r w:rsidRPr="0063769A">
              <w:rPr>
                <w:color w:val="000000"/>
                <w:lang w:eastAsia="en-AU"/>
              </w:rPr>
              <w:t>318</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3769A">
              <w:t>The 2012</w:t>
            </w:r>
            <w:r w:rsidR="009F0F49">
              <w:noBreakHyphen/>
            </w:r>
            <w:r w:rsidRPr="0063769A">
              <w:t>13 Expected Outcome is higher than the 2012</w:t>
            </w:r>
            <w:r w:rsidR="009F0F49">
              <w:noBreakHyphen/>
            </w:r>
            <w:r w:rsidRPr="0063769A">
              <w:t xml:space="preserve">13 Target due to </w:t>
            </w:r>
            <w:r>
              <w:t xml:space="preserve">the </w:t>
            </w:r>
            <w:r w:rsidRPr="0063769A">
              <w:t xml:space="preserve">availability of </w:t>
            </w:r>
            <w:r>
              <w:t>additional funding provided</w:t>
            </w:r>
            <w:r w:rsidRPr="0063769A">
              <w:t xml:space="preserve"> to match the increasing graduate activity by </w:t>
            </w:r>
            <w:r>
              <w:t>h</w:t>
            </w:r>
            <w:r w:rsidRPr="0063769A">
              <w:t xml:space="preserve">ealth </w:t>
            </w:r>
            <w:r>
              <w:t>s</w:t>
            </w:r>
            <w:r w:rsidRPr="0063769A">
              <w:t xml:space="preserve">ervices. </w:t>
            </w:r>
          </w:p>
          <w:p w:rsidR="00B958B1" w:rsidRPr="0063769A" w:rsidRDefault="00B958B1" w:rsidP="009F3B54">
            <w:pPr>
              <w:pStyle w:val="OGNotes"/>
              <w:rPr>
                <w:color w:val="000000"/>
                <w:sz w:val="16"/>
                <w:szCs w:val="16"/>
              </w:rPr>
            </w:pPr>
            <w:r w:rsidRPr="0063769A">
              <w:t xml:space="preserve">The </w:t>
            </w:r>
            <w:r>
              <w:t xml:space="preserve">higher </w:t>
            </w:r>
            <w:r w:rsidRPr="0063769A">
              <w:t>2013</w:t>
            </w:r>
            <w:r w:rsidR="009F0F49">
              <w:noBreakHyphen/>
            </w:r>
            <w:r w:rsidRPr="0063769A">
              <w:t xml:space="preserve">14 Target </w:t>
            </w:r>
            <w:r>
              <w:t>reflects</w:t>
            </w:r>
            <w:r w:rsidRPr="0063769A">
              <w:t xml:space="preserve"> the impact of the additional funding provided in the </w:t>
            </w:r>
            <w:r w:rsidRPr="004511B6">
              <w:rPr>
                <w:i w:val="0"/>
              </w:rPr>
              <w:t>2013</w:t>
            </w:r>
            <w:r w:rsidR="009F0F49">
              <w:rPr>
                <w:i w:val="0"/>
              </w:rPr>
              <w:noBreakHyphen/>
            </w:r>
            <w:r w:rsidRPr="004511B6">
              <w:rPr>
                <w:i w:val="0"/>
              </w:rPr>
              <w:t>14 Budget</w:t>
            </w:r>
            <w:r w:rsidRPr="0063769A">
              <w:t>.</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pageBreakBefore/>
              <w:rPr>
                <w:lang w:eastAsia="en-AU"/>
              </w:rPr>
            </w:pPr>
            <w:r w:rsidRPr="00D32CA4">
              <w:rPr>
                <w:lang w:eastAsia="en-AU"/>
              </w:rPr>
              <w:t>Cost</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Head"/>
              <w:rPr>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Head"/>
              <w:rPr>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Head"/>
              <w:rPr>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Head"/>
              <w:rPr>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Head"/>
              <w:rPr>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output cost</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287</w:t>
            </w:r>
            <w:r>
              <w:rPr>
                <w:color w:val="000000"/>
                <w:lang w:eastAsia="en-AU"/>
              </w:rPr>
              <w:t>.0</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278.2</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313</w:t>
            </w:r>
            <w:r>
              <w:rPr>
                <w:color w:val="000000"/>
                <w:lang w:eastAsia="en-AU"/>
              </w:rPr>
              <w:t>.0</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318.8</w:t>
            </w:r>
          </w:p>
        </w:tc>
      </w:tr>
      <w:tr w:rsidR="00B958B1" w:rsidRPr="0063769A" w:rsidTr="009F3B54">
        <w:trPr>
          <w:cantSplit/>
        </w:trPr>
        <w:tc>
          <w:tcPr>
            <w:tcW w:w="7776" w:type="dxa"/>
            <w:gridSpan w:val="6"/>
            <w:tcBorders>
              <w:top w:val="nil"/>
              <w:left w:val="nil"/>
              <w:bottom w:val="single" w:sz="12"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8669D0">
              <w:t>The 2012</w:t>
            </w:r>
            <w:r w:rsidR="009F0F49">
              <w:noBreakHyphen/>
            </w:r>
            <w:r w:rsidRPr="008669D0">
              <w:t>13 Expected Outcome and the 2013</w:t>
            </w:r>
            <w:r w:rsidR="009F0F49">
              <w:noBreakHyphen/>
            </w:r>
            <w:r w:rsidRPr="008669D0">
              <w:t>14 Target are lower than the 2012</w:t>
            </w:r>
            <w:r w:rsidR="009F0F49">
              <w:noBreakHyphen/>
            </w:r>
            <w:r w:rsidRPr="008669D0">
              <w:t>13 Target as a result of changes to classification of specified teaching/training payments</w:t>
            </w:r>
            <w:r>
              <w:t>. These payments are</w:t>
            </w:r>
            <w:r w:rsidRPr="008669D0">
              <w:t xml:space="preserve"> now included in admitted services activity payments as a result of national hospital funding reforms</w:t>
            </w:r>
            <w:r>
              <w:t>. H</w:t>
            </w:r>
            <w:r w:rsidRPr="002624EF">
              <w:t>owever State funding component has increased</w:t>
            </w:r>
            <w:r w:rsidRPr="008669D0">
              <w:t>.</w:t>
            </w:r>
            <w:r>
              <w:t xml:space="preserve"> </w:t>
            </w:r>
          </w:p>
        </w:tc>
      </w:tr>
    </w:tbl>
    <w:p w:rsidR="00B958B1" w:rsidRDefault="00B958B1" w:rsidP="009F3B54">
      <w:pPr>
        <w:pStyle w:val="Source"/>
      </w:pPr>
      <w:r>
        <w:t>Source: Department of</w:t>
      </w:r>
      <w:r w:rsidRPr="00981AA0">
        <w:t xml:space="preserve"> </w:t>
      </w:r>
      <w:r>
        <w:t>Health</w:t>
      </w:r>
    </w:p>
    <w:p w:rsidR="00B958B1" w:rsidRDefault="00B958B1" w:rsidP="009F3B54">
      <w:pPr>
        <w:pStyle w:val="Source"/>
      </w:pPr>
      <w:r>
        <w:fldChar w:fldCharType="begin"/>
      </w:r>
      <w:r>
        <w:instrText xml:space="preserve"> XE "</w:instrText>
      </w:r>
      <w:r w:rsidRPr="006870BA">
        <w:instrText>Department of Health:Acute Health Services</w:instrText>
      </w:r>
      <w:r>
        <w:instrText xml:space="preserve">" \r "BP3DHAcuteHealth" </w:instrText>
      </w:r>
      <w:r>
        <w:fldChar w:fldCharType="end"/>
      </w:r>
    </w:p>
    <w:bookmarkEnd w:id="104"/>
    <w:p w:rsidR="00B958B1" w:rsidRPr="00AE2A7F" w:rsidRDefault="00B958B1" w:rsidP="009F3B54"/>
    <w:p w:rsidR="00B958B1" w:rsidRDefault="00B958B1" w:rsidP="009F3B54">
      <w:pPr>
        <w:pStyle w:val="OGHeading1"/>
        <w:rPr>
          <w:lang w:eastAsia="en-AU"/>
        </w:rPr>
      </w:pPr>
      <w:r>
        <w:rPr>
          <w:lang w:eastAsia="en-AU"/>
        </w:rPr>
        <w:br w:type="page"/>
      </w:r>
      <w:bookmarkStart w:id="105" w:name="BP3DHAmbulanceSvces"/>
      <w:r w:rsidRPr="0063769A">
        <w:rPr>
          <w:lang w:eastAsia="en-AU"/>
        </w:rPr>
        <w:t>Ambulance Services</w:t>
      </w:r>
    </w:p>
    <w:p w:rsidR="00B958B1" w:rsidRPr="0063769A" w:rsidRDefault="00B958B1" w:rsidP="009F3B54">
      <w:pPr>
        <w:pStyle w:val="OGText"/>
        <w:rPr>
          <w:lang w:eastAsia="en-AU"/>
        </w:rPr>
      </w:pPr>
      <w:r w:rsidRPr="0063769A">
        <w:rPr>
          <w:lang w:eastAsia="en-AU"/>
        </w:rPr>
        <w:t>Ambulance Services outputs provide emergency and non</w:t>
      </w:r>
      <w:r w:rsidR="009F0F49">
        <w:rPr>
          <w:lang w:eastAsia="en-AU"/>
        </w:rPr>
        <w:noBreakHyphen/>
      </w:r>
      <w:r w:rsidRPr="0063769A">
        <w:rPr>
          <w:lang w:eastAsia="en-AU"/>
        </w:rPr>
        <w:t>emergency ambulance services. Ambulance response times are important to ensure critically ill Victorians receive the care they need. This output group contributes to the Department</w:t>
      </w:r>
      <w:r>
        <w:rPr>
          <w:lang w:eastAsia="en-AU"/>
        </w:rPr>
        <w:t>’</w:t>
      </w:r>
      <w:r w:rsidRPr="0063769A">
        <w:rPr>
          <w:lang w:eastAsia="en-AU"/>
        </w:rPr>
        <w:t>s priority of achieving the best health and wellbeing for all Victorians through improved health service performance and developing our health service system and organisation. The output supports the Department</w:t>
      </w:r>
      <w:r>
        <w:rPr>
          <w:lang w:eastAsia="en-AU"/>
        </w:rPr>
        <w:t>’</w:t>
      </w:r>
      <w:r w:rsidRPr="0063769A">
        <w:rPr>
          <w:lang w:eastAsia="en-AU"/>
        </w:rPr>
        <w:t xml:space="preserve">s priority of developing service and system capacity of ambulance services. </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D32CA4" w:rsidTr="009F3B54">
        <w:trPr>
          <w:cantSplit/>
          <w:tblHeader/>
        </w:trPr>
        <w:tc>
          <w:tcPr>
            <w:tcW w:w="3155" w:type="dxa"/>
            <w:tcBorders>
              <w:top w:val="single" w:sz="4" w:space="0" w:color="auto"/>
              <w:left w:val="single" w:sz="4" w:space="0" w:color="auto"/>
              <w:bottom w:val="single" w:sz="4" w:space="0" w:color="auto"/>
              <w:right w:val="nil"/>
            </w:tcBorders>
            <w:shd w:val="clear" w:color="auto" w:fill="000000"/>
            <w:vAlign w:val="bottom"/>
          </w:tcPr>
          <w:p w:rsidR="00B958B1" w:rsidRPr="00D32CA4" w:rsidRDefault="00B958B1" w:rsidP="009F3B54">
            <w:pPr>
              <w:pStyle w:val="OGTabColLeft"/>
              <w:rPr>
                <w:i/>
              </w:rPr>
            </w:pPr>
            <w:r w:rsidRPr="00D32CA4">
              <w:t>Major Outputs/Deliverables</w:t>
            </w:r>
            <w:r w:rsidRPr="00D32CA4">
              <w:br/>
            </w:r>
            <w:r w:rsidRPr="0085011C">
              <w:rPr>
                <w:b w:val="0"/>
                <w:i/>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3"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63769A" w:rsidTr="009F3B54">
        <w:trPr>
          <w:cantSplit/>
        </w:trPr>
        <w:tc>
          <w:tcPr>
            <w:tcW w:w="7776" w:type="dxa"/>
            <w:gridSpan w:val="6"/>
            <w:tcBorders>
              <w:top w:val="nil"/>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Ambulance Emergency Services</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TabText"/>
              <w:rPr>
                <w:lang w:eastAsia="en-AU"/>
              </w:rPr>
            </w:pPr>
            <w:r w:rsidRPr="0063769A">
              <w:rPr>
                <w:lang w:eastAsia="en-AU"/>
              </w:rPr>
              <w:t xml:space="preserve">Emergency road, rotary and fixed air wing patient treatment and transport services provide timely and </w:t>
            </w:r>
            <w:r>
              <w:rPr>
                <w:lang w:eastAsia="en-AU"/>
              </w:rPr>
              <w:t>high</w:t>
            </w:r>
            <w:r w:rsidR="009F0F49">
              <w:rPr>
                <w:lang w:eastAsia="en-AU"/>
              </w:rPr>
              <w:noBreakHyphen/>
            </w:r>
            <w:r>
              <w:rPr>
                <w:lang w:eastAsia="en-AU"/>
              </w:rPr>
              <w:t>quality</w:t>
            </w:r>
            <w:r w:rsidRPr="0063769A">
              <w:rPr>
                <w:lang w:eastAsia="en-AU"/>
              </w:rPr>
              <w:t xml:space="preserve"> emergency ambulance services. Timely and </w:t>
            </w:r>
            <w:r>
              <w:rPr>
                <w:lang w:eastAsia="en-AU"/>
              </w:rPr>
              <w:t>high</w:t>
            </w:r>
            <w:r w:rsidR="009F0F49">
              <w:rPr>
                <w:lang w:eastAsia="en-AU"/>
              </w:rPr>
              <w:noBreakHyphen/>
            </w:r>
            <w:r>
              <w:rPr>
                <w:lang w:eastAsia="en-AU"/>
              </w:rPr>
              <w:t>quality</w:t>
            </w:r>
            <w:r w:rsidRPr="0063769A">
              <w:rPr>
                <w:lang w:eastAsia="en-AU"/>
              </w:rPr>
              <w:t xml:space="preserve"> emergency ambulance services contribute to </w:t>
            </w:r>
            <w:r>
              <w:rPr>
                <w:lang w:eastAsia="en-AU"/>
              </w:rPr>
              <w:t>high</w:t>
            </w:r>
            <w:r w:rsidR="009F0F49">
              <w:rPr>
                <w:lang w:eastAsia="en-AU"/>
              </w:rPr>
              <w:noBreakHyphen/>
            </w:r>
            <w:r>
              <w:rPr>
                <w:lang w:eastAsia="en-AU"/>
              </w:rPr>
              <w:t>quality</w:t>
            </w:r>
            <w:r w:rsidRPr="0063769A">
              <w:rPr>
                <w:lang w:eastAsia="en-AU"/>
              </w:rPr>
              <w:t>, accessible health and community services for all Victorians.</w:t>
            </w:r>
          </w:p>
        </w:tc>
      </w:tr>
      <w:tr w:rsidR="00B958B1" w:rsidRPr="00A60844" w:rsidTr="009F3B54">
        <w:trPr>
          <w:cantSplit/>
        </w:trPr>
        <w:tc>
          <w:tcPr>
            <w:tcW w:w="3155" w:type="dxa"/>
            <w:tcBorders>
              <w:top w:val="single" w:sz="6" w:space="0" w:color="auto"/>
              <w:left w:val="nil"/>
              <w:bottom w:val="nil"/>
              <w:right w:val="nil"/>
            </w:tcBorders>
            <w:shd w:val="clear" w:color="auto" w:fill="auto"/>
            <w:vAlign w:val="bottom"/>
            <w:hideMark/>
          </w:tcPr>
          <w:p w:rsidR="00B958B1" w:rsidRPr="00A60844" w:rsidRDefault="00B958B1" w:rsidP="009F3B54">
            <w:pPr>
              <w:pStyle w:val="OGTabHead"/>
              <w:rPr>
                <w:lang w:eastAsia="en-AU"/>
              </w:rPr>
            </w:pPr>
            <w:r w:rsidRPr="00A60844">
              <w:rPr>
                <w:bCs/>
                <w:iCs/>
                <w:color w:val="000000"/>
                <w:lang w:eastAsia="en-AU"/>
              </w:rPr>
              <w:t>Quantity</w:t>
            </w: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A60844"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r>
      <w:tr w:rsidR="00B958B1" w:rsidRPr="00A60844" w:rsidTr="009F3B54">
        <w:trPr>
          <w:cantSplit/>
        </w:trPr>
        <w:tc>
          <w:tcPr>
            <w:tcW w:w="3155" w:type="dxa"/>
            <w:tcBorders>
              <w:top w:val="nil"/>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Country road cases</w:t>
            </w:r>
          </w:p>
        </w:tc>
        <w:tc>
          <w:tcPr>
            <w:tcW w:w="907" w:type="dxa"/>
            <w:tcBorders>
              <w:top w:val="nil"/>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nil"/>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161 900</w:t>
            </w:r>
          </w:p>
        </w:tc>
        <w:tc>
          <w:tcPr>
            <w:tcW w:w="993"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166 200</w:t>
            </w:r>
          </w:p>
        </w:tc>
        <w:tc>
          <w:tcPr>
            <w:tcW w:w="907"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130 227</w:t>
            </w:r>
          </w:p>
        </w:tc>
        <w:tc>
          <w:tcPr>
            <w:tcW w:w="907"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129 932</w:t>
            </w:r>
          </w:p>
        </w:tc>
      </w:tr>
      <w:tr w:rsidR="00B958B1" w:rsidRPr="00A60844"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A60844" w:rsidRDefault="00B958B1" w:rsidP="009F3B54">
            <w:pPr>
              <w:pStyle w:val="OGNotes"/>
              <w:rPr>
                <w:color w:val="000000"/>
                <w:sz w:val="16"/>
                <w:szCs w:val="16"/>
              </w:rPr>
            </w:pPr>
            <w:r w:rsidRPr="00A60844">
              <w:t>The 2012</w:t>
            </w:r>
            <w:r w:rsidR="009F0F49">
              <w:noBreakHyphen/>
            </w:r>
            <w:r w:rsidRPr="00A60844">
              <w:t>13 Expected Outcome</w:t>
            </w:r>
            <w:r>
              <w:t xml:space="preserve"> and the</w:t>
            </w:r>
            <w:r w:rsidRPr="00A60844">
              <w:t xml:space="preserve"> 2013</w:t>
            </w:r>
            <w:r w:rsidR="009F0F49">
              <w:noBreakHyphen/>
            </w:r>
            <w:r>
              <w:t xml:space="preserve">14 Target </w:t>
            </w:r>
            <w:r w:rsidRPr="00A60844">
              <w:t xml:space="preserve">are higher than </w:t>
            </w:r>
            <w:r>
              <w:t xml:space="preserve">the </w:t>
            </w:r>
            <w:r w:rsidRPr="00A60844">
              <w:t>2012</w:t>
            </w:r>
            <w:r w:rsidR="009F0F49">
              <w:noBreakHyphen/>
            </w:r>
            <w:r w:rsidRPr="00A60844">
              <w:t>13 Target primarily due to changed coding practices between emergency and non</w:t>
            </w:r>
            <w:r w:rsidR="009F0F49">
              <w:noBreakHyphen/>
            </w:r>
            <w:r w:rsidRPr="00A60844">
              <w:t>emergency cases.</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Metropolitan road cases</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378 200</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368 400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370 386</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355 507</w:t>
            </w:r>
          </w:p>
        </w:tc>
      </w:tr>
      <w:tr w:rsidR="00B958B1" w:rsidRPr="00A60844"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A60844" w:rsidRDefault="00B958B1" w:rsidP="009F3B54">
            <w:pPr>
              <w:pStyle w:val="OGNotes"/>
              <w:rPr>
                <w:color w:val="000000"/>
              </w:rPr>
            </w:pPr>
            <w:r w:rsidRPr="00A60844">
              <w:t xml:space="preserve">The </w:t>
            </w:r>
            <w:r>
              <w:t xml:space="preserve">higher </w:t>
            </w:r>
            <w:r w:rsidRPr="00A60844">
              <w:t>2013</w:t>
            </w:r>
            <w:r w:rsidR="009F0F49">
              <w:noBreakHyphen/>
            </w:r>
            <w:r w:rsidRPr="00A60844">
              <w:t xml:space="preserve">14 Target </w:t>
            </w:r>
            <w:r>
              <w:t>reflects a</w:t>
            </w:r>
            <w:r w:rsidRPr="00A60844">
              <w:t xml:space="preserve"> forecast increase in demand.</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Pensioner and concession card holder cases</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257 600</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253 700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238 825</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235 362</w:t>
            </w:r>
          </w:p>
        </w:tc>
      </w:tr>
      <w:tr w:rsidR="00B958B1" w:rsidRPr="00A60844"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A60844" w:rsidRDefault="00B958B1" w:rsidP="009F3B54">
            <w:pPr>
              <w:pStyle w:val="OGNotes"/>
              <w:rPr>
                <w:color w:val="000000"/>
                <w:sz w:val="16"/>
                <w:szCs w:val="16"/>
              </w:rPr>
            </w:pPr>
            <w:r w:rsidRPr="00A60844">
              <w:t>The 2012</w:t>
            </w:r>
            <w:r w:rsidR="009F0F49">
              <w:noBreakHyphen/>
            </w:r>
            <w:r w:rsidRPr="00A60844">
              <w:t>13 Expected Outcome</w:t>
            </w:r>
            <w:r>
              <w:t xml:space="preserve"> and the</w:t>
            </w:r>
            <w:r w:rsidRPr="00A60844">
              <w:t xml:space="preserve"> 2013</w:t>
            </w:r>
            <w:r w:rsidR="009F0F49">
              <w:noBreakHyphen/>
            </w:r>
            <w:r>
              <w:t xml:space="preserve">14 Target </w:t>
            </w:r>
            <w:r w:rsidRPr="00A60844">
              <w:t xml:space="preserve">are higher than </w:t>
            </w:r>
            <w:r>
              <w:t xml:space="preserve">the </w:t>
            </w:r>
            <w:r w:rsidRPr="00A60844">
              <w:t>2012</w:t>
            </w:r>
            <w:r w:rsidR="009F0F49">
              <w:noBreakHyphen/>
            </w:r>
            <w:r w:rsidRPr="00A60844">
              <w:t>13 Target primarily due to changed coding practices between emergency and non</w:t>
            </w:r>
            <w:r w:rsidR="009F0F49">
              <w:noBreakHyphen/>
            </w:r>
            <w:r w:rsidRPr="00A60844">
              <w:t>emergency cases.</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Statewide air cases</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4 380</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4 290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4 856</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4 418</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A60844">
              <w:t>The 2013</w:t>
            </w:r>
            <w:r w:rsidR="009F0F49">
              <w:noBreakHyphen/>
            </w:r>
            <w:r w:rsidRPr="00A60844">
              <w:t>14 Target and the 2012</w:t>
            </w:r>
            <w:r w:rsidR="009F0F49">
              <w:noBreakHyphen/>
            </w:r>
            <w:r w:rsidRPr="00A60844">
              <w:t>13 Expected Outcome are lower than the 2012</w:t>
            </w:r>
            <w:r w:rsidR="009F0F49">
              <w:noBreakHyphen/>
            </w:r>
            <w:r w:rsidRPr="00A60844">
              <w:t>13 Target, which is in line wit</w:t>
            </w:r>
            <w:r>
              <w:t xml:space="preserve">h historical </w:t>
            </w:r>
            <w:r w:rsidRPr="00A03792">
              <w:t>performance</w:t>
            </w:r>
            <w:r>
              <w:t xml:space="preserve"> levels.</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Quality</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Audited cases attended by Community Emergency Response Teams (CERT) meeting clinical practice standards</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90</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94</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94.8</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Audited cases statewide meeting clinical practice standards</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95</w:t>
            </w:r>
          </w:p>
        </w:tc>
        <w:tc>
          <w:tcPr>
            <w:tcW w:w="993"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97</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95</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97.8</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lang w:eastAsia="en-AU"/>
              </w:rPr>
            </w:pPr>
            <w:r w:rsidRPr="0063769A">
              <w:rPr>
                <w:lang w:eastAsia="en-AU"/>
              </w:rPr>
              <w:t xml:space="preserve">Percentage of adult </w:t>
            </w:r>
            <w:r>
              <w:rPr>
                <w:lang w:eastAsia="en-AU"/>
              </w:rPr>
              <w:t>ventricular fibrillation/ventricular tachycardia</w:t>
            </w:r>
            <w:r w:rsidRPr="0063769A">
              <w:rPr>
                <w:lang w:eastAsia="en-AU"/>
              </w:rPr>
              <w:t xml:space="preserve"> cardiac </w:t>
            </w:r>
            <w:r w:rsidRPr="00A03792">
              <w:t>arrest</w:t>
            </w:r>
            <w:r w:rsidRPr="0063769A">
              <w:rPr>
                <w:lang w:eastAsia="en-AU"/>
              </w:rPr>
              <w:t xml:space="preserve"> patients with vital signs at hospital</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45</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nm</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nm</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nm</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New performance measure for 2013</w:t>
            </w:r>
            <w:r w:rsidR="009F0F49">
              <w:noBreakHyphen/>
            </w:r>
            <w:r w:rsidRPr="0063769A">
              <w:t xml:space="preserve">14 to reflect </w:t>
            </w:r>
            <w:r>
              <w:t>G</w:t>
            </w:r>
            <w:r w:rsidRPr="0063769A">
              <w:t xml:space="preserve">overnment priorities regarding clinical interventions and treatments </w:t>
            </w:r>
            <w:r w:rsidRPr="00A03792">
              <w:t>by</w:t>
            </w:r>
            <w:r w:rsidRPr="0063769A">
              <w:t xml:space="preserve"> providing an improved system of care and a range of early cardiac arrest treatment programs.</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lang w:eastAsia="en-AU"/>
              </w:rPr>
            </w:pPr>
            <w:r w:rsidRPr="0063769A">
              <w:rPr>
                <w:lang w:eastAsia="en-AU"/>
              </w:rPr>
              <w:t xml:space="preserve">Percentage of adult patients suspected of having a stroke who were transported to a stroke unit with </w:t>
            </w:r>
            <w:r w:rsidRPr="00A03792">
              <w:t>thrombolysis</w:t>
            </w:r>
            <w:r w:rsidRPr="0063769A">
              <w:rPr>
                <w:lang w:eastAsia="en-AU"/>
              </w:rPr>
              <w:t xml:space="preserve"> facilities within 60 minutes</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80</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nm</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nm</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nm</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New performance measure for 2013</w:t>
            </w:r>
            <w:r w:rsidR="009F0F49">
              <w:noBreakHyphen/>
            </w:r>
            <w:r w:rsidRPr="0063769A">
              <w:t>14 to align with the Victorian Stroke Strategy</w:t>
            </w:r>
            <w:r>
              <w:t>.</w:t>
            </w:r>
            <w:r w:rsidRPr="0063769A">
              <w:t xml:space="preserve"> </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Proportion of patients experiencing severe cardiac or traumatic pain whose level of pain is reduced significantly</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90</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92</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90</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92.4</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3769A">
              <w:t>This performance measure amends the 2012</w:t>
            </w:r>
            <w:r w:rsidR="009F0F49">
              <w:noBreakHyphen/>
            </w:r>
            <w:r w:rsidRPr="0063769A">
              <w:t xml:space="preserve">13 performance measure </w:t>
            </w:r>
            <w:r>
              <w:t>‘</w:t>
            </w:r>
            <w:r w:rsidRPr="0063769A">
              <w:t>Proportion of patients experiencing severe cardiac and traumatic pain whose level of pain is reduced significantly.</w:t>
            </w:r>
            <w:r>
              <w:t>’</w:t>
            </w:r>
          </w:p>
          <w:p w:rsidR="00B958B1" w:rsidRPr="0063769A" w:rsidRDefault="00B958B1" w:rsidP="009F3B54">
            <w:pPr>
              <w:pStyle w:val="OGNotes"/>
              <w:rPr>
                <w:color w:val="000000"/>
                <w:sz w:val="16"/>
                <w:szCs w:val="16"/>
              </w:rPr>
            </w:pPr>
            <w:r w:rsidRPr="0063769A">
              <w:t>The 2012</w:t>
            </w:r>
            <w:r w:rsidR="009F0F49">
              <w:noBreakHyphen/>
            </w:r>
            <w:r w:rsidRPr="0063769A">
              <w:t>13 Expected Outcome is based only on adult pain relief. From 2013</w:t>
            </w:r>
            <w:r w:rsidR="009F0F49">
              <w:noBreakHyphen/>
            </w:r>
            <w:r w:rsidRPr="0063769A">
              <w:t>14, the inclusion of adult and paediatric patients in a single revised measure provides an extension of coverage for the measure, not a change to the measure itself. Thus data prior to 2013</w:t>
            </w:r>
            <w:r w:rsidR="009F0F49">
              <w:noBreakHyphen/>
            </w:r>
            <w:r w:rsidRPr="0063769A">
              <w:t>14 is not directly comparable.</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Proportion of patients satisfied or very satisfied with quality of care provided by paramedics</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95</w:t>
            </w:r>
          </w:p>
        </w:tc>
        <w:tc>
          <w:tcPr>
            <w:tcW w:w="993"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97</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95</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97</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Timeliness</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CERT arrival occurs prior to ambulance</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85</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83</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85</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85.6</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Proportion of emergency (</w:t>
            </w:r>
            <w:r>
              <w:rPr>
                <w:color w:val="000000"/>
                <w:lang w:eastAsia="en-AU"/>
              </w:rPr>
              <w:t>Code 1</w:t>
            </w:r>
            <w:r w:rsidRPr="0063769A">
              <w:rPr>
                <w:color w:val="000000"/>
                <w:lang w:eastAsia="en-AU"/>
              </w:rPr>
              <w:t>) incidents responded to within 15 minutes</w:t>
            </w:r>
            <w:r>
              <w:rPr>
                <w:color w:val="000000"/>
                <w:lang w:eastAsia="en-AU"/>
              </w:rPr>
              <w:t xml:space="preserve"> – </w:t>
            </w:r>
            <w:r w:rsidRPr="0063769A">
              <w:rPr>
                <w:color w:val="000000"/>
                <w:lang w:eastAsia="en-AU"/>
              </w:rPr>
              <w:t>statewide</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85</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72</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85</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74.8</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The 2012</w:t>
            </w:r>
            <w:r w:rsidR="009F0F49">
              <w:noBreakHyphen/>
            </w:r>
            <w:r w:rsidRPr="0063769A">
              <w:t xml:space="preserve">13 Expected Outcome is lower than </w:t>
            </w:r>
            <w:r>
              <w:t xml:space="preserve">the </w:t>
            </w:r>
            <w:r w:rsidRPr="0063769A">
              <w:t>2012</w:t>
            </w:r>
            <w:r w:rsidR="009F0F49">
              <w:noBreakHyphen/>
            </w:r>
            <w:r w:rsidRPr="0063769A">
              <w:t xml:space="preserve">13 Target </w:t>
            </w:r>
            <w:r>
              <w:t>due to the fact that there are complex inter</w:t>
            </w:r>
            <w:r w:rsidR="009F0F49">
              <w:noBreakHyphen/>
            </w:r>
            <w:r>
              <w:t>related factors that contribute to response times, including demand, case complexity, case time and hospital interface</w:t>
            </w:r>
            <w:r w:rsidRPr="0063769A">
              <w:t xml:space="preserve">. </w:t>
            </w:r>
            <w:r>
              <w:t>Ambulance Victoria</w:t>
            </w:r>
            <w:r w:rsidRPr="0063769A">
              <w:t xml:space="preserve"> is implementing a range of improvement projects to support ambulance availability to improve response times.</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Proportion of emergency (</w:t>
            </w:r>
            <w:r>
              <w:rPr>
                <w:color w:val="000000"/>
                <w:lang w:eastAsia="en-AU"/>
              </w:rPr>
              <w:t>Code 1</w:t>
            </w:r>
            <w:r w:rsidRPr="0063769A">
              <w:rPr>
                <w:color w:val="000000"/>
                <w:lang w:eastAsia="en-AU"/>
              </w:rPr>
              <w:t>) incidents responded to within 15 minu</w:t>
            </w:r>
            <w:r>
              <w:rPr>
                <w:color w:val="000000"/>
                <w:lang w:eastAsia="en-AU"/>
              </w:rPr>
              <w:t>tes in centres with more than 7 </w:t>
            </w:r>
            <w:r w:rsidRPr="0063769A">
              <w:rPr>
                <w:color w:val="000000"/>
                <w:lang w:eastAsia="en-AU"/>
              </w:rPr>
              <w:t>500 population</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90</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76</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90</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79.8</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The 2012</w:t>
            </w:r>
            <w:r w:rsidR="009F0F49">
              <w:noBreakHyphen/>
            </w:r>
            <w:r w:rsidRPr="0063769A">
              <w:t xml:space="preserve">13 Expected Outcome is lower than </w:t>
            </w:r>
            <w:r>
              <w:t xml:space="preserve">the </w:t>
            </w:r>
            <w:r w:rsidRPr="0063769A">
              <w:t>2012</w:t>
            </w:r>
            <w:r w:rsidR="009F0F49">
              <w:noBreakHyphen/>
            </w:r>
            <w:r w:rsidRPr="0063769A">
              <w:t xml:space="preserve">13 Target </w:t>
            </w:r>
            <w:r>
              <w:t>due to the fact that there are complex inter</w:t>
            </w:r>
            <w:r w:rsidR="009F0F49">
              <w:noBreakHyphen/>
            </w:r>
            <w:r>
              <w:t>related factors that contribute to response times, including demand, case complexity, case time and hospital interface</w:t>
            </w:r>
            <w:r w:rsidRPr="0063769A">
              <w:t xml:space="preserve">. </w:t>
            </w:r>
            <w:r>
              <w:t>Ambulance Victoria</w:t>
            </w:r>
            <w:r w:rsidRPr="0063769A">
              <w:t xml:space="preserve"> is implementing a range of improvement projects to support ambulance availability to improve response times.</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Cost</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output cost</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554.7</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522.6</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523.1</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487</w:t>
            </w:r>
            <w:r>
              <w:rPr>
                <w:color w:val="000000"/>
                <w:lang w:eastAsia="en-AU"/>
              </w:rPr>
              <w:t>.0</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 xml:space="preserve">The </w:t>
            </w:r>
            <w:r>
              <w:t xml:space="preserve">higher </w:t>
            </w:r>
            <w:r w:rsidRPr="0063769A">
              <w:t>2013</w:t>
            </w:r>
            <w:r w:rsidR="009F0F49">
              <w:noBreakHyphen/>
            </w:r>
            <w:r w:rsidRPr="0063769A">
              <w:t>14 Target reflects funding for indexation, funding for the phased implementation of policy initiatives announced in previous Budgets, and increased contributions from membership and transport fees.</w:t>
            </w:r>
          </w:p>
        </w:tc>
      </w:tr>
      <w:tr w:rsidR="00B958B1" w:rsidRPr="0063769A" w:rsidTr="009F3B54">
        <w:trPr>
          <w:cantSplit/>
        </w:trPr>
        <w:tc>
          <w:tcPr>
            <w:tcW w:w="7776" w:type="dxa"/>
            <w:gridSpan w:val="6"/>
            <w:tcBorders>
              <w:top w:val="nil"/>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Ambulance Non</w:t>
            </w:r>
            <w:r w:rsidR="009F0F49">
              <w:rPr>
                <w:lang w:eastAsia="en-AU"/>
              </w:rPr>
              <w:noBreakHyphen/>
            </w:r>
            <w:r w:rsidRPr="0063769A">
              <w:rPr>
                <w:lang w:eastAsia="en-AU"/>
              </w:rPr>
              <w:t>Emergency Services</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TabText"/>
              <w:rPr>
                <w:lang w:eastAsia="en-AU"/>
              </w:rPr>
            </w:pPr>
            <w:r w:rsidRPr="0063769A">
              <w:rPr>
                <w:lang w:eastAsia="en-AU"/>
              </w:rPr>
              <w:t>Non</w:t>
            </w:r>
            <w:r w:rsidR="009F0F49">
              <w:rPr>
                <w:lang w:eastAsia="en-AU"/>
              </w:rPr>
              <w:noBreakHyphen/>
            </w:r>
            <w:r w:rsidRPr="0063769A">
              <w:rPr>
                <w:lang w:eastAsia="en-AU"/>
              </w:rPr>
              <w:t xml:space="preserve">emergency road, rotary and fixed air wing patient treatment and transport services provide access to timely, </w:t>
            </w:r>
            <w:r>
              <w:rPr>
                <w:lang w:eastAsia="en-AU"/>
              </w:rPr>
              <w:t>high</w:t>
            </w:r>
            <w:r w:rsidR="009F0F49">
              <w:rPr>
                <w:lang w:eastAsia="en-AU"/>
              </w:rPr>
              <w:noBreakHyphen/>
            </w:r>
            <w:r>
              <w:rPr>
                <w:lang w:eastAsia="en-AU"/>
              </w:rPr>
              <w:t>quality</w:t>
            </w:r>
            <w:r w:rsidRPr="0063769A">
              <w:rPr>
                <w:lang w:eastAsia="en-AU"/>
              </w:rPr>
              <w:t xml:space="preserve"> non</w:t>
            </w:r>
            <w:r w:rsidR="009F0F49">
              <w:rPr>
                <w:lang w:eastAsia="en-AU"/>
              </w:rPr>
              <w:noBreakHyphen/>
            </w:r>
            <w:r w:rsidRPr="0063769A">
              <w:rPr>
                <w:lang w:eastAsia="en-AU"/>
              </w:rPr>
              <w:t>emergency ambulance services. High</w:t>
            </w:r>
            <w:r w:rsidR="009F0F49">
              <w:rPr>
                <w:lang w:eastAsia="en-AU"/>
              </w:rPr>
              <w:noBreakHyphen/>
            </w:r>
            <w:r w:rsidRPr="0063769A">
              <w:rPr>
                <w:lang w:eastAsia="en-AU"/>
              </w:rPr>
              <w:t>quality non</w:t>
            </w:r>
            <w:r w:rsidR="009F0F49">
              <w:rPr>
                <w:lang w:eastAsia="en-AU"/>
              </w:rPr>
              <w:noBreakHyphen/>
            </w:r>
            <w:r w:rsidRPr="0063769A">
              <w:rPr>
                <w:lang w:eastAsia="en-AU"/>
              </w:rPr>
              <w:t xml:space="preserve">emergency ambulance services contribute to </w:t>
            </w:r>
            <w:r>
              <w:rPr>
                <w:lang w:eastAsia="en-AU"/>
              </w:rPr>
              <w:t>high</w:t>
            </w:r>
            <w:r w:rsidR="009F0F49">
              <w:rPr>
                <w:lang w:eastAsia="en-AU"/>
              </w:rPr>
              <w:noBreakHyphen/>
            </w:r>
            <w:r>
              <w:rPr>
                <w:lang w:eastAsia="en-AU"/>
              </w:rPr>
              <w:t>quality</w:t>
            </w:r>
            <w:r w:rsidRPr="0063769A">
              <w:rPr>
                <w:lang w:eastAsia="en-AU"/>
              </w:rPr>
              <w:t>, accessible health and community services for all Victorians. The output supports departmental priorities through provision of patient transport officers to service non</w:t>
            </w:r>
            <w:r w:rsidR="009F0F49">
              <w:rPr>
                <w:lang w:eastAsia="en-AU"/>
              </w:rPr>
              <w:noBreakHyphen/>
            </w:r>
            <w:r w:rsidRPr="0063769A">
              <w:rPr>
                <w:lang w:eastAsia="en-AU"/>
              </w:rPr>
              <w:t>emergency pre and post hospital patients.</w:t>
            </w:r>
          </w:p>
        </w:tc>
      </w:tr>
      <w:tr w:rsidR="00B958B1" w:rsidRPr="00A60844" w:rsidTr="009F3B54">
        <w:trPr>
          <w:cantSplit/>
        </w:trPr>
        <w:tc>
          <w:tcPr>
            <w:tcW w:w="3155" w:type="dxa"/>
            <w:tcBorders>
              <w:top w:val="single" w:sz="6" w:space="0" w:color="auto"/>
              <w:left w:val="nil"/>
              <w:bottom w:val="nil"/>
              <w:right w:val="nil"/>
            </w:tcBorders>
            <w:shd w:val="clear" w:color="auto" w:fill="auto"/>
            <w:vAlign w:val="bottom"/>
            <w:hideMark/>
          </w:tcPr>
          <w:p w:rsidR="00B958B1" w:rsidRPr="00A60844" w:rsidRDefault="00B958B1" w:rsidP="009F3B54">
            <w:pPr>
              <w:pStyle w:val="OGTabHead"/>
              <w:rPr>
                <w:lang w:eastAsia="en-AU"/>
              </w:rPr>
            </w:pPr>
            <w:r w:rsidRPr="00A60844">
              <w:rPr>
                <w:bCs/>
                <w:iCs/>
                <w:color w:val="000000"/>
                <w:lang w:eastAsia="en-AU"/>
              </w:rPr>
              <w:t>Quantity</w:t>
            </w: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A60844"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r>
      <w:tr w:rsidR="00B958B1" w:rsidRPr="00A60844" w:rsidTr="009F3B54">
        <w:trPr>
          <w:cantSplit/>
        </w:trPr>
        <w:tc>
          <w:tcPr>
            <w:tcW w:w="3155" w:type="dxa"/>
            <w:tcBorders>
              <w:top w:val="nil"/>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Country road cases</w:t>
            </w:r>
          </w:p>
        </w:tc>
        <w:tc>
          <w:tcPr>
            <w:tcW w:w="907" w:type="dxa"/>
            <w:tcBorders>
              <w:top w:val="nil"/>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nil"/>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42 300</w:t>
            </w:r>
          </w:p>
        </w:tc>
        <w:tc>
          <w:tcPr>
            <w:tcW w:w="993"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38 700</w:t>
            </w:r>
          </w:p>
        </w:tc>
        <w:tc>
          <w:tcPr>
            <w:tcW w:w="907"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61 752</w:t>
            </w:r>
          </w:p>
        </w:tc>
        <w:tc>
          <w:tcPr>
            <w:tcW w:w="907"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63 534</w:t>
            </w:r>
          </w:p>
        </w:tc>
      </w:tr>
      <w:tr w:rsidR="00B958B1" w:rsidRPr="00A03792"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A03792" w:rsidRDefault="00B958B1" w:rsidP="009F3B54">
            <w:pPr>
              <w:pStyle w:val="OGNotes"/>
            </w:pPr>
            <w:r w:rsidRPr="00A03792">
              <w:t>The 2012</w:t>
            </w:r>
            <w:r w:rsidR="009F0F49">
              <w:noBreakHyphen/>
            </w:r>
            <w:r w:rsidRPr="00A03792">
              <w:t>13 Expected Outcome and the 2013</w:t>
            </w:r>
            <w:r w:rsidR="009F0F49">
              <w:noBreakHyphen/>
            </w:r>
            <w:r w:rsidRPr="00A03792">
              <w:t>14 Target are lower than the 2012</w:t>
            </w:r>
            <w:r w:rsidR="009F0F49">
              <w:noBreakHyphen/>
            </w:r>
            <w:r w:rsidRPr="00A03792">
              <w:t>13 Target primarily due to changed coding practices between emergency and non</w:t>
            </w:r>
            <w:r w:rsidR="009F0F49">
              <w:noBreakHyphen/>
            </w:r>
            <w:r w:rsidRPr="00A03792">
              <w:t>emergency cases.</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Metropolitan road cases</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258 900</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250 900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254 108</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245 799</w:t>
            </w:r>
          </w:p>
        </w:tc>
      </w:tr>
      <w:tr w:rsidR="00B958B1" w:rsidRPr="00A60844"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A60844" w:rsidRDefault="00B958B1" w:rsidP="009F3B54">
            <w:pPr>
              <w:pStyle w:val="OGNotes"/>
              <w:rPr>
                <w:color w:val="000000"/>
                <w:sz w:val="16"/>
                <w:szCs w:val="16"/>
              </w:rPr>
            </w:pPr>
            <w:r w:rsidRPr="00A60844">
              <w:t>The</w:t>
            </w:r>
            <w:r>
              <w:t xml:space="preserve"> higher</w:t>
            </w:r>
            <w:r w:rsidRPr="00A60844">
              <w:t xml:space="preserve"> 2013</w:t>
            </w:r>
            <w:r w:rsidR="009F0F49">
              <w:noBreakHyphen/>
            </w:r>
            <w:r w:rsidRPr="00A60844">
              <w:t xml:space="preserve">14 </w:t>
            </w:r>
            <w:r>
              <w:t>Target reflects a</w:t>
            </w:r>
            <w:r w:rsidRPr="00A60844">
              <w:t xml:space="preserve"> forecast increase in demand.</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Pensioner and concession card holders transported</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201 600</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193 900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211 217</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204 815</w:t>
            </w:r>
          </w:p>
        </w:tc>
      </w:tr>
      <w:tr w:rsidR="00B958B1" w:rsidRPr="00A60844"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A60844" w:rsidRDefault="00B958B1" w:rsidP="009F3B54">
            <w:pPr>
              <w:pStyle w:val="OGNotes"/>
              <w:rPr>
                <w:color w:val="000000"/>
                <w:sz w:val="16"/>
                <w:szCs w:val="16"/>
              </w:rPr>
            </w:pPr>
            <w:r w:rsidRPr="00A60844">
              <w:t>The 2012</w:t>
            </w:r>
            <w:r w:rsidR="009F0F49">
              <w:noBreakHyphen/>
            </w:r>
            <w:r w:rsidRPr="00A60844">
              <w:t>13 Expected Outcome</w:t>
            </w:r>
            <w:r>
              <w:t xml:space="preserve"> and the </w:t>
            </w:r>
            <w:r w:rsidRPr="00A60844">
              <w:t>2013</w:t>
            </w:r>
            <w:r w:rsidR="009F0F49">
              <w:noBreakHyphen/>
            </w:r>
            <w:r>
              <w:t>14 Target</w:t>
            </w:r>
            <w:r w:rsidRPr="00A60844">
              <w:t xml:space="preserve"> are lower than the 2012</w:t>
            </w:r>
            <w:r w:rsidR="009F0F49">
              <w:noBreakHyphen/>
            </w:r>
            <w:r w:rsidRPr="00A60844">
              <w:t>13 Target primarily due to changed coding practices between emergency and non</w:t>
            </w:r>
            <w:r w:rsidR="009F0F49">
              <w:noBreakHyphen/>
            </w:r>
            <w:r w:rsidRPr="00A60844">
              <w:t>emergency cases.</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Statewide air cases</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3 060</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3 030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2 473</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2 663</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rPr>
            </w:pPr>
            <w:r w:rsidRPr="00A60844">
              <w:t xml:space="preserve">The </w:t>
            </w:r>
            <w:r>
              <w:t>higher 2012</w:t>
            </w:r>
            <w:r w:rsidR="009F0F49">
              <w:noBreakHyphen/>
            </w:r>
            <w:r>
              <w:t xml:space="preserve">13 Expected Outcome and </w:t>
            </w:r>
            <w:r w:rsidRPr="00A60844">
              <w:t>2013</w:t>
            </w:r>
            <w:r w:rsidR="009F0F49">
              <w:noBreakHyphen/>
            </w:r>
            <w:r>
              <w:t>14 Target</w:t>
            </w:r>
            <w:r w:rsidRPr="00A60844">
              <w:t xml:space="preserve"> </w:t>
            </w:r>
            <w:r>
              <w:t>reflect</w:t>
            </w:r>
            <w:r w:rsidRPr="00A60844">
              <w:t xml:space="preserve"> increasing demand.</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Quality</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Audited cases statewide meeting clinical practice standards</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94</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98</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94</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98.3</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Cost</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output cost</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107.2</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101</w:t>
            </w:r>
            <w:r>
              <w:rPr>
                <w:color w:val="000000"/>
                <w:lang w:eastAsia="en-AU"/>
              </w:rPr>
              <w:t>.0</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117.2</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112.1</w:t>
            </w:r>
          </w:p>
        </w:tc>
      </w:tr>
      <w:tr w:rsidR="00B958B1" w:rsidRPr="0063769A" w:rsidTr="009F3B54">
        <w:trPr>
          <w:cantSplit/>
        </w:trPr>
        <w:tc>
          <w:tcPr>
            <w:tcW w:w="7776" w:type="dxa"/>
            <w:gridSpan w:val="6"/>
            <w:tcBorders>
              <w:top w:val="nil"/>
              <w:left w:val="nil"/>
              <w:bottom w:val="single" w:sz="12" w:space="0" w:color="auto"/>
              <w:right w:val="nil"/>
            </w:tcBorders>
            <w:shd w:val="clear" w:color="auto" w:fill="auto"/>
            <w:vAlign w:val="bottom"/>
            <w:hideMark/>
          </w:tcPr>
          <w:p w:rsidR="00B958B1" w:rsidRPr="006B39B5" w:rsidRDefault="00B958B1" w:rsidP="009F3B54">
            <w:pPr>
              <w:pStyle w:val="OGNotes"/>
            </w:pPr>
            <w:r w:rsidRPr="0063769A">
              <w:t>The 2012</w:t>
            </w:r>
            <w:r w:rsidR="009F0F49">
              <w:noBreakHyphen/>
            </w:r>
            <w:r w:rsidRPr="0063769A">
              <w:t>13 Expected Outcome</w:t>
            </w:r>
            <w:r>
              <w:t xml:space="preserve"> and the 2013</w:t>
            </w:r>
            <w:r w:rsidR="009F0F49">
              <w:noBreakHyphen/>
            </w:r>
            <w:r>
              <w:t>14 Target are</w:t>
            </w:r>
            <w:r w:rsidRPr="0063769A">
              <w:t xml:space="preserve"> lower than the 2012</w:t>
            </w:r>
            <w:r w:rsidR="009F0F49">
              <w:noBreakHyphen/>
            </w:r>
            <w:r>
              <w:t>13 Target</w:t>
            </w:r>
            <w:r w:rsidRPr="0063769A">
              <w:t xml:space="preserve"> </w:t>
            </w:r>
            <w:r>
              <w:t>due to the</w:t>
            </w:r>
            <w:r w:rsidRPr="0063769A">
              <w:t xml:space="preserve"> reallocation of funding to support delivery of </w:t>
            </w:r>
            <w:r>
              <w:t>infrastructure to support additional paramedics</w:t>
            </w:r>
            <w:r w:rsidRPr="0063769A">
              <w:t>.</w:t>
            </w:r>
          </w:p>
        </w:tc>
      </w:tr>
    </w:tbl>
    <w:p w:rsidR="00B958B1" w:rsidRDefault="00B958B1" w:rsidP="009F3B54">
      <w:pPr>
        <w:pStyle w:val="Source"/>
      </w:pPr>
      <w:r>
        <w:t>Source: Department of</w:t>
      </w:r>
      <w:r w:rsidRPr="00981AA0">
        <w:t xml:space="preserve"> </w:t>
      </w:r>
      <w:r>
        <w:t>Health</w:t>
      </w:r>
    </w:p>
    <w:p w:rsidR="00B958B1" w:rsidRDefault="00B958B1" w:rsidP="009F3B54">
      <w:pPr>
        <w:pStyle w:val="Source"/>
      </w:pPr>
      <w:r>
        <w:fldChar w:fldCharType="begin"/>
      </w:r>
      <w:r>
        <w:instrText xml:space="preserve"> XE "</w:instrText>
      </w:r>
      <w:r w:rsidRPr="00AC0CA9">
        <w:instrText>Department of Health:Ambulance Services</w:instrText>
      </w:r>
      <w:r>
        <w:instrText xml:space="preserve">" \r "BP3DHAmbulanceSvces" </w:instrText>
      </w:r>
      <w:r>
        <w:fldChar w:fldCharType="end"/>
      </w:r>
    </w:p>
    <w:bookmarkEnd w:id="105"/>
    <w:p w:rsidR="00B958B1" w:rsidRDefault="00B958B1" w:rsidP="009F3B54">
      <w:pPr>
        <w:pStyle w:val="OGText"/>
      </w:pPr>
    </w:p>
    <w:p w:rsidR="00B958B1" w:rsidRPr="0063769A" w:rsidRDefault="00B958B1" w:rsidP="009F3B54">
      <w:pPr>
        <w:pStyle w:val="OGHeading1"/>
        <w:rPr>
          <w:lang w:eastAsia="en-AU"/>
        </w:rPr>
      </w:pPr>
      <w:r>
        <w:br w:type="page"/>
      </w:r>
      <w:bookmarkStart w:id="106" w:name="BP3DHMentalHealth"/>
      <w:r>
        <w:rPr>
          <w:lang w:eastAsia="en-AU"/>
        </w:rPr>
        <w:t>Mental Health</w:t>
      </w:r>
    </w:p>
    <w:p w:rsidR="00B958B1" w:rsidRPr="0063769A" w:rsidRDefault="00B958B1" w:rsidP="009F3B54">
      <w:pPr>
        <w:pStyle w:val="OGText"/>
        <w:rPr>
          <w:lang w:eastAsia="en-AU"/>
        </w:rPr>
      </w:pPr>
      <w:r w:rsidRPr="0063769A">
        <w:rPr>
          <w:lang w:eastAsia="en-AU"/>
        </w:rPr>
        <w:t>Mental Health outputs provide a range of inpatient, community</w:t>
      </w:r>
      <w:r w:rsidR="009F0F49">
        <w:rPr>
          <w:lang w:eastAsia="en-AU"/>
        </w:rPr>
        <w:noBreakHyphen/>
      </w:r>
      <w:r w:rsidRPr="0063769A">
        <w:rPr>
          <w:lang w:eastAsia="en-AU"/>
        </w:rPr>
        <w:t>based residential and ambulatory services which treat and support people with a mental illness and their families and carers. This output group contributes to the Department</w:t>
      </w:r>
      <w:r>
        <w:rPr>
          <w:lang w:eastAsia="en-AU"/>
        </w:rPr>
        <w:t>’</w:t>
      </w:r>
      <w:r w:rsidRPr="0063769A">
        <w:rPr>
          <w:lang w:eastAsia="en-AU"/>
        </w:rPr>
        <w:t xml:space="preserve">s priority of achieving the best health and wellbeing for all Victorians through reform to mental health and drug and alcohol services to meet client needs. </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D32CA4" w:rsidTr="009F3B54">
        <w:trPr>
          <w:cantSplit/>
          <w:tblHeader/>
        </w:trPr>
        <w:tc>
          <w:tcPr>
            <w:tcW w:w="3155" w:type="dxa"/>
            <w:tcBorders>
              <w:top w:val="single" w:sz="4" w:space="0" w:color="auto"/>
              <w:left w:val="single" w:sz="4" w:space="0" w:color="auto"/>
              <w:bottom w:val="single" w:sz="4" w:space="0" w:color="auto"/>
              <w:right w:val="nil"/>
            </w:tcBorders>
            <w:shd w:val="clear" w:color="auto" w:fill="000000"/>
            <w:vAlign w:val="bottom"/>
          </w:tcPr>
          <w:p w:rsidR="00B958B1" w:rsidRPr="00D32CA4" w:rsidRDefault="00B958B1" w:rsidP="009F3B54">
            <w:pPr>
              <w:pStyle w:val="OGTabColLeft"/>
              <w:rPr>
                <w:i/>
              </w:rPr>
            </w:pPr>
            <w:r w:rsidRPr="00D32CA4">
              <w:t>Major Outputs/Deliverables</w:t>
            </w:r>
            <w:r w:rsidRPr="00D32CA4">
              <w:br/>
            </w:r>
            <w:r w:rsidRPr="0085011C">
              <w:rPr>
                <w:b w:val="0"/>
                <w:i/>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3"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63769A" w:rsidTr="009F3B54">
        <w:trPr>
          <w:cantSplit/>
        </w:trPr>
        <w:tc>
          <w:tcPr>
            <w:tcW w:w="7776" w:type="dxa"/>
            <w:gridSpan w:val="6"/>
            <w:tcBorders>
              <w:top w:val="nil"/>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Clinical Care</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TabText"/>
              <w:rPr>
                <w:lang w:eastAsia="en-AU"/>
              </w:rPr>
            </w:pPr>
            <w:r w:rsidRPr="0063769A">
              <w:rPr>
                <w:lang w:eastAsia="en-AU"/>
              </w:rPr>
              <w:t>A range of inpatient, residential and community</w:t>
            </w:r>
            <w:r w:rsidR="009F0F49">
              <w:rPr>
                <w:lang w:eastAsia="en-AU"/>
              </w:rPr>
              <w:noBreakHyphen/>
            </w:r>
            <w:r w:rsidRPr="0063769A">
              <w:rPr>
                <w:lang w:eastAsia="en-AU"/>
              </w:rPr>
              <w:t xml:space="preserve">based clinical services provided to people with a mental illness and their families so that those experiencing mental health problems can access timely, </w:t>
            </w:r>
            <w:r>
              <w:rPr>
                <w:lang w:eastAsia="en-AU"/>
              </w:rPr>
              <w:t>high</w:t>
            </w:r>
            <w:r w:rsidR="009F0F49">
              <w:rPr>
                <w:lang w:eastAsia="en-AU"/>
              </w:rPr>
              <w:noBreakHyphen/>
            </w:r>
            <w:r>
              <w:rPr>
                <w:lang w:eastAsia="en-AU"/>
              </w:rPr>
              <w:t>quality</w:t>
            </w:r>
            <w:r w:rsidRPr="0063769A">
              <w:rPr>
                <w:lang w:eastAsia="en-AU"/>
              </w:rPr>
              <w:t xml:space="preserve"> care and support to recover and live successfully in the community.</w:t>
            </w:r>
          </w:p>
        </w:tc>
      </w:tr>
      <w:tr w:rsidR="00B958B1" w:rsidRPr="00A60844" w:rsidTr="009F3B54">
        <w:trPr>
          <w:cantSplit/>
        </w:trPr>
        <w:tc>
          <w:tcPr>
            <w:tcW w:w="3155" w:type="dxa"/>
            <w:tcBorders>
              <w:top w:val="single" w:sz="6" w:space="0" w:color="auto"/>
              <w:left w:val="nil"/>
              <w:bottom w:val="nil"/>
              <w:right w:val="nil"/>
            </w:tcBorders>
            <w:shd w:val="clear" w:color="auto" w:fill="auto"/>
            <w:vAlign w:val="bottom"/>
            <w:hideMark/>
          </w:tcPr>
          <w:p w:rsidR="00B958B1" w:rsidRPr="00A60844" w:rsidRDefault="00B958B1" w:rsidP="009F3B54">
            <w:pPr>
              <w:pStyle w:val="OGTabHead"/>
              <w:rPr>
                <w:lang w:eastAsia="en-AU"/>
              </w:rPr>
            </w:pPr>
            <w:r w:rsidRPr="00A60844">
              <w:rPr>
                <w:bCs/>
                <w:iCs/>
                <w:color w:val="000000"/>
                <w:lang w:eastAsia="en-AU"/>
              </w:rPr>
              <w:t>Quantity</w:t>
            </w: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A60844"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r>
      <w:tr w:rsidR="00B958B1" w:rsidRPr="00A60844" w:rsidTr="009F3B54">
        <w:trPr>
          <w:cantSplit/>
        </w:trPr>
        <w:tc>
          <w:tcPr>
            <w:tcW w:w="3155" w:type="dxa"/>
            <w:tcBorders>
              <w:top w:val="nil"/>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Clinical inpatient separations</w:t>
            </w:r>
          </w:p>
        </w:tc>
        <w:tc>
          <w:tcPr>
            <w:tcW w:w="907" w:type="dxa"/>
            <w:tcBorders>
              <w:top w:val="nil"/>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nil"/>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20 995</w:t>
            </w:r>
          </w:p>
        </w:tc>
        <w:tc>
          <w:tcPr>
            <w:tcW w:w="993"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20 900</w:t>
            </w:r>
          </w:p>
        </w:tc>
        <w:tc>
          <w:tcPr>
            <w:tcW w:w="907"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19 980</w:t>
            </w:r>
          </w:p>
        </w:tc>
        <w:tc>
          <w:tcPr>
            <w:tcW w:w="907"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20 936</w:t>
            </w:r>
          </w:p>
        </w:tc>
      </w:tr>
      <w:tr w:rsidR="00B958B1" w:rsidRPr="00A60844"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A60844" w:rsidRDefault="00B958B1" w:rsidP="009F3B54">
            <w:pPr>
              <w:pStyle w:val="OGNotes"/>
              <w:rPr>
                <w:color w:val="000000"/>
                <w:sz w:val="16"/>
                <w:szCs w:val="16"/>
              </w:rPr>
            </w:pPr>
            <w:r w:rsidRPr="00A60844">
              <w:t>The higher 2013</w:t>
            </w:r>
            <w:r w:rsidR="009F0F49">
              <w:noBreakHyphen/>
            </w:r>
            <w:r w:rsidRPr="00A60844">
              <w:t>14 Target reflects the full year effect of new beds opened during 2012</w:t>
            </w:r>
            <w:r w:rsidR="009F0F49">
              <w:noBreakHyphen/>
            </w:r>
            <w:r w:rsidRPr="00A60844">
              <w:t>13 and new beds planned to be open</w:t>
            </w:r>
            <w:r>
              <w:t>ed</w:t>
            </w:r>
            <w:r w:rsidRPr="00A60844">
              <w:t xml:space="preserve"> during 2013</w:t>
            </w:r>
            <w:r w:rsidR="009F0F49">
              <w:noBreakHyphen/>
            </w:r>
            <w:r w:rsidRPr="00A60844">
              <w:t>14.</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Community service hours</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 (000)</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1 047</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1 000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1 047</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na</w:t>
            </w:r>
          </w:p>
        </w:tc>
      </w:tr>
      <w:tr w:rsidR="00B958B1" w:rsidRPr="00A60844"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A60844" w:rsidRDefault="00B958B1" w:rsidP="009F3B54">
            <w:pPr>
              <w:pStyle w:val="OGNotes"/>
              <w:rPr>
                <w:color w:val="000000"/>
                <w:sz w:val="16"/>
                <w:szCs w:val="16"/>
              </w:rPr>
            </w:pPr>
            <w:r w:rsidRPr="00A60844">
              <w:t>2011</w:t>
            </w:r>
            <w:r w:rsidR="009F0F49">
              <w:noBreakHyphen/>
            </w:r>
            <w:r w:rsidRPr="00A60844">
              <w:t>12 Actual data for this measure is not available due to industrial action where activity was not reported, however services for the period continue</w:t>
            </w:r>
            <w:r>
              <w:t>d</w:t>
            </w:r>
            <w:r w:rsidRPr="00A60844">
              <w:t xml:space="preserve"> to be delivered. Data for quarters that were reported can be viewed at http://sss.health.vic.gov.au/about_us/annual_report.htm</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New case index</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per cent</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50</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50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50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na</w:t>
            </w:r>
          </w:p>
        </w:tc>
      </w:tr>
      <w:tr w:rsidR="00B958B1" w:rsidRPr="00A60844"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A60844" w:rsidRDefault="00B958B1" w:rsidP="009F3B54">
            <w:pPr>
              <w:pStyle w:val="OGNotes"/>
              <w:rPr>
                <w:color w:val="000000"/>
                <w:sz w:val="16"/>
                <w:szCs w:val="16"/>
              </w:rPr>
            </w:pPr>
            <w:r w:rsidRPr="00A60844">
              <w:t>The 2011</w:t>
            </w:r>
            <w:r w:rsidR="009F0F49">
              <w:noBreakHyphen/>
            </w:r>
            <w:r w:rsidRPr="00A60844">
              <w:t>12 Actual data for this measure is not available due to industrial action where activity was not reported, however services for the period continue</w:t>
            </w:r>
            <w:r>
              <w:t>d</w:t>
            </w:r>
            <w:r w:rsidRPr="00A60844">
              <w:t xml:space="preserve"> to be delivered. Data for quarters that were reported can be viewed at http://sss.health.vic.gov.au/about_us/annual_report.htm</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Registered community clients</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60 000</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60 000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60 000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na</w:t>
            </w:r>
          </w:p>
        </w:tc>
      </w:tr>
      <w:tr w:rsidR="00B958B1" w:rsidRPr="00A60844"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A60844" w:rsidRDefault="00B958B1" w:rsidP="009F3B54">
            <w:pPr>
              <w:pStyle w:val="OGNotes"/>
              <w:rPr>
                <w:color w:val="000000"/>
                <w:sz w:val="16"/>
                <w:szCs w:val="16"/>
              </w:rPr>
            </w:pPr>
            <w:r w:rsidRPr="00A60844">
              <w:t>The 2011</w:t>
            </w:r>
            <w:r w:rsidR="009F0F49">
              <w:noBreakHyphen/>
            </w:r>
            <w:r w:rsidRPr="00A60844">
              <w:t>12 Actual data for this measure is not available due to industrial action where activity was not reported, however services for the period continue</w:t>
            </w:r>
            <w:r>
              <w:t>d</w:t>
            </w:r>
            <w:r w:rsidRPr="00A60844">
              <w:t xml:space="preserve"> to be delivered. Data for quarters that were reported can be viewed at http://sss.health.vic.gov.au/about_us/annual_report.htm</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Residential bed days</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373 980</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355 000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355 000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359 004</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A60844" w:rsidRDefault="00B958B1" w:rsidP="009F3B54">
            <w:pPr>
              <w:pStyle w:val="OGNotes"/>
              <w:rPr>
                <w:color w:val="000000"/>
              </w:rPr>
            </w:pPr>
            <w:r w:rsidRPr="00A60844">
              <w:t>The higher 2013</w:t>
            </w:r>
            <w:r w:rsidR="009F0F49">
              <w:noBreakHyphen/>
            </w:r>
            <w:r w:rsidRPr="00A60844">
              <w:t>14 Target reflects the full year effect of new beds opened during 2012</w:t>
            </w:r>
            <w:r w:rsidR="009F0F49">
              <w:noBreakHyphen/>
            </w:r>
            <w:r w:rsidRPr="00A60844">
              <w:t>13.</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Quality</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Clients readmitted (unplanned) within 28 days</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14</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14</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14</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13</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New client index</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45</w:t>
            </w:r>
          </w:p>
        </w:tc>
        <w:tc>
          <w:tcPr>
            <w:tcW w:w="993"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45</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45</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43</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Number of area mental health services achieving or maintaining accreditation under the National Standards for Mental Health Services</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21</w:t>
            </w:r>
          </w:p>
        </w:tc>
        <w:tc>
          <w:tcPr>
            <w:tcW w:w="993"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21</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21</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21</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keepNext/>
              <w:rPr>
                <w:color w:val="000000"/>
                <w:lang w:eastAsia="en-AU"/>
              </w:rPr>
            </w:pPr>
            <w:r w:rsidRPr="0063769A">
              <w:rPr>
                <w:color w:val="000000"/>
                <w:lang w:eastAsia="en-AU"/>
              </w:rPr>
              <w:t>Post</w:t>
            </w:r>
            <w:r w:rsidR="009F0F49">
              <w:rPr>
                <w:color w:val="000000"/>
                <w:lang w:eastAsia="en-AU"/>
              </w:rPr>
              <w:noBreakHyphen/>
            </w:r>
            <w:r w:rsidRPr="0063769A">
              <w:rPr>
                <w:color w:val="000000"/>
                <w:lang w:eastAsia="en-AU"/>
              </w:rPr>
              <w:t>discharge community care</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keepNext/>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keepNext/>
              <w:rPr>
                <w:color w:val="000000"/>
                <w:lang w:eastAsia="en-AU"/>
              </w:rPr>
            </w:pPr>
            <w:r w:rsidRPr="0063769A">
              <w:rPr>
                <w:color w:val="000000"/>
                <w:lang w:eastAsia="en-AU"/>
              </w:rPr>
              <w:t>75</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keepNext/>
              <w:rPr>
                <w:color w:val="000000"/>
                <w:lang w:eastAsia="en-AU"/>
              </w:rPr>
            </w:pPr>
            <w:r w:rsidRPr="0063769A">
              <w:rPr>
                <w:color w:val="000000"/>
                <w:lang w:eastAsia="en-AU"/>
              </w:rPr>
              <w:t>75</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keepNext/>
              <w:rPr>
                <w:color w:val="000000"/>
                <w:lang w:eastAsia="en-AU"/>
              </w:rPr>
            </w:pPr>
            <w:r w:rsidRPr="0063769A">
              <w:rPr>
                <w:color w:val="000000"/>
                <w:lang w:eastAsia="en-AU"/>
              </w:rPr>
              <w:t>75</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keepNext/>
              <w:rPr>
                <w:color w:val="000000"/>
                <w:lang w:eastAsia="en-AU"/>
              </w:rPr>
            </w:pPr>
            <w:r>
              <w:rPr>
                <w:color w:val="000000"/>
                <w:lang w:eastAsia="en-AU"/>
              </w:rPr>
              <w:t>na</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2011</w:t>
            </w:r>
            <w:r w:rsidR="009F0F49">
              <w:noBreakHyphen/>
            </w:r>
            <w:r w:rsidRPr="0063769A">
              <w:t>12 Actual data for this measure is not available due to industrial action where activity was not reported, however services for the period continue</w:t>
            </w:r>
            <w:r>
              <w:t>d</w:t>
            </w:r>
            <w:r w:rsidRPr="0063769A">
              <w:t xml:space="preserve"> to be delivered. Data for quarters that were reported can be viewed at http://sss.health.vic.gov.au/about_us/annual_report.htm</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Pre</w:t>
            </w:r>
            <w:r w:rsidR="009F0F49">
              <w:rPr>
                <w:color w:val="000000"/>
                <w:lang w:eastAsia="en-AU"/>
              </w:rPr>
              <w:noBreakHyphen/>
            </w:r>
            <w:r w:rsidRPr="0063769A">
              <w:rPr>
                <w:color w:val="000000"/>
                <w:lang w:eastAsia="en-AU"/>
              </w:rPr>
              <w:t>admission community care</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60</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58</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60</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Pr>
                <w:color w:val="000000"/>
                <w:lang w:eastAsia="en-AU"/>
              </w:rPr>
              <w:t>na</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2011</w:t>
            </w:r>
            <w:r w:rsidR="009F0F49">
              <w:noBreakHyphen/>
            </w:r>
            <w:r w:rsidRPr="0063769A">
              <w:t>12 Actual data for this measure is not available due to industrial action where activity was not reported, however services for the period continue</w:t>
            </w:r>
            <w:r>
              <w:t>d</w:t>
            </w:r>
            <w:r w:rsidRPr="0063769A">
              <w:t xml:space="preserve"> to be delivered. Data for quarters that were reported can be viewed at http://sss.health.vic.gov.au/about_us/annual_report.htm</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Timeliness</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Emergency patients admitted to a mental health bed within eight hours</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80</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75</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80</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69</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The 2012</w:t>
            </w:r>
            <w:r w:rsidR="009F0F49">
              <w:noBreakHyphen/>
            </w:r>
            <w:r w:rsidRPr="0063769A">
              <w:t>13 Expected Outcome is lower than the 2012</w:t>
            </w:r>
            <w:r w:rsidR="009F0F49">
              <w:noBreakHyphen/>
            </w:r>
            <w:r w:rsidRPr="0063769A">
              <w:t>13 Target due to the influence of a number of under</w:t>
            </w:r>
            <w:r w:rsidR="009F0F49">
              <w:noBreakHyphen/>
            </w:r>
            <w:r>
              <w:t>performing, large volume m</w:t>
            </w:r>
            <w:r w:rsidRPr="0063769A">
              <w:t>etropolitan emergency departments. This requires ongoing intervention by the Department of Health in order to achieve system enhancements.</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Cost</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output cost</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085.9</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031.9</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r>
              <w:rPr>
                <w:color w:val="000000"/>
                <w:lang w:eastAsia="en-AU"/>
              </w:rPr>
              <w:t> 039.9</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973.3</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 xml:space="preserve">The </w:t>
            </w:r>
            <w:r>
              <w:t xml:space="preserve">higher </w:t>
            </w:r>
            <w:r w:rsidRPr="0063769A">
              <w:t>2013</w:t>
            </w:r>
            <w:r w:rsidR="009F0F49">
              <w:noBreakHyphen/>
            </w:r>
            <w:r w:rsidRPr="0063769A">
              <w:t>14 Target as it reflects funding provided in the 2013</w:t>
            </w:r>
            <w:r w:rsidR="009F0F49">
              <w:noBreakHyphen/>
            </w:r>
            <w:r w:rsidRPr="0063769A">
              <w:t>14 Budget and funding for indexation.</w:t>
            </w:r>
          </w:p>
        </w:tc>
      </w:tr>
      <w:tr w:rsidR="00B958B1" w:rsidRPr="0063769A" w:rsidTr="009F3B54">
        <w:trPr>
          <w:cantSplit/>
        </w:trPr>
        <w:tc>
          <w:tcPr>
            <w:tcW w:w="7776" w:type="dxa"/>
            <w:gridSpan w:val="6"/>
            <w:tcBorders>
              <w:top w:val="nil"/>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Psychiatric Disability Rehabilitation and Support Services (PDRSS)</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TabText"/>
              <w:rPr>
                <w:lang w:eastAsia="en-AU"/>
              </w:rPr>
            </w:pPr>
            <w:r w:rsidRPr="0063769A">
              <w:rPr>
                <w:lang w:eastAsia="en-AU"/>
              </w:rPr>
              <w:t xml:space="preserve">A range of rehabilitation and support services provided to people with a psychiatric disability, and their families and carers, so that those experiencing mental health problems can access timely, </w:t>
            </w:r>
            <w:r>
              <w:rPr>
                <w:lang w:eastAsia="en-AU"/>
              </w:rPr>
              <w:t>high</w:t>
            </w:r>
            <w:r w:rsidR="009F0F49">
              <w:rPr>
                <w:lang w:eastAsia="en-AU"/>
              </w:rPr>
              <w:noBreakHyphen/>
            </w:r>
            <w:r>
              <w:rPr>
                <w:lang w:eastAsia="en-AU"/>
              </w:rPr>
              <w:t>quality</w:t>
            </w:r>
            <w:r w:rsidRPr="0063769A">
              <w:rPr>
                <w:lang w:eastAsia="en-AU"/>
              </w:rPr>
              <w:t xml:space="preserve"> care and support to recover and reintegrate into the community.</w:t>
            </w:r>
          </w:p>
        </w:tc>
      </w:tr>
      <w:tr w:rsidR="00B958B1" w:rsidRPr="00A60844" w:rsidTr="009F3B54">
        <w:trPr>
          <w:cantSplit/>
        </w:trPr>
        <w:tc>
          <w:tcPr>
            <w:tcW w:w="3155" w:type="dxa"/>
            <w:tcBorders>
              <w:top w:val="single" w:sz="6" w:space="0" w:color="auto"/>
              <w:left w:val="nil"/>
              <w:right w:val="nil"/>
            </w:tcBorders>
            <w:shd w:val="clear" w:color="auto" w:fill="auto"/>
            <w:vAlign w:val="bottom"/>
            <w:hideMark/>
          </w:tcPr>
          <w:p w:rsidR="00B958B1" w:rsidRPr="00A60844" w:rsidRDefault="00B958B1" w:rsidP="009F3B54">
            <w:pPr>
              <w:pStyle w:val="OGTabHead"/>
              <w:rPr>
                <w:lang w:eastAsia="en-AU"/>
              </w:rPr>
            </w:pPr>
            <w:r w:rsidRPr="00A60844">
              <w:rPr>
                <w:bCs/>
                <w:iCs/>
                <w:color w:val="000000"/>
                <w:lang w:eastAsia="en-AU"/>
              </w:rPr>
              <w:t>Quantity</w:t>
            </w:r>
          </w:p>
        </w:tc>
        <w:tc>
          <w:tcPr>
            <w:tcW w:w="907" w:type="dxa"/>
            <w:tcBorders>
              <w:top w:val="single" w:sz="6" w:space="0" w:color="auto"/>
              <w:left w:val="nil"/>
              <w:right w:val="nil"/>
            </w:tcBorders>
            <w:shd w:val="clear" w:color="auto" w:fill="auto"/>
            <w:noWrap/>
            <w:vAlign w:val="bottom"/>
            <w:hideMark/>
          </w:tcPr>
          <w:p w:rsidR="00B958B1" w:rsidRPr="00A60844"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A60844"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r>
      <w:tr w:rsidR="00B958B1" w:rsidRPr="00A60844" w:rsidTr="009F3B54">
        <w:trPr>
          <w:cantSplit/>
        </w:trPr>
        <w:tc>
          <w:tcPr>
            <w:tcW w:w="3155" w:type="dxa"/>
            <w:tcBorders>
              <w:top w:val="nil"/>
              <w:left w:val="nil"/>
              <w:bottom w:val="single" w:sz="6" w:space="0" w:color="auto"/>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Bed days</w:t>
            </w:r>
          </w:p>
        </w:tc>
        <w:tc>
          <w:tcPr>
            <w:tcW w:w="907" w:type="dxa"/>
            <w:tcBorders>
              <w:top w:val="nil"/>
              <w:left w:val="nil"/>
              <w:bottom w:val="single" w:sz="6" w:space="0" w:color="auto"/>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nil"/>
              <w:left w:val="nil"/>
              <w:bottom w:val="single" w:sz="6" w:space="0" w:color="auto"/>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87 000</w:t>
            </w:r>
          </w:p>
        </w:tc>
        <w:tc>
          <w:tcPr>
            <w:tcW w:w="993" w:type="dxa"/>
            <w:tcBorders>
              <w:top w:val="nil"/>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87 000</w:t>
            </w:r>
          </w:p>
        </w:tc>
        <w:tc>
          <w:tcPr>
            <w:tcW w:w="907" w:type="dxa"/>
            <w:tcBorders>
              <w:top w:val="nil"/>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87 000</w:t>
            </w:r>
          </w:p>
        </w:tc>
        <w:tc>
          <w:tcPr>
            <w:tcW w:w="907" w:type="dxa"/>
            <w:tcBorders>
              <w:top w:val="nil"/>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82 720</w:t>
            </w:r>
          </w:p>
        </w:tc>
      </w:tr>
      <w:tr w:rsidR="00B958B1" w:rsidRPr="00A60844"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Clients receiving psychiatric disability support services</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12 600</w:t>
            </w:r>
          </w:p>
        </w:tc>
        <w:tc>
          <w:tcPr>
            <w:tcW w:w="993"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12 600</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12 600</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12 318</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Contact hours</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 (000)</w:t>
            </w:r>
          </w:p>
        </w:tc>
        <w:tc>
          <w:tcPr>
            <w:tcW w:w="907" w:type="dxa"/>
            <w:tcBorders>
              <w:top w:val="single" w:sz="6" w:space="0" w:color="auto"/>
              <w:left w:val="nil"/>
              <w:bottom w:val="single" w:sz="6" w:space="0" w:color="auto"/>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1 183</w:t>
            </w:r>
          </w:p>
        </w:tc>
        <w:tc>
          <w:tcPr>
            <w:tcW w:w="993"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1 183</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1 183</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A60844">
              <w:rPr>
                <w:color w:val="000000"/>
                <w:lang w:eastAsia="en-AU"/>
              </w:rPr>
              <w:t>1 111</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Quality</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Proportion of major agencies accredited</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 xml:space="preserve">This </w:t>
            </w:r>
            <w:r>
              <w:t xml:space="preserve">performance </w:t>
            </w:r>
            <w:r w:rsidRPr="0063769A">
              <w:t xml:space="preserve">measure </w:t>
            </w:r>
            <w:r>
              <w:t>amends</w:t>
            </w:r>
            <w:r w:rsidRPr="0063769A">
              <w:t xml:space="preserve"> the 2012</w:t>
            </w:r>
            <w:r w:rsidR="009F0F49">
              <w:noBreakHyphen/>
            </w:r>
            <w:r w:rsidRPr="0063769A">
              <w:t xml:space="preserve">13 performance measure </w:t>
            </w:r>
            <w:r>
              <w:t>‘</w:t>
            </w:r>
            <w:r w:rsidRPr="0063769A">
              <w:t>Proportion of major agencies accredited</w:t>
            </w:r>
            <w:r>
              <w:t xml:space="preserve"> against the PDRSS standards’</w:t>
            </w:r>
            <w:r w:rsidRPr="0063769A">
              <w:t xml:space="preserve"> to reflect the introduction of the National Standards for Mental Health Services (NSMHS), which supersedes existing PDRSS standards. The Department of Health is undertaking work on accreditation requirements in the context of the NSMHS. In the meantime, it is expected that major agencies are accredited against industry appropriate standards, with reference to the NSMHS.</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Cost</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keepNext/>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keepNext/>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keepNext/>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keepNext/>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keepNext/>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keepNext/>
              <w:rPr>
                <w:color w:val="000000"/>
                <w:lang w:eastAsia="en-AU"/>
              </w:rPr>
            </w:pPr>
            <w:r w:rsidRPr="0063769A">
              <w:rPr>
                <w:color w:val="000000"/>
                <w:lang w:eastAsia="en-AU"/>
              </w:rPr>
              <w:t>Total output cost</w:t>
            </w:r>
          </w:p>
        </w:tc>
        <w:tc>
          <w:tcPr>
            <w:tcW w:w="907" w:type="dxa"/>
            <w:tcBorders>
              <w:top w:val="nil"/>
              <w:left w:val="nil"/>
              <w:right w:val="nil"/>
            </w:tcBorders>
            <w:shd w:val="clear" w:color="000000" w:fill="FFFFFF"/>
            <w:hideMark/>
          </w:tcPr>
          <w:p w:rsidR="00B958B1" w:rsidRPr="0063769A" w:rsidRDefault="00B958B1" w:rsidP="009F3B54">
            <w:pPr>
              <w:pStyle w:val="OGUoM"/>
              <w:keepNext/>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keepNext/>
              <w:rPr>
                <w:color w:val="000000"/>
                <w:lang w:eastAsia="en-AU"/>
              </w:rPr>
            </w:pPr>
            <w:r w:rsidRPr="0063769A">
              <w:rPr>
                <w:color w:val="000000"/>
                <w:lang w:eastAsia="en-AU"/>
              </w:rPr>
              <w:t>117.3</w:t>
            </w:r>
          </w:p>
        </w:tc>
        <w:tc>
          <w:tcPr>
            <w:tcW w:w="993" w:type="dxa"/>
            <w:tcBorders>
              <w:top w:val="nil"/>
              <w:left w:val="nil"/>
              <w:right w:val="nil"/>
            </w:tcBorders>
            <w:shd w:val="clear" w:color="000000" w:fill="FFFFFF"/>
            <w:hideMark/>
          </w:tcPr>
          <w:p w:rsidR="00B958B1" w:rsidRPr="0063769A" w:rsidRDefault="00B958B1" w:rsidP="009F3B54">
            <w:pPr>
              <w:pStyle w:val="OGTableofFigures"/>
              <w:keepNext/>
              <w:rPr>
                <w:color w:val="000000"/>
                <w:lang w:eastAsia="en-AU"/>
              </w:rPr>
            </w:pPr>
            <w:r w:rsidRPr="0063769A">
              <w:rPr>
                <w:color w:val="000000"/>
                <w:lang w:eastAsia="en-AU"/>
              </w:rPr>
              <w:t>109.4</w:t>
            </w:r>
          </w:p>
        </w:tc>
        <w:tc>
          <w:tcPr>
            <w:tcW w:w="907" w:type="dxa"/>
            <w:tcBorders>
              <w:top w:val="nil"/>
              <w:left w:val="nil"/>
              <w:right w:val="nil"/>
            </w:tcBorders>
            <w:shd w:val="clear" w:color="000000" w:fill="FFFFFF"/>
            <w:hideMark/>
          </w:tcPr>
          <w:p w:rsidR="00B958B1" w:rsidRPr="0063769A" w:rsidRDefault="00B958B1" w:rsidP="009F3B54">
            <w:pPr>
              <w:pStyle w:val="OGTableofFigures"/>
              <w:keepNext/>
              <w:rPr>
                <w:color w:val="000000"/>
                <w:lang w:eastAsia="en-AU"/>
              </w:rPr>
            </w:pPr>
            <w:r w:rsidRPr="0063769A">
              <w:rPr>
                <w:color w:val="000000"/>
                <w:lang w:eastAsia="en-AU"/>
              </w:rPr>
              <w:t>100.7</w:t>
            </w:r>
          </w:p>
        </w:tc>
        <w:tc>
          <w:tcPr>
            <w:tcW w:w="907" w:type="dxa"/>
            <w:tcBorders>
              <w:top w:val="nil"/>
              <w:left w:val="nil"/>
              <w:right w:val="nil"/>
            </w:tcBorders>
            <w:shd w:val="clear" w:color="000000" w:fill="FFFFFF"/>
            <w:hideMark/>
          </w:tcPr>
          <w:p w:rsidR="00B958B1" w:rsidRPr="0063769A" w:rsidRDefault="00B958B1" w:rsidP="009F3B54">
            <w:pPr>
              <w:pStyle w:val="OGTableofFigures"/>
              <w:keepNext/>
              <w:rPr>
                <w:color w:val="000000"/>
                <w:lang w:eastAsia="en-AU"/>
              </w:rPr>
            </w:pPr>
            <w:r w:rsidRPr="0063769A">
              <w:rPr>
                <w:color w:val="000000"/>
                <w:lang w:eastAsia="en-AU"/>
              </w:rPr>
              <w:t>98.1</w:t>
            </w:r>
          </w:p>
        </w:tc>
      </w:tr>
      <w:tr w:rsidR="00B958B1" w:rsidRPr="0063769A" w:rsidTr="009F3B54">
        <w:trPr>
          <w:cantSplit/>
        </w:trPr>
        <w:tc>
          <w:tcPr>
            <w:tcW w:w="7776" w:type="dxa"/>
            <w:gridSpan w:val="6"/>
            <w:tcBorders>
              <w:left w:val="nil"/>
              <w:bottom w:val="single" w:sz="12" w:space="0" w:color="auto"/>
              <w:right w:val="nil"/>
            </w:tcBorders>
            <w:shd w:val="clear" w:color="auto" w:fill="auto"/>
            <w:vAlign w:val="bottom"/>
            <w:hideMark/>
          </w:tcPr>
          <w:p w:rsidR="00B958B1" w:rsidRDefault="00B958B1" w:rsidP="009F3B54">
            <w:pPr>
              <w:pStyle w:val="OGNotes"/>
            </w:pPr>
            <w:r w:rsidRPr="0063769A">
              <w:t>The 2012</w:t>
            </w:r>
            <w:r w:rsidR="009F0F49">
              <w:noBreakHyphen/>
            </w:r>
            <w:r w:rsidRPr="0063769A">
              <w:t>13 Expected Outcome is higher than the 2012</w:t>
            </w:r>
            <w:r w:rsidR="009F0F49">
              <w:noBreakHyphen/>
            </w:r>
            <w:r>
              <w:t>13 Target</w:t>
            </w:r>
            <w:r w:rsidRPr="0063769A">
              <w:t xml:space="preserve"> as it reflects a revision to carryover and funding</w:t>
            </w:r>
            <w:r>
              <w:t xml:space="preserve"> allocated for the enhancement and </w:t>
            </w:r>
            <w:r w:rsidRPr="0063769A">
              <w:t>development of infrastructure.</w:t>
            </w:r>
          </w:p>
          <w:p w:rsidR="00B958B1" w:rsidRPr="0063769A" w:rsidRDefault="00B958B1" w:rsidP="009F3B54">
            <w:pPr>
              <w:pStyle w:val="OGNotes"/>
              <w:rPr>
                <w:color w:val="000000"/>
                <w:sz w:val="16"/>
                <w:szCs w:val="16"/>
              </w:rPr>
            </w:pPr>
            <w:r w:rsidRPr="0063769A">
              <w:t xml:space="preserve">The </w:t>
            </w:r>
            <w:r>
              <w:t xml:space="preserve">higher </w:t>
            </w:r>
            <w:r w:rsidRPr="0063769A">
              <w:t>2013</w:t>
            </w:r>
            <w:r w:rsidR="009F0F49">
              <w:noBreakHyphen/>
            </w:r>
            <w:r w:rsidRPr="0063769A">
              <w:t>14 Target reflects funding for indexation and funding for the enhancement and development of infrastructure.</w:t>
            </w:r>
          </w:p>
        </w:tc>
      </w:tr>
    </w:tbl>
    <w:p w:rsidR="00B958B1" w:rsidRDefault="00B958B1" w:rsidP="009F3B54">
      <w:pPr>
        <w:pStyle w:val="Source"/>
      </w:pPr>
      <w:r>
        <w:t>Source: Department of</w:t>
      </w:r>
      <w:r w:rsidRPr="00981AA0">
        <w:t xml:space="preserve"> </w:t>
      </w:r>
      <w:r>
        <w:t>Health</w:t>
      </w:r>
    </w:p>
    <w:p w:rsidR="00B958B1" w:rsidRDefault="00B958B1" w:rsidP="009F3B54">
      <w:pPr>
        <w:pStyle w:val="Source"/>
      </w:pPr>
      <w:r>
        <w:fldChar w:fldCharType="begin"/>
      </w:r>
      <w:r>
        <w:instrText xml:space="preserve"> XE "</w:instrText>
      </w:r>
      <w:r w:rsidRPr="00801054">
        <w:instrText>Department of Health:Mental Health</w:instrText>
      </w:r>
      <w:r>
        <w:instrText xml:space="preserve">" \r "BP3DHMentalHealth" </w:instrText>
      </w:r>
      <w:r>
        <w:fldChar w:fldCharType="end"/>
      </w:r>
    </w:p>
    <w:bookmarkEnd w:id="106"/>
    <w:p w:rsidR="00B958B1" w:rsidRDefault="00B958B1" w:rsidP="009F3B54">
      <w:pPr>
        <w:pStyle w:val="OGText"/>
      </w:pPr>
    </w:p>
    <w:p w:rsidR="00B958B1" w:rsidRPr="0063769A" w:rsidRDefault="00B958B1" w:rsidP="009F3B54">
      <w:pPr>
        <w:pStyle w:val="OGHeading1"/>
        <w:rPr>
          <w:lang w:eastAsia="en-AU"/>
        </w:rPr>
      </w:pPr>
      <w:r>
        <w:br w:type="page"/>
      </w:r>
      <w:bookmarkStart w:id="107" w:name="BP3DHAgeing"/>
      <w:r w:rsidRPr="0063769A">
        <w:rPr>
          <w:lang w:eastAsia="en-AU"/>
        </w:rPr>
        <w:t xml:space="preserve">Ageing, Aged and Home Care </w:t>
      </w:r>
    </w:p>
    <w:p w:rsidR="00B958B1" w:rsidRDefault="00B958B1" w:rsidP="009F3B54">
      <w:pPr>
        <w:pStyle w:val="OGText"/>
        <w:rPr>
          <w:lang w:eastAsia="en-AU"/>
        </w:rPr>
      </w:pPr>
      <w:r w:rsidRPr="0063769A">
        <w:rPr>
          <w:lang w:eastAsia="en-AU"/>
        </w:rPr>
        <w:t>Ageing, Aged and Home Care outputs lead and coordinate whole of government policy on issues affecting our ageing community, and provide a range of in home, specialist geriatric and residential care services for older people. This includes Home and Community Care (HACC) services and other programs that are targeted to older people and people with a disability, and to their carers. This output group contributes to the Department</w:t>
      </w:r>
      <w:r>
        <w:rPr>
          <w:lang w:eastAsia="en-AU"/>
        </w:rPr>
        <w:t>’</w:t>
      </w:r>
      <w:r w:rsidRPr="0063769A">
        <w:rPr>
          <w:lang w:eastAsia="en-AU"/>
        </w:rPr>
        <w:t xml:space="preserve">s priority of achieving the best health and wellbeing for all Victorians through responding to an ageing population, developing service and system capacity, and driving improvement and innovation. </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D32CA4" w:rsidTr="009F3B54">
        <w:trPr>
          <w:cantSplit/>
          <w:tblHeader/>
        </w:trPr>
        <w:tc>
          <w:tcPr>
            <w:tcW w:w="3155" w:type="dxa"/>
            <w:tcBorders>
              <w:top w:val="single" w:sz="4" w:space="0" w:color="auto"/>
              <w:left w:val="single" w:sz="4" w:space="0" w:color="auto"/>
              <w:bottom w:val="single" w:sz="4" w:space="0" w:color="auto"/>
              <w:right w:val="nil"/>
            </w:tcBorders>
            <w:shd w:val="clear" w:color="auto" w:fill="000000"/>
            <w:vAlign w:val="bottom"/>
          </w:tcPr>
          <w:p w:rsidR="00B958B1" w:rsidRPr="00D32CA4" w:rsidRDefault="00B958B1" w:rsidP="009F3B54">
            <w:pPr>
              <w:pStyle w:val="OGTabColLeft"/>
              <w:rPr>
                <w:i/>
              </w:rPr>
            </w:pPr>
            <w:r w:rsidRPr="00D32CA4">
              <w:t>Major Outputs/Deliverables</w:t>
            </w:r>
            <w:r w:rsidRPr="00D32CA4">
              <w:br/>
            </w:r>
            <w:r w:rsidRPr="0085011C">
              <w:rPr>
                <w:b w:val="0"/>
                <w:i/>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3"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63769A" w:rsidTr="009F3B54">
        <w:trPr>
          <w:cantSplit/>
        </w:trPr>
        <w:tc>
          <w:tcPr>
            <w:tcW w:w="7776" w:type="dxa"/>
            <w:gridSpan w:val="6"/>
            <w:tcBorders>
              <w:top w:val="nil"/>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Seniors Programs and Participation</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TabText"/>
              <w:rPr>
                <w:lang w:eastAsia="en-AU"/>
              </w:rPr>
            </w:pPr>
            <w:r>
              <w:rPr>
                <w:lang w:eastAsia="en-AU"/>
              </w:rPr>
              <w:t>This output s</w:t>
            </w:r>
            <w:r w:rsidRPr="0063769A">
              <w:rPr>
                <w:lang w:eastAsia="en-AU"/>
              </w:rPr>
              <w:t>upports broader community planning processes to facilitate an integrated community planning and response approach aimed at encouraging older Victorians to fully participate and engage in the community.</w:t>
            </w:r>
          </w:p>
        </w:tc>
      </w:tr>
      <w:tr w:rsidR="00B958B1" w:rsidRPr="00A60844" w:rsidTr="009F3B54">
        <w:trPr>
          <w:cantSplit/>
        </w:trPr>
        <w:tc>
          <w:tcPr>
            <w:tcW w:w="3155" w:type="dxa"/>
            <w:tcBorders>
              <w:top w:val="single" w:sz="6" w:space="0" w:color="auto"/>
              <w:left w:val="nil"/>
              <w:right w:val="nil"/>
            </w:tcBorders>
            <w:shd w:val="clear" w:color="auto" w:fill="auto"/>
            <w:vAlign w:val="bottom"/>
            <w:hideMark/>
          </w:tcPr>
          <w:p w:rsidR="00B958B1" w:rsidRPr="00A60844" w:rsidRDefault="00B958B1" w:rsidP="009F3B54">
            <w:pPr>
              <w:pStyle w:val="OGTabHead"/>
              <w:rPr>
                <w:lang w:eastAsia="en-AU"/>
              </w:rPr>
            </w:pPr>
            <w:r w:rsidRPr="00A60844">
              <w:rPr>
                <w:bCs/>
                <w:iCs/>
                <w:color w:val="000000"/>
                <w:lang w:eastAsia="en-AU"/>
              </w:rPr>
              <w:t>Quantity</w:t>
            </w:r>
          </w:p>
        </w:tc>
        <w:tc>
          <w:tcPr>
            <w:tcW w:w="907" w:type="dxa"/>
            <w:tcBorders>
              <w:top w:val="single" w:sz="6" w:space="0" w:color="auto"/>
              <w:left w:val="nil"/>
              <w:right w:val="nil"/>
            </w:tcBorders>
            <w:shd w:val="clear" w:color="auto" w:fill="auto"/>
            <w:noWrap/>
            <w:vAlign w:val="bottom"/>
            <w:hideMark/>
          </w:tcPr>
          <w:p w:rsidR="00B958B1" w:rsidRPr="00A60844"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A60844"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r>
      <w:tr w:rsidR="00B958B1" w:rsidRPr="00A60844" w:rsidTr="009F3B54">
        <w:trPr>
          <w:cantSplit/>
        </w:trPr>
        <w:tc>
          <w:tcPr>
            <w:tcW w:w="3155" w:type="dxa"/>
            <w:tcBorders>
              <w:top w:val="nil"/>
              <w:left w:val="nil"/>
              <w:bottom w:val="single" w:sz="6" w:space="0" w:color="auto"/>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New University of the Third Age (U3A) programs funded</w:t>
            </w:r>
          </w:p>
        </w:tc>
        <w:tc>
          <w:tcPr>
            <w:tcW w:w="907" w:type="dxa"/>
            <w:tcBorders>
              <w:top w:val="nil"/>
              <w:left w:val="nil"/>
              <w:bottom w:val="single" w:sz="6" w:space="0" w:color="auto"/>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nil"/>
              <w:left w:val="nil"/>
              <w:bottom w:val="single" w:sz="6" w:space="0" w:color="auto"/>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45</w:t>
            </w:r>
            <w:r w:rsidR="009F0F49">
              <w:rPr>
                <w:color w:val="000000"/>
                <w:lang w:eastAsia="en-AU"/>
              </w:rPr>
              <w:noBreakHyphen/>
            </w:r>
            <w:r w:rsidRPr="00A60844">
              <w:rPr>
                <w:color w:val="000000"/>
                <w:lang w:eastAsia="en-AU"/>
              </w:rPr>
              <w:t>60</w:t>
            </w:r>
          </w:p>
        </w:tc>
        <w:tc>
          <w:tcPr>
            <w:tcW w:w="993" w:type="dxa"/>
            <w:tcBorders>
              <w:top w:val="nil"/>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55</w:t>
            </w:r>
          </w:p>
        </w:tc>
        <w:tc>
          <w:tcPr>
            <w:tcW w:w="907" w:type="dxa"/>
            <w:tcBorders>
              <w:top w:val="nil"/>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45</w:t>
            </w:r>
            <w:r w:rsidR="009F0F49">
              <w:rPr>
                <w:color w:val="000000"/>
                <w:lang w:eastAsia="en-AU"/>
              </w:rPr>
              <w:noBreakHyphen/>
            </w:r>
            <w:r w:rsidRPr="00A60844">
              <w:rPr>
                <w:color w:val="000000"/>
                <w:lang w:eastAsia="en-AU"/>
              </w:rPr>
              <w:t>60</w:t>
            </w:r>
          </w:p>
        </w:tc>
        <w:tc>
          <w:tcPr>
            <w:tcW w:w="907" w:type="dxa"/>
            <w:tcBorders>
              <w:top w:val="nil"/>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59</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Seniors funded activities and programs: number approved</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110</w:t>
            </w:r>
            <w:r w:rsidR="009F0F49">
              <w:rPr>
                <w:color w:val="000000"/>
                <w:lang w:eastAsia="en-AU"/>
              </w:rPr>
              <w:noBreakHyphen/>
            </w:r>
            <w:r w:rsidRPr="00A60844">
              <w:rPr>
                <w:color w:val="000000"/>
                <w:lang w:eastAsia="en-AU"/>
              </w:rPr>
              <w:t>130</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148</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110</w:t>
            </w:r>
            <w:r w:rsidR="009F0F49">
              <w:rPr>
                <w:color w:val="000000"/>
                <w:lang w:eastAsia="en-AU"/>
              </w:rPr>
              <w:noBreakHyphen/>
            </w:r>
            <w:r w:rsidRPr="00A60844">
              <w:rPr>
                <w:color w:val="000000"/>
                <w:lang w:eastAsia="en-AU"/>
              </w:rPr>
              <w:t>130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149</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A60844">
              <w:t>The 2012</w:t>
            </w:r>
            <w:r w:rsidR="009F0F49">
              <w:noBreakHyphen/>
            </w:r>
            <w:r w:rsidRPr="00A60844">
              <w:t>13 Expected Outcome is higher than the 2012</w:t>
            </w:r>
            <w:r w:rsidR="009F0F49">
              <w:noBreakHyphen/>
            </w:r>
            <w:r w:rsidRPr="00A60844">
              <w:t>13 Target due to a higher number of grants recommended for funding.</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Quality</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Eligible seniors in the seniors card program</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95</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95</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95</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95</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Senior satisfaction with Victorian Seniors Festival events</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90</w:t>
            </w:r>
          </w:p>
        </w:tc>
        <w:tc>
          <w:tcPr>
            <w:tcW w:w="993"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90</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Cost</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output cost</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6.6</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10.3</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7.1</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w:t>
            </w:r>
            <w:r>
              <w:rPr>
                <w:color w:val="000000"/>
                <w:lang w:eastAsia="en-AU"/>
              </w:rPr>
              <w:t>.0</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3769A">
              <w:t>The 2012</w:t>
            </w:r>
            <w:r w:rsidR="009F0F49">
              <w:noBreakHyphen/>
            </w:r>
            <w:r w:rsidRPr="0063769A">
              <w:t>13 Expected Outcome is higher than the 2012</w:t>
            </w:r>
            <w:r w:rsidR="009F0F49">
              <w:noBreakHyphen/>
            </w:r>
            <w:r>
              <w:t>13 Target</w:t>
            </w:r>
            <w:r w:rsidRPr="0063769A">
              <w:t xml:space="preserve"> </w:t>
            </w:r>
            <w:r>
              <w:t>due to</w:t>
            </w:r>
            <w:r w:rsidRPr="0063769A">
              <w:t xml:space="preserve"> </w:t>
            </w:r>
            <w:r>
              <w:t>third party revenue associated with the anniversary year</w:t>
            </w:r>
            <w:r w:rsidRPr="0063769A">
              <w:t>.</w:t>
            </w:r>
          </w:p>
          <w:p w:rsidR="00B958B1" w:rsidRPr="0063769A" w:rsidRDefault="00B958B1" w:rsidP="009F3B54">
            <w:pPr>
              <w:pStyle w:val="OGNotes"/>
              <w:rPr>
                <w:color w:val="000000"/>
              </w:rPr>
            </w:pPr>
            <w:r w:rsidRPr="0063769A">
              <w:t xml:space="preserve">The </w:t>
            </w:r>
            <w:r>
              <w:t xml:space="preserve">lower </w:t>
            </w:r>
            <w:r w:rsidRPr="0063769A">
              <w:t>2013</w:t>
            </w:r>
            <w:r w:rsidR="009F0F49">
              <w:noBreakHyphen/>
            </w:r>
            <w:r w:rsidRPr="0063769A">
              <w:t>14 Target</w:t>
            </w:r>
            <w:r>
              <w:t xml:space="preserve"> is a result of changes in carryover, revenue adjustments and indexation. </w:t>
            </w:r>
          </w:p>
        </w:tc>
      </w:tr>
      <w:tr w:rsidR="00B958B1" w:rsidRPr="0063769A" w:rsidTr="009F3B54">
        <w:trPr>
          <w:cantSplit/>
        </w:trPr>
        <w:tc>
          <w:tcPr>
            <w:tcW w:w="7776" w:type="dxa"/>
            <w:gridSpan w:val="6"/>
            <w:tcBorders>
              <w:top w:val="single" w:sz="6" w:space="0" w:color="auto"/>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Residential Aged Care</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TabText"/>
              <w:rPr>
                <w:lang w:eastAsia="en-AU"/>
              </w:rPr>
            </w:pPr>
            <w:r w:rsidRPr="0063769A">
              <w:rPr>
                <w:lang w:eastAsia="en-AU"/>
              </w:rPr>
              <w:t>This output includes the delivery of services for older Victorians requiring ongoing care and support in a residential aged care setting.</w:t>
            </w:r>
          </w:p>
        </w:tc>
      </w:tr>
      <w:tr w:rsidR="00B958B1" w:rsidRPr="00A60844" w:rsidTr="009F3B54">
        <w:trPr>
          <w:cantSplit/>
        </w:trPr>
        <w:tc>
          <w:tcPr>
            <w:tcW w:w="3155" w:type="dxa"/>
            <w:tcBorders>
              <w:top w:val="single" w:sz="6" w:space="0" w:color="auto"/>
              <w:left w:val="nil"/>
              <w:bottom w:val="nil"/>
              <w:right w:val="nil"/>
            </w:tcBorders>
            <w:shd w:val="clear" w:color="auto" w:fill="auto"/>
            <w:vAlign w:val="bottom"/>
            <w:hideMark/>
          </w:tcPr>
          <w:p w:rsidR="00B958B1" w:rsidRPr="00A60844" w:rsidRDefault="00B958B1" w:rsidP="009F3B54">
            <w:pPr>
              <w:pStyle w:val="OGTabHead"/>
              <w:rPr>
                <w:lang w:eastAsia="en-AU"/>
              </w:rPr>
            </w:pPr>
            <w:r w:rsidRPr="00A60844">
              <w:rPr>
                <w:bCs/>
                <w:iCs/>
                <w:color w:val="000000"/>
                <w:lang w:eastAsia="en-AU"/>
              </w:rPr>
              <w:t>Quantity</w:t>
            </w: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A60844"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r>
      <w:tr w:rsidR="00B958B1" w:rsidRPr="00A60844" w:rsidTr="009F3B54">
        <w:trPr>
          <w:cantSplit/>
        </w:trPr>
        <w:tc>
          <w:tcPr>
            <w:tcW w:w="3155" w:type="dxa"/>
            <w:tcBorders>
              <w:top w:val="nil"/>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Bed days in high care places</w:t>
            </w:r>
          </w:p>
        </w:tc>
        <w:tc>
          <w:tcPr>
            <w:tcW w:w="907" w:type="dxa"/>
            <w:tcBorders>
              <w:top w:val="nil"/>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nil"/>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884 833</w:t>
            </w:r>
          </w:p>
        </w:tc>
        <w:tc>
          <w:tcPr>
            <w:tcW w:w="993"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892 685</w:t>
            </w:r>
          </w:p>
        </w:tc>
        <w:tc>
          <w:tcPr>
            <w:tcW w:w="907"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895 390</w:t>
            </w:r>
          </w:p>
        </w:tc>
        <w:tc>
          <w:tcPr>
            <w:tcW w:w="907"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878 038</w:t>
            </w:r>
          </w:p>
        </w:tc>
      </w:tr>
      <w:tr w:rsidR="00B958B1" w:rsidRPr="00A60844"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FB3752" w:rsidRDefault="00B958B1" w:rsidP="009F3B54">
            <w:pPr>
              <w:pStyle w:val="OGNotes"/>
            </w:pPr>
            <w:r w:rsidRPr="00A60844">
              <w:t>The 2012</w:t>
            </w:r>
            <w:r w:rsidR="009F0F49">
              <w:noBreakHyphen/>
            </w:r>
            <w:r w:rsidRPr="00A60844">
              <w:t xml:space="preserve">13 Expected Outcome </w:t>
            </w:r>
            <w:r>
              <w:t>and 2013</w:t>
            </w:r>
            <w:r w:rsidR="009F0F49">
              <w:noBreakHyphen/>
            </w:r>
            <w:r>
              <w:t>14 Target are</w:t>
            </w:r>
            <w:r w:rsidRPr="00A60844">
              <w:t xml:space="preserve"> lower than</w:t>
            </w:r>
            <w:r>
              <w:t xml:space="preserve"> the</w:t>
            </w:r>
            <w:r w:rsidRPr="00A60844">
              <w:t xml:space="preserve"> 2012</w:t>
            </w:r>
            <w:r w:rsidR="009F0F49">
              <w:noBreakHyphen/>
            </w:r>
            <w:r w:rsidRPr="00A60844">
              <w:t>13 Target due to the part year</w:t>
            </w:r>
            <w:r>
              <w:t xml:space="preserve"> and ongoing</w:t>
            </w:r>
            <w:r w:rsidRPr="00A60844">
              <w:t xml:space="preserve"> effect of the transfer of Rosebud Residential Aged Care to a non</w:t>
            </w:r>
            <w:r w:rsidR="009F0F49">
              <w:noBreakHyphen/>
            </w:r>
            <w:r>
              <w:t xml:space="preserve">government provider </w:t>
            </w:r>
            <w:r w:rsidRPr="00A60844">
              <w:t>from April 2013</w:t>
            </w:r>
            <w:r>
              <w:t>.</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keepNext/>
              <w:rPr>
                <w:color w:val="000000"/>
                <w:lang w:eastAsia="en-AU"/>
              </w:rPr>
            </w:pPr>
            <w:r w:rsidRPr="00A60844">
              <w:rPr>
                <w:color w:val="000000"/>
                <w:lang w:eastAsia="en-AU"/>
              </w:rPr>
              <w:t>Bed days in low care places</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keepNext/>
              <w:rPr>
                <w:color w:val="000000"/>
                <w:lang w:eastAsia="en-AU"/>
              </w:rPr>
            </w:pPr>
            <w:r w:rsidRPr="00A60844">
              <w:rPr>
                <w:color w:val="000000"/>
                <w:lang w:eastAsia="en-AU"/>
              </w:rPr>
              <w:t>number</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keepNext/>
              <w:rPr>
                <w:color w:val="000000"/>
                <w:lang w:eastAsia="en-AU"/>
              </w:rPr>
            </w:pPr>
            <w:r w:rsidRPr="00A60844">
              <w:rPr>
                <w:color w:val="000000"/>
                <w:lang w:eastAsia="en-AU"/>
              </w:rPr>
              <w:t>363 646</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keepNext/>
              <w:rPr>
                <w:color w:val="000000"/>
                <w:lang w:eastAsia="en-AU"/>
              </w:rPr>
            </w:pPr>
            <w:r w:rsidRPr="00A60844">
              <w:rPr>
                <w:color w:val="000000"/>
                <w:lang w:eastAsia="en-AU"/>
              </w:rPr>
              <w:t>367 738</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keepNext/>
              <w:rPr>
                <w:color w:val="000000"/>
                <w:lang w:eastAsia="en-AU"/>
              </w:rPr>
            </w:pPr>
            <w:r w:rsidRPr="00A60844">
              <w:rPr>
                <w:color w:val="000000"/>
                <w:lang w:eastAsia="en-AU"/>
              </w:rPr>
              <w:t>376 060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keepNext/>
              <w:rPr>
                <w:color w:val="000000"/>
                <w:lang w:eastAsia="en-AU"/>
              </w:rPr>
            </w:pPr>
            <w:r w:rsidRPr="00A60844">
              <w:rPr>
                <w:color w:val="000000"/>
                <w:lang w:eastAsia="en-AU"/>
              </w:rPr>
              <w:t>367 310</w:t>
            </w:r>
          </w:p>
        </w:tc>
      </w:tr>
      <w:tr w:rsidR="00B958B1" w:rsidRPr="00A60844"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A60844" w:rsidRDefault="00B958B1" w:rsidP="009F3B54">
            <w:pPr>
              <w:pStyle w:val="OGNotes"/>
              <w:rPr>
                <w:color w:val="000000"/>
                <w:sz w:val="16"/>
                <w:szCs w:val="16"/>
              </w:rPr>
            </w:pPr>
            <w:r w:rsidRPr="00A60844">
              <w:t>The 2012</w:t>
            </w:r>
            <w:r w:rsidR="009F0F49">
              <w:noBreakHyphen/>
            </w:r>
            <w:r w:rsidRPr="00A60844">
              <w:t>13 Expected Outcome</w:t>
            </w:r>
            <w:r>
              <w:t xml:space="preserve"> and the</w:t>
            </w:r>
            <w:r w:rsidRPr="00A60844">
              <w:t xml:space="preserve"> 2013</w:t>
            </w:r>
            <w:r w:rsidR="009F0F49">
              <w:noBreakHyphen/>
            </w:r>
            <w:r w:rsidRPr="00A60844">
              <w:t xml:space="preserve">14 Target </w:t>
            </w:r>
            <w:r>
              <w:t>are</w:t>
            </w:r>
            <w:r w:rsidRPr="00A60844">
              <w:t xml:space="preserve"> lower than 2012</w:t>
            </w:r>
            <w:r w:rsidR="009F0F49">
              <w:noBreakHyphen/>
            </w:r>
            <w:r w:rsidRPr="00A60844">
              <w:t>13 Target due to the part year</w:t>
            </w:r>
            <w:r>
              <w:t xml:space="preserve"> and ongoing</w:t>
            </w:r>
            <w:r w:rsidRPr="00A60844">
              <w:t xml:space="preserve"> effect of the service transfer at Rosebud Residential Aged Care and the full year closure at Mt Alexander (Renshaw House).</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Standard Equivalent Value Units</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757 061</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767 999</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770 420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474 649</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A60844">
              <w:t>The 2012</w:t>
            </w:r>
            <w:r w:rsidR="009F0F49">
              <w:noBreakHyphen/>
            </w:r>
            <w:r w:rsidRPr="00A60844">
              <w:t>13 Expected Outcome</w:t>
            </w:r>
            <w:r>
              <w:t xml:space="preserve"> and the</w:t>
            </w:r>
            <w:r w:rsidRPr="00A60844">
              <w:t xml:space="preserve"> 2013</w:t>
            </w:r>
            <w:r w:rsidR="009F0F49">
              <w:noBreakHyphen/>
            </w:r>
            <w:r w:rsidRPr="00A60844">
              <w:t xml:space="preserve">14 Target </w:t>
            </w:r>
            <w:r>
              <w:t>are</w:t>
            </w:r>
            <w:r w:rsidRPr="00A60844">
              <w:t xml:space="preserve"> lower than 2012</w:t>
            </w:r>
            <w:r w:rsidR="009F0F49">
              <w:noBreakHyphen/>
            </w:r>
            <w:r w:rsidRPr="00A60844">
              <w:t>13 Target due to the part year</w:t>
            </w:r>
            <w:r>
              <w:t xml:space="preserve"> and ongoing</w:t>
            </w:r>
            <w:r w:rsidRPr="00A60844">
              <w:t xml:space="preserve"> effect of the service transfer at Rosebud Residential Aged Care and the full year closure at Mt Alexander (Renshaw House).</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Quality</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Residential care services certified and accredited</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Cost</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output cost</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363.8</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342.5</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351.3</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354.5</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 xml:space="preserve">The </w:t>
            </w:r>
            <w:r>
              <w:t xml:space="preserve">higher </w:t>
            </w:r>
            <w:r w:rsidRPr="0063769A">
              <w:t>2013</w:t>
            </w:r>
            <w:r w:rsidR="009F0F49">
              <w:noBreakHyphen/>
            </w:r>
            <w:r w:rsidRPr="0063769A">
              <w:t xml:space="preserve">14 Target reflects funding for indexation and changes to </w:t>
            </w:r>
            <w:r>
              <w:t>Commonwealth policy</w:t>
            </w:r>
            <w:r w:rsidRPr="0063769A">
              <w:t>.</w:t>
            </w:r>
          </w:p>
        </w:tc>
      </w:tr>
      <w:tr w:rsidR="00B958B1" w:rsidRPr="0063769A" w:rsidTr="009F3B54">
        <w:trPr>
          <w:cantSplit/>
        </w:trPr>
        <w:tc>
          <w:tcPr>
            <w:tcW w:w="7776" w:type="dxa"/>
            <w:gridSpan w:val="6"/>
            <w:tcBorders>
              <w:top w:val="nil"/>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Aged Care Assessment</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TabText"/>
              <w:rPr>
                <w:lang w:eastAsia="en-AU"/>
              </w:rPr>
            </w:pPr>
            <w:r w:rsidRPr="0063769A">
              <w:rPr>
                <w:lang w:eastAsia="en-AU"/>
              </w:rPr>
              <w:t>This output includes the delivery of comprehensive assessment of old</w:t>
            </w:r>
            <w:r w:rsidRPr="005E2CB7">
              <w:rPr>
                <w:rStyle w:val="OGTabTextChar"/>
              </w:rPr>
              <w:t>e</w:t>
            </w:r>
            <w:r w:rsidRPr="0063769A">
              <w:rPr>
                <w:lang w:eastAsia="en-AU"/>
              </w:rPr>
              <w:t>r Victorians</w:t>
            </w:r>
            <w:r>
              <w:rPr>
                <w:lang w:eastAsia="en-AU"/>
              </w:rPr>
              <w:t>’</w:t>
            </w:r>
            <w:r w:rsidRPr="0063769A">
              <w:rPr>
                <w:lang w:eastAsia="en-AU"/>
              </w:rPr>
              <w:t xml:space="preserve"> requirements for treatment and residential care services.</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Quantity</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Aged Care Assessments</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number</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59</w:t>
            </w:r>
            <w:r>
              <w:rPr>
                <w:color w:val="000000"/>
                <w:lang w:eastAsia="en-AU"/>
              </w:rPr>
              <w:t> </w:t>
            </w:r>
            <w:r w:rsidRPr="0063769A">
              <w:rPr>
                <w:color w:val="000000"/>
                <w:lang w:eastAsia="en-AU"/>
              </w:rPr>
              <w:t>000</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59</w:t>
            </w:r>
            <w:r>
              <w:rPr>
                <w:color w:val="000000"/>
                <w:lang w:eastAsia="en-AU"/>
              </w:rPr>
              <w:t> </w:t>
            </w:r>
            <w:r w:rsidRPr="0063769A">
              <w:rPr>
                <w:color w:val="000000"/>
                <w:lang w:eastAsia="en-AU"/>
              </w:rPr>
              <w:t>150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59</w:t>
            </w:r>
            <w:r>
              <w:rPr>
                <w:color w:val="000000"/>
                <w:lang w:eastAsia="en-AU"/>
              </w:rPr>
              <w:t> </w:t>
            </w:r>
            <w:r w:rsidRPr="0063769A">
              <w:rPr>
                <w:color w:val="000000"/>
                <w:lang w:eastAsia="en-AU"/>
              </w:rPr>
              <w:t>000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57</w:t>
            </w:r>
            <w:r>
              <w:rPr>
                <w:color w:val="000000"/>
                <w:lang w:eastAsia="en-AU"/>
              </w:rPr>
              <w:t> </w:t>
            </w:r>
            <w:r w:rsidRPr="0063769A">
              <w:rPr>
                <w:color w:val="000000"/>
                <w:lang w:eastAsia="en-AU"/>
              </w:rPr>
              <w:t>232</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Timeliness</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Percentage of priority 1, 2 and 3 clients assessed within the appropriate time</w:t>
            </w:r>
            <w:r>
              <w:rPr>
                <w:color w:val="000000"/>
                <w:lang w:eastAsia="en-AU"/>
              </w:rPr>
              <w:t xml:space="preserve"> – </w:t>
            </w:r>
            <w:r w:rsidRPr="0063769A">
              <w:rPr>
                <w:color w:val="000000"/>
                <w:lang w:eastAsia="en-AU"/>
              </w:rPr>
              <w:t>community</w:t>
            </w:r>
            <w:r w:rsidR="009F0F49">
              <w:rPr>
                <w:color w:val="000000"/>
                <w:lang w:eastAsia="en-AU"/>
              </w:rPr>
              <w:noBreakHyphen/>
            </w:r>
            <w:r w:rsidRPr="0063769A">
              <w:rPr>
                <w:color w:val="000000"/>
                <w:lang w:eastAsia="en-AU"/>
              </w:rPr>
              <w:t>based assessment</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85</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87</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80</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89.7</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3769A">
              <w:t>The 2012</w:t>
            </w:r>
            <w:r w:rsidR="009F0F49">
              <w:noBreakHyphen/>
            </w:r>
            <w:r w:rsidRPr="0063769A">
              <w:t>13 Expected Outcome is higher than the 2012</w:t>
            </w:r>
            <w:r w:rsidR="009F0F49">
              <w:noBreakHyphen/>
            </w:r>
            <w:r w:rsidRPr="0063769A">
              <w:t xml:space="preserve">13 Target due to increased efficiencies in business processes, such as the use of new technologies in the assessment process. </w:t>
            </w:r>
          </w:p>
          <w:p w:rsidR="00B958B1" w:rsidRPr="0063769A" w:rsidRDefault="00B958B1" w:rsidP="009F3B54">
            <w:pPr>
              <w:pStyle w:val="OGNotes"/>
              <w:rPr>
                <w:color w:val="000000"/>
                <w:sz w:val="16"/>
                <w:szCs w:val="16"/>
              </w:rPr>
            </w:pPr>
            <w:r w:rsidRPr="0063769A">
              <w:t xml:space="preserve">The </w:t>
            </w:r>
            <w:r>
              <w:t xml:space="preserve">higher </w:t>
            </w:r>
            <w:r w:rsidRPr="0063769A">
              <w:t>2013</w:t>
            </w:r>
            <w:r w:rsidR="009F0F49">
              <w:noBreakHyphen/>
            </w:r>
            <w:r w:rsidRPr="0063769A">
              <w:t xml:space="preserve">14 Target </w:t>
            </w:r>
            <w:r>
              <w:t>reflects alignment with</w:t>
            </w:r>
            <w:r w:rsidRPr="0063769A">
              <w:t xml:space="preserve"> Commonwealth reporting requirements.</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Percentage of priority 1, 2 and 3 clients assessed within the appropriate time</w:t>
            </w:r>
            <w:r>
              <w:rPr>
                <w:color w:val="000000"/>
                <w:lang w:eastAsia="en-AU"/>
              </w:rPr>
              <w:t xml:space="preserve"> – </w:t>
            </w:r>
            <w:r w:rsidRPr="0063769A">
              <w:rPr>
                <w:color w:val="000000"/>
                <w:lang w:eastAsia="en-AU"/>
              </w:rPr>
              <w:t>hospital</w:t>
            </w:r>
            <w:r w:rsidR="009F0F49">
              <w:rPr>
                <w:color w:val="000000"/>
                <w:lang w:eastAsia="en-AU"/>
              </w:rPr>
              <w:noBreakHyphen/>
            </w:r>
            <w:r w:rsidRPr="0063769A">
              <w:rPr>
                <w:color w:val="000000"/>
                <w:lang w:eastAsia="en-AU"/>
              </w:rPr>
              <w:t>based assessment</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85</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99</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85</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99.2</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The 2012</w:t>
            </w:r>
            <w:r w:rsidR="009F0F49">
              <w:noBreakHyphen/>
            </w:r>
            <w:r w:rsidRPr="0063769A">
              <w:t>13 Expected Outcome is higher than the 2012</w:t>
            </w:r>
            <w:r w:rsidR="009F0F49">
              <w:noBreakHyphen/>
            </w:r>
            <w:r w:rsidRPr="0063769A">
              <w:t>13 Target due to increased efficiencies in business processes, such as the use of new technologies in the assessment process and improved referral arrangements.</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Cost</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output cost</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53.9</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53</w:t>
            </w:r>
            <w:r>
              <w:rPr>
                <w:color w:val="000000"/>
                <w:lang w:eastAsia="en-AU"/>
              </w:rPr>
              <w:t>.0</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51</w:t>
            </w:r>
            <w:r>
              <w:rPr>
                <w:color w:val="000000"/>
                <w:lang w:eastAsia="en-AU"/>
              </w:rPr>
              <w:t>.0</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49.8</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 xml:space="preserve">The </w:t>
            </w:r>
            <w:r>
              <w:t xml:space="preserve">higher </w:t>
            </w:r>
            <w:r w:rsidRPr="0063769A">
              <w:t>2013</w:t>
            </w:r>
            <w:r w:rsidR="009F0F49">
              <w:noBreakHyphen/>
            </w:r>
            <w:r w:rsidRPr="0063769A">
              <w:t>14 Target reflects the impact of an increase in Commonwealth funding for the Aged Care Assessment Service.</w:t>
            </w:r>
          </w:p>
        </w:tc>
      </w:tr>
      <w:tr w:rsidR="00B958B1" w:rsidRPr="0063769A" w:rsidTr="009F3B54">
        <w:trPr>
          <w:cantSplit/>
        </w:trPr>
        <w:tc>
          <w:tcPr>
            <w:tcW w:w="7776" w:type="dxa"/>
            <w:gridSpan w:val="6"/>
            <w:tcBorders>
              <w:top w:val="nil"/>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Aged Support Services</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TabText"/>
              <w:keepNext/>
              <w:rPr>
                <w:lang w:eastAsia="en-AU"/>
              </w:rPr>
            </w:pPr>
            <w:r w:rsidRPr="0063769A">
              <w:rPr>
                <w:lang w:eastAsia="en-AU"/>
              </w:rPr>
              <w:t>This output includes delivery of a range of community services that support older Victorians and their carers.</w:t>
            </w:r>
          </w:p>
        </w:tc>
      </w:tr>
      <w:tr w:rsidR="00B958B1" w:rsidRPr="00A60844" w:rsidTr="009F3B54">
        <w:trPr>
          <w:cantSplit/>
        </w:trPr>
        <w:tc>
          <w:tcPr>
            <w:tcW w:w="3155" w:type="dxa"/>
            <w:tcBorders>
              <w:top w:val="single" w:sz="6" w:space="0" w:color="auto"/>
              <w:left w:val="nil"/>
              <w:right w:val="nil"/>
            </w:tcBorders>
            <w:shd w:val="clear" w:color="auto" w:fill="auto"/>
            <w:vAlign w:val="bottom"/>
            <w:hideMark/>
          </w:tcPr>
          <w:p w:rsidR="00B958B1" w:rsidRPr="00A60844" w:rsidRDefault="00B958B1" w:rsidP="009F3B54">
            <w:pPr>
              <w:pStyle w:val="OGTabHead"/>
              <w:rPr>
                <w:lang w:eastAsia="en-AU"/>
              </w:rPr>
            </w:pPr>
            <w:r w:rsidRPr="00A60844">
              <w:rPr>
                <w:bCs/>
                <w:iCs/>
                <w:color w:val="000000"/>
                <w:lang w:eastAsia="en-AU"/>
              </w:rPr>
              <w:t>Quantity</w:t>
            </w:r>
          </w:p>
        </w:tc>
        <w:tc>
          <w:tcPr>
            <w:tcW w:w="907" w:type="dxa"/>
            <w:tcBorders>
              <w:top w:val="single" w:sz="6" w:space="0" w:color="auto"/>
              <w:left w:val="nil"/>
              <w:right w:val="nil"/>
            </w:tcBorders>
            <w:shd w:val="clear" w:color="auto" w:fill="auto"/>
            <w:noWrap/>
            <w:vAlign w:val="bottom"/>
            <w:hideMark/>
          </w:tcPr>
          <w:p w:rsidR="00B958B1" w:rsidRPr="00A60844"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A60844"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r>
      <w:tr w:rsidR="00B958B1" w:rsidRPr="00A60844" w:rsidTr="009F3B54">
        <w:trPr>
          <w:cantSplit/>
        </w:trPr>
        <w:tc>
          <w:tcPr>
            <w:tcW w:w="3155" w:type="dxa"/>
            <w:tcBorders>
              <w:top w:val="nil"/>
              <w:left w:val="nil"/>
              <w:bottom w:val="single" w:sz="6" w:space="0" w:color="auto"/>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Individuals provided with respite and support services</w:t>
            </w:r>
          </w:p>
        </w:tc>
        <w:tc>
          <w:tcPr>
            <w:tcW w:w="907" w:type="dxa"/>
            <w:tcBorders>
              <w:top w:val="nil"/>
              <w:left w:val="nil"/>
              <w:bottom w:val="single" w:sz="6" w:space="0" w:color="auto"/>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nil"/>
              <w:left w:val="nil"/>
              <w:bottom w:val="single" w:sz="6" w:space="0" w:color="auto"/>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8 254</w:t>
            </w:r>
          </w:p>
        </w:tc>
        <w:tc>
          <w:tcPr>
            <w:tcW w:w="993" w:type="dxa"/>
            <w:tcBorders>
              <w:top w:val="nil"/>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8 148</w:t>
            </w:r>
          </w:p>
        </w:tc>
        <w:tc>
          <w:tcPr>
            <w:tcW w:w="907" w:type="dxa"/>
            <w:tcBorders>
              <w:top w:val="nil"/>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8 254</w:t>
            </w:r>
          </w:p>
        </w:tc>
        <w:tc>
          <w:tcPr>
            <w:tcW w:w="907" w:type="dxa"/>
            <w:tcBorders>
              <w:top w:val="nil"/>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13 840</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Number of hours of respite and support services</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hours</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161 250</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148 098</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161 250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nm</w:t>
            </w:r>
          </w:p>
        </w:tc>
      </w:tr>
      <w:tr w:rsidR="00B958B1" w:rsidRPr="00A60844"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A60844" w:rsidRDefault="00B958B1" w:rsidP="009F3B54">
            <w:pPr>
              <w:pStyle w:val="OGNotes"/>
              <w:rPr>
                <w:color w:val="000000"/>
                <w:sz w:val="16"/>
                <w:szCs w:val="16"/>
              </w:rPr>
            </w:pPr>
            <w:r w:rsidRPr="00A60844">
              <w:t>The 2012</w:t>
            </w:r>
            <w:r w:rsidR="009F0F49">
              <w:noBreakHyphen/>
            </w:r>
            <w:r w:rsidRPr="00A60844">
              <w:t>13 Expected Outcome is lower than the 2012</w:t>
            </w:r>
            <w:r w:rsidR="009F0F49">
              <w:noBreakHyphen/>
            </w:r>
            <w:r w:rsidRPr="00A60844">
              <w:t>13 Target due to issues with agency data reporting. An analysis of data reporting is being undertaken with additional training and assistance being provided to agencies to address compliance issues.</w:t>
            </w:r>
          </w:p>
        </w:tc>
      </w:tr>
      <w:tr w:rsidR="00B958B1" w:rsidRPr="00A60844"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Pension</w:t>
            </w:r>
            <w:r w:rsidR="009F0F49">
              <w:rPr>
                <w:color w:val="000000"/>
                <w:lang w:eastAsia="en-AU"/>
              </w:rPr>
              <w:noBreakHyphen/>
            </w:r>
            <w:r w:rsidRPr="00A60844">
              <w:rPr>
                <w:color w:val="000000"/>
                <w:lang w:eastAsia="en-AU"/>
              </w:rPr>
              <w:t>level Supported Residential Services residents provided with service coordination and support/brokerage services</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775</w:t>
            </w:r>
          </w:p>
        </w:tc>
        <w:tc>
          <w:tcPr>
            <w:tcW w:w="993"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775</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775</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773</w:t>
            </w:r>
          </w:p>
        </w:tc>
      </w:tr>
      <w:tr w:rsidR="00B958B1" w:rsidRPr="00A60844"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Pension</w:t>
            </w:r>
            <w:r w:rsidR="009F0F49">
              <w:rPr>
                <w:color w:val="000000"/>
                <w:lang w:eastAsia="en-AU"/>
              </w:rPr>
              <w:noBreakHyphen/>
            </w:r>
            <w:r w:rsidRPr="00A60844">
              <w:rPr>
                <w:color w:val="000000"/>
                <w:lang w:eastAsia="en-AU"/>
              </w:rPr>
              <w:t>level beds available in assisted Supported Residential Services facilities</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1 876</w:t>
            </w:r>
          </w:p>
        </w:tc>
        <w:tc>
          <w:tcPr>
            <w:tcW w:w="993"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1 876</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1 876</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1 862</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Personal alert units allocated</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Pr>
                <w:color w:val="000000"/>
                <w:lang w:eastAsia="en-AU"/>
              </w:rPr>
              <w:t>27</w:t>
            </w:r>
            <w:r w:rsidRPr="00A60844">
              <w:rPr>
                <w:color w:val="000000"/>
                <w:lang w:eastAsia="en-AU"/>
              </w:rPr>
              <w:t> 255</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26 255</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26 255</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26 255</w:t>
            </w:r>
          </w:p>
        </w:tc>
      </w:tr>
      <w:tr w:rsidR="00B958B1" w:rsidRPr="00A60844" w:rsidTr="009F3B54">
        <w:trPr>
          <w:cantSplit/>
        </w:trPr>
        <w:tc>
          <w:tcPr>
            <w:tcW w:w="7776" w:type="dxa"/>
            <w:gridSpan w:val="6"/>
            <w:tcBorders>
              <w:left w:val="nil"/>
              <w:bottom w:val="single" w:sz="6" w:space="0" w:color="auto"/>
              <w:right w:val="nil"/>
            </w:tcBorders>
            <w:shd w:val="clear" w:color="000000" w:fill="FFFFFF"/>
          </w:tcPr>
          <w:p w:rsidR="00B958B1" w:rsidRPr="00A60844" w:rsidRDefault="00B958B1" w:rsidP="009F3B54">
            <w:pPr>
              <w:pStyle w:val="OGNotes"/>
              <w:rPr>
                <w:color w:val="000000"/>
              </w:rPr>
            </w:pPr>
            <w:r w:rsidRPr="00E94D1F">
              <w:t>The higher 2013</w:t>
            </w:r>
            <w:r w:rsidR="009F0F49">
              <w:noBreakHyphen/>
            </w:r>
            <w:r w:rsidRPr="00E94D1F">
              <w:t>14 Target reflects the impact of additional funding for Personal Alert Victoria units approved during 2012</w:t>
            </w:r>
            <w:r w:rsidR="009F0F49">
              <w:noBreakHyphen/>
            </w:r>
            <w:r w:rsidRPr="00E94D1F">
              <w:t>13</w:t>
            </w:r>
            <w:r>
              <w:t>.</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Victorian EyeCare Service (occasions of service)</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75 800</w:t>
            </w:r>
          </w:p>
        </w:tc>
        <w:tc>
          <w:tcPr>
            <w:tcW w:w="993"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73 135</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75 800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A60844">
              <w:rPr>
                <w:color w:val="000000"/>
                <w:lang w:eastAsia="en-AU"/>
              </w:rPr>
              <w:t>73 705</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Quality</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Funded research and service development projects for which satisfactory reports have been received</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Cost</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output cost</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95.5</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94.5</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94</w:t>
            </w:r>
            <w:r>
              <w:rPr>
                <w:color w:val="000000"/>
                <w:lang w:eastAsia="en-AU"/>
              </w:rPr>
              <w:t>.0</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95.5</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 xml:space="preserve">The </w:t>
            </w:r>
            <w:r>
              <w:t xml:space="preserve">higher </w:t>
            </w:r>
            <w:r w:rsidRPr="0063769A">
              <w:t>2013</w:t>
            </w:r>
            <w:r w:rsidR="009F0F49">
              <w:noBreakHyphen/>
            </w:r>
            <w:r>
              <w:t xml:space="preserve">14 Target </w:t>
            </w:r>
            <w:r w:rsidRPr="0063769A">
              <w:t>reflects funding for the implementation of the Social and Community Services (SACS) award funding.</w:t>
            </w:r>
          </w:p>
        </w:tc>
      </w:tr>
      <w:tr w:rsidR="00B958B1" w:rsidRPr="0063769A" w:rsidTr="009F3B54">
        <w:trPr>
          <w:cantSplit/>
        </w:trPr>
        <w:tc>
          <w:tcPr>
            <w:tcW w:w="7776" w:type="dxa"/>
            <w:gridSpan w:val="6"/>
            <w:tcBorders>
              <w:top w:val="nil"/>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HACC Primary Health, Community Care and Support</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TabText"/>
              <w:keepNext/>
              <w:rPr>
                <w:lang w:eastAsia="en-AU"/>
              </w:rPr>
            </w:pPr>
            <w:r w:rsidRPr="0063769A">
              <w:rPr>
                <w:lang w:eastAsia="en-AU"/>
              </w:rPr>
              <w:t>This output includes delivery of a range of community</w:t>
            </w:r>
            <w:r w:rsidR="009F0F49">
              <w:rPr>
                <w:lang w:eastAsia="en-AU"/>
              </w:rPr>
              <w:noBreakHyphen/>
            </w:r>
            <w:r w:rsidRPr="0063769A">
              <w:rPr>
                <w:lang w:eastAsia="en-AU"/>
              </w:rPr>
              <w:t>based nursing, allied health and support services enabling frail, older people and younger people with disabilities to maintain their independence in the community. This includes Home and Community Care (HACC) services.</w:t>
            </w:r>
          </w:p>
        </w:tc>
      </w:tr>
      <w:tr w:rsidR="00B958B1" w:rsidRPr="00A60844" w:rsidTr="009F3B54">
        <w:trPr>
          <w:cantSplit/>
        </w:trPr>
        <w:tc>
          <w:tcPr>
            <w:tcW w:w="3155" w:type="dxa"/>
            <w:tcBorders>
              <w:top w:val="single" w:sz="6" w:space="0" w:color="auto"/>
              <w:left w:val="nil"/>
              <w:right w:val="nil"/>
            </w:tcBorders>
            <w:shd w:val="clear" w:color="auto" w:fill="auto"/>
            <w:vAlign w:val="bottom"/>
            <w:hideMark/>
          </w:tcPr>
          <w:p w:rsidR="00B958B1" w:rsidRPr="00A60844" w:rsidRDefault="00B958B1" w:rsidP="009F3B54">
            <w:pPr>
              <w:pStyle w:val="OGTabHead"/>
              <w:rPr>
                <w:lang w:eastAsia="en-AU"/>
              </w:rPr>
            </w:pPr>
            <w:r w:rsidRPr="00A60844">
              <w:rPr>
                <w:bCs/>
                <w:iCs/>
                <w:color w:val="000000"/>
                <w:lang w:eastAsia="en-AU"/>
              </w:rPr>
              <w:t>Quantity</w:t>
            </w:r>
          </w:p>
        </w:tc>
        <w:tc>
          <w:tcPr>
            <w:tcW w:w="907" w:type="dxa"/>
            <w:tcBorders>
              <w:top w:val="single" w:sz="6" w:space="0" w:color="auto"/>
              <w:left w:val="nil"/>
              <w:right w:val="nil"/>
            </w:tcBorders>
            <w:shd w:val="clear" w:color="auto" w:fill="auto"/>
            <w:noWrap/>
            <w:vAlign w:val="bottom"/>
            <w:hideMark/>
          </w:tcPr>
          <w:p w:rsidR="00B958B1" w:rsidRPr="00A60844"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A60844"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r>
      <w:tr w:rsidR="00B958B1" w:rsidRPr="00A60844" w:rsidTr="009F3B54">
        <w:trPr>
          <w:cantSplit/>
        </w:trPr>
        <w:tc>
          <w:tcPr>
            <w:tcW w:w="3155" w:type="dxa"/>
            <w:tcBorders>
              <w:top w:val="nil"/>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Clients receiving Home and Community Care services</w:t>
            </w:r>
          </w:p>
        </w:tc>
        <w:tc>
          <w:tcPr>
            <w:tcW w:w="907" w:type="dxa"/>
            <w:tcBorders>
              <w:top w:val="nil"/>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nil"/>
              <w:left w:val="nil"/>
              <w:right w:val="nil"/>
            </w:tcBorders>
            <w:shd w:val="clear" w:color="auto" w:fill="D9D9D9"/>
            <w:hideMark/>
          </w:tcPr>
          <w:p w:rsidR="00B958B1" w:rsidRPr="00A60844" w:rsidRDefault="00B958B1" w:rsidP="009F3B54">
            <w:pPr>
              <w:pStyle w:val="OGTableofFigures"/>
              <w:rPr>
                <w:color w:val="000000"/>
                <w:lang w:eastAsia="en-AU"/>
              </w:rPr>
            </w:pPr>
            <w:r>
              <w:rPr>
                <w:color w:val="000000"/>
                <w:lang w:eastAsia="en-AU"/>
              </w:rPr>
              <w:t>300</w:t>
            </w:r>
            <w:r w:rsidRPr="00A60844">
              <w:rPr>
                <w:color w:val="000000"/>
                <w:lang w:eastAsia="en-AU"/>
              </w:rPr>
              <w:t> 000</w:t>
            </w:r>
          </w:p>
        </w:tc>
        <w:tc>
          <w:tcPr>
            <w:tcW w:w="993"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295 000</w:t>
            </w:r>
          </w:p>
        </w:tc>
        <w:tc>
          <w:tcPr>
            <w:tcW w:w="907"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295 000</w:t>
            </w:r>
          </w:p>
        </w:tc>
        <w:tc>
          <w:tcPr>
            <w:tcW w:w="907"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286 214</w:t>
            </w:r>
          </w:p>
        </w:tc>
      </w:tr>
      <w:tr w:rsidR="00B958B1" w:rsidRPr="00A60844" w:rsidTr="009F3B54">
        <w:trPr>
          <w:cantSplit/>
        </w:trPr>
        <w:tc>
          <w:tcPr>
            <w:tcW w:w="7776" w:type="dxa"/>
            <w:gridSpan w:val="6"/>
            <w:tcBorders>
              <w:top w:val="nil"/>
              <w:left w:val="nil"/>
              <w:bottom w:val="single" w:sz="6" w:space="0" w:color="auto"/>
              <w:right w:val="nil"/>
            </w:tcBorders>
            <w:shd w:val="clear" w:color="000000" w:fill="FFFFFF"/>
          </w:tcPr>
          <w:p w:rsidR="00B958B1" w:rsidRPr="00302F2A" w:rsidRDefault="00B958B1" w:rsidP="009F3B54">
            <w:pPr>
              <w:pStyle w:val="OGNotes"/>
            </w:pPr>
            <w:r w:rsidRPr="00302F2A">
              <w:t>The higher 2013</w:t>
            </w:r>
            <w:r w:rsidR="009F0F49">
              <w:noBreakHyphen/>
            </w:r>
            <w:r w:rsidRPr="00302F2A">
              <w:t xml:space="preserve">14 Target reflects the impact of the additional funding provided in the </w:t>
            </w:r>
            <w:r w:rsidRPr="004511B6">
              <w:rPr>
                <w:i w:val="0"/>
              </w:rPr>
              <w:t>2013</w:t>
            </w:r>
            <w:r w:rsidR="009F0F49">
              <w:rPr>
                <w:i w:val="0"/>
              </w:rPr>
              <w:noBreakHyphen/>
            </w:r>
            <w:r w:rsidRPr="004511B6">
              <w:rPr>
                <w:i w:val="0"/>
              </w:rPr>
              <w:t>14 Budget</w:t>
            </w:r>
            <w:r w:rsidRPr="00302F2A">
              <w:t>.</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Home and Community Care service delivery hours</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 (000)</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11 543</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10 633</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10 633</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9 927</w:t>
            </w:r>
          </w:p>
        </w:tc>
      </w:tr>
      <w:tr w:rsidR="00B958B1" w:rsidRPr="00A60844"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A60844" w:rsidRDefault="00B958B1" w:rsidP="009F3B54">
            <w:pPr>
              <w:pStyle w:val="OGNotes"/>
              <w:rPr>
                <w:color w:val="000000"/>
                <w:sz w:val="16"/>
                <w:szCs w:val="16"/>
              </w:rPr>
            </w:pPr>
            <w:r w:rsidRPr="00A60844">
              <w:t xml:space="preserve">The </w:t>
            </w:r>
            <w:r>
              <w:t xml:space="preserve">higher </w:t>
            </w:r>
            <w:r w:rsidRPr="00A60844">
              <w:t>2013</w:t>
            </w:r>
            <w:r w:rsidR="009F0F49">
              <w:noBreakHyphen/>
            </w:r>
            <w:r w:rsidRPr="00A60844">
              <w:t>14</w:t>
            </w:r>
            <w:r>
              <w:t xml:space="preserve"> Target</w:t>
            </w:r>
            <w:r w:rsidRPr="00A60844">
              <w:t xml:space="preserve"> </w:t>
            </w:r>
            <w:r>
              <w:t>reflects the impact</w:t>
            </w:r>
            <w:r w:rsidRPr="00A60844">
              <w:t xml:space="preserve"> of the additional funding provided in the </w:t>
            </w:r>
            <w:r w:rsidRPr="004511B6">
              <w:rPr>
                <w:i w:val="0"/>
              </w:rPr>
              <w:t>2013</w:t>
            </w:r>
            <w:r w:rsidR="009F0F49">
              <w:rPr>
                <w:i w:val="0"/>
              </w:rPr>
              <w:noBreakHyphen/>
            </w:r>
            <w:r w:rsidRPr="004511B6">
              <w:rPr>
                <w:i w:val="0"/>
              </w:rPr>
              <w:t>14 Budget</w:t>
            </w:r>
            <w:r w:rsidRPr="00A60844">
              <w:t>.</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Standard Equivalent Value Units</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Pr>
                <w:color w:val="000000"/>
                <w:lang w:eastAsia="en-AU"/>
              </w:rPr>
              <w:t>number</w:t>
            </w:r>
            <w:r w:rsidRPr="00A60844">
              <w:rPr>
                <w:color w:val="000000"/>
                <w:lang w:eastAsia="en-AU"/>
              </w:rPr>
              <w:t xml:space="preserve"> (000)</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5 933</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5 153</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5 153</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4 900</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A60844">
              <w:t xml:space="preserve">The </w:t>
            </w:r>
            <w:r>
              <w:t xml:space="preserve">higher </w:t>
            </w:r>
            <w:r w:rsidRPr="00A60844">
              <w:t>2013</w:t>
            </w:r>
            <w:r w:rsidR="009F0F49">
              <w:noBreakHyphen/>
            </w:r>
            <w:r w:rsidRPr="00A60844">
              <w:t>14</w:t>
            </w:r>
            <w:r>
              <w:t xml:space="preserve"> Target</w:t>
            </w:r>
            <w:r w:rsidRPr="00A60844">
              <w:t xml:space="preserve"> </w:t>
            </w:r>
            <w:r>
              <w:t>reflects the impact</w:t>
            </w:r>
            <w:r w:rsidRPr="00A60844">
              <w:t xml:space="preserve"> of the additional funding provided in the </w:t>
            </w:r>
            <w:r w:rsidRPr="004511B6">
              <w:rPr>
                <w:i w:val="0"/>
              </w:rPr>
              <w:t>2013</w:t>
            </w:r>
            <w:r w:rsidR="009F0F49">
              <w:rPr>
                <w:i w:val="0"/>
              </w:rPr>
              <w:noBreakHyphen/>
            </w:r>
            <w:r w:rsidRPr="004511B6">
              <w:rPr>
                <w:i w:val="0"/>
              </w:rPr>
              <w:t>14 Budget</w:t>
            </w:r>
            <w:r w:rsidRPr="00A60844">
              <w:t>.</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Quality</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Eligible population receiving Home and Community Care services</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30</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30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30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32.9</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Cost</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output cost</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696.3</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666.2</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664.6</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612.9</w:t>
            </w:r>
          </w:p>
        </w:tc>
      </w:tr>
      <w:tr w:rsidR="00B958B1" w:rsidRPr="0063769A" w:rsidTr="009F3B54">
        <w:trPr>
          <w:cantSplit/>
        </w:trPr>
        <w:tc>
          <w:tcPr>
            <w:tcW w:w="7776" w:type="dxa"/>
            <w:gridSpan w:val="6"/>
            <w:tcBorders>
              <w:top w:val="nil"/>
              <w:left w:val="nil"/>
              <w:bottom w:val="single" w:sz="12"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A60844">
              <w:t xml:space="preserve">The </w:t>
            </w:r>
            <w:r>
              <w:t xml:space="preserve">higher </w:t>
            </w:r>
            <w:r w:rsidRPr="00A60844">
              <w:t>2013</w:t>
            </w:r>
            <w:r w:rsidR="009F0F49">
              <w:noBreakHyphen/>
            </w:r>
            <w:r w:rsidRPr="00A60844">
              <w:t>14</w:t>
            </w:r>
            <w:r>
              <w:t xml:space="preserve"> Target</w:t>
            </w:r>
            <w:r w:rsidRPr="00A60844">
              <w:t xml:space="preserve"> </w:t>
            </w:r>
            <w:r>
              <w:t>reflects the impact</w:t>
            </w:r>
            <w:r w:rsidRPr="00A60844">
              <w:t xml:space="preserve"> of the additional funding provided in the </w:t>
            </w:r>
            <w:r w:rsidRPr="004511B6">
              <w:rPr>
                <w:i w:val="0"/>
              </w:rPr>
              <w:t>2013</w:t>
            </w:r>
            <w:r w:rsidR="009F0F49">
              <w:rPr>
                <w:i w:val="0"/>
              </w:rPr>
              <w:noBreakHyphen/>
            </w:r>
            <w:r w:rsidRPr="004511B6">
              <w:rPr>
                <w:i w:val="0"/>
              </w:rPr>
              <w:t>14 Budget</w:t>
            </w:r>
            <w:r w:rsidRPr="00A60844">
              <w:t>.</w:t>
            </w:r>
          </w:p>
        </w:tc>
      </w:tr>
    </w:tbl>
    <w:p w:rsidR="00B958B1" w:rsidRDefault="00B958B1" w:rsidP="009F3B54">
      <w:pPr>
        <w:pStyle w:val="Source"/>
      </w:pPr>
      <w:r>
        <w:t>Source: Department of</w:t>
      </w:r>
      <w:r w:rsidRPr="00981AA0">
        <w:t xml:space="preserve"> </w:t>
      </w:r>
      <w:r>
        <w:t>Health</w:t>
      </w:r>
    </w:p>
    <w:p w:rsidR="00B958B1" w:rsidRDefault="00B958B1" w:rsidP="009F3B54">
      <w:pPr>
        <w:pStyle w:val="Source"/>
      </w:pPr>
      <w:r>
        <w:fldChar w:fldCharType="begin"/>
      </w:r>
      <w:r>
        <w:instrText xml:space="preserve"> XE "</w:instrText>
      </w:r>
      <w:r w:rsidRPr="003C036D">
        <w:instrText>Department of Health:Ageing, Aged and Home Care</w:instrText>
      </w:r>
      <w:r>
        <w:instrText xml:space="preserve">" \r "BP3DHAgeing" </w:instrText>
      </w:r>
      <w:r>
        <w:fldChar w:fldCharType="end"/>
      </w:r>
    </w:p>
    <w:bookmarkEnd w:id="107"/>
    <w:p w:rsidR="00B958B1" w:rsidRPr="0063769A" w:rsidRDefault="00B958B1" w:rsidP="009F3B54">
      <w:pPr>
        <w:pStyle w:val="OGHeading1"/>
        <w:rPr>
          <w:lang w:eastAsia="en-AU"/>
        </w:rPr>
      </w:pPr>
      <w:r>
        <w:br w:type="page"/>
      </w:r>
      <w:bookmarkStart w:id="108" w:name="BP3DHDentalHealth"/>
      <w:r w:rsidRPr="0063769A">
        <w:rPr>
          <w:lang w:eastAsia="en-AU"/>
        </w:rPr>
        <w:t xml:space="preserve">Primary, Community and Dental Health </w:t>
      </w:r>
    </w:p>
    <w:p w:rsidR="00B958B1" w:rsidRPr="0063769A" w:rsidRDefault="00B958B1" w:rsidP="009F3B54">
      <w:pPr>
        <w:pStyle w:val="OGText"/>
        <w:rPr>
          <w:lang w:eastAsia="en-AU"/>
        </w:rPr>
      </w:pPr>
      <w:r w:rsidRPr="0063769A">
        <w:rPr>
          <w:lang w:eastAsia="en-AU"/>
        </w:rPr>
        <w:t>Primary, Community and Dental Health outp</w:t>
      </w:r>
      <w:r>
        <w:rPr>
          <w:lang w:eastAsia="en-AU"/>
        </w:rPr>
        <w:t>uts provide a range of in</w:t>
      </w:r>
      <w:r w:rsidR="009F0F49">
        <w:rPr>
          <w:lang w:eastAsia="en-AU"/>
        </w:rPr>
        <w:noBreakHyphen/>
      </w:r>
      <w:r w:rsidRPr="0063769A">
        <w:rPr>
          <w:lang w:eastAsia="en-AU"/>
        </w:rPr>
        <w:t>home, community</w:t>
      </w:r>
      <w:r w:rsidR="009F0F49">
        <w:rPr>
          <w:lang w:eastAsia="en-AU"/>
        </w:rPr>
        <w:noBreakHyphen/>
      </w:r>
      <w:r w:rsidRPr="0063769A">
        <w:rPr>
          <w:lang w:eastAsia="en-AU"/>
        </w:rPr>
        <w:t>based, community, primary health and dental services designed to promote health and wellbeing and prevent the onset of more serious illnesses. This output group contributes to the Department</w:t>
      </w:r>
      <w:r>
        <w:rPr>
          <w:lang w:eastAsia="en-AU"/>
        </w:rPr>
        <w:t>’</w:t>
      </w:r>
      <w:r w:rsidRPr="0063769A">
        <w:rPr>
          <w:lang w:eastAsia="en-AU"/>
        </w:rPr>
        <w:t xml:space="preserve">s priority of achieving the best health and wellbeing for all Victorians by developing service and system capacity and increasing accountability and transparency. </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D32CA4" w:rsidTr="009F3B54">
        <w:trPr>
          <w:cantSplit/>
          <w:tblHeader/>
        </w:trPr>
        <w:tc>
          <w:tcPr>
            <w:tcW w:w="3155" w:type="dxa"/>
            <w:tcBorders>
              <w:top w:val="single" w:sz="4" w:space="0" w:color="auto"/>
              <w:left w:val="single" w:sz="4" w:space="0" w:color="auto"/>
              <w:bottom w:val="single" w:sz="4" w:space="0" w:color="auto"/>
              <w:right w:val="nil"/>
            </w:tcBorders>
            <w:shd w:val="clear" w:color="auto" w:fill="000000"/>
            <w:vAlign w:val="bottom"/>
          </w:tcPr>
          <w:p w:rsidR="00B958B1" w:rsidRPr="00D32CA4" w:rsidRDefault="00B958B1" w:rsidP="009F3B54">
            <w:pPr>
              <w:pStyle w:val="OGTabColLeft"/>
              <w:rPr>
                <w:i/>
              </w:rPr>
            </w:pPr>
            <w:r w:rsidRPr="00D32CA4">
              <w:t>Major Outputs/Deliverables</w:t>
            </w:r>
            <w:r w:rsidRPr="00D32CA4">
              <w:br/>
            </w:r>
            <w:r w:rsidRPr="0085011C">
              <w:rPr>
                <w:b w:val="0"/>
                <w:i/>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3"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63769A" w:rsidTr="009F3B54">
        <w:trPr>
          <w:cantSplit/>
        </w:trPr>
        <w:tc>
          <w:tcPr>
            <w:tcW w:w="7776" w:type="dxa"/>
            <w:gridSpan w:val="6"/>
            <w:tcBorders>
              <w:top w:val="nil"/>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Community Health Care</w:t>
            </w:r>
          </w:p>
        </w:tc>
      </w:tr>
      <w:tr w:rsidR="00B958B1" w:rsidRPr="00A60844"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A60844" w:rsidRDefault="00B958B1" w:rsidP="009F3B54">
            <w:pPr>
              <w:pStyle w:val="OGTabText"/>
              <w:rPr>
                <w:lang w:eastAsia="en-AU"/>
              </w:rPr>
            </w:pPr>
            <w:r w:rsidRPr="00A60844">
              <w:rPr>
                <w:lang w:eastAsia="en-AU"/>
              </w:rPr>
              <w:t>This output includes delivery of a range of community care and support services, including counselling, allied health and nursing that enable people to continue to live independently in the community.</w:t>
            </w:r>
          </w:p>
        </w:tc>
      </w:tr>
      <w:tr w:rsidR="00B958B1" w:rsidRPr="00A60844" w:rsidTr="009F3B54">
        <w:trPr>
          <w:cantSplit/>
        </w:trPr>
        <w:tc>
          <w:tcPr>
            <w:tcW w:w="3155" w:type="dxa"/>
            <w:tcBorders>
              <w:top w:val="single" w:sz="6" w:space="0" w:color="auto"/>
              <w:left w:val="nil"/>
              <w:bottom w:val="nil"/>
              <w:right w:val="nil"/>
            </w:tcBorders>
            <w:shd w:val="clear" w:color="auto" w:fill="auto"/>
            <w:vAlign w:val="bottom"/>
            <w:hideMark/>
          </w:tcPr>
          <w:p w:rsidR="00B958B1" w:rsidRPr="00A60844" w:rsidRDefault="00B958B1" w:rsidP="009F3B54">
            <w:pPr>
              <w:pStyle w:val="OGTabHead"/>
              <w:rPr>
                <w:lang w:eastAsia="en-AU"/>
              </w:rPr>
            </w:pPr>
            <w:r w:rsidRPr="00A60844">
              <w:rPr>
                <w:bCs/>
                <w:iCs/>
                <w:color w:val="000000"/>
                <w:lang w:eastAsia="en-AU"/>
              </w:rPr>
              <w:t>Quantity</w:t>
            </w: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A60844"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r>
      <w:tr w:rsidR="00B958B1" w:rsidRPr="00A60844" w:rsidTr="009F3B54">
        <w:trPr>
          <w:cantSplit/>
        </w:trPr>
        <w:tc>
          <w:tcPr>
            <w:tcW w:w="3155" w:type="dxa"/>
            <w:tcBorders>
              <w:top w:val="nil"/>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Better Health Channel visits</w:t>
            </w:r>
          </w:p>
        </w:tc>
        <w:tc>
          <w:tcPr>
            <w:tcW w:w="907" w:type="dxa"/>
            <w:tcBorders>
              <w:top w:val="nil"/>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 (000)</w:t>
            </w:r>
          </w:p>
        </w:tc>
        <w:tc>
          <w:tcPr>
            <w:tcW w:w="907" w:type="dxa"/>
            <w:tcBorders>
              <w:top w:val="nil"/>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17 000</w:t>
            </w:r>
          </w:p>
        </w:tc>
        <w:tc>
          <w:tcPr>
            <w:tcW w:w="993"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25 000</w:t>
            </w:r>
          </w:p>
        </w:tc>
        <w:tc>
          <w:tcPr>
            <w:tcW w:w="907"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17 000</w:t>
            </w:r>
          </w:p>
        </w:tc>
        <w:tc>
          <w:tcPr>
            <w:tcW w:w="907"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20 725</w:t>
            </w:r>
          </w:p>
        </w:tc>
      </w:tr>
      <w:tr w:rsidR="00B958B1" w:rsidRPr="00A60844"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A60844" w:rsidRDefault="00B958B1" w:rsidP="009F3B54">
            <w:pPr>
              <w:pStyle w:val="OGNotes"/>
              <w:rPr>
                <w:color w:val="000000"/>
                <w:sz w:val="16"/>
                <w:szCs w:val="16"/>
              </w:rPr>
            </w:pPr>
            <w:r w:rsidRPr="00A60844">
              <w:t>The 2012</w:t>
            </w:r>
            <w:r w:rsidR="009F0F49">
              <w:noBreakHyphen/>
            </w:r>
            <w:r w:rsidRPr="00A60844">
              <w:t xml:space="preserve">13 Expected Outcome is </w:t>
            </w:r>
            <w:r>
              <w:t>higher</w:t>
            </w:r>
            <w:r w:rsidRPr="00A60844">
              <w:t xml:space="preserve"> than the 2012</w:t>
            </w:r>
            <w:r w:rsidR="009F0F49">
              <w:noBreakHyphen/>
            </w:r>
            <w:r w:rsidRPr="00A60844">
              <w:t>13 Target due to further optimisation of Better Health Channel (BHC) content for search engines, as well changes in Google</w:t>
            </w:r>
            <w:r>
              <w:t>’</w:t>
            </w:r>
            <w:r w:rsidRPr="00A60844">
              <w:t>s search algorithm late last year which have increased the visibility of BHC</w:t>
            </w:r>
            <w:r>
              <w:t>’</w:t>
            </w:r>
            <w:r w:rsidRPr="00A60844">
              <w:t>s content and resulted in higher referral traffic.</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Number of referrals made using secure electronic referral systems</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100 000</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100 000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100 000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Pr>
                <w:color w:val="000000"/>
                <w:lang w:eastAsia="en-AU"/>
              </w:rPr>
              <w:t>120 507</w:t>
            </w:r>
          </w:p>
        </w:tc>
      </w:tr>
      <w:tr w:rsidR="00B958B1" w:rsidRPr="00A60844" w:rsidTr="009F3B54">
        <w:trPr>
          <w:cantSplit/>
        </w:trPr>
        <w:tc>
          <w:tcPr>
            <w:tcW w:w="7776" w:type="dxa"/>
            <w:gridSpan w:val="6"/>
            <w:tcBorders>
              <w:left w:val="nil"/>
              <w:bottom w:val="single" w:sz="6" w:space="0" w:color="auto"/>
              <w:right w:val="nil"/>
            </w:tcBorders>
            <w:shd w:val="clear" w:color="000000" w:fill="FFFFFF"/>
          </w:tcPr>
          <w:p w:rsidR="00B958B1" w:rsidRDefault="00B958B1" w:rsidP="009F3B54">
            <w:pPr>
              <w:pStyle w:val="OGNotes"/>
              <w:rPr>
                <w:color w:val="000000"/>
              </w:rPr>
            </w:pPr>
            <w:r w:rsidRPr="00C95B3B">
              <w:t>The 2011</w:t>
            </w:r>
            <w:r w:rsidR="009F0F49">
              <w:noBreakHyphen/>
            </w:r>
            <w:r w:rsidRPr="00C95B3B">
              <w:t>12 Actual reported in the Department's Annual Report has been updated to reflect final available data.</w:t>
            </w:r>
          </w:p>
        </w:tc>
      </w:tr>
      <w:tr w:rsidR="00B958B1" w:rsidRPr="00A60844"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Primary Care Partnerships with reviewed and updated Strategic Plans</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100</w:t>
            </w:r>
          </w:p>
        </w:tc>
        <w:tc>
          <w:tcPr>
            <w:tcW w:w="993"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100</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Service delivery hours in community health care</w:t>
            </w:r>
          </w:p>
        </w:tc>
        <w:tc>
          <w:tcPr>
            <w:tcW w:w="907" w:type="dxa"/>
            <w:tcBorders>
              <w:top w:val="single" w:sz="6" w:space="0" w:color="auto"/>
              <w:left w:val="nil"/>
              <w:right w:val="nil"/>
            </w:tcBorders>
            <w:shd w:val="clear" w:color="000000" w:fill="FFFFFF"/>
            <w:hideMark/>
          </w:tcPr>
          <w:p w:rsidR="00B958B1" w:rsidRDefault="00B958B1" w:rsidP="009F3B54">
            <w:pPr>
              <w:pStyle w:val="OGUoM"/>
              <w:rPr>
                <w:color w:val="000000"/>
                <w:lang w:eastAsia="en-AU"/>
              </w:rPr>
            </w:pPr>
            <w:r>
              <w:rPr>
                <w:color w:val="000000"/>
                <w:lang w:eastAsia="en-AU"/>
              </w:rPr>
              <w:t>n</w:t>
            </w:r>
            <w:r w:rsidRPr="00A60844">
              <w:rPr>
                <w:color w:val="000000"/>
                <w:lang w:eastAsia="en-AU"/>
              </w:rPr>
              <w:t>umber</w:t>
            </w:r>
          </w:p>
          <w:p w:rsidR="00B958B1" w:rsidRPr="00A60844" w:rsidRDefault="00B958B1" w:rsidP="009F3B54">
            <w:pPr>
              <w:pStyle w:val="OGUoM"/>
              <w:rPr>
                <w:color w:val="000000"/>
                <w:lang w:eastAsia="en-AU"/>
              </w:rPr>
            </w:pPr>
            <w:r>
              <w:rPr>
                <w:color w:val="000000"/>
                <w:lang w:eastAsia="en-AU"/>
              </w:rPr>
              <w:t>(000)</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998 </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Pr>
                <w:color w:val="000000"/>
                <w:lang w:eastAsia="en-AU"/>
              </w:rPr>
              <w:t>976</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Pr>
                <w:color w:val="000000"/>
                <w:lang w:eastAsia="en-AU"/>
              </w:rPr>
              <w:t>976</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Pr>
                <w:color w:val="000000"/>
                <w:lang w:eastAsia="en-AU"/>
              </w:rPr>
              <w:t>971</w:t>
            </w:r>
          </w:p>
        </w:tc>
      </w:tr>
      <w:tr w:rsidR="00B958B1" w:rsidRPr="00A60844"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A60844" w:rsidRDefault="00B958B1" w:rsidP="009F3B54">
            <w:pPr>
              <w:pStyle w:val="OGNotes"/>
              <w:rPr>
                <w:color w:val="000000"/>
                <w:sz w:val="16"/>
                <w:szCs w:val="16"/>
              </w:rPr>
            </w:pPr>
            <w:r w:rsidRPr="00A60844">
              <w:t xml:space="preserve">The </w:t>
            </w:r>
            <w:r>
              <w:t xml:space="preserve">higher </w:t>
            </w:r>
            <w:r w:rsidRPr="00A60844">
              <w:t>2013</w:t>
            </w:r>
            <w:r w:rsidR="009F0F49">
              <w:noBreakHyphen/>
            </w:r>
            <w:r w:rsidRPr="00A60844">
              <w:t xml:space="preserve">14 </w:t>
            </w:r>
            <w:r>
              <w:t>T</w:t>
            </w:r>
            <w:r w:rsidRPr="00A60844">
              <w:t xml:space="preserve">arget is higher </w:t>
            </w:r>
            <w:r>
              <w:t xml:space="preserve">reflects </w:t>
            </w:r>
            <w:r w:rsidRPr="00A60844">
              <w:t xml:space="preserve">the impact of the additional funding provided in the </w:t>
            </w:r>
            <w:r w:rsidRPr="00EE21BE">
              <w:rPr>
                <w:i w:val="0"/>
              </w:rPr>
              <w:t>2013</w:t>
            </w:r>
            <w:r w:rsidR="009F0F49">
              <w:rPr>
                <w:i w:val="0"/>
              </w:rPr>
              <w:noBreakHyphen/>
            </w:r>
            <w:r w:rsidRPr="00EE21BE">
              <w:rPr>
                <w:i w:val="0"/>
              </w:rPr>
              <w:t>14 Budget</w:t>
            </w:r>
            <w:r w:rsidRPr="00A60844">
              <w:t>.</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Standard Equivalent Value Units</w:t>
            </w:r>
          </w:p>
        </w:tc>
        <w:tc>
          <w:tcPr>
            <w:tcW w:w="907" w:type="dxa"/>
            <w:tcBorders>
              <w:top w:val="single" w:sz="6" w:space="0" w:color="auto"/>
              <w:left w:val="nil"/>
              <w:right w:val="nil"/>
            </w:tcBorders>
            <w:shd w:val="clear" w:color="000000" w:fill="FFFFFF"/>
            <w:hideMark/>
          </w:tcPr>
          <w:p w:rsidR="00B958B1" w:rsidRDefault="00B958B1" w:rsidP="009F3B54">
            <w:pPr>
              <w:pStyle w:val="OGUoM"/>
              <w:rPr>
                <w:color w:val="000000"/>
                <w:lang w:eastAsia="en-AU"/>
              </w:rPr>
            </w:pPr>
            <w:r>
              <w:rPr>
                <w:color w:val="000000"/>
                <w:lang w:eastAsia="en-AU"/>
              </w:rPr>
              <w:t>n</w:t>
            </w:r>
            <w:r w:rsidRPr="00A60844">
              <w:rPr>
                <w:color w:val="000000"/>
                <w:lang w:eastAsia="en-AU"/>
              </w:rPr>
              <w:t>umber</w:t>
            </w:r>
          </w:p>
          <w:p w:rsidR="00B958B1" w:rsidRPr="00A60844" w:rsidRDefault="00B958B1" w:rsidP="009F3B54">
            <w:pPr>
              <w:pStyle w:val="OGUoM"/>
              <w:rPr>
                <w:color w:val="000000"/>
                <w:lang w:eastAsia="en-AU"/>
              </w:rPr>
            </w:pPr>
            <w:r>
              <w:rPr>
                <w:color w:val="000000"/>
                <w:lang w:eastAsia="en-AU"/>
              </w:rPr>
              <w:t>(000)</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Pr>
                <w:color w:val="000000"/>
                <w:lang w:eastAsia="en-AU"/>
              </w:rPr>
              <w:t>1 072</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Pr>
                <w:color w:val="000000"/>
                <w:lang w:eastAsia="en-AU"/>
              </w:rPr>
              <w:t>1 048</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Pr>
                <w:color w:val="000000"/>
                <w:lang w:eastAsia="en-AU"/>
              </w:rPr>
              <w:t>1 048</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A60844">
              <w:rPr>
                <w:color w:val="000000"/>
                <w:lang w:eastAsia="en-AU"/>
              </w:rPr>
              <w:t>1 04</w:t>
            </w:r>
            <w:r>
              <w:rPr>
                <w:color w:val="000000"/>
                <w:lang w:eastAsia="en-AU"/>
              </w:rPr>
              <w:t>3</w:t>
            </w:r>
          </w:p>
        </w:tc>
      </w:tr>
      <w:tr w:rsidR="00B958B1" w:rsidRPr="0063769A" w:rsidTr="009F3B54">
        <w:trPr>
          <w:cantSplit/>
        </w:trPr>
        <w:tc>
          <w:tcPr>
            <w:tcW w:w="7776" w:type="dxa"/>
            <w:gridSpan w:val="6"/>
            <w:tcBorders>
              <w:left w:val="nil"/>
              <w:bottom w:val="single" w:sz="4" w:space="0" w:color="auto"/>
              <w:right w:val="nil"/>
            </w:tcBorders>
            <w:shd w:val="clear" w:color="000000" w:fill="FFFFFF"/>
          </w:tcPr>
          <w:p w:rsidR="00B958B1" w:rsidRPr="00A60844" w:rsidRDefault="00B958B1" w:rsidP="009F3B54">
            <w:pPr>
              <w:pStyle w:val="OGNotes"/>
              <w:rPr>
                <w:color w:val="000000"/>
              </w:rPr>
            </w:pPr>
            <w:r w:rsidRPr="00FC468A">
              <w:t>The higher 2013</w:t>
            </w:r>
            <w:r w:rsidR="009F0F49">
              <w:noBreakHyphen/>
            </w:r>
            <w:r w:rsidRPr="00FC468A">
              <w:t>14 Target reflects the impact of the additional funding provided in the</w:t>
            </w:r>
            <w:r w:rsidRPr="00E94D1F">
              <w:rPr>
                <w:i w:val="0"/>
              </w:rPr>
              <w:t xml:space="preserve"> 2013</w:t>
            </w:r>
            <w:r w:rsidR="009F0F49">
              <w:rPr>
                <w:i w:val="0"/>
              </w:rPr>
              <w:noBreakHyphen/>
            </w:r>
            <w:r w:rsidRPr="00E94D1F">
              <w:rPr>
                <w:i w:val="0"/>
              </w:rPr>
              <w:t xml:space="preserve">14 </w:t>
            </w:r>
            <w:r>
              <w:rPr>
                <w:i w:val="0"/>
              </w:rPr>
              <w:t>B</w:t>
            </w:r>
            <w:r w:rsidRPr="00E94D1F">
              <w:rPr>
                <w:i w:val="0"/>
              </w:rPr>
              <w:t>udget.</w:t>
            </w:r>
          </w:p>
        </w:tc>
      </w:tr>
      <w:tr w:rsidR="00B958B1" w:rsidRPr="0063769A" w:rsidTr="009F3B54">
        <w:trPr>
          <w:cantSplit/>
        </w:trPr>
        <w:tc>
          <w:tcPr>
            <w:tcW w:w="3155" w:type="dxa"/>
            <w:tcBorders>
              <w:top w:val="single" w:sz="4"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Quality</w:t>
            </w:r>
          </w:p>
        </w:tc>
        <w:tc>
          <w:tcPr>
            <w:tcW w:w="907" w:type="dxa"/>
            <w:tcBorders>
              <w:top w:val="single" w:sz="4"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4"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4"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4"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4"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Agencies with an Integrated Health Promotion (IHP) plan that meets the stipulated planning requirements</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Pr>
                <w:color w:val="000000"/>
                <w:lang w:eastAsia="en-AU"/>
              </w:rPr>
              <w:t>90</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90</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80</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96</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The 2012</w:t>
            </w:r>
            <w:r w:rsidR="009F0F49">
              <w:noBreakHyphen/>
            </w:r>
            <w:r w:rsidRPr="0063769A">
              <w:t>13 Expected Outcome</w:t>
            </w:r>
            <w:r>
              <w:t xml:space="preserve"> and the 2013</w:t>
            </w:r>
            <w:r w:rsidR="009F0F49">
              <w:noBreakHyphen/>
            </w:r>
            <w:r>
              <w:t>14 Target</w:t>
            </w:r>
            <w:r w:rsidRPr="0063769A">
              <w:t xml:space="preserve"> </w:t>
            </w:r>
            <w:r>
              <w:t>are</w:t>
            </w:r>
            <w:r w:rsidRPr="0063769A">
              <w:t xml:space="preserve"> higher than the 2012</w:t>
            </w:r>
            <w:r w:rsidR="009F0F49">
              <w:noBreakHyphen/>
            </w:r>
            <w:r w:rsidRPr="0063769A">
              <w:t>13 Target due to simplification of planning requirements for agencies in the 2012</w:t>
            </w:r>
            <w:r w:rsidR="009F0F49">
              <w:noBreakHyphen/>
            </w:r>
            <w:r w:rsidRPr="0063769A">
              <w:t xml:space="preserve">13 </w:t>
            </w:r>
            <w:r>
              <w:t>‘</w:t>
            </w:r>
            <w:r w:rsidRPr="0063769A">
              <w:t>bridging year</w:t>
            </w:r>
            <w:r>
              <w:t>’</w:t>
            </w:r>
            <w:r w:rsidRPr="0063769A">
              <w:t xml:space="preserve"> that meant a higher </w:t>
            </w:r>
            <w:r>
              <w:t>percent</w:t>
            </w:r>
            <w:r w:rsidRPr="0063769A">
              <w:t xml:space="preserve">age of agencies should meet the planning </w:t>
            </w:r>
            <w:r w:rsidRPr="003400B8">
              <w:t>requirements</w:t>
            </w:r>
            <w:r w:rsidRPr="0063769A">
              <w:t>. Requirements were simplified to allow for integration and alignment with local government municipal public health and wellbeing planning from 2013</w:t>
            </w:r>
            <w:r w:rsidR="009F0F49">
              <w:noBreakHyphen/>
            </w:r>
            <w:r w:rsidRPr="0063769A">
              <w:t>14.</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keepLines w:val="0"/>
              <w:rPr>
                <w:lang w:eastAsia="en-AU"/>
              </w:rPr>
            </w:pPr>
            <w:r w:rsidRPr="00D32CA4">
              <w:rPr>
                <w:bCs/>
                <w:iCs/>
                <w:color w:val="000000"/>
                <w:lang w:eastAsia="en-AU"/>
              </w:rPr>
              <w:t>Cost</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keepNext/>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keepNext/>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keepNext/>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keepNext/>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keepNext/>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keepNext/>
              <w:rPr>
                <w:color w:val="000000"/>
                <w:lang w:eastAsia="en-AU"/>
              </w:rPr>
            </w:pPr>
            <w:r w:rsidRPr="0063769A">
              <w:rPr>
                <w:color w:val="000000"/>
                <w:lang w:eastAsia="en-AU"/>
              </w:rPr>
              <w:t>Total output cost</w:t>
            </w:r>
          </w:p>
        </w:tc>
        <w:tc>
          <w:tcPr>
            <w:tcW w:w="907" w:type="dxa"/>
            <w:tcBorders>
              <w:top w:val="nil"/>
              <w:left w:val="nil"/>
              <w:right w:val="nil"/>
            </w:tcBorders>
            <w:shd w:val="clear" w:color="000000" w:fill="FFFFFF"/>
            <w:hideMark/>
          </w:tcPr>
          <w:p w:rsidR="00B958B1" w:rsidRPr="0063769A" w:rsidRDefault="00B958B1" w:rsidP="009F3B54">
            <w:pPr>
              <w:pStyle w:val="OGUoM"/>
              <w:keepNext/>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keepNext/>
              <w:rPr>
                <w:color w:val="000000"/>
                <w:lang w:eastAsia="en-AU"/>
              </w:rPr>
            </w:pPr>
            <w:r w:rsidRPr="0063769A">
              <w:rPr>
                <w:color w:val="000000"/>
                <w:lang w:eastAsia="en-AU"/>
              </w:rPr>
              <w:t>230.3</w:t>
            </w:r>
          </w:p>
        </w:tc>
        <w:tc>
          <w:tcPr>
            <w:tcW w:w="993" w:type="dxa"/>
            <w:tcBorders>
              <w:top w:val="nil"/>
              <w:left w:val="nil"/>
              <w:right w:val="nil"/>
            </w:tcBorders>
            <w:shd w:val="clear" w:color="000000" w:fill="FFFFFF"/>
            <w:hideMark/>
          </w:tcPr>
          <w:p w:rsidR="00B958B1" w:rsidRPr="0063769A" w:rsidRDefault="00B958B1" w:rsidP="009F3B54">
            <w:pPr>
              <w:pStyle w:val="OGTableofFigures"/>
              <w:keepNext/>
              <w:rPr>
                <w:color w:val="000000"/>
                <w:lang w:eastAsia="en-AU"/>
              </w:rPr>
            </w:pPr>
            <w:r w:rsidRPr="0063769A">
              <w:rPr>
                <w:color w:val="000000"/>
                <w:lang w:eastAsia="en-AU"/>
              </w:rPr>
              <w:t>222</w:t>
            </w:r>
            <w:r>
              <w:rPr>
                <w:color w:val="000000"/>
                <w:lang w:eastAsia="en-AU"/>
              </w:rPr>
              <w:t>.0</w:t>
            </w:r>
          </w:p>
        </w:tc>
        <w:tc>
          <w:tcPr>
            <w:tcW w:w="907" w:type="dxa"/>
            <w:tcBorders>
              <w:top w:val="nil"/>
              <w:left w:val="nil"/>
              <w:right w:val="nil"/>
            </w:tcBorders>
            <w:shd w:val="clear" w:color="000000" w:fill="FFFFFF"/>
            <w:hideMark/>
          </w:tcPr>
          <w:p w:rsidR="00B958B1" w:rsidRPr="0063769A" w:rsidRDefault="00B958B1" w:rsidP="009F3B54">
            <w:pPr>
              <w:pStyle w:val="OGTableofFigures"/>
              <w:keepNext/>
              <w:rPr>
                <w:color w:val="000000"/>
                <w:lang w:eastAsia="en-AU"/>
              </w:rPr>
            </w:pPr>
            <w:r w:rsidRPr="0063769A">
              <w:rPr>
                <w:color w:val="000000"/>
                <w:lang w:eastAsia="en-AU"/>
              </w:rPr>
              <w:t>207.5</w:t>
            </w:r>
          </w:p>
        </w:tc>
        <w:tc>
          <w:tcPr>
            <w:tcW w:w="907" w:type="dxa"/>
            <w:tcBorders>
              <w:top w:val="nil"/>
              <w:left w:val="nil"/>
              <w:right w:val="nil"/>
            </w:tcBorders>
            <w:shd w:val="clear" w:color="000000" w:fill="FFFFFF"/>
            <w:hideMark/>
          </w:tcPr>
          <w:p w:rsidR="00B958B1" w:rsidRPr="0063769A" w:rsidRDefault="00B958B1" w:rsidP="009F3B54">
            <w:pPr>
              <w:pStyle w:val="OGTableofFigures"/>
              <w:keepNext/>
              <w:rPr>
                <w:color w:val="000000"/>
                <w:lang w:eastAsia="en-AU"/>
              </w:rPr>
            </w:pPr>
            <w:r w:rsidRPr="0063769A">
              <w:rPr>
                <w:color w:val="000000"/>
                <w:lang w:eastAsia="en-AU"/>
              </w:rPr>
              <w:t>218.3</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 xml:space="preserve">The </w:t>
            </w:r>
            <w:r>
              <w:t xml:space="preserve">higher </w:t>
            </w:r>
            <w:r w:rsidRPr="0063769A">
              <w:t>2013</w:t>
            </w:r>
            <w:r w:rsidR="009F0F49">
              <w:noBreakHyphen/>
            </w:r>
            <w:r w:rsidRPr="0063769A">
              <w:t>14 Target reflects funding provided in the 2013</w:t>
            </w:r>
            <w:r w:rsidR="009F0F49">
              <w:noBreakHyphen/>
            </w:r>
            <w:r w:rsidRPr="0063769A">
              <w:t xml:space="preserve">14 Budget including funding for the implementation of the Social and </w:t>
            </w:r>
            <w:r w:rsidRPr="003400B8">
              <w:t>Community</w:t>
            </w:r>
            <w:r w:rsidRPr="0063769A">
              <w:t xml:space="preserve"> Services (SACS) award funding.</w:t>
            </w:r>
          </w:p>
        </w:tc>
      </w:tr>
      <w:tr w:rsidR="00B958B1" w:rsidRPr="0063769A" w:rsidTr="009F3B54">
        <w:trPr>
          <w:cantSplit/>
        </w:trPr>
        <w:tc>
          <w:tcPr>
            <w:tcW w:w="7776" w:type="dxa"/>
            <w:gridSpan w:val="6"/>
            <w:tcBorders>
              <w:top w:val="nil"/>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Dental Services</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TabText"/>
              <w:rPr>
                <w:lang w:eastAsia="en-AU"/>
              </w:rPr>
            </w:pPr>
            <w:r w:rsidRPr="0063769A">
              <w:rPr>
                <w:lang w:eastAsia="en-AU"/>
              </w:rPr>
              <w:t>This output includes delivery of a range of dental health services to support health and wellbeing in the community.</w:t>
            </w:r>
          </w:p>
        </w:tc>
      </w:tr>
      <w:tr w:rsidR="00B958B1" w:rsidRPr="00A60844" w:rsidTr="009F3B54">
        <w:trPr>
          <w:cantSplit/>
        </w:trPr>
        <w:tc>
          <w:tcPr>
            <w:tcW w:w="3155" w:type="dxa"/>
            <w:tcBorders>
              <w:top w:val="single" w:sz="6" w:space="0" w:color="auto"/>
              <w:left w:val="nil"/>
              <w:right w:val="nil"/>
            </w:tcBorders>
            <w:shd w:val="clear" w:color="auto" w:fill="auto"/>
            <w:vAlign w:val="bottom"/>
            <w:hideMark/>
          </w:tcPr>
          <w:p w:rsidR="00B958B1" w:rsidRPr="00A60844" w:rsidRDefault="00B958B1" w:rsidP="009F3B54">
            <w:pPr>
              <w:pStyle w:val="OGTabHead"/>
              <w:rPr>
                <w:lang w:eastAsia="en-AU"/>
              </w:rPr>
            </w:pPr>
            <w:r w:rsidRPr="00A60844">
              <w:rPr>
                <w:bCs/>
                <w:iCs/>
                <w:color w:val="000000"/>
                <w:lang w:eastAsia="en-AU"/>
              </w:rPr>
              <w:t>Quantity</w:t>
            </w:r>
          </w:p>
        </w:tc>
        <w:tc>
          <w:tcPr>
            <w:tcW w:w="907" w:type="dxa"/>
            <w:tcBorders>
              <w:top w:val="single" w:sz="6" w:space="0" w:color="auto"/>
              <w:left w:val="nil"/>
              <w:right w:val="nil"/>
            </w:tcBorders>
            <w:shd w:val="clear" w:color="auto" w:fill="auto"/>
            <w:noWrap/>
            <w:vAlign w:val="bottom"/>
            <w:hideMark/>
          </w:tcPr>
          <w:p w:rsidR="00B958B1" w:rsidRPr="00A60844"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A60844"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r>
      <w:tr w:rsidR="00B958B1" w:rsidRPr="00A60844" w:rsidTr="009F3B54">
        <w:trPr>
          <w:cantSplit/>
        </w:trPr>
        <w:tc>
          <w:tcPr>
            <w:tcW w:w="3155" w:type="dxa"/>
            <w:tcBorders>
              <w:top w:val="nil"/>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Persons treated</w:t>
            </w:r>
          </w:p>
        </w:tc>
        <w:tc>
          <w:tcPr>
            <w:tcW w:w="907" w:type="dxa"/>
            <w:tcBorders>
              <w:top w:val="nil"/>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nil"/>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332 150</w:t>
            </w:r>
          </w:p>
        </w:tc>
        <w:tc>
          <w:tcPr>
            <w:tcW w:w="993"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332 150</w:t>
            </w:r>
          </w:p>
        </w:tc>
        <w:tc>
          <w:tcPr>
            <w:tcW w:w="907"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332 150</w:t>
            </w:r>
          </w:p>
        </w:tc>
        <w:tc>
          <w:tcPr>
            <w:tcW w:w="907"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329 078</w:t>
            </w:r>
          </w:p>
        </w:tc>
      </w:tr>
      <w:tr w:rsidR="00B958B1" w:rsidRPr="002B249A" w:rsidTr="009F3B54">
        <w:trPr>
          <w:cantSplit/>
        </w:trPr>
        <w:tc>
          <w:tcPr>
            <w:tcW w:w="7776" w:type="dxa"/>
            <w:gridSpan w:val="6"/>
            <w:tcBorders>
              <w:top w:val="nil"/>
              <w:left w:val="nil"/>
              <w:bottom w:val="single" w:sz="6" w:space="0" w:color="auto"/>
              <w:right w:val="nil"/>
            </w:tcBorders>
            <w:shd w:val="clear" w:color="000000" w:fill="FFFFFF"/>
          </w:tcPr>
          <w:p w:rsidR="00B958B1" w:rsidRPr="002B249A" w:rsidRDefault="00B958B1" w:rsidP="009F3B54">
            <w:pPr>
              <w:pStyle w:val="OGNotes"/>
            </w:pPr>
            <w:r w:rsidRPr="002B249A">
              <w:t>The 2011</w:t>
            </w:r>
            <w:r w:rsidR="009F0F49">
              <w:noBreakHyphen/>
            </w:r>
            <w:r w:rsidRPr="002B249A">
              <w:t xml:space="preserve">12 </w:t>
            </w:r>
            <w:r w:rsidRPr="003400B8">
              <w:t>Actual</w:t>
            </w:r>
            <w:r w:rsidRPr="002B249A">
              <w:t xml:space="preserve"> reported in the Department of Health’s Annual Report </w:t>
            </w:r>
            <w:r>
              <w:t xml:space="preserve">has been </w:t>
            </w:r>
            <w:r w:rsidRPr="002B249A">
              <w:t>updated to reflect final data</w:t>
            </w:r>
            <w:r>
              <w:t>.</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Standard Equivalent Value Units</w:t>
            </w:r>
          </w:p>
        </w:tc>
        <w:tc>
          <w:tcPr>
            <w:tcW w:w="907" w:type="dxa"/>
            <w:tcBorders>
              <w:top w:val="single" w:sz="6" w:space="0" w:color="auto"/>
              <w:left w:val="nil"/>
              <w:bottom w:val="single" w:sz="6" w:space="0" w:color="auto"/>
              <w:right w:val="nil"/>
            </w:tcBorders>
            <w:shd w:val="clear" w:color="000000" w:fill="FFFFFF"/>
            <w:hideMark/>
          </w:tcPr>
          <w:p w:rsidR="00B958B1" w:rsidRDefault="00B958B1" w:rsidP="009F3B54">
            <w:pPr>
              <w:pStyle w:val="OGUoM"/>
              <w:rPr>
                <w:color w:val="000000"/>
                <w:lang w:eastAsia="en-AU"/>
              </w:rPr>
            </w:pPr>
            <w:r w:rsidRPr="00A60844">
              <w:rPr>
                <w:color w:val="000000"/>
                <w:lang w:eastAsia="en-AU"/>
              </w:rPr>
              <w:t>Number</w:t>
            </w:r>
          </w:p>
          <w:p w:rsidR="00B958B1" w:rsidRPr="00A60844" w:rsidRDefault="00B958B1" w:rsidP="009F3B54">
            <w:pPr>
              <w:pStyle w:val="OGUoM"/>
              <w:rPr>
                <w:color w:val="000000"/>
                <w:lang w:eastAsia="en-AU"/>
              </w:rPr>
            </w:pPr>
            <w:r>
              <w:rPr>
                <w:color w:val="000000"/>
                <w:lang w:eastAsia="en-AU"/>
              </w:rPr>
              <w:t>(000)</w:t>
            </w:r>
          </w:p>
        </w:tc>
        <w:tc>
          <w:tcPr>
            <w:tcW w:w="907" w:type="dxa"/>
            <w:tcBorders>
              <w:top w:val="single" w:sz="6" w:space="0" w:color="auto"/>
              <w:left w:val="nil"/>
              <w:bottom w:val="single" w:sz="6" w:space="0" w:color="auto"/>
              <w:right w:val="nil"/>
            </w:tcBorders>
            <w:shd w:val="clear" w:color="auto" w:fill="D9D9D9"/>
            <w:hideMark/>
          </w:tcPr>
          <w:p w:rsidR="00B958B1" w:rsidRPr="00A60844" w:rsidRDefault="00B958B1" w:rsidP="009F3B54">
            <w:pPr>
              <w:pStyle w:val="OGTableofFigures"/>
              <w:rPr>
                <w:color w:val="000000"/>
                <w:lang w:eastAsia="en-AU"/>
              </w:rPr>
            </w:pPr>
            <w:r>
              <w:rPr>
                <w:color w:val="000000"/>
                <w:lang w:eastAsia="en-AU"/>
              </w:rPr>
              <w:t>1 413</w:t>
            </w:r>
          </w:p>
        </w:tc>
        <w:tc>
          <w:tcPr>
            <w:tcW w:w="993"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Pr>
                <w:color w:val="000000"/>
                <w:lang w:eastAsia="en-AU"/>
              </w:rPr>
              <w:t>1 413</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Pr>
                <w:color w:val="000000"/>
                <w:lang w:eastAsia="en-AU"/>
              </w:rPr>
              <w:t>1 413</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Pr>
                <w:color w:val="000000"/>
                <w:lang w:eastAsia="en-AU"/>
              </w:rPr>
              <w:t>1 461</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Quality</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Ratio of emergency to general courses of dental care</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ratio</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40:60</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40:60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40:60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40:60</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Timeliness</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Waiting time for dentures</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months</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22</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22</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22</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Pr>
                <w:color w:val="000000"/>
                <w:lang w:eastAsia="en-AU"/>
              </w:rPr>
              <w:t>na</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Waiting time for restorative dental care</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months</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23</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23</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23</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Pr>
                <w:color w:val="000000"/>
                <w:lang w:eastAsia="en-AU"/>
              </w:rPr>
              <w:t>na</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Cost</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output cost</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190.6</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187.3</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188.4</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179.1</w:t>
            </w:r>
          </w:p>
        </w:tc>
      </w:tr>
      <w:tr w:rsidR="00B958B1" w:rsidRPr="0063769A" w:rsidTr="009F3B54">
        <w:trPr>
          <w:cantSplit/>
        </w:trPr>
        <w:tc>
          <w:tcPr>
            <w:tcW w:w="7776" w:type="dxa"/>
            <w:gridSpan w:val="6"/>
            <w:tcBorders>
              <w:top w:val="nil"/>
              <w:left w:val="nil"/>
              <w:bottom w:val="single" w:sz="12" w:space="0" w:color="auto"/>
              <w:right w:val="nil"/>
            </w:tcBorders>
            <w:shd w:val="clear" w:color="auto" w:fill="auto"/>
            <w:vAlign w:val="bottom"/>
            <w:hideMark/>
          </w:tcPr>
          <w:p w:rsidR="00B958B1" w:rsidRPr="0063769A" w:rsidRDefault="00B958B1" w:rsidP="009F3B54">
            <w:pPr>
              <w:pStyle w:val="OGNotes"/>
              <w:rPr>
                <w:color w:val="000000"/>
              </w:rPr>
            </w:pPr>
            <w:r w:rsidRPr="0063769A">
              <w:t>The</w:t>
            </w:r>
            <w:r>
              <w:t xml:space="preserve"> higher</w:t>
            </w:r>
            <w:r w:rsidRPr="0063769A">
              <w:t xml:space="preserve"> 2013</w:t>
            </w:r>
            <w:r w:rsidR="009F0F49">
              <w:noBreakHyphen/>
            </w:r>
            <w:r w:rsidRPr="0063769A">
              <w:t>14 reflects the impact of an increase in carryover.</w:t>
            </w:r>
          </w:p>
        </w:tc>
      </w:tr>
    </w:tbl>
    <w:p w:rsidR="00B958B1" w:rsidRDefault="00B958B1" w:rsidP="009F3B54">
      <w:pPr>
        <w:pStyle w:val="Source"/>
      </w:pPr>
      <w:r>
        <w:t>Source: Department of</w:t>
      </w:r>
      <w:r w:rsidRPr="00981AA0">
        <w:t xml:space="preserve"> </w:t>
      </w:r>
      <w:r>
        <w:t>Health</w:t>
      </w:r>
    </w:p>
    <w:p w:rsidR="00B958B1" w:rsidRDefault="00B958B1" w:rsidP="009F3B54">
      <w:pPr>
        <w:pStyle w:val="Source"/>
      </w:pPr>
      <w:r>
        <w:fldChar w:fldCharType="begin"/>
      </w:r>
      <w:r>
        <w:instrText xml:space="preserve"> XE "</w:instrText>
      </w:r>
      <w:r w:rsidRPr="00E05B15">
        <w:instrText>Department of Health:Primary, Community and Dental Health</w:instrText>
      </w:r>
      <w:r>
        <w:instrText xml:space="preserve">" \r "BP3DHDentalHealth" </w:instrText>
      </w:r>
      <w:r>
        <w:fldChar w:fldCharType="end"/>
      </w:r>
    </w:p>
    <w:bookmarkEnd w:id="108"/>
    <w:p w:rsidR="00B958B1" w:rsidRPr="0063769A" w:rsidRDefault="00B958B1" w:rsidP="009F3B54">
      <w:pPr>
        <w:pStyle w:val="OGHeading1"/>
        <w:rPr>
          <w:lang w:eastAsia="en-AU"/>
        </w:rPr>
      </w:pPr>
      <w:r>
        <w:br w:type="page"/>
      </w:r>
      <w:bookmarkStart w:id="109" w:name="BP3DHRuralSvces"/>
      <w:r w:rsidRPr="0063769A">
        <w:rPr>
          <w:lang w:eastAsia="en-AU"/>
        </w:rPr>
        <w:t>Small Rural Services</w:t>
      </w:r>
    </w:p>
    <w:p w:rsidR="00B958B1" w:rsidRDefault="00B958B1" w:rsidP="009F3B54">
      <w:pPr>
        <w:pStyle w:val="OGText"/>
        <w:rPr>
          <w:lang w:eastAsia="en-AU"/>
        </w:rPr>
      </w:pPr>
      <w:r w:rsidRPr="0063769A">
        <w:rPr>
          <w:lang w:eastAsia="en-AU"/>
        </w:rPr>
        <w:t>Small Rural Services includes a range of health and aged care services delivered in small rural towns. The funding and service delivery approach focuses on achieving a sustainable, flexible service mix that is responsive to local needs. Service providers include small rural hospitals, community health services, bush nursing centres, multi</w:t>
      </w:r>
      <w:r w:rsidR="009F0F49">
        <w:rPr>
          <w:lang w:eastAsia="en-AU"/>
        </w:rPr>
        <w:noBreakHyphen/>
      </w:r>
      <w:r w:rsidRPr="0063769A">
        <w:rPr>
          <w:lang w:eastAsia="en-AU"/>
        </w:rPr>
        <w:t>purpose services and public sector residential aged care services. This output group contributes to the Department</w:t>
      </w:r>
      <w:r>
        <w:rPr>
          <w:lang w:eastAsia="en-AU"/>
        </w:rPr>
        <w:t>’</w:t>
      </w:r>
      <w:r w:rsidRPr="0063769A">
        <w:rPr>
          <w:lang w:eastAsia="en-AU"/>
        </w:rPr>
        <w:t>s priority of achieving the best health and wellbeing for all Victorians by developing service and system capacity.</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D32CA4" w:rsidTr="009F3B54">
        <w:trPr>
          <w:cantSplit/>
          <w:tblHeader/>
        </w:trPr>
        <w:tc>
          <w:tcPr>
            <w:tcW w:w="3155" w:type="dxa"/>
            <w:tcBorders>
              <w:top w:val="single" w:sz="4" w:space="0" w:color="auto"/>
              <w:left w:val="single" w:sz="4" w:space="0" w:color="auto"/>
              <w:bottom w:val="single" w:sz="4" w:space="0" w:color="auto"/>
              <w:right w:val="nil"/>
            </w:tcBorders>
            <w:shd w:val="clear" w:color="auto" w:fill="000000"/>
            <w:vAlign w:val="bottom"/>
          </w:tcPr>
          <w:p w:rsidR="00B958B1" w:rsidRPr="00D32CA4" w:rsidRDefault="00B958B1" w:rsidP="009F3B54">
            <w:pPr>
              <w:pStyle w:val="OGTabColLeft"/>
              <w:rPr>
                <w:i/>
              </w:rPr>
            </w:pPr>
            <w:r w:rsidRPr="00D32CA4">
              <w:t>Major Outputs/Deliverables</w:t>
            </w:r>
            <w:r w:rsidRPr="00D32CA4">
              <w:br/>
            </w:r>
            <w:r w:rsidRPr="0085011C">
              <w:rPr>
                <w:b w:val="0"/>
                <w:i/>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3"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63769A" w:rsidTr="009F3B54">
        <w:trPr>
          <w:cantSplit/>
        </w:trPr>
        <w:tc>
          <w:tcPr>
            <w:tcW w:w="7776" w:type="dxa"/>
            <w:gridSpan w:val="6"/>
            <w:tcBorders>
              <w:top w:val="nil"/>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Small Rural Services</w:t>
            </w:r>
            <w:r>
              <w:rPr>
                <w:lang w:eastAsia="en-AU"/>
              </w:rPr>
              <w:t xml:space="preserve"> – </w:t>
            </w:r>
            <w:r w:rsidRPr="0063769A">
              <w:rPr>
                <w:lang w:eastAsia="en-AU"/>
              </w:rPr>
              <w:t>Acute Health</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TabHead"/>
              <w:rPr>
                <w:lang w:eastAsia="en-AU"/>
              </w:rPr>
            </w:pPr>
            <w:r>
              <w:rPr>
                <w:lang w:eastAsia="en-AU"/>
              </w:rPr>
              <w:t>This output includes a</w:t>
            </w:r>
            <w:r w:rsidRPr="0063769A">
              <w:rPr>
                <w:lang w:eastAsia="en-AU"/>
              </w:rPr>
              <w:t>dmitted and non</w:t>
            </w:r>
            <w:r w:rsidR="009F0F49">
              <w:rPr>
                <w:lang w:eastAsia="en-AU"/>
              </w:rPr>
              <w:noBreakHyphen/>
            </w:r>
            <w:r w:rsidRPr="0063769A">
              <w:rPr>
                <w:lang w:eastAsia="en-AU"/>
              </w:rPr>
              <w:t>admitted services delivered by small rural health services, including elective and non</w:t>
            </w:r>
            <w:r w:rsidR="009F0F49">
              <w:rPr>
                <w:lang w:eastAsia="en-AU"/>
              </w:rPr>
              <w:noBreakHyphen/>
            </w:r>
            <w:r w:rsidRPr="0063769A">
              <w:rPr>
                <w:lang w:eastAsia="en-AU"/>
              </w:rPr>
              <w:t>elective surgical and medical care, accident and emergency services, and maternity services.</w:t>
            </w:r>
          </w:p>
        </w:tc>
      </w:tr>
      <w:tr w:rsidR="00B958B1" w:rsidRPr="00A60844" w:rsidTr="009F3B54">
        <w:trPr>
          <w:cantSplit/>
        </w:trPr>
        <w:tc>
          <w:tcPr>
            <w:tcW w:w="3155" w:type="dxa"/>
            <w:tcBorders>
              <w:top w:val="single" w:sz="6" w:space="0" w:color="auto"/>
              <w:left w:val="nil"/>
              <w:bottom w:val="nil"/>
              <w:right w:val="nil"/>
            </w:tcBorders>
            <w:shd w:val="clear" w:color="auto" w:fill="auto"/>
            <w:vAlign w:val="bottom"/>
            <w:hideMark/>
          </w:tcPr>
          <w:p w:rsidR="00B958B1" w:rsidRPr="00A60844" w:rsidRDefault="00B958B1" w:rsidP="009F3B54">
            <w:pPr>
              <w:pStyle w:val="OGTabHead"/>
              <w:rPr>
                <w:lang w:eastAsia="en-AU"/>
              </w:rPr>
            </w:pPr>
            <w:r w:rsidRPr="00A60844">
              <w:rPr>
                <w:bCs/>
                <w:iCs/>
                <w:color w:val="000000"/>
                <w:lang w:eastAsia="en-AU"/>
              </w:rPr>
              <w:t>Quantity</w:t>
            </w: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A60844"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r>
      <w:tr w:rsidR="00B958B1" w:rsidRPr="00A60844" w:rsidTr="009F3B54">
        <w:trPr>
          <w:cantSplit/>
        </w:trPr>
        <w:tc>
          <w:tcPr>
            <w:tcW w:w="3155" w:type="dxa"/>
            <w:tcBorders>
              <w:top w:val="nil"/>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Separations</w:t>
            </w:r>
          </w:p>
        </w:tc>
        <w:tc>
          <w:tcPr>
            <w:tcW w:w="907" w:type="dxa"/>
            <w:tcBorders>
              <w:top w:val="nil"/>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 (000)</w:t>
            </w:r>
          </w:p>
        </w:tc>
        <w:tc>
          <w:tcPr>
            <w:tcW w:w="907" w:type="dxa"/>
            <w:tcBorders>
              <w:top w:val="nil"/>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41.6</w:t>
            </w:r>
          </w:p>
        </w:tc>
        <w:tc>
          <w:tcPr>
            <w:tcW w:w="993"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39</w:t>
            </w:r>
            <w:r>
              <w:rPr>
                <w:color w:val="000000"/>
                <w:lang w:eastAsia="en-AU"/>
              </w:rPr>
              <w:t>.0</w:t>
            </w:r>
          </w:p>
        </w:tc>
        <w:tc>
          <w:tcPr>
            <w:tcW w:w="907"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41.6 (43.7)</w:t>
            </w:r>
          </w:p>
        </w:tc>
        <w:tc>
          <w:tcPr>
            <w:tcW w:w="907"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Pr>
                <w:color w:val="000000"/>
                <w:lang w:eastAsia="en-AU"/>
              </w:rPr>
              <w:t>na</w:t>
            </w:r>
            <w:r>
              <w:rPr>
                <w:color w:val="000000"/>
                <w:lang w:eastAsia="en-AU"/>
              </w:rPr>
              <w:br/>
              <w:t>(</w:t>
            </w:r>
            <w:r w:rsidRPr="00A60844">
              <w:rPr>
                <w:color w:val="000000"/>
                <w:lang w:eastAsia="en-AU"/>
              </w:rPr>
              <w:t>40.7</w:t>
            </w:r>
            <w:r>
              <w:rPr>
                <w:color w:val="000000"/>
                <w:lang w:eastAsia="en-AU"/>
              </w:rPr>
              <w:t>)</w:t>
            </w:r>
          </w:p>
        </w:tc>
      </w:tr>
      <w:tr w:rsidR="00B958B1" w:rsidRPr="00A60844" w:rsidTr="009F3B54">
        <w:trPr>
          <w:cantSplit/>
        </w:trPr>
        <w:tc>
          <w:tcPr>
            <w:tcW w:w="7776" w:type="dxa"/>
            <w:gridSpan w:val="6"/>
            <w:tcBorders>
              <w:top w:val="nil"/>
              <w:left w:val="nil"/>
              <w:right w:val="nil"/>
            </w:tcBorders>
            <w:shd w:val="clear" w:color="auto" w:fill="auto"/>
            <w:vAlign w:val="bottom"/>
            <w:hideMark/>
          </w:tcPr>
          <w:p w:rsidR="00B958B1" w:rsidRDefault="00B958B1" w:rsidP="009F3B54">
            <w:pPr>
              <w:pStyle w:val="OGNotes"/>
            </w:pPr>
            <w:r>
              <w:t xml:space="preserve">The </w:t>
            </w:r>
            <w:r w:rsidRPr="0063769A">
              <w:t>2012</w:t>
            </w:r>
            <w:r w:rsidR="009F0F49">
              <w:noBreakHyphen/>
            </w:r>
            <w:r w:rsidRPr="0063769A">
              <w:t>13 Target has been adjusted to account for the impact of changes to admission policy from 1 July 2012, as a result of national hospital funding reforms. These changes result in some hospital activity which was previously counted as admitted activity now being counted as non</w:t>
            </w:r>
            <w:r w:rsidR="009F0F49">
              <w:noBreakHyphen/>
            </w:r>
            <w:r w:rsidRPr="0063769A">
              <w:t xml:space="preserve">admitted activity. </w:t>
            </w:r>
          </w:p>
          <w:p w:rsidR="00B958B1" w:rsidRPr="0023126B" w:rsidRDefault="00B958B1" w:rsidP="009F3B54">
            <w:pPr>
              <w:pStyle w:val="OGNotes"/>
            </w:pPr>
            <w:r w:rsidRPr="00A60844">
              <w:t>The 2012</w:t>
            </w:r>
            <w:r w:rsidR="009F0F49">
              <w:noBreakHyphen/>
            </w:r>
            <w:r w:rsidRPr="00A60844">
              <w:t>13 Expected Outcome is lower than the</w:t>
            </w:r>
            <w:r>
              <w:t xml:space="preserve"> revised</w:t>
            </w:r>
            <w:r w:rsidRPr="00A60844">
              <w:t xml:space="preserve"> 2012</w:t>
            </w:r>
            <w:r w:rsidR="009F0F49">
              <w:noBreakHyphen/>
            </w:r>
            <w:r w:rsidRPr="00A60844">
              <w:t>13 Target because under the Small Rural Health Service funding and accountability approach, substitution of acute, aged and home care, primary health services and other services is encouraged in order to meet local needs. Agencies are able to move funds from unit</w:t>
            </w:r>
            <w:r w:rsidR="009F0F49">
              <w:noBreakHyphen/>
            </w:r>
            <w:r w:rsidRPr="00A60844">
              <w:t>priced services to non</w:t>
            </w:r>
            <w:r w:rsidR="009F0F49">
              <w:noBreakHyphen/>
            </w:r>
            <w:r w:rsidRPr="00A60844">
              <w:t>unit</w:t>
            </w:r>
            <w:r w:rsidR="009F0F49">
              <w:noBreakHyphen/>
            </w:r>
            <w:r w:rsidRPr="00A60844">
              <w:t>priced services both within the output and to other outputs under this flexible funding approach.</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Standard Equivalent Value Units</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 (000)</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1 298</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1 215</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1 298 (1 439)</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Pr>
                <w:color w:val="000000"/>
                <w:lang w:eastAsia="en-AU"/>
              </w:rPr>
              <w:t>na</w:t>
            </w:r>
            <w:r>
              <w:rPr>
                <w:color w:val="000000"/>
                <w:lang w:eastAsia="en-AU"/>
              </w:rPr>
              <w:br/>
              <w:t>(</w:t>
            </w:r>
            <w:r w:rsidRPr="00A60844">
              <w:rPr>
                <w:color w:val="000000"/>
                <w:lang w:eastAsia="en-AU"/>
              </w:rPr>
              <w:t>1 374</w:t>
            </w:r>
            <w:r>
              <w:rPr>
                <w:color w:val="000000"/>
                <w:lang w:eastAsia="en-AU"/>
              </w:rPr>
              <w:t>)</w:t>
            </w:r>
          </w:p>
        </w:tc>
      </w:tr>
      <w:tr w:rsidR="00B958B1" w:rsidRPr="00A60844" w:rsidTr="009F3B54">
        <w:trPr>
          <w:cantSplit/>
        </w:trPr>
        <w:tc>
          <w:tcPr>
            <w:tcW w:w="7776" w:type="dxa"/>
            <w:gridSpan w:val="6"/>
            <w:tcBorders>
              <w:top w:val="nil"/>
              <w:left w:val="nil"/>
              <w:right w:val="nil"/>
            </w:tcBorders>
            <w:shd w:val="clear" w:color="auto" w:fill="auto"/>
            <w:vAlign w:val="bottom"/>
            <w:hideMark/>
          </w:tcPr>
          <w:p w:rsidR="00B958B1" w:rsidRDefault="00B958B1" w:rsidP="009F3B54">
            <w:pPr>
              <w:pStyle w:val="OGNotes"/>
            </w:pPr>
            <w:r>
              <w:t xml:space="preserve">The </w:t>
            </w:r>
            <w:r w:rsidRPr="0063769A">
              <w:t>2012</w:t>
            </w:r>
            <w:r w:rsidR="009F0F49">
              <w:noBreakHyphen/>
            </w:r>
            <w:r w:rsidRPr="0063769A">
              <w:t>13 Target has been adjusted to account for the impact of changes to admission policy from 1 July 2012, as a result of national hospital funding reforms. These changes result in some hospital activity which was previously counted as admitted activity now being counted as non</w:t>
            </w:r>
            <w:r w:rsidR="009F0F49">
              <w:noBreakHyphen/>
            </w:r>
            <w:r w:rsidRPr="0063769A">
              <w:t>admitted activity.</w:t>
            </w:r>
          </w:p>
          <w:p w:rsidR="00B958B1" w:rsidRPr="00A60844" w:rsidRDefault="00B958B1" w:rsidP="009F3B54">
            <w:pPr>
              <w:pStyle w:val="OGNotes"/>
              <w:rPr>
                <w:color w:val="000000"/>
                <w:sz w:val="16"/>
                <w:szCs w:val="16"/>
              </w:rPr>
            </w:pPr>
            <w:r w:rsidRPr="00A60844">
              <w:t>The 2012</w:t>
            </w:r>
            <w:r w:rsidR="009F0F49">
              <w:noBreakHyphen/>
            </w:r>
            <w:r w:rsidRPr="00A60844">
              <w:t xml:space="preserve">13 Expected Outcome is lower than the </w:t>
            </w:r>
            <w:r>
              <w:t xml:space="preserve">revised </w:t>
            </w:r>
            <w:r w:rsidRPr="00A60844">
              <w:t>2012</w:t>
            </w:r>
            <w:r w:rsidR="009F0F49">
              <w:noBreakHyphen/>
            </w:r>
            <w:r w:rsidRPr="00A60844">
              <w:t>13 Target because under the Small Rural Health Service funding and accountability approach, substitution of acute, aged and home care, primary health services and other services is encouraged in order to meet local needs. Agencies are able to move funds from unit</w:t>
            </w:r>
            <w:r w:rsidR="009F0F49">
              <w:noBreakHyphen/>
            </w:r>
            <w:r w:rsidRPr="00A60844">
              <w:t>priced services to non</w:t>
            </w:r>
            <w:r w:rsidR="009F0F49">
              <w:noBreakHyphen/>
            </w:r>
            <w:r w:rsidRPr="00A60844">
              <w:t>unit</w:t>
            </w:r>
            <w:r w:rsidR="009F0F49">
              <w:noBreakHyphen/>
            </w:r>
            <w:r w:rsidRPr="00A60844">
              <w:t>priced services both within the output and to other outputs under this flexible funding approach.</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Weighted Inlier Equivalent Separations (WIES)</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 (000)</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25.7</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24.7</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25.7 (28.5)</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Pr>
                <w:color w:val="000000"/>
                <w:lang w:eastAsia="en-AU"/>
              </w:rPr>
              <w:t>na</w:t>
            </w:r>
            <w:r>
              <w:rPr>
                <w:color w:val="000000"/>
                <w:lang w:eastAsia="en-AU"/>
              </w:rPr>
              <w:br/>
              <w:t>(</w:t>
            </w:r>
            <w:r w:rsidRPr="00A60844">
              <w:rPr>
                <w:color w:val="000000"/>
                <w:lang w:eastAsia="en-AU"/>
              </w:rPr>
              <w:t>25.5</w:t>
            </w:r>
            <w:r>
              <w:rPr>
                <w:color w:val="000000"/>
                <w:lang w:eastAsia="en-AU"/>
              </w:rPr>
              <w:t>)</w:t>
            </w:r>
          </w:p>
        </w:tc>
      </w:tr>
      <w:tr w:rsidR="00B958B1" w:rsidRPr="00A60844"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t xml:space="preserve">The </w:t>
            </w:r>
            <w:r w:rsidRPr="0063769A">
              <w:t>2012</w:t>
            </w:r>
            <w:r w:rsidR="009F0F49">
              <w:noBreakHyphen/>
            </w:r>
            <w:r w:rsidRPr="0063769A">
              <w:t>13 Target has been adjusted to account for the impact of changes to admission policy from 1 July 2012, as a result of national hospital funding reforms. These changes result in some hospital activity which was previously counted as admitted activity now being counted as non</w:t>
            </w:r>
            <w:r w:rsidR="009F0F49">
              <w:noBreakHyphen/>
            </w:r>
            <w:r w:rsidRPr="0063769A">
              <w:t>admitted activity.</w:t>
            </w:r>
          </w:p>
          <w:p w:rsidR="00B958B1" w:rsidRDefault="00B958B1" w:rsidP="009F3B54">
            <w:pPr>
              <w:pStyle w:val="OGNotes"/>
            </w:pPr>
            <w:r w:rsidRPr="00A60844">
              <w:t>It is expected activity targets for hospital services will transition to be consistent with the IHPA pricing framework over time as agreed in the NHRA.</w:t>
            </w:r>
          </w:p>
          <w:p w:rsidR="00B958B1" w:rsidRPr="00A60844" w:rsidRDefault="00B958B1" w:rsidP="009F3B54">
            <w:pPr>
              <w:pStyle w:val="OGNotes"/>
              <w:rPr>
                <w:color w:val="000000"/>
                <w:sz w:val="16"/>
                <w:szCs w:val="16"/>
              </w:rPr>
            </w:pPr>
            <w:r w:rsidRPr="00A60844">
              <w:t>The 2012</w:t>
            </w:r>
            <w:r w:rsidR="009F0F49">
              <w:noBreakHyphen/>
            </w:r>
            <w:r w:rsidRPr="00A60844">
              <w:t>13 Expected Outcome is lower than the</w:t>
            </w:r>
            <w:r>
              <w:t xml:space="preserve"> revised</w:t>
            </w:r>
            <w:r w:rsidRPr="00A60844">
              <w:t xml:space="preserve"> 2012</w:t>
            </w:r>
            <w:r w:rsidR="009F0F49">
              <w:noBreakHyphen/>
            </w:r>
            <w:r w:rsidRPr="00A60844">
              <w:t>13 Target because under the Small Rural Health Service funding and accountability approach, substitution of acute, aged and home care, primary health services and other services is encouraged in order to meet local needs. Agencies are able to move funds from unit</w:t>
            </w:r>
            <w:r w:rsidR="009F0F49">
              <w:noBreakHyphen/>
            </w:r>
            <w:r w:rsidRPr="00A60844">
              <w:t>priced services to non</w:t>
            </w:r>
            <w:r w:rsidR="009F0F49">
              <w:noBreakHyphen/>
            </w:r>
            <w:r w:rsidRPr="00A60844">
              <w:t>unit</w:t>
            </w:r>
            <w:r w:rsidR="009F0F49">
              <w:noBreakHyphen/>
            </w:r>
            <w:r w:rsidRPr="00A60844">
              <w:t>priced services both within the output and to other outputs under this flexible funding approach.</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keepLines w:val="0"/>
              <w:rPr>
                <w:lang w:eastAsia="en-AU"/>
              </w:rPr>
            </w:pPr>
            <w:r w:rsidRPr="00D32CA4">
              <w:rPr>
                <w:bCs/>
                <w:iCs/>
                <w:color w:val="000000"/>
                <w:lang w:eastAsia="en-AU"/>
              </w:rPr>
              <w:t>Quality</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keepNext/>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keepNext/>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keepNext/>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keepNext/>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keepNext/>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keepNext/>
              <w:rPr>
                <w:color w:val="000000"/>
                <w:lang w:eastAsia="en-AU"/>
              </w:rPr>
            </w:pPr>
            <w:r w:rsidRPr="0063769A">
              <w:rPr>
                <w:color w:val="000000"/>
                <w:lang w:eastAsia="en-AU"/>
              </w:rPr>
              <w:t>Beds accredited</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keepNext/>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keepNext/>
              <w:rPr>
                <w:color w:val="000000"/>
                <w:lang w:eastAsia="en-AU"/>
              </w:rPr>
            </w:pPr>
            <w:r w:rsidRPr="0063769A">
              <w:rPr>
                <w:color w:val="000000"/>
                <w:lang w:eastAsia="en-AU"/>
              </w:rPr>
              <w:t>100</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keepNext/>
              <w:rPr>
                <w:color w:val="000000"/>
                <w:lang w:eastAsia="en-AU"/>
              </w:rPr>
            </w:pPr>
            <w:r w:rsidRPr="0063769A">
              <w:rPr>
                <w:color w:val="000000"/>
                <w:lang w:eastAsia="en-AU"/>
              </w:rPr>
              <w:t>100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keepNext/>
              <w:rPr>
                <w:color w:val="000000"/>
                <w:lang w:eastAsia="en-AU"/>
              </w:rPr>
            </w:pPr>
            <w:r w:rsidRPr="0063769A">
              <w:rPr>
                <w:color w:val="000000"/>
                <w:lang w:eastAsia="en-AU"/>
              </w:rPr>
              <w:t>100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keepNext/>
              <w:rPr>
                <w:color w:val="000000"/>
                <w:lang w:eastAsia="en-AU"/>
              </w:rPr>
            </w:pPr>
            <w:r w:rsidRPr="0063769A">
              <w:rPr>
                <w:color w:val="000000"/>
                <w:lang w:eastAsia="en-AU"/>
              </w:rPr>
              <w:t>100</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Cost</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output cost</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305.4</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298.9</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296.4</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292.2</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 xml:space="preserve">The </w:t>
            </w:r>
            <w:r>
              <w:t xml:space="preserve">higher </w:t>
            </w:r>
            <w:r w:rsidRPr="0063769A">
              <w:t>2013</w:t>
            </w:r>
            <w:r w:rsidR="009F0F49">
              <w:noBreakHyphen/>
            </w:r>
            <w:r w:rsidRPr="0063769A">
              <w:t xml:space="preserve">14 Target reflects funding for indexation, and an expected increase in </w:t>
            </w:r>
            <w:r>
              <w:t>third party revenue</w:t>
            </w:r>
            <w:r w:rsidRPr="0063769A">
              <w:t>.</w:t>
            </w:r>
          </w:p>
        </w:tc>
      </w:tr>
      <w:tr w:rsidR="00B958B1" w:rsidRPr="0063769A" w:rsidTr="009F3B54">
        <w:trPr>
          <w:cantSplit/>
        </w:trPr>
        <w:tc>
          <w:tcPr>
            <w:tcW w:w="7776" w:type="dxa"/>
            <w:gridSpan w:val="6"/>
            <w:tcBorders>
              <w:top w:val="nil"/>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Small Rural Services</w:t>
            </w:r>
            <w:r>
              <w:rPr>
                <w:lang w:eastAsia="en-AU"/>
              </w:rPr>
              <w:t xml:space="preserve"> – </w:t>
            </w:r>
            <w:r w:rsidRPr="0063769A">
              <w:rPr>
                <w:lang w:eastAsia="en-AU"/>
              </w:rPr>
              <w:t>Aged Care</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TabText"/>
              <w:rPr>
                <w:lang w:eastAsia="en-AU"/>
              </w:rPr>
            </w:pPr>
            <w:r w:rsidRPr="0063769A">
              <w:rPr>
                <w:lang w:eastAsia="en-AU"/>
              </w:rPr>
              <w:t>This output includes delivery of in</w:t>
            </w:r>
            <w:r w:rsidR="009F0F49">
              <w:rPr>
                <w:lang w:eastAsia="en-AU"/>
              </w:rPr>
              <w:noBreakHyphen/>
            </w:r>
            <w:r w:rsidRPr="0063769A">
              <w:rPr>
                <w:lang w:eastAsia="en-AU"/>
              </w:rPr>
              <w:t>home, community</w:t>
            </w:r>
            <w:r w:rsidR="009F0F49">
              <w:rPr>
                <w:lang w:eastAsia="en-AU"/>
              </w:rPr>
              <w:noBreakHyphen/>
            </w:r>
            <w:r w:rsidRPr="0063769A">
              <w:rPr>
                <w:lang w:eastAsia="en-AU"/>
              </w:rPr>
              <w:t>based and residential care services for older people, delivered in small rural towns.</w:t>
            </w:r>
          </w:p>
        </w:tc>
      </w:tr>
      <w:tr w:rsidR="00B958B1" w:rsidRPr="00A60844" w:rsidTr="009F3B54">
        <w:trPr>
          <w:cantSplit/>
        </w:trPr>
        <w:tc>
          <w:tcPr>
            <w:tcW w:w="3155" w:type="dxa"/>
            <w:tcBorders>
              <w:top w:val="single" w:sz="6" w:space="0" w:color="auto"/>
              <w:left w:val="nil"/>
              <w:bottom w:val="nil"/>
              <w:right w:val="nil"/>
            </w:tcBorders>
            <w:shd w:val="clear" w:color="auto" w:fill="auto"/>
            <w:vAlign w:val="bottom"/>
            <w:hideMark/>
          </w:tcPr>
          <w:p w:rsidR="00B958B1" w:rsidRPr="00A60844" w:rsidRDefault="00B958B1" w:rsidP="009F3B54">
            <w:pPr>
              <w:pStyle w:val="OGTabHead"/>
              <w:rPr>
                <w:lang w:eastAsia="en-AU"/>
              </w:rPr>
            </w:pPr>
            <w:r w:rsidRPr="00A60844">
              <w:rPr>
                <w:bCs/>
                <w:iCs/>
                <w:color w:val="000000"/>
                <w:lang w:eastAsia="en-AU"/>
              </w:rPr>
              <w:t>Quantity</w:t>
            </w: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A60844"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r>
      <w:tr w:rsidR="00B958B1" w:rsidRPr="00A60844" w:rsidTr="009F3B54">
        <w:trPr>
          <w:cantSplit/>
        </w:trPr>
        <w:tc>
          <w:tcPr>
            <w:tcW w:w="3155" w:type="dxa"/>
            <w:tcBorders>
              <w:top w:val="nil"/>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Bed days in high care places</w:t>
            </w:r>
          </w:p>
        </w:tc>
        <w:tc>
          <w:tcPr>
            <w:tcW w:w="907" w:type="dxa"/>
            <w:tcBorders>
              <w:top w:val="nil"/>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nil"/>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403 700</w:t>
            </w:r>
          </w:p>
        </w:tc>
        <w:tc>
          <w:tcPr>
            <w:tcW w:w="993"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403 700</w:t>
            </w:r>
          </w:p>
        </w:tc>
        <w:tc>
          <w:tcPr>
            <w:tcW w:w="907"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403 700</w:t>
            </w:r>
          </w:p>
        </w:tc>
        <w:tc>
          <w:tcPr>
            <w:tcW w:w="907"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384 124</w:t>
            </w:r>
          </w:p>
        </w:tc>
      </w:tr>
      <w:tr w:rsidR="00B958B1" w:rsidRPr="00A60844"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Bed days in low care places</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313 000</w:t>
            </w:r>
          </w:p>
        </w:tc>
        <w:tc>
          <w:tcPr>
            <w:tcW w:w="993"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313 000</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313 000</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305 751</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Standard Equivalent Value Units</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353 676</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353 676</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353 676</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214 429</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Quality</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Residential care services certified and accredited</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Cost</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output cost</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176.3</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173.3</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174.7</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176.8</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 xml:space="preserve">The </w:t>
            </w:r>
            <w:r>
              <w:t xml:space="preserve">higher </w:t>
            </w:r>
            <w:r w:rsidRPr="0063769A">
              <w:t>2013</w:t>
            </w:r>
            <w:r w:rsidR="009F0F49">
              <w:noBreakHyphen/>
            </w:r>
            <w:r w:rsidRPr="0063769A">
              <w:t xml:space="preserve">14 Target </w:t>
            </w:r>
            <w:r>
              <w:t>reflects funding for indexation</w:t>
            </w:r>
            <w:r w:rsidRPr="0063769A">
              <w:t xml:space="preserve"> and an expected increase in Commonwealth Government contributions.</w:t>
            </w:r>
          </w:p>
        </w:tc>
      </w:tr>
      <w:tr w:rsidR="00B958B1" w:rsidRPr="0063769A" w:rsidTr="009F3B54">
        <w:trPr>
          <w:cantSplit/>
        </w:trPr>
        <w:tc>
          <w:tcPr>
            <w:tcW w:w="7776" w:type="dxa"/>
            <w:gridSpan w:val="6"/>
            <w:tcBorders>
              <w:top w:val="nil"/>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Small Rural Services</w:t>
            </w:r>
            <w:r>
              <w:rPr>
                <w:lang w:eastAsia="en-AU"/>
              </w:rPr>
              <w:t xml:space="preserve"> – </w:t>
            </w:r>
            <w:r w:rsidRPr="0063769A">
              <w:rPr>
                <w:lang w:eastAsia="en-AU"/>
              </w:rPr>
              <w:t>Home and Community Care Services</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TabText"/>
              <w:rPr>
                <w:lang w:eastAsia="en-AU"/>
              </w:rPr>
            </w:pPr>
            <w:r w:rsidRPr="0063769A">
              <w:rPr>
                <w:lang w:eastAsia="en-AU"/>
              </w:rPr>
              <w:t>This output includes delivery of in</w:t>
            </w:r>
            <w:r w:rsidR="009F0F49">
              <w:rPr>
                <w:lang w:eastAsia="en-AU"/>
              </w:rPr>
              <w:noBreakHyphen/>
            </w:r>
            <w:r w:rsidRPr="0063769A">
              <w:rPr>
                <w:lang w:eastAsia="en-AU"/>
              </w:rPr>
              <w:t>home and community</w:t>
            </w:r>
            <w:r w:rsidR="009F0F49">
              <w:rPr>
                <w:lang w:eastAsia="en-AU"/>
              </w:rPr>
              <w:noBreakHyphen/>
            </w:r>
            <w:r w:rsidRPr="0063769A">
              <w:rPr>
                <w:lang w:eastAsia="en-AU"/>
              </w:rPr>
              <w:t>based care services for older people, delivered in small rural towns.</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Quantity</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Home and Community Care (HACC) service delivery hours</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number</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763</w:t>
            </w:r>
            <w:r>
              <w:rPr>
                <w:color w:val="000000"/>
                <w:lang w:eastAsia="en-AU"/>
              </w:rPr>
              <w:t> </w:t>
            </w:r>
            <w:r w:rsidRPr="0063769A">
              <w:rPr>
                <w:color w:val="000000"/>
                <w:lang w:eastAsia="en-AU"/>
              </w:rPr>
              <w:t>823</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735</w:t>
            </w:r>
            <w:r>
              <w:rPr>
                <w:color w:val="000000"/>
                <w:lang w:eastAsia="en-AU"/>
              </w:rPr>
              <w:t> </w:t>
            </w:r>
            <w:r w:rsidRPr="0063769A">
              <w:rPr>
                <w:color w:val="000000"/>
                <w:lang w:eastAsia="en-AU"/>
              </w:rPr>
              <w:t>000</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735</w:t>
            </w:r>
            <w:r>
              <w:rPr>
                <w:color w:val="000000"/>
                <w:lang w:eastAsia="en-AU"/>
              </w:rPr>
              <w:t> </w:t>
            </w:r>
            <w:r w:rsidRPr="0063769A">
              <w:rPr>
                <w:color w:val="000000"/>
                <w:lang w:eastAsia="en-AU"/>
              </w:rPr>
              <w:t>000</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716</w:t>
            </w:r>
            <w:r>
              <w:rPr>
                <w:color w:val="000000"/>
                <w:lang w:eastAsia="en-AU"/>
              </w:rPr>
              <w:t> </w:t>
            </w:r>
            <w:r w:rsidRPr="0063769A">
              <w:rPr>
                <w:color w:val="000000"/>
                <w:lang w:eastAsia="en-AU"/>
              </w:rPr>
              <w:t>656</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 xml:space="preserve">The </w:t>
            </w:r>
            <w:r>
              <w:t xml:space="preserve">higher </w:t>
            </w:r>
            <w:r w:rsidRPr="0063769A">
              <w:t>2013</w:t>
            </w:r>
            <w:r w:rsidR="009F0F49">
              <w:noBreakHyphen/>
            </w:r>
            <w:r w:rsidRPr="0063769A">
              <w:t xml:space="preserve">14 Target </w:t>
            </w:r>
            <w:r>
              <w:t xml:space="preserve">reflects </w:t>
            </w:r>
            <w:r w:rsidRPr="0063769A">
              <w:t xml:space="preserve">the impact of the additional funding provided in the </w:t>
            </w:r>
            <w:r w:rsidRPr="00FC468A">
              <w:rPr>
                <w:i w:val="0"/>
              </w:rPr>
              <w:t>2013</w:t>
            </w:r>
            <w:r w:rsidR="009F0F49">
              <w:rPr>
                <w:i w:val="0"/>
              </w:rPr>
              <w:noBreakHyphen/>
            </w:r>
            <w:r w:rsidRPr="00FC468A">
              <w:rPr>
                <w:i w:val="0"/>
              </w:rPr>
              <w:t>14 Budget</w:t>
            </w:r>
            <w:r w:rsidRPr="0063769A">
              <w:t>.</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Standard Equivalent Value (SEV) Units</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number</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340</w:t>
            </w:r>
            <w:r>
              <w:rPr>
                <w:color w:val="000000"/>
                <w:lang w:eastAsia="en-AU"/>
              </w:rPr>
              <w:t> </w:t>
            </w:r>
            <w:r w:rsidRPr="0063769A">
              <w:rPr>
                <w:color w:val="000000"/>
                <w:lang w:eastAsia="en-AU"/>
              </w:rPr>
              <w:t>426</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324</w:t>
            </w:r>
            <w:r>
              <w:rPr>
                <w:color w:val="000000"/>
                <w:lang w:eastAsia="en-AU"/>
              </w:rPr>
              <w:t> </w:t>
            </w:r>
            <w:r w:rsidRPr="0063769A">
              <w:rPr>
                <w:color w:val="000000"/>
                <w:lang w:eastAsia="en-AU"/>
              </w:rPr>
              <w:t>000</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324</w:t>
            </w:r>
            <w:r>
              <w:rPr>
                <w:color w:val="000000"/>
                <w:lang w:eastAsia="en-AU"/>
              </w:rPr>
              <w:t> </w:t>
            </w:r>
            <w:r w:rsidRPr="0063769A">
              <w:rPr>
                <w:color w:val="000000"/>
                <w:lang w:eastAsia="en-AU"/>
              </w:rPr>
              <w:t>000</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316</w:t>
            </w:r>
            <w:r>
              <w:rPr>
                <w:color w:val="000000"/>
                <w:lang w:eastAsia="en-AU"/>
              </w:rPr>
              <w:t> </w:t>
            </w:r>
            <w:r w:rsidRPr="0063769A">
              <w:rPr>
                <w:color w:val="000000"/>
                <w:lang w:eastAsia="en-AU"/>
              </w:rPr>
              <w:t>741</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 xml:space="preserve">The </w:t>
            </w:r>
            <w:r w:rsidRPr="003400B8">
              <w:t>higher</w:t>
            </w:r>
            <w:r>
              <w:t xml:space="preserve"> </w:t>
            </w:r>
            <w:r w:rsidRPr="0063769A">
              <w:t>2013</w:t>
            </w:r>
            <w:r w:rsidR="009F0F49">
              <w:noBreakHyphen/>
            </w:r>
            <w:r w:rsidRPr="0063769A">
              <w:t xml:space="preserve">14 Target </w:t>
            </w:r>
            <w:r>
              <w:t xml:space="preserve">reflects </w:t>
            </w:r>
            <w:r w:rsidRPr="0063769A">
              <w:t xml:space="preserve">the impact of the additional funding provided in the </w:t>
            </w:r>
            <w:r w:rsidRPr="00FC468A">
              <w:rPr>
                <w:i w:val="0"/>
              </w:rPr>
              <w:t>2013</w:t>
            </w:r>
            <w:r w:rsidR="009F0F49">
              <w:rPr>
                <w:i w:val="0"/>
              </w:rPr>
              <w:noBreakHyphen/>
            </w:r>
            <w:r w:rsidRPr="00FC468A">
              <w:rPr>
                <w:i w:val="0"/>
              </w:rPr>
              <w:t>14 Budget</w:t>
            </w:r>
            <w:r w:rsidRPr="0063769A">
              <w:t>.</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Cost</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output cost</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35.2</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34.8</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30.9</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31.9</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 xml:space="preserve">The </w:t>
            </w:r>
            <w:r>
              <w:t>2012</w:t>
            </w:r>
            <w:r w:rsidR="009F0F49">
              <w:noBreakHyphen/>
            </w:r>
            <w:r>
              <w:t xml:space="preserve">13 Expected Outcome and </w:t>
            </w:r>
            <w:r w:rsidRPr="0063769A">
              <w:t>2013</w:t>
            </w:r>
            <w:r w:rsidR="009F0F49">
              <w:noBreakHyphen/>
            </w:r>
            <w:r w:rsidRPr="0063769A">
              <w:t>14 Target</w:t>
            </w:r>
            <w:r>
              <w:t xml:space="preserve"> are higher than the 2012</w:t>
            </w:r>
            <w:r w:rsidR="009F0F49">
              <w:noBreakHyphen/>
            </w:r>
            <w:r>
              <w:t>13</w:t>
            </w:r>
            <w:r w:rsidRPr="0063769A">
              <w:t xml:space="preserve"> Target</w:t>
            </w:r>
            <w:r>
              <w:t xml:space="preserve"> due to</w:t>
            </w:r>
            <w:r w:rsidRPr="0063769A">
              <w:t xml:space="preserve"> </w:t>
            </w:r>
            <w:r>
              <w:t>additional growth in funding and indexation</w:t>
            </w:r>
            <w:r w:rsidRPr="0063769A">
              <w:t>.</w:t>
            </w:r>
          </w:p>
        </w:tc>
      </w:tr>
      <w:tr w:rsidR="00B958B1" w:rsidRPr="0063769A" w:rsidTr="009F3B54">
        <w:trPr>
          <w:cantSplit/>
        </w:trPr>
        <w:tc>
          <w:tcPr>
            <w:tcW w:w="7776" w:type="dxa"/>
            <w:gridSpan w:val="6"/>
            <w:tcBorders>
              <w:top w:val="nil"/>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Small Rural Services</w:t>
            </w:r>
            <w:r>
              <w:rPr>
                <w:lang w:eastAsia="en-AU"/>
              </w:rPr>
              <w:t xml:space="preserve"> – </w:t>
            </w:r>
            <w:r w:rsidRPr="0063769A">
              <w:rPr>
                <w:lang w:eastAsia="en-AU"/>
              </w:rPr>
              <w:t>Primary Health</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TabText"/>
              <w:rPr>
                <w:lang w:eastAsia="en-AU"/>
              </w:rPr>
            </w:pPr>
            <w:r w:rsidRPr="0063769A">
              <w:rPr>
                <w:lang w:eastAsia="en-AU"/>
              </w:rPr>
              <w:t>This output includes delivery of in</w:t>
            </w:r>
            <w:r w:rsidR="009F0F49">
              <w:rPr>
                <w:lang w:eastAsia="en-AU"/>
              </w:rPr>
              <w:noBreakHyphen/>
            </w:r>
            <w:r w:rsidRPr="0063769A">
              <w:rPr>
                <w:lang w:eastAsia="en-AU"/>
              </w:rPr>
              <w:t>home, community</w:t>
            </w:r>
            <w:r w:rsidR="009F0F49">
              <w:rPr>
                <w:lang w:eastAsia="en-AU"/>
              </w:rPr>
              <w:noBreakHyphen/>
            </w:r>
            <w:r w:rsidRPr="0063769A">
              <w:rPr>
                <w:lang w:eastAsia="en-AU"/>
              </w:rPr>
              <w:t>based, community and primary health services delivered by small rural services designed to promote health and wellbeing and prevent the onset of more serious illness.</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Quantity</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Service delivery hours in community health care</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number</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100</w:t>
            </w:r>
            <w:r>
              <w:rPr>
                <w:color w:val="000000"/>
                <w:lang w:eastAsia="en-AU"/>
              </w:rPr>
              <w:t> </w:t>
            </w:r>
            <w:r w:rsidRPr="0063769A">
              <w:rPr>
                <w:color w:val="000000"/>
                <w:lang w:eastAsia="en-AU"/>
              </w:rPr>
              <w:t>700</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r>
              <w:rPr>
                <w:color w:val="000000"/>
                <w:lang w:eastAsia="en-AU"/>
              </w:rPr>
              <w:t> </w:t>
            </w:r>
            <w:r w:rsidRPr="0063769A">
              <w:rPr>
                <w:color w:val="000000"/>
                <w:lang w:eastAsia="en-AU"/>
              </w:rPr>
              <w:t>700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r>
              <w:rPr>
                <w:color w:val="000000"/>
                <w:lang w:eastAsia="en-AU"/>
              </w:rPr>
              <w:t> </w:t>
            </w:r>
            <w:r w:rsidRPr="0063769A">
              <w:rPr>
                <w:color w:val="000000"/>
                <w:lang w:eastAsia="en-AU"/>
              </w:rPr>
              <w:t>700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r>
              <w:rPr>
                <w:color w:val="000000"/>
                <w:lang w:eastAsia="en-AU"/>
              </w:rPr>
              <w:t> </w:t>
            </w:r>
            <w:r w:rsidRPr="0063769A">
              <w:rPr>
                <w:color w:val="000000"/>
                <w:lang w:eastAsia="en-AU"/>
              </w:rPr>
              <w:t>700</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Standard Equivalent Value Units</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105</w:t>
            </w:r>
            <w:r>
              <w:rPr>
                <w:color w:val="000000"/>
                <w:lang w:eastAsia="en-AU"/>
              </w:rPr>
              <w:t> </w:t>
            </w:r>
            <w:r w:rsidRPr="0063769A">
              <w:rPr>
                <w:color w:val="000000"/>
                <w:lang w:eastAsia="en-AU"/>
              </w:rPr>
              <w:t>470</w:t>
            </w:r>
          </w:p>
        </w:tc>
        <w:tc>
          <w:tcPr>
            <w:tcW w:w="993"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105</w:t>
            </w:r>
            <w:r>
              <w:rPr>
                <w:color w:val="000000"/>
                <w:lang w:eastAsia="en-AU"/>
              </w:rPr>
              <w:t> </w:t>
            </w:r>
            <w:r w:rsidRPr="0063769A">
              <w:rPr>
                <w:color w:val="000000"/>
                <w:lang w:eastAsia="en-AU"/>
              </w:rPr>
              <w:t>470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105</w:t>
            </w:r>
            <w:r>
              <w:rPr>
                <w:color w:val="000000"/>
                <w:lang w:eastAsia="en-AU"/>
              </w:rPr>
              <w:t> </w:t>
            </w:r>
            <w:r w:rsidRPr="0063769A">
              <w:rPr>
                <w:color w:val="000000"/>
                <w:lang w:eastAsia="en-AU"/>
              </w:rPr>
              <w:t>470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105</w:t>
            </w:r>
            <w:r>
              <w:rPr>
                <w:color w:val="000000"/>
                <w:lang w:eastAsia="en-AU"/>
              </w:rPr>
              <w:t> </w:t>
            </w:r>
            <w:r w:rsidRPr="0063769A">
              <w:rPr>
                <w:color w:val="000000"/>
                <w:lang w:eastAsia="en-AU"/>
              </w:rPr>
              <w:t>470</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Cost</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output cost</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17</w:t>
            </w:r>
            <w:r>
              <w:rPr>
                <w:color w:val="000000"/>
                <w:lang w:eastAsia="en-AU"/>
              </w:rPr>
              <w:t>.0</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16.8</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16.6</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16.3</w:t>
            </w:r>
          </w:p>
        </w:tc>
      </w:tr>
      <w:tr w:rsidR="00B958B1" w:rsidRPr="0063769A" w:rsidTr="009F3B54">
        <w:trPr>
          <w:cantSplit/>
        </w:trPr>
        <w:tc>
          <w:tcPr>
            <w:tcW w:w="7776" w:type="dxa"/>
            <w:gridSpan w:val="6"/>
            <w:tcBorders>
              <w:top w:val="nil"/>
              <w:left w:val="nil"/>
              <w:bottom w:val="single" w:sz="12"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The</w:t>
            </w:r>
            <w:r>
              <w:t xml:space="preserve"> higher</w:t>
            </w:r>
            <w:r w:rsidRPr="0063769A">
              <w:t xml:space="preserve"> 2013</w:t>
            </w:r>
            <w:r w:rsidR="009F0F49">
              <w:noBreakHyphen/>
            </w:r>
            <w:r w:rsidRPr="0063769A">
              <w:t>14 Target reflects funding for indexation and revised estimates for depreciation.</w:t>
            </w:r>
          </w:p>
        </w:tc>
      </w:tr>
    </w:tbl>
    <w:p w:rsidR="00B958B1" w:rsidRDefault="00B958B1" w:rsidP="009F3B54">
      <w:pPr>
        <w:pStyle w:val="Source"/>
      </w:pPr>
      <w:r>
        <w:t>Source: Department of</w:t>
      </w:r>
      <w:r w:rsidRPr="00981AA0">
        <w:t xml:space="preserve"> </w:t>
      </w:r>
      <w:r>
        <w:t>Health</w:t>
      </w:r>
    </w:p>
    <w:p w:rsidR="00B958B1" w:rsidRDefault="00B958B1" w:rsidP="009F3B54">
      <w:pPr>
        <w:pStyle w:val="Source"/>
      </w:pPr>
      <w:r>
        <w:fldChar w:fldCharType="begin"/>
      </w:r>
      <w:r>
        <w:instrText xml:space="preserve"> XE "</w:instrText>
      </w:r>
      <w:r w:rsidRPr="00CB55C6">
        <w:instrText>Department of Health:Small Rural Services</w:instrText>
      </w:r>
      <w:r>
        <w:instrText xml:space="preserve">" \r "BP3DHRuralSvces" </w:instrText>
      </w:r>
      <w:r>
        <w:fldChar w:fldCharType="end"/>
      </w:r>
    </w:p>
    <w:bookmarkEnd w:id="109"/>
    <w:p w:rsidR="00B958B1" w:rsidRDefault="00B958B1" w:rsidP="009F3B54">
      <w:pPr>
        <w:pStyle w:val="OGText"/>
      </w:pPr>
    </w:p>
    <w:p w:rsidR="00B958B1" w:rsidRPr="0063769A" w:rsidRDefault="00B958B1" w:rsidP="009F3B54">
      <w:pPr>
        <w:pStyle w:val="OGHeading1"/>
        <w:rPr>
          <w:lang w:eastAsia="en-AU"/>
        </w:rPr>
      </w:pPr>
      <w:r>
        <w:br w:type="page"/>
      </w:r>
      <w:bookmarkStart w:id="110" w:name="BP3DHPublicHealth"/>
      <w:r w:rsidRPr="0063769A">
        <w:rPr>
          <w:lang w:eastAsia="en-AU"/>
        </w:rPr>
        <w:t xml:space="preserve">Public Health </w:t>
      </w:r>
    </w:p>
    <w:p w:rsidR="00B958B1" w:rsidRDefault="00B958B1" w:rsidP="009F3B54">
      <w:pPr>
        <w:pStyle w:val="OGText"/>
        <w:rPr>
          <w:lang w:eastAsia="en-AU"/>
        </w:rPr>
      </w:pPr>
      <w:r w:rsidRPr="0063769A">
        <w:rPr>
          <w:lang w:eastAsia="en-AU"/>
        </w:rPr>
        <w:t>Public Health outputs provide leadership, services and support which promote and protect the health and wellbeing of all Victorians in partnership with key stakeholders and communities. This output group contributes to the Department</w:t>
      </w:r>
      <w:r>
        <w:rPr>
          <w:lang w:eastAsia="en-AU"/>
        </w:rPr>
        <w:t>’</w:t>
      </w:r>
      <w:r w:rsidRPr="0063769A">
        <w:rPr>
          <w:lang w:eastAsia="en-AU"/>
        </w:rPr>
        <w:t xml:space="preserve">s priority of achieving the best health and wellbeing for all Victorians through driving improvement and innovation and increased accountability and transparency. </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D32CA4" w:rsidTr="009F3B54">
        <w:trPr>
          <w:cantSplit/>
          <w:tblHeader/>
        </w:trPr>
        <w:tc>
          <w:tcPr>
            <w:tcW w:w="3155" w:type="dxa"/>
            <w:tcBorders>
              <w:top w:val="single" w:sz="4" w:space="0" w:color="auto"/>
              <w:left w:val="single" w:sz="4" w:space="0" w:color="auto"/>
              <w:bottom w:val="single" w:sz="4" w:space="0" w:color="auto"/>
              <w:right w:val="nil"/>
            </w:tcBorders>
            <w:shd w:val="clear" w:color="auto" w:fill="000000"/>
            <w:vAlign w:val="bottom"/>
          </w:tcPr>
          <w:p w:rsidR="00B958B1" w:rsidRPr="00D32CA4" w:rsidRDefault="00B958B1" w:rsidP="009F3B54">
            <w:pPr>
              <w:pStyle w:val="OGTabColLeft"/>
              <w:rPr>
                <w:i/>
              </w:rPr>
            </w:pPr>
            <w:r w:rsidRPr="00D32CA4">
              <w:t>Major Outputs/Deliverables</w:t>
            </w:r>
            <w:r w:rsidRPr="00D32CA4">
              <w:br/>
            </w:r>
            <w:r w:rsidRPr="0085011C">
              <w:rPr>
                <w:b w:val="0"/>
                <w:i/>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3"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63769A" w:rsidTr="009F3B54">
        <w:trPr>
          <w:cantSplit/>
        </w:trPr>
        <w:tc>
          <w:tcPr>
            <w:tcW w:w="7776" w:type="dxa"/>
            <w:gridSpan w:val="6"/>
            <w:tcBorders>
              <w:top w:val="nil"/>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Health Protection</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TabText"/>
              <w:rPr>
                <w:lang w:eastAsia="en-AU"/>
              </w:rPr>
            </w:pPr>
            <w:r>
              <w:rPr>
                <w:lang w:eastAsia="en-AU"/>
              </w:rPr>
              <w:t>This output contributes to protecting</w:t>
            </w:r>
            <w:r w:rsidRPr="0063769A">
              <w:rPr>
                <w:lang w:eastAsia="en-AU"/>
              </w:rPr>
              <w:t xml:space="preserve"> the health of Victorians through a range of prevention programs including regulation, surveillance and the provision of statutory services.</w:t>
            </w:r>
          </w:p>
        </w:tc>
      </w:tr>
      <w:tr w:rsidR="00B958B1" w:rsidRPr="00A60844" w:rsidTr="009F3B54">
        <w:trPr>
          <w:cantSplit/>
        </w:trPr>
        <w:tc>
          <w:tcPr>
            <w:tcW w:w="3155" w:type="dxa"/>
            <w:tcBorders>
              <w:top w:val="single" w:sz="6" w:space="0" w:color="auto"/>
              <w:left w:val="nil"/>
              <w:bottom w:val="nil"/>
              <w:right w:val="nil"/>
            </w:tcBorders>
            <w:shd w:val="clear" w:color="auto" w:fill="auto"/>
            <w:vAlign w:val="bottom"/>
            <w:hideMark/>
          </w:tcPr>
          <w:p w:rsidR="00B958B1" w:rsidRPr="00A60844" w:rsidRDefault="00B958B1" w:rsidP="009F3B54">
            <w:pPr>
              <w:pStyle w:val="OGTabHead"/>
              <w:rPr>
                <w:lang w:eastAsia="en-AU"/>
              </w:rPr>
            </w:pPr>
            <w:r w:rsidRPr="00A60844">
              <w:rPr>
                <w:bCs/>
                <w:iCs/>
                <w:color w:val="000000"/>
                <w:lang w:eastAsia="en-AU"/>
              </w:rPr>
              <w:t>Quantity</w:t>
            </w: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A60844"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Calls to food safety hotlines</w:t>
            </w:r>
          </w:p>
        </w:tc>
        <w:tc>
          <w:tcPr>
            <w:tcW w:w="907" w:type="dxa"/>
            <w:tcBorders>
              <w:top w:val="nil"/>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nil"/>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4 500</w:t>
            </w:r>
          </w:p>
        </w:tc>
        <w:tc>
          <w:tcPr>
            <w:tcW w:w="993"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4 150</w:t>
            </w:r>
          </w:p>
        </w:tc>
        <w:tc>
          <w:tcPr>
            <w:tcW w:w="907"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4 500</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A60844">
              <w:rPr>
                <w:color w:val="000000"/>
                <w:lang w:eastAsia="en-AU"/>
              </w:rPr>
              <w:t>4 309</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The 2012</w:t>
            </w:r>
            <w:r w:rsidR="009F0F49">
              <w:noBreakHyphen/>
            </w:r>
            <w:r w:rsidRPr="0063769A">
              <w:t>13 Expected Outcome is lower than the 2012</w:t>
            </w:r>
            <w:r w:rsidR="009F0F49">
              <w:noBreakHyphen/>
            </w:r>
            <w:r w:rsidRPr="0063769A">
              <w:t xml:space="preserve">13 Target due to the introduction of </w:t>
            </w:r>
            <w:r w:rsidRPr="00AA427D">
              <w:t>Streatrader to support single registration of temporary and mobile food businesses, which has led to a reduction i</w:t>
            </w:r>
            <w:r w:rsidRPr="0063769A">
              <w:t>n the number of calls to the Food Safety Hotline.</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Inspections of cooling towers</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1 000</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1 250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1 000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1 470</w:t>
            </w:r>
          </w:p>
        </w:tc>
      </w:tr>
      <w:tr w:rsidR="00B958B1" w:rsidRPr="00A60844"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A60844" w:rsidRDefault="00B958B1" w:rsidP="009F3B54">
            <w:pPr>
              <w:pStyle w:val="OGNotes"/>
              <w:rPr>
                <w:color w:val="000000"/>
                <w:sz w:val="16"/>
                <w:szCs w:val="16"/>
              </w:rPr>
            </w:pPr>
            <w:r w:rsidRPr="00A60844">
              <w:t>The 2012</w:t>
            </w:r>
            <w:r w:rsidR="009F0F49">
              <w:noBreakHyphen/>
            </w:r>
            <w:r w:rsidRPr="00A60844">
              <w:t>13 Expected Outcome is higher than the 2012</w:t>
            </w:r>
            <w:r w:rsidR="009F0F49">
              <w:noBreakHyphen/>
            </w:r>
            <w:r w:rsidRPr="00A60844">
              <w:t>13 Target due to a combination of factors including increasing the average number of cooling towers per site</w:t>
            </w:r>
            <w:r>
              <w:t xml:space="preserve"> and</w:t>
            </w:r>
            <w:r w:rsidRPr="00A60844">
              <w:t xml:space="preserve"> an increase in number of repeat inspections</w:t>
            </w:r>
            <w:r>
              <w:t>.</w:t>
            </w:r>
            <w:r w:rsidRPr="00A60844">
              <w:t xml:space="preserve"> </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Inspections of radiation safety management licences</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Pr>
                <w:color w:val="000000"/>
                <w:lang w:eastAsia="en-AU"/>
              </w:rPr>
              <w:t>480</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480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700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878</w:t>
            </w:r>
          </w:p>
        </w:tc>
      </w:tr>
      <w:tr w:rsidR="00B958B1" w:rsidRPr="00A60844"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A60844">
              <w:t>The 2012</w:t>
            </w:r>
            <w:r w:rsidR="009F0F49">
              <w:noBreakHyphen/>
            </w:r>
            <w:r w:rsidRPr="00A60844">
              <w:t>13 Expected Outcome is lower than the 2012</w:t>
            </w:r>
            <w:r w:rsidR="009F0F49">
              <w:noBreakHyphen/>
            </w:r>
            <w:r w:rsidRPr="00A60844">
              <w:t xml:space="preserve">13 Target due to a combination of factors including a change in inspection methodology </w:t>
            </w:r>
            <w:r>
              <w:t xml:space="preserve">to reflect best practice </w:t>
            </w:r>
            <w:r w:rsidRPr="00A60844">
              <w:t>resulting in fewer but more comprehensive inspections</w:t>
            </w:r>
            <w:r>
              <w:t>.</w:t>
            </w:r>
            <w:r w:rsidRPr="00A60844">
              <w:t xml:space="preserve"> </w:t>
            </w:r>
          </w:p>
          <w:p w:rsidR="00B958B1" w:rsidRPr="00A60844" w:rsidRDefault="00B958B1" w:rsidP="009F3B54">
            <w:pPr>
              <w:pStyle w:val="OGNotes"/>
              <w:rPr>
                <w:color w:val="000000"/>
                <w:sz w:val="16"/>
                <w:szCs w:val="16"/>
              </w:rPr>
            </w:pPr>
            <w:r>
              <w:t>The lower 2013</w:t>
            </w:r>
            <w:r w:rsidR="009F0F49">
              <w:noBreakHyphen/>
            </w:r>
            <w:r>
              <w:t>14 Target reflects best practice.</w:t>
            </w:r>
          </w:p>
        </w:tc>
      </w:tr>
      <w:tr w:rsidR="00B958B1" w:rsidRPr="00A60844"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Persons screened for prevention and early detection of health conditions</w:t>
            </w:r>
            <w:r>
              <w:rPr>
                <w:color w:val="000000"/>
                <w:lang w:eastAsia="en-AU"/>
              </w:rPr>
              <w:t xml:space="preserve"> – </w:t>
            </w:r>
            <w:r w:rsidRPr="00A60844">
              <w:rPr>
                <w:color w:val="000000"/>
                <w:lang w:eastAsia="en-AU"/>
              </w:rPr>
              <w:t>breast cancer screening</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215 000</w:t>
            </w:r>
          </w:p>
        </w:tc>
        <w:tc>
          <w:tcPr>
            <w:tcW w:w="993"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213 500</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215 000</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206 178</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Persons screened for prevention and early detection of health conditions</w:t>
            </w:r>
            <w:r>
              <w:rPr>
                <w:color w:val="000000"/>
                <w:lang w:eastAsia="en-AU"/>
              </w:rPr>
              <w:t xml:space="preserve"> – </w:t>
            </w:r>
            <w:r w:rsidRPr="00A60844">
              <w:rPr>
                <w:color w:val="000000"/>
                <w:lang w:eastAsia="en-AU"/>
              </w:rPr>
              <w:t>cervical cancer screening</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550 700</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590 000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550 700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585 585</w:t>
            </w:r>
          </w:p>
        </w:tc>
      </w:tr>
      <w:tr w:rsidR="00B958B1" w:rsidRPr="00A60844"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A60844" w:rsidRDefault="00B958B1" w:rsidP="009F3B54">
            <w:pPr>
              <w:pStyle w:val="OGNotes"/>
              <w:rPr>
                <w:color w:val="000000"/>
                <w:sz w:val="16"/>
                <w:szCs w:val="16"/>
              </w:rPr>
            </w:pPr>
            <w:r w:rsidRPr="00A60844">
              <w:t>The 2012</w:t>
            </w:r>
            <w:r w:rsidR="009F0F49">
              <w:noBreakHyphen/>
            </w:r>
            <w:r w:rsidRPr="00A60844">
              <w:t>13 Expected Outcome is higher than the 2012</w:t>
            </w:r>
            <w:r w:rsidR="009F0F49">
              <w:noBreakHyphen/>
            </w:r>
            <w:r w:rsidRPr="00A60844">
              <w:t>13 Target due to several factors including an increase in tests following the Peace of Mind TV campaign, an increase in overdue women returning for tests following the second rem</w:t>
            </w:r>
            <w:r>
              <w:t>inder letter pilot and an increase in</w:t>
            </w:r>
            <w:r w:rsidRPr="00A60844">
              <w:t xml:space="preserve"> demand due to population growth.</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Persons screened for prevention and early detection of health conditions</w:t>
            </w:r>
            <w:r>
              <w:rPr>
                <w:color w:val="000000"/>
                <w:lang w:eastAsia="en-AU"/>
              </w:rPr>
              <w:t xml:space="preserve"> – </w:t>
            </w:r>
            <w:r w:rsidRPr="00A60844">
              <w:rPr>
                <w:color w:val="000000"/>
                <w:lang w:eastAsia="en-AU"/>
              </w:rPr>
              <w:t>newborn and maternal serum screening</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77 851</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80 000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77 851</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77 788</w:t>
            </w:r>
          </w:p>
        </w:tc>
      </w:tr>
      <w:tr w:rsidR="00B958B1" w:rsidRPr="00A60844"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A60844" w:rsidRDefault="00B958B1" w:rsidP="009F3B54">
            <w:pPr>
              <w:pStyle w:val="OGNotes"/>
              <w:rPr>
                <w:color w:val="000000"/>
                <w:sz w:val="16"/>
                <w:szCs w:val="16"/>
              </w:rPr>
            </w:pPr>
            <w:r w:rsidRPr="00A60844">
              <w:t>The 2012</w:t>
            </w:r>
            <w:r w:rsidR="009F0F49">
              <w:noBreakHyphen/>
            </w:r>
            <w:r w:rsidRPr="00A60844">
              <w:t>13 Expected Outcome is higher than the 2012</w:t>
            </w:r>
            <w:r w:rsidR="009F0F49">
              <w:noBreakHyphen/>
            </w:r>
            <w:r w:rsidRPr="00A60844">
              <w:t>13 Target due to an increase in the Victorian birth rate compared to previous years.</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Persons screened for prevention and early detection of health conditions</w:t>
            </w:r>
            <w:r>
              <w:rPr>
                <w:color w:val="000000"/>
                <w:lang w:eastAsia="en-AU"/>
              </w:rPr>
              <w:t xml:space="preserve"> – </w:t>
            </w:r>
            <w:r w:rsidRPr="00A60844">
              <w:rPr>
                <w:color w:val="000000"/>
                <w:lang w:eastAsia="en-AU"/>
              </w:rPr>
              <w:t>pulmonary tuberculosis (TB) screening</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2 500</w:t>
            </w:r>
          </w:p>
        </w:tc>
        <w:tc>
          <w:tcPr>
            <w:tcW w:w="993"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2 500</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2 500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A60844">
              <w:rPr>
                <w:color w:val="000000"/>
                <w:lang w:eastAsia="en-AU"/>
              </w:rPr>
              <w:t>1 876</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Quality</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Calls to food safety hotlines that are answered</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96</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99</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96</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99</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Immunisation coverage: Adolescent (Year 10) students fully immunised for DTPa (diptheria, tetanus and pertussis)</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80</w:t>
            </w:r>
          </w:p>
        </w:tc>
        <w:tc>
          <w:tcPr>
            <w:tcW w:w="993"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83</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Immunisation coverage: At 65+ years of age (influenza)</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80</w:t>
            </w:r>
          </w:p>
        </w:tc>
        <w:tc>
          <w:tcPr>
            <w:tcW w:w="993"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75</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Immunisation coverage: At school entry</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90</w:t>
            </w:r>
          </w:p>
        </w:tc>
        <w:tc>
          <w:tcPr>
            <w:tcW w:w="993"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91</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91</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Immunisation coverage: At two years of age</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92</w:t>
            </w:r>
          </w:p>
        </w:tc>
        <w:tc>
          <w:tcPr>
            <w:tcW w:w="993"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93</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92</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93</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Public Health emergency response calls dealt with within designated plans and procedure timelines</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93"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Timeliness</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Average time taken from notification of a food complaint to commencement of appropriate action</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hours</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24</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24</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24</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24</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Infectious disease outbreaks responded to within 24 hours</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93"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Target population screened within specified timeframe for breast cancer</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54</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55</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54</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54</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Target population screened within specified timeframe for cervical cancer</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63</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60</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63</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63</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The 2012</w:t>
            </w:r>
            <w:r w:rsidR="009F0F49">
              <w:noBreakHyphen/>
            </w:r>
            <w:r w:rsidRPr="0063769A">
              <w:t>13 Expected Outcome was lower than the 2012</w:t>
            </w:r>
            <w:r w:rsidR="009F0F49">
              <w:noBreakHyphen/>
            </w:r>
            <w:r w:rsidRPr="0063769A">
              <w:t>13 Target due to a national downward trend in cervical screening rates. However, Victoria maintained the highest rate of all jurisdictions at 60.3</w:t>
            </w:r>
            <w:r>
              <w:t> per cent</w:t>
            </w:r>
            <w:r w:rsidRPr="0063769A">
              <w:t xml:space="preserve">, </w:t>
            </w:r>
            <w:r>
              <w:t>above the national rate of 57 per cent</w:t>
            </w:r>
            <w:r w:rsidRPr="0063769A">
              <w:t>.</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Cost</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keepNext/>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keepNext/>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keepNext/>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keepNext/>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keepNext/>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keepNext/>
              <w:rPr>
                <w:color w:val="000000"/>
                <w:lang w:eastAsia="en-AU"/>
              </w:rPr>
            </w:pPr>
            <w:r w:rsidRPr="0063769A">
              <w:rPr>
                <w:color w:val="000000"/>
                <w:lang w:eastAsia="en-AU"/>
              </w:rPr>
              <w:t>Total output cost</w:t>
            </w:r>
          </w:p>
        </w:tc>
        <w:tc>
          <w:tcPr>
            <w:tcW w:w="907" w:type="dxa"/>
            <w:tcBorders>
              <w:top w:val="nil"/>
              <w:left w:val="nil"/>
              <w:right w:val="nil"/>
            </w:tcBorders>
            <w:shd w:val="clear" w:color="000000" w:fill="FFFFFF"/>
            <w:hideMark/>
          </w:tcPr>
          <w:p w:rsidR="00B958B1" w:rsidRPr="0063769A" w:rsidRDefault="00B958B1" w:rsidP="009F3B54">
            <w:pPr>
              <w:pStyle w:val="OGUoM"/>
              <w:keepNext/>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keepNext/>
              <w:rPr>
                <w:color w:val="000000"/>
                <w:lang w:eastAsia="en-AU"/>
              </w:rPr>
            </w:pPr>
            <w:r w:rsidRPr="0063769A">
              <w:rPr>
                <w:color w:val="000000"/>
                <w:lang w:eastAsia="en-AU"/>
              </w:rPr>
              <w:t>229.6</w:t>
            </w:r>
          </w:p>
        </w:tc>
        <w:tc>
          <w:tcPr>
            <w:tcW w:w="993" w:type="dxa"/>
            <w:tcBorders>
              <w:top w:val="nil"/>
              <w:left w:val="nil"/>
              <w:right w:val="nil"/>
            </w:tcBorders>
            <w:shd w:val="clear" w:color="000000" w:fill="FFFFFF"/>
            <w:hideMark/>
          </w:tcPr>
          <w:p w:rsidR="00B958B1" w:rsidRPr="0063769A" w:rsidRDefault="00B958B1" w:rsidP="009F3B54">
            <w:pPr>
              <w:pStyle w:val="OGTableofFigures"/>
              <w:keepNext/>
              <w:rPr>
                <w:color w:val="000000"/>
                <w:lang w:eastAsia="en-AU"/>
              </w:rPr>
            </w:pPr>
            <w:r w:rsidRPr="0063769A">
              <w:rPr>
                <w:color w:val="000000"/>
                <w:lang w:eastAsia="en-AU"/>
              </w:rPr>
              <w:t>228.6</w:t>
            </w:r>
          </w:p>
        </w:tc>
        <w:tc>
          <w:tcPr>
            <w:tcW w:w="907" w:type="dxa"/>
            <w:tcBorders>
              <w:top w:val="nil"/>
              <w:left w:val="nil"/>
              <w:right w:val="nil"/>
            </w:tcBorders>
            <w:shd w:val="clear" w:color="000000" w:fill="FFFFFF"/>
            <w:hideMark/>
          </w:tcPr>
          <w:p w:rsidR="00B958B1" w:rsidRPr="0063769A" w:rsidRDefault="00B958B1" w:rsidP="009F3B54">
            <w:pPr>
              <w:pStyle w:val="OGTableofFigures"/>
              <w:keepNext/>
              <w:rPr>
                <w:color w:val="000000"/>
                <w:lang w:eastAsia="en-AU"/>
              </w:rPr>
            </w:pPr>
            <w:r w:rsidRPr="0063769A">
              <w:rPr>
                <w:color w:val="000000"/>
                <w:lang w:eastAsia="en-AU"/>
              </w:rPr>
              <w:t>230.3</w:t>
            </w:r>
          </w:p>
        </w:tc>
        <w:tc>
          <w:tcPr>
            <w:tcW w:w="907" w:type="dxa"/>
            <w:tcBorders>
              <w:top w:val="nil"/>
              <w:left w:val="nil"/>
              <w:right w:val="nil"/>
            </w:tcBorders>
            <w:shd w:val="clear" w:color="000000" w:fill="FFFFFF"/>
            <w:hideMark/>
          </w:tcPr>
          <w:p w:rsidR="00B958B1" w:rsidRPr="0063769A" w:rsidRDefault="00B958B1" w:rsidP="009F3B54">
            <w:pPr>
              <w:pStyle w:val="OGTableofFigures"/>
              <w:keepNext/>
              <w:rPr>
                <w:color w:val="000000"/>
                <w:lang w:eastAsia="en-AU"/>
              </w:rPr>
            </w:pPr>
            <w:r w:rsidRPr="0063769A">
              <w:rPr>
                <w:color w:val="000000"/>
                <w:lang w:eastAsia="en-AU"/>
              </w:rPr>
              <w:t>231.6</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 xml:space="preserve">The </w:t>
            </w:r>
            <w:r>
              <w:t xml:space="preserve">lower </w:t>
            </w:r>
            <w:r w:rsidRPr="0063769A">
              <w:t>2013</w:t>
            </w:r>
            <w:r w:rsidR="009F0F49">
              <w:noBreakHyphen/>
            </w:r>
            <w:r w:rsidRPr="0063769A">
              <w:t>14 Target reflects changes associated with the direct purchase of the Human Papilloma Virus vaccine by the Commonwealth</w:t>
            </w:r>
            <w:r>
              <w:t xml:space="preserve">. </w:t>
            </w:r>
          </w:p>
        </w:tc>
      </w:tr>
      <w:tr w:rsidR="00B958B1" w:rsidRPr="0063769A" w:rsidTr="009F3B54">
        <w:trPr>
          <w:cantSplit/>
        </w:trPr>
        <w:tc>
          <w:tcPr>
            <w:tcW w:w="7776" w:type="dxa"/>
            <w:gridSpan w:val="6"/>
            <w:tcBorders>
              <w:top w:val="nil"/>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Health Advancement</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TabText"/>
              <w:rPr>
                <w:lang w:eastAsia="en-AU"/>
              </w:rPr>
            </w:pPr>
            <w:r>
              <w:rPr>
                <w:lang w:eastAsia="en-AU"/>
              </w:rPr>
              <w:t>This output aims to i</w:t>
            </w:r>
            <w:r w:rsidRPr="0063769A">
              <w:rPr>
                <w:lang w:eastAsia="en-AU"/>
              </w:rPr>
              <w:t>mprove the general health and wellbeing of Victorians through a range of health promotion programs including the provision of community information</w:t>
            </w:r>
            <w:r>
              <w:rPr>
                <w:lang w:eastAsia="en-AU"/>
              </w:rPr>
              <w:t xml:space="preserve"> </w:t>
            </w:r>
            <w:r w:rsidRPr="0063769A">
              <w:rPr>
                <w:lang w:eastAsia="en-AU"/>
              </w:rPr>
              <w:t>and the fostering of health behaviours.</w:t>
            </w:r>
          </w:p>
        </w:tc>
      </w:tr>
      <w:tr w:rsidR="00B958B1" w:rsidRPr="00A60844" w:rsidTr="009F3B54">
        <w:trPr>
          <w:cantSplit/>
        </w:trPr>
        <w:tc>
          <w:tcPr>
            <w:tcW w:w="3155" w:type="dxa"/>
            <w:tcBorders>
              <w:top w:val="single" w:sz="6" w:space="0" w:color="auto"/>
              <w:left w:val="nil"/>
              <w:right w:val="nil"/>
            </w:tcBorders>
            <w:shd w:val="clear" w:color="auto" w:fill="auto"/>
            <w:vAlign w:val="bottom"/>
            <w:hideMark/>
          </w:tcPr>
          <w:p w:rsidR="00B958B1" w:rsidRPr="00A60844" w:rsidRDefault="00B958B1" w:rsidP="009F3B54">
            <w:pPr>
              <w:pStyle w:val="OGTabHead"/>
              <w:rPr>
                <w:lang w:eastAsia="en-AU"/>
              </w:rPr>
            </w:pPr>
            <w:r w:rsidRPr="00A60844">
              <w:rPr>
                <w:bCs/>
                <w:iCs/>
                <w:color w:val="000000"/>
                <w:lang w:eastAsia="en-AU"/>
              </w:rPr>
              <w:t>Quantity</w:t>
            </w:r>
          </w:p>
        </w:tc>
        <w:tc>
          <w:tcPr>
            <w:tcW w:w="907" w:type="dxa"/>
            <w:tcBorders>
              <w:top w:val="single" w:sz="6" w:space="0" w:color="auto"/>
              <w:left w:val="nil"/>
              <w:right w:val="nil"/>
            </w:tcBorders>
            <w:shd w:val="clear" w:color="auto" w:fill="auto"/>
            <w:noWrap/>
            <w:vAlign w:val="bottom"/>
            <w:hideMark/>
          </w:tcPr>
          <w:p w:rsidR="00B958B1" w:rsidRPr="00A60844"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A60844"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r>
      <w:tr w:rsidR="00B958B1" w:rsidRPr="00A60844" w:rsidTr="009F3B54">
        <w:trPr>
          <w:cantSplit/>
        </w:trPr>
        <w:tc>
          <w:tcPr>
            <w:tcW w:w="3155" w:type="dxa"/>
            <w:tcBorders>
              <w:top w:val="nil"/>
              <w:left w:val="nil"/>
              <w:bottom w:val="single" w:sz="6" w:space="0" w:color="auto"/>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Persons completing the Life!</w:t>
            </w:r>
            <w:r>
              <w:rPr>
                <w:color w:val="000000"/>
                <w:lang w:eastAsia="en-AU"/>
              </w:rPr>
              <w:t xml:space="preserve"> – </w:t>
            </w:r>
            <w:r w:rsidRPr="00A60844">
              <w:rPr>
                <w:color w:val="000000"/>
                <w:lang w:eastAsia="en-AU"/>
              </w:rPr>
              <w:t>Diabetes and Cardiovascular Disease Prevention program</w:t>
            </w:r>
          </w:p>
        </w:tc>
        <w:tc>
          <w:tcPr>
            <w:tcW w:w="907" w:type="dxa"/>
            <w:tcBorders>
              <w:top w:val="nil"/>
              <w:left w:val="nil"/>
              <w:bottom w:val="single" w:sz="6" w:space="0" w:color="auto"/>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nil"/>
              <w:left w:val="nil"/>
              <w:bottom w:val="single" w:sz="6" w:space="0" w:color="auto"/>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5 616</w:t>
            </w:r>
          </w:p>
        </w:tc>
        <w:tc>
          <w:tcPr>
            <w:tcW w:w="993" w:type="dxa"/>
            <w:tcBorders>
              <w:top w:val="nil"/>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5 616</w:t>
            </w:r>
          </w:p>
        </w:tc>
        <w:tc>
          <w:tcPr>
            <w:tcW w:w="907" w:type="dxa"/>
            <w:tcBorders>
              <w:top w:val="nil"/>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5 616</w:t>
            </w:r>
          </w:p>
        </w:tc>
        <w:tc>
          <w:tcPr>
            <w:tcW w:w="907" w:type="dxa"/>
            <w:tcBorders>
              <w:top w:val="nil"/>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nm</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Workplaces and pubs and clubs complying with smoke free environment laws</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99</w:t>
            </w:r>
          </w:p>
        </w:tc>
        <w:tc>
          <w:tcPr>
            <w:tcW w:w="993"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99</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99</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A60844">
              <w:rPr>
                <w:color w:val="000000"/>
                <w:lang w:eastAsia="en-AU"/>
              </w:rPr>
              <w:t>99</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Quality</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Local Government Authorities with Municipal Public Health and Wellbeing Plans</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95</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96</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95</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96</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Cost</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output cost</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82.5</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82.6</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105.5</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72.7</w:t>
            </w:r>
          </w:p>
        </w:tc>
      </w:tr>
      <w:tr w:rsidR="00B958B1" w:rsidRPr="0063769A" w:rsidTr="009F3B54">
        <w:trPr>
          <w:cantSplit/>
        </w:trPr>
        <w:tc>
          <w:tcPr>
            <w:tcW w:w="7776" w:type="dxa"/>
            <w:gridSpan w:val="6"/>
            <w:tcBorders>
              <w:top w:val="nil"/>
              <w:left w:val="nil"/>
              <w:right w:val="nil"/>
            </w:tcBorders>
            <w:shd w:val="clear" w:color="auto" w:fill="auto"/>
            <w:vAlign w:val="bottom"/>
            <w:hideMark/>
          </w:tcPr>
          <w:p w:rsidR="00B958B1" w:rsidRPr="0063769A" w:rsidRDefault="00B958B1" w:rsidP="009F3B54">
            <w:pPr>
              <w:pStyle w:val="OGNotes"/>
              <w:rPr>
                <w:color w:val="000000"/>
                <w:sz w:val="16"/>
                <w:szCs w:val="16"/>
              </w:rPr>
            </w:pPr>
          </w:p>
        </w:tc>
      </w:tr>
      <w:tr w:rsidR="00B958B1" w:rsidRPr="0063769A" w:rsidTr="009F3B54">
        <w:trPr>
          <w:cantSplit/>
        </w:trPr>
        <w:tc>
          <w:tcPr>
            <w:tcW w:w="7776" w:type="dxa"/>
            <w:gridSpan w:val="6"/>
            <w:tcBorders>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The 2012</w:t>
            </w:r>
            <w:r w:rsidR="009F0F49">
              <w:noBreakHyphen/>
            </w:r>
            <w:r w:rsidRPr="0063769A">
              <w:t>13 Expected Outcome</w:t>
            </w:r>
            <w:r>
              <w:t xml:space="preserve"> and the 2013</w:t>
            </w:r>
            <w:r w:rsidR="009F0F49">
              <w:noBreakHyphen/>
            </w:r>
            <w:r>
              <w:t>14 Target are</w:t>
            </w:r>
            <w:r w:rsidRPr="0063769A">
              <w:t xml:space="preserve"> lower than the 2012</w:t>
            </w:r>
            <w:r w:rsidR="009F0F49">
              <w:noBreakHyphen/>
            </w:r>
            <w:r>
              <w:t>13 Target as they reflect</w:t>
            </w:r>
            <w:r w:rsidRPr="0063769A">
              <w:t xml:space="preserve"> a revision to the </w:t>
            </w:r>
            <w:r>
              <w:t>phasing</w:t>
            </w:r>
            <w:r w:rsidRPr="0063769A">
              <w:t xml:space="preserve"> of funding under the National Partnership Agreement on Preventive Health.</w:t>
            </w:r>
          </w:p>
        </w:tc>
      </w:tr>
      <w:tr w:rsidR="00B958B1" w:rsidRPr="0063769A" w:rsidTr="009F3B54">
        <w:trPr>
          <w:cantSplit/>
        </w:trPr>
        <w:tc>
          <w:tcPr>
            <w:tcW w:w="7776" w:type="dxa"/>
            <w:gridSpan w:val="6"/>
            <w:tcBorders>
              <w:top w:val="nil"/>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Public Health Development, Research and Support</w:t>
            </w:r>
          </w:p>
        </w:tc>
      </w:tr>
      <w:tr w:rsidR="00B958B1" w:rsidRPr="0063769A"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63769A" w:rsidRDefault="00B958B1" w:rsidP="009F3B54">
            <w:pPr>
              <w:pStyle w:val="OGTabText"/>
              <w:rPr>
                <w:lang w:eastAsia="en-AU"/>
              </w:rPr>
            </w:pPr>
            <w:r>
              <w:rPr>
                <w:lang w:eastAsia="en-AU"/>
              </w:rPr>
              <w:t>This output d</w:t>
            </w:r>
            <w:r w:rsidRPr="0063769A">
              <w:rPr>
                <w:lang w:eastAsia="en-AU"/>
              </w:rPr>
              <w:t>evelops and advocates for research and development activities, which support evidence</w:t>
            </w:r>
            <w:r w:rsidR="009F0F49">
              <w:rPr>
                <w:lang w:eastAsia="en-AU"/>
              </w:rPr>
              <w:noBreakHyphen/>
            </w:r>
            <w:r w:rsidRPr="0063769A">
              <w:rPr>
                <w:lang w:eastAsia="en-AU"/>
              </w:rPr>
              <w:t>based public health policies.</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Quantity</w:t>
            </w: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Number of people trained in emergency response</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number</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2</w:t>
            </w:r>
            <w:r>
              <w:rPr>
                <w:color w:val="000000"/>
                <w:lang w:eastAsia="en-AU"/>
              </w:rPr>
              <w:t> </w:t>
            </w:r>
            <w:r w:rsidRPr="0063769A">
              <w:rPr>
                <w:color w:val="000000"/>
                <w:lang w:eastAsia="en-AU"/>
              </w:rPr>
              <w:t>000</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w:t>
            </w:r>
            <w:r>
              <w:rPr>
                <w:color w:val="000000"/>
                <w:lang w:eastAsia="en-AU"/>
              </w:rPr>
              <w:t> </w:t>
            </w:r>
            <w:r w:rsidRPr="0063769A">
              <w:rPr>
                <w:color w:val="000000"/>
                <w:lang w:eastAsia="en-AU"/>
              </w:rPr>
              <w:t>000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w:t>
            </w:r>
            <w:r>
              <w:rPr>
                <w:color w:val="000000"/>
                <w:lang w:eastAsia="en-AU"/>
              </w:rPr>
              <w:t> </w:t>
            </w:r>
            <w:r w:rsidRPr="0063769A">
              <w:rPr>
                <w:color w:val="000000"/>
                <w:lang w:eastAsia="en-AU"/>
              </w:rPr>
              <w:t>000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w:t>
            </w:r>
            <w:r>
              <w:rPr>
                <w:color w:val="000000"/>
                <w:lang w:eastAsia="en-AU"/>
              </w:rPr>
              <w:t> </w:t>
            </w:r>
            <w:r w:rsidRPr="0063769A">
              <w:rPr>
                <w:color w:val="000000"/>
                <w:lang w:eastAsia="en-AU"/>
              </w:rPr>
              <w:t>000</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Cost</w:t>
            </w: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output cost</w:t>
            </w:r>
          </w:p>
        </w:tc>
        <w:tc>
          <w:tcPr>
            <w:tcW w:w="907" w:type="dxa"/>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7.2</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8.3</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5.6</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10.3</w:t>
            </w:r>
          </w:p>
        </w:tc>
      </w:tr>
      <w:tr w:rsidR="00B958B1" w:rsidRPr="0063769A" w:rsidTr="009F3B54">
        <w:trPr>
          <w:cantSplit/>
        </w:trPr>
        <w:tc>
          <w:tcPr>
            <w:tcW w:w="7776" w:type="dxa"/>
            <w:gridSpan w:val="6"/>
            <w:tcBorders>
              <w:left w:val="nil"/>
              <w:bottom w:val="single" w:sz="12" w:space="0" w:color="auto"/>
              <w:right w:val="nil"/>
            </w:tcBorders>
            <w:shd w:val="clear" w:color="auto" w:fill="auto"/>
            <w:vAlign w:val="bottom"/>
            <w:hideMark/>
          </w:tcPr>
          <w:p w:rsidR="00B958B1" w:rsidRDefault="00B958B1" w:rsidP="009F3B54">
            <w:pPr>
              <w:pStyle w:val="OGNotes"/>
            </w:pPr>
            <w:r w:rsidRPr="0063769A">
              <w:t>The 2012</w:t>
            </w:r>
            <w:r w:rsidR="009F0F49">
              <w:noBreakHyphen/>
            </w:r>
            <w:r w:rsidRPr="0063769A">
              <w:t>13 Expected Outcome is higher than the 2012</w:t>
            </w:r>
            <w:r w:rsidR="009F0F49">
              <w:noBreakHyphen/>
            </w:r>
            <w:r w:rsidRPr="0063769A">
              <w:t xml:space="preserve">13 Target </w:t>
            </w:r>
            <w:r>
              <w:t>due to</w:t>
            </w:r>
            <w:r w:rsidRPr="0063769A">
              <w:t xml:space="preserve"> increased revenue for the Streamlining Ethical Review program.</w:t>
            </w:r>
            <w:r>
              <w:t xml:space="preserve"> </w:t>
            </w:r>
          </w:p>
          <w:p w:rsidR="00B958B1" w:rsidRPr="0063769A" w:rsidRDefault="00B958B1" w:rsidP="009F3B54">
            <w:pPr>
              <w:pStyle w:val="OGNotes"/>
              <w:rPr>
                <w:color w:val="000000"/>
                <w:sz w:val="16"/>
                <w:szCs w:val="16"/>
              </w:rPr>
            </w:pPr>
            <w:r w:rsidRPr="0063769A">
              <w:t xml:space="preserve">The </w:t>
            </w:r>
            <w:r>
              <w:t xml:space="preserve">higher </w:t>
            </w:r>
            <w:r w:rsidRPr="0063769A">
              <w:t>2013</w:t>
            </w:r>
            <w:r w:rsidR="009F0F49">
              <w:noBreakHyphen/>
            </w:r>
            <w:r>
              <w:t xml:space="preserve">14 Target </w:t>
            </w:r>
            <w:r w:rsidRPr="0063769A">
              <w:t>reflects the impact of indexation.</w:t>
            </w:r>
          </w:p>
        </w:tc>
      </w:tr>
    </w:tbl>
    <w:p w:rsidR="00B958B1" w:rsidRDefault="00B958B1" w:rsidP="009F3B54">
      <w:pPr>
        <w:pStyle w:val="Source"/>
      </w:pPr>
      <w:r>
        <w:t>Source: Department of</w:t>
      </w:r>
      <w:r w:rsidRPr="00981AA0">
        <w:t xml:space="preserve"> </w:t>
      </w:r>
      <w:r>
        <w:t>Health</w:t>
      </w:r>
    </w:p>
    <w:p w:rsidR="00B958B1" w:rsidRDefault="00B958B1" w:rsidP="009F3B54">
      <w:pPr>
        <w:pStyle w:val="Source"/>
      </w:pPr>
      <w:r>
        <w:fldChar w:fldCharType="begin"/>
      </w:r>
      <w:r>
        <w:instrText xml:space="preserve"> XE "</w:instrText>
      </w:r>
      <w:r w:rsidRPr="00D93A14">
        <w:instrText>Department of Health:Public Health</w:instrText>
      </w:r>
      <w:r>
        <w:instrText xml:space="preserve">" \r "BP3DHPublicHealth" </w:instrText>
      </w:r>
      <w:r>
        <w:fldChar w:fldCharType="end"/>
      </w:r>
    </w:p>
    <w:bookmarkEnd w:id="110"/>
    <w:p w:rsidR="00B958B1" w:rsidRPr="0063769A" w:rsidRDefault="00B958B1" w:rsidP="009F3B54">
      <w:pPr>
        <w:pStyle w:val="OGHeading1"/>
        <w:rPr>
          <w:lang w:eastAsia="en-AU"/>
        </w:rPr>
      </w:pPr>
      <w:r>
        <w:br w:type="page"/>
      </w:r>
      <w:bookmarkStart w:id="111" w:name="BP3DHDrugSvces"/>
      <w:r w:rsidRPr="0063769A">
        <w:rPr>
          <w:lang w:eastAsia="en-AU"/>
        </w:rPr>
        <w:t>Drug Services</w:t>
      </w:r>
    </w:p>
    <w:p w:rsidR="00B958B1" w:rsidRDefault="00B958B1" w:rsidP="009F3B54">
      <w:pPr>
        <w:pStyle w:val="OGText"/>
        <w:rPr>
          <w:lang w:eastAsia="en-AU"/>
        </w:rPr>
      </w:pPr>
      <w:r w:rsidRPr="0063769A">
        <w:rPr>
          <w:lang w:eastAsia="en-AU"/>
        </w:rPr>
        <w:t>Drug Services outputs provide programs to promote and protect the health and wellbeing of all Victorians by reducing death, disease and social harm caused by the use and misuse of licit and illicit drugs. This output group contributes to the Department</w:t>
      </w:r>
      <w:r>
        <w:rPr>
          <w:lang w:eastAsia="en-AU"/>
        </w:rPr>
        <w:t>’</w:t>
      </w:r>
      <w:r w:rsidRPr="0063769A">
        <w:rPr>
          <w:lang w:eastAsia="en-AU"/>
        </w:rPr>
        <w:t>s priority of achieving the best health and wellbeing for all Victorians through reform to mental health and drug and alcohol services to meet client needs.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120"/>
        <w:gridCol w:w="787"/>
        <w:gridCol w:w="907"/>
        <w:gridCol w:w="993"/>
        <w:gridCol w:w="907"/>
        <w:gridCol w:w="907"/>
      </w:tblGrid>
      <w:tr w:rsidR="00B958B1" w:rsidRPr="00D32CA4" w:rsidTr="009F3B54">
        <w:trPr>
          <w:cantSplit/>
          <w:tblHeader/>
        </w:trPr>
        <w:tc>
          <w:tcPr>
            <w:tcW w:w="3155" w:type="dxa"/>
            <w:tcBorders>
              <w:top w:val="single" w:sz="4" w:space="0" w:color="auto"/>
              <w:left w:val="single" w:sz="4" w:space="0" w:color="auto"/>
              <w:bottom w:val="single" w:sz="4" w:space="0" w:color="auto"/>
              <w:right w:val="nil"/>
            </w:tcBorders>
            <w:shd w:val="clear" w:color="auto" w:fill="000000"/>
            <w:vAlign w:val="bottom"/>
          </w:tcPr>
          <w:p w:rsidR="00B958B1" w:rsidRPr="00D32CA4" w:rsidRDefault="00B958B1" w:rsidP="009F3B54">
            <w:pPr>
              <w:pStyle w:val="OGTabColLeft"/>
              <w:rPr>
                <w:i/>
              </w:rPr>
            </w:pPr>
            <w:r w:rsidRPr="00D32CA4">
              <w:t>Major Outputs/Deliverables</w:t>
            </w:r>
            <w:r w:rsidRPr="00D32CA4">
              <w:br/>
            </w:r>
            <w:r w:rsidRPr="0085011C">
              <w:rPr>
                <w:b w:val="0"/>
                <w:i/>
              </w:rPr>
              <w:t>Performance measures</w:t>
            </w:r>
          </w:p>
        </w:tc>
        <w:tc>
          <w:tcPr>
            <w:tcW w:w="907" w:type="dxa"/>
            <w:gridSpan w:val="2"/>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3"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63769A" w:rsidTr="009F3B54">
        <w:trPr>
          <w:cantSplit/>
        </w:trPr>
        <w:tc>
          <w:tcPr>
            <w:tcW w:w="7776" w:type="dxa"/>
            <w:gridSpan w:val="7"/>
            <w:tcBorders>
              <w:top w:val="nil"/>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Drug Prevention and Control</w:t>
            </w:r>
          </w:p>
        </w:tc>
      </w:tr>
      <w:tr w:rsidR="00B958B1" w:rsidRPr="0063769A" w:rsidTr="009F3B54">
        <w:trPr>
          <w:cantSplit/>
        </w:trPr>
        <w:tc>
          <w:tcPr>
            <w:tcW w:w="7776" w:type="dxa"/>
            <w:gridSpan w:val="7"/>
            <w:tcBorders>
              <w:top w:val="nil"/>
              <w:left w:val="nil"/>
              <w:bottom w:val="single" w:sz="6" w:space="0" w:color="auto"/>
              <w:right w:val="nil"/>
            </w:tcBorders>
            <w:shd w:val="clear" w:color="auto" w:fill="auto"/>
            <w:vAlign w:val="bottom"/>
            <w:hideMark/>
          </w:tcPr>
          <w:p w:rsidR="00B958B1" w:rsidRPr="0063769A" w:rsidRDefault="00B958B1" w:rsidP="009F3B54">
            <w:pPr>
              <w:pStyle w:val="OGTabText"/>
              <w:rPr>
                <w:lang w:eastAsia="en-AU"/>
              </w:rPr>
            </w:pPr>
            <w:r w:rsidRPr="0063769A">
              <w:rPr>
                <w:lang w:eastAsia="en-AU"/>
              </w:rPr>
              <w:t>Encourages all Victorians to minimise the harmful effects of illicit and licit drugs, including alcohol, by providing a comprehensive range of strategies, which focus on enhanced community and professional education, targeted prevention and early intervention, and the use of effective regulation.</w:t>
            </w:r>
          </w:p>
        </w:tc>
      </w:tr>
      <w:tr w:rsidR="00B958B1" w:rsidRPr="00A60844" w:rsidTr="009F3B54">
        <w:trPr>
          <w:cantSplit/>
        </w:trPr>
        <w:tc>
          <w:tcPr>
            <w:tcW w:w="3155" w:type="dxa"/>
            <w:tcBorders>
              <w:top w:val="single" w:sz="6" w:space="0" w:color="auto"/>
              <w:left w:val="nil"/>
              <w:right w:val="nil"/>
            </w:tcBorders>
            <w:shd w:val="clear" w:color="auto" w:fill="auto"/>
            <w:vAlign w:val="bottom"/>
            <w:hideMark/>
          </w:tcPr>
          <w:p w:rsidR="00B958B1" w:rsidRPr="00A60844" w:rsidRDefault="00B958B1" w:rsidP="009F3B54">
            <w:pPr>
              <w:pStyle w:val="OGTabHead"/>
              <w:rPr>
                <w:lang w:eastAsia="en-AU"/>
              </w:rPr>
            </w:pPr>
            <w:r w:rsidRPr="00A60844">
              <w:rPr>
                <w:bCs/>
                <w:iCs/>
                <w:color w:val="000000"/>
                <w:lang w:eastAsia="en-AU"/>
              </w:rPr>
              <w:t>Quantity</w:t>
            </w:r>
          </w:p>
        </w:tc>
        <w:tc>
          <w:tcPr>
            <w:tcW w:w="907" w:type="dxa"/>
            <w:gridSpan w:val="2"/>
            <w:tcBorders>
              <w:top w:val="single" w:sz="6" w:space="0" w:color="auto"/>
              <w:left w:val="nil"/>
              <w:right w:val="nil"/>
            </w:tcBorders>
            <w:shd w:val="clear" w:color="auto" w:fill="auto"/>
            <w:noWrap/>
            <w:vAlign w:val="bottom"/>
            <w:hideMark/>
          </w:tcPr>
          <w:p w:rsidR="00B958B1" w:rsidRPr="00A60844"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A60844"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r>
      <w:tr w:rsidR="00B958B1" w:rsidRPr="00A60844" w:rsidTr="009F3B54">
        <w:trPr>
          <w:cantSplit/>
        </w:trPr>
        <w:tc>
          <w:tcPr>
            <w:tcW w:w="3155" w:type="dxa"/>
            <w:tcBorders>
              <w:top w:val="nil"/>
              <w:left w:val="nil"/>
              <w:bottom w:val="single" w:sz="6" w:space="0" w:color="auto"/>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Contacts through Family Drug Help</w:t>
            </w:r>
          </w:p>
        </w:tc>
        <w:tc>
          <w:tcPr>
            <w:tcW w:w="907" w:type="dxa"/>
            <w:gridSpan w:val="2"/>
            <w:tcBorders>
              <w:top w:val="nil"/>
              <w:left w:val="nil"/>
              <w:bottom w:val="single" w:sz="6" w:space="0" w:color="auto"/>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nil"/>
              <w:left w:val="nil"/>
              <w:bottom w:val="single" w:sz="6" w:space="0" w:color="auto"/>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5 000</w:t>
            </w:r>
          </w:p>
        </w:tc>
        <w:tc>
          <w:tcPr>
            <w:tcW w:w="993" w:type="dxa"/>
            <w:tcBorders>
              <w:top w:val="nil"/>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5 000</w:t>
            </w:r>
          </w:p>
        </w:tc>
        <w:tc>
          <w:tcPr>
            <w:tcW w:w="907" w:type="dxa"/>
            <w:tcBorders>
              <w:top w:val="nil"/>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5 000</w:t>
            </w:r>
          </w:p>
        </w:tc>
        <w:tc>
          <w:tcPr>
            <w:tcW w:w="907" w:type="dxa"/>
            <w:tcBorders>
              <w:top w:val="nil"/>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5 325</w:t>
            </w:r>
          </w:p>
        </w:tc>
      </w:tr>
      <w:tr w:rsidR="00B958B1" w:rsidRPr="00A60844"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Licences and permits issued to health services or businesses for the manufacture, use</w:t>
            </w:r>
            <w:r>
              <w:rPr>
                <w:color w:val="000000"/>
                <w:lang w:eastAsia="en-AU"/>
              </w:rPr>
              <w:t xml:space="preserve"> or supply of drugs and poisons</w:t>
            </w:r>
          </w:p>
        </w:tc>
        <w:tc>
          <w:tcPr>
            <w:tcW w:w="907" w:type="dxa"/>
            <w:gridSpan w:val="2"/>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1 380</w:t>
            </w:r>
          </w:p>
        </w:tc>
        <w:tc>
          <w:tcPr>
            <w:tcW w:w="993"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1 400</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1 380</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1 388</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Needles and syringes provided through the Needle and Syringe Program</w:t>
            </w:r>
          </w:p>
        </w:tc>
        <w:tc>
          <w:tcPr>
            <w:tcW w:w="907" w:type="dxa"/>
            <w:gridSpan w:val="2"/>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 (000)</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8 800</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8 800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7 300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8 344</w:t>
            </w:r>
          </w:p>
        </w:tc>
      </w:tr>
      <w:tr w:rsidR="00B958B1" w:rsidRPr="00A60844" w:rsidTr="009F3B54">
        <w:trPr>
          <w:cantSplit/>
        </w:trPr>
        <w:tc>
          <w:tcPr>
            <w:tcW w:w="7776" w:type="dxa"/>
            <w:gridSpan w:val="7"/>
            <w:tcBorders>
              <w:top w:val="nil"/>
              <w:left w:val="nil"/>
              <w:bottom w:val="single" w:sz="6" w:space="0" w:color="auto"/>
              <w:right w:val="nil"/>
            </w:tcBorders>
            <w:shd w:val="clear" w:color="auto" w:fill="auto"/>
            <w:vAlign w:val="bottom"/>
            <w:hideMark/>
          </w:tcPr>
          <w:p w:rsidR="00B958B1" w:rsidRPr="00A60844" w:rsidRDefault="00B958B1" w:rsidP="009F3B54">
            <w:pPr>
              <w:pStyle w:val="OGNotes"/>
              <w:rPr>
                <w:color w:val="000000"/>
                <w:sz w:val="16"/>
                <w:szCs w:val="16"/>
              </w:rPr>
            </w:pPr>
            <w:r w:rsidRPr="00A60844">
              <w:t>The 2012</w:t>
            </w:r>
            <w:r w:rsidR="009F0F49">
              <w:noBreakHyphen/>
            </w:r>
            <w:r w:rsidRPr="00A60844">
              <w:t xml:space="preserve">13 Expected Outcome </w:t>
            </w:r>
            <w:r>
              <w:t xml:space="preserve">and the </w:t>
            </w:r>
            <w:r w:rsidRPr="00A60844">
              <w:t>2013</w:t>
            </w:r>
            <w:r w:rsidR="009F0F49">
              <w:noBreakHyphen/>
            </w:r>
            <w:r w:rsidRPr="00A60844">
              <w:t xml:space="preserve">14 Target </w:t>
            </w:r>
            <w:r>
              <w:t>are</w:t>
            </w:r>
            <w:r w:rsidRPr="00A60844">
              <w:t xml:space="preserve"> higher than 2012</w:t>
            </w:r>
            <w:r w:rsidR="009F0F49">
              <w:noBreakHyphen/>
            </w:r>
            <w:r w:rsidRPr="00A60844">
              <w:t>13 Target to reflect current increased demand for the program and funding available. New Needle and Syringe Program (NSP) sites continue to be registered, particularly in growth corridors wi</w:t>
            </w:r>
            <w:r>
              <w:t xml:space="preserve">th a </w:t>
            </w:r>
            <w:r w:rsidRPr="00A60844">
              <w:t>pilot project currently underway to extend NSP access to 24</w:t>
            </w:r>
            <w:r w:rsidR="009F0F49">
              <w:noBreakHyphen/>
            </w:r>
            <w:r w:rsidRPr="00A60844">
              <w:t>7 in Melbourne</w:t>
            </w:r>
            <w:r>
              <w:t>’</w:t>
            </w:r>
            <w:r w:rsidRPr="00A60844">
              <w:t>s south</w:t>
            </w:r>
            <w:r w:rsidR="009F0F49">
              <w:noBreakHyphen/>
            </w:r>
            <w:r w:rsidRPr="00A60844">
              <w:t>eastern and western suburbs.</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Number of telephone, email, website contacts and in person responses to queries and requests for information on alcohol and drug issues (through the Australian Drug Foundation)</w:t>
            </w:r>
          </w:p>
        </w:tc>
        <w:tc>
          <w:tcPr>
            <w:tcW w:w="907" w:type="dxa"/>
            <w:gridSpan w:val="2"/>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450 000</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450 000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11 000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6 744</w:t>
            </w:r>
          </w:p>
        </w:tc>
      </w:tr>
      <w:tr w:rsidR="00B958B1" w:rsidRPr="00A60844" w:rsidTr="009F3B54">
        <w:trPr>
          <w:cantSplit/>
        </w:trPr>
        <w:tc>
          <w:tcPr>
            <w:tcW w:w="7776" w:type="dxa"/>
            <w:gridSpan w:val="7"/>
            <w:tcBorders>
              <w:top w:val="nil"/>
              <w:left w:val="nil"/>
              <w:bottom w:val="single" w:sz="6" w:space="0" w:color="auto"/>
              <w:right w:val="nil"/>
            </w:tcBorders>
            <w:shd w:val="clear" w:color="auto" w:fill="auto"/>
            <w:vAlign w:val="bottom"/>
            <w:hideMark/>
          </w:tcPr>
          <w:p w:rsidR="00B958B1" w:rsidRDefault="00B958B1" w:rsidP="009F3B54">
            <w:pPr>
              <w:pStyle w:val="OGNotes"/>
            </w:pPr>
            <w:r w:rsidRPr="00A60844">
              <w:t xml:space="preserve">This performance measure </w:t>
            </w:r>
            <w:r>
              <w:t>amends</w:t>
            </w:r>
            <w:r w:rsidRPr="00A60844">
              <w:t xml:space="preserve"> </w:t>
            </w:r>
            <w:r>
              <w:t>the 2012</w:t>
            </w:r>
            <w:r w:rsidR="009F0F49">
              <w:noBreakHyphen/>
            </w:r>
            <w:r>
              <w:t>13 performance measure ‘Number of telephone, email</w:t>
            </w:r>
            <w:r w:rsidRPr="001F1BFA">
              <w:t xml:space="preserve"> and in person responses to queries and requests for information on alcohol and drug issues (through the Australian Drug Foundation)</w:t>
            </w:r>
            <w:r>
              <w:t xml:space="preserve">’ </w:t>
            </w:r>
            <w:r w:rsidRPr="00A60844">
              <w:t>to include website contacts to more accurately reflect the way in which people are accessing the Australian Drug Foundation</w:t>
            </w:r>
            <w:r>
              <w:t>’</w:t>
            </w:r>
            <w:r w:rsidRPr="00A60844">
              <w:t>s DrugInfo services.</w:t>
            </w:r>
          </w:p>
          <w:p w:rsidR="00B958B1" w:rsidRPr="00A60844" w:rsidRDefault="00B958B1" w:rsidP="009F3B54">
            <w:pPr>
              <w:pStyle w:val="OGNotes"/>
              <w:rPr>
                <w:color w:val="000000"/>
                <w:sz w:val="16"/>
                <w:szCs w:val="16"/>
              </w:rPr>
            </w:pPr>
            <w:r w:rsidRPr="00A60844">
              <w:t>The 2012</w:t>
            </w:r>
            <w:r w:rsidR="009F0F49">
              <w:noBreakHyphen/>
            </w:r>
            <w:r w:rsidRPr="00A60844">
              <w:t>13 Expected Outcome</w:t>
            </w:r>
            <w:r>
              <w:t xml:space="preserve"> and 2013</w:t>
            </w:r>
            <w:r w:rsidR="009F0F49">
              <w:noBreakHyphen/>
            </w:r>
            <w:r>
              <w:t>14 Target</w:t>
            </w:r>
            <w:r w:rsidRPr="00A60844">
              <w:t xml:space="preserve"> </w:t>
            </w:r>
            <w:r>
              <w:t>are</w:t>
            </w:r>
            <w:r w:rsidRPr="00A60844">
              <w:t xml:space="preserve"> higher than 2012</w:t>
            </w:r>
            <w:r w:rsidR="009F0F49">
              <w:noBreakHyphen/>
            </w:r>
            <w:r w:rsidRPr="00A60844">
              <w:t>13 Target due to a change in definition which now more accurately reflects the way in which people are accessing the Australian Drug Foundations DrugInfo services.</w:t>
            </w:r>
          </w:p>
        </w:tc>
      </w:tr>
      <w:tr w:rsidR="00B958B1" w:rsidRPr="00A60844" w:rsidTr="009F3B54">
        <w:trPr>
          <w:cantSplit/>
        </w:trPr>
        <w:tc>
          <w:tcPr>
            <w:tcW w:w="3275" w:type="dxa"/>
            <w:gridSpan w:val="2"/>
            <w:tcBorders>
              <w:top w:val="single" w:sz="6" w:space="0" w:color="auto"/>
              <w:left w:val="nil"/>
              <w:right w:val="nil"/>
            </w:tcBorders>
            <w:shd w:val="clear" w:color="000000" w:fill="FFFFFF"/>
            <w:hideMark/>
          </w:tcPr>
          <w:p w:rsidR="00B958B1" w:rsidRPr="00A60844" w:rsidRDefault="00B958B1" w:rsidP="009F3B54">
            <w:pPr>
              <w:pStyle w:val="OGTabText"/>
              <w:keepNext/>
              <w:rPr>
                <w:color w:val="000000"/>
                <w:lang w:eastAsia="en-AU"/>
              </w:rPr>
            </w:pPr>
            <w:r w:rsidRPr="00A60844">
              <w:rPr>
                <w:color w:val="000000"/>
                <w:lang w:eastAsia="en-AU"/>
              </w:rPr>
              <w:t>Treatment permits issued to medical practitioners or nurse practitioners to prescribe Schedule</w:t>
            </w:r>
            <w:r>
              <w:rPr>
                <w:color w:val="000000"/>
                <w:lang w:eastAsia="en-AU"/>
              </w:rPr>
              <w:t> </w:t>
            </w:r>
            <w:r w:rsidRPr="00A60844">
              <w:rPr>
                <w:color w:val="000000"/>
                <w:lang w:eastAsia="en-AU"/>
              </w:rPr>
              <w:t>8 drugs, including pharmacotherapy</w:t>
            </w:r>
          </w:p>
        </w:tc>
        <w:tc>
          <w:tcPr>
            <w:tcW w:w="787" w:type="dxa"/>
            <w:tcBorders>
              <w:top w:val="single" w:sz="6" w:space="0" w:color="auto"/>
              <w:left w:val="nil"/>
              <w:right w:val="nil"/>
            </w:tcBorders>
            <w:shd w:val="clear" w:color="000000" w:fill="FFFFFF"/>
            <w:hideMark/>
          </w:tcPr>
          <w:p w:rsidR="00B958B1" w:rsidRPr="00A60844" w:rsidRDefault="00B958B1" w:rsidP="009F3B54">
            <w:pPr>
              <w:pStyle w:val="OGUoM"/>
              <w:keepNext/>
              <w:rPr>
                <w:color w:val="000000"/>
                <w:lang w:eastAsia="en-AU"/>
              </w:rPr>
            </w:pPr>
            <w:r w:rsidRPr="00A60844">
              <w:rPr>
                <w:color w:val="000000"/>
                <w:lang w:eastAsia="en-AU"/>
              </w:rPr>
              <w:t>number</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keepNext/>
              <w:rPr>
                <w:color w:val="000000"/>
                <w:lang w:eastAsia="en-AU"/>
              </w:rPr>
            </w:pPr>
            <w:r w:rsidRPr="00A60844">
              <w:rPr>
                <w:color w:val="000000"/>
                <w:lang w:eastAsia="en-AU"/>
              </w:rPr>
              <w:t>40 700</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keepNext/>
              <w:rPr>
                <w:color w:val="000000"/>
                <w:lang w:eastAsia="en-AU"/>
              </w:rPr>
            </w:pPr>
            <w:r w:rsidRPr="00A60844">
              <w:rPr>
                <w:color w:val="000000"/>
                <w:lang w:eastAsia="en-AU"/>
              </w:rPr>
              <w:t>48 000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keepNext/>
              <w:rPr>
                <w:color w:val="000000"/>
                <w:lang w:eastAsia="en-AU"/>
              </w:rPr>
            </w:pPr>
            <w:r w:rsidRPr="00A60844">
              <w:rPr>
                <w:color w:val="000000"/>
                <w:lang w:eastAsia="en-AU"/>
              </w:rPr>
              <w:t>40 700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keepNext/>
              <w:rPr>
                <w:color w:val="000000"/>
                <w:lang w:eastAsia="en-AU"/>
              </w:rPr>
            </w:pPr>
            <w:r w:rsidRPr="00A60844">
              <w:rPr>
                <w:color w:val="000000"/>
                <w:lang w:eastAsia="en-AU"/>
              </w:rPr>
              <w:t>nm</w:t>
            </w:r>
          </w:p>
        </w:tc>
      </w:tr>
      <w:tr w:rsidR="00B958B1" w:rsidRPr="0063769A" w:rsidTr="009F3B54">
        <w:trPr>
          <w:cantSplit/>
        </w:trPr>
        <w:tc>
          <w:tcPr>
            <w:tcW w:w="7776" w:type="dxa"/>
            <w:gridSpan w:val="7"/>
            <w:tcBorders>
              <w:top w:val="nil"/>
              <w:left w:val="nil"/>
              <w:bottom w:val="single" w:sz="6" w:space="0" w:color="auto"/>
              <w:right w:val="nil"/>
            </w:tcBorders>
            <w:shd w:val="clear" w:color="auto" w:fill="auto"/>
            <w:vAlign w:val="bottom"/>
            <w:hideMark/>
          </w:tcPr>
          <w:p w:rsidR="00B958B1" w:rsidRPr="00A60844" w:rsidRDefault="00B958B1" w:rsidP="009F3B54">
            <w:pPr>
              <w:pStyle w:val="OGNotes"/>
              <w:rPr>
                <w:color w:val="000000"/>
                <w:sz w:val="16"/>
                <w:szCs w:val="16"/>
              </w:rPr>
            </w:pPr>
            <w:r w:rsidRPr="00A60844">
              <w:t>The 2012</w:t>
            </w:r>
            <w:r w:rsidR="009F0F49">
              <w:noBreakHyphen/>
            </w:r>
            <w:r w:rsidRPr="00A60844">
              <w:t>13 Expected Outcome is higher than the 2012</w:t>
            </w:r>
            <w:r w:rsidR="009F0F49">
              <w:noBreakHyphen/>
            </w:r>
            <w:r w:rsidRPr="00A60844">
              <w:t>13 Target due to the higher prescription rates of Schedule</w:t>
            </w:r>
            <w:r>
              <w:t> </w:t>
            </w:r>
            <w:r w:rsidRPr="00A60844">
              <w:t>8 medicines that is occurring in Victoria. Prescription of these drugs is increasing significantly across the country, hence the development of a national framework to address prescription drug misuse.</w:t>
            </w:r>
          </w:p>
        </w:tc>
      </w:tr>
      <w:tr w:rsidR="00B958B1" w:rsidRPr="0063769A" w:rsidTr="009F3B54">
        <w:trPr>
          <w:cantSplit/>
        </w:trPr>
        <w:tc>
          <w:tcPr>
            <w:tcW w:w="3155" w:type="dxa"/>
            <w:tcBorders>
              <w:top w:val="single" w:sz="6" w:space="0" w:color="auto"/>
              <w:left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Quality</w:t>
            </w:r>
          </w:p>
        </w:tc>
        <w:tc>
          <w:tcPr>
            <w:tcW w:w="907" w:type="dxa"/>
            <w:gridSpan w:val="2"/>
            <w:tcBorders>
              <w:top w:val="single" w:sz="6" w:space="0" w:color="auto"/>
              <w:left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Pharmacotherapy permits processed within designated timeframe</w:t>
            </w:r>
          </w:p>
        </w:tc>
        <w:tc>
          <w:tcPr>
            <w:tcW w:w="907" w:type="dxa"/>
            <w:gridSpan w:val="2"/>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100</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Cost</w:t>
            </w:r>
          </w:p>
        </w:tc>
        <w:tc>
          <w:tcPr>
            <w:tcW w:w="907" w:type="dxa"/>
            <w:gridSpan w:val="2"/>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output cost</w:t>
            </w:r>
          </w:p>
        </w:tc>
        <w:tc>
          <w:tcPr>
            <w:tcW w:w="907" w:type="dxa"/>
            <w:gridSpan w:val="2"/>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28.1</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28.9</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25.9</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26.7</w:t>
            </w:r>
          </w:p>
        </w:tc>
      </w:tr>
      <w:tr w:rsidR="00B958B1" w:rsidRPr="0063769A" w:rsidTr="009F3B54">
        <w:trPr>
          <w:cantSplit/>
        </w:trPr>
        <w:tc>
          <w:tcPr>
            <w:tcW w:w="7776" w:type="dxa"/>
            <w:gridSpan w:val="7"/>
            <w:tcBorders>
              <w:top w:val="nil"/>
              <w:left w:val="nil"/>
              <w:bottom w:val="single" w:sz="6" w:space="0" w:color="auto"/>
              <w:right w:val="nil"/>
            </w:tcBorders>
            <w:shd w:val="clear" w:color="auto" w:fill="auto"/>
            <w:vAlign w:val="bottom"/>
            <w:hideMark/>
          </w:tcPr>
          <w:p w:rsidR="00B958B1" w:rsidRDefault="00B958B1" w:rsidP="009F3B54">
            <w:pPr>
              <w:pStyle w:val="OGNotes"/>
            </w:pPr>
            <w:r>
              <w:t>The 2012</w:t>
            </w:r>
            <w:r w:rsidR="009F0F49">
              <w:noBreakHyphen/>
            </w:r>
            <w:r>
              <w:t>13 Expected Outcome is higher than the 2012</w:t>
            </w:r>
            <w:r w:rsidR="009F0F49">
              <w:noBreakHyphen/>
            </w:r>
            <w:r>
              <w:t>13 Target as it reflects a revision to carryover and funding for the implementation of the Social and Community Services (SACS) award funding.</w:t>
            </w:r>
          </w:p>
          <w:p w:rsidR="00B958B1" w:rsidRPr="0063769A" w:rsidRDefault="00B958B1" w:rsidP="009F3B54">
            <w:pPr>
              <w:pStyle w:val="OGNotes"/>
              <w:rPr>
                <w:color w:val="000000"/>
                <w:sz w:val="16"/>
                <w:szCs w:val="16"/>
              </w:rPr>
            </w:pPr>
            <w:r w:rsidRPr="0063769A">
              <w:t xml:space="preserve">The </w:t>
            </w:r>
            <w:r>
              <w:t xml:space="preserve">higher </w:t>
            </w:r>
            <w:r w:rsidRPr="0063769A">
              <w:t>2013</w:t>
            </w:r>
            <w:r w:rsidR="009F0F49">
              <w:noBreakHyphen/>
            </w:r>
            <w:r w:rsidRPr="0063769A">
              <w:t>14 Target reflects funding for indexation and the implementation of the Social and Community Services (SACS) award funding.</w:t>
            </w:r>
          </w:p>
        </w:tc>
      </w:tr>
      <w:tr w:rsidR="00B958B1" w:rsidRPr="0063769A" w:rsidTr="009F3B54">
        <w:trPr>
          <w:cantSplit/>
        </w:trPr>
        <w:tc>
          <w:tcPr>
            <w:tcW w:w="7776" w:type="dxa"/>
            <w:gridSpan w:val="7"/>
            <w:tcBorders>
              <w:top w:val="nil"/>
              <w:left w:val="nil"/>
              <w:right w:val="nil"/>
            </w:tcBorders>
            <w:shd w:val="clear" w:color="auto" w:fill="auto"/>
            <w:vAlign w:val="bottom"/>
            <w:hideMark/>
          </w:tcPr>
          <w:p w:rsidR="00B958B1" w:rsidRPr="0063769A" w:rsidRDefault="00B958B1" w:rsidP="009F3B54">
            <w:pPr>
              <w:pStyle w:val="OGHeading2"/>
              <w:rPr>
                <w:lang w:eastAsia="en-AU"/>
              </w:rPr>
            </w:pPr>
            <w:r w:rsidRPr="0063769A">
              <w:rPr>
                <w:lang w:eastAsia="en-AU"/>
              </w:rPr>
              <w:t>Drug Treatment and Rehabilitation</w:t>
            </w:r>
          </w:p>
        </w:tc>
      </w:tr>
      <w:tr w:rsidR="00B958B1" w:rsidRPr="0063769A" w:rsidTr="009F3B54">
        <w:trPr>
          <w:cantSplit/>
        </w:trPr>
        <w:tc>
          <w:tcPr>
            <w:tcW w:w="7776" w:type="dxa"/>
            <w:gridSpan w:val="7"/>
            <w:tcBorders>
              <w:top w:val="nil"/>
              <w:left w:val="nil"/>
              <w:bottom w:val="single" w:sz="6" w:space="0" w:color="auto"/>
              <w:right w:val="nil"/>
            </w:tcBorders>
            <w:shd w:val="clear" w:color="auto" w:fill="auto"/>
            <w:vAlign w:val="bottom"/>
            <w:hideMark/>
          </w:tcPr>
          <w:p w:rsidR="00B958B1" w:rsidRPr="0063769A" w:rsidRDefault="00B958B1" w:rsidP="009F3B54">
            <w:pPr>
              <w:pStyle w:val="OGTabText"/>
              <w:rPr>
                <w:lang w:eastAsia="en-AU"/>
              </w:rPr>
            </w:pPr>
            <w:r>
              <w:rPr>
                <w:lang w:eastAsia="en-AU"/>
              </w:rPr>
              <w:t>This output aims to assist</w:t>
            </w:r>
            <w:r w:rsidRPr="0063769A">
              <w:rPr>
                <w:lang w:eastAsia="en-AU"/>
              </w:rPr>
              <w:t xml:space="preserve"> the community and individuals to control and reduce the harmful effects of illicit and licit drugs, including alcohol, in Victoria through the provision of residential and community based services, which include withdrawal services, rehabilitation, supported accommodation, education and training, counselling and support.</w:t>
            </w:r>
          </w:p>
        </w:tc>
      </w:tr>
      <w:tr w:rsidR="00B958B1" w:rsidRPr="00A60844" w:rsidTr="009F3B54">
        <w:trPr>
          <w:cantSplit/>
        </w:trPr>
        <w:tc>
          <w:tcPr>
            <w:tcW w:w="3155" w:type="dxa"/>
            <w:tcBorders>
              <w:top w:val="single" w:sz="6" w:space="0" w:color="auto"/>
              <w:left w:val="nil"/>
              <w:bottom w:val="nil"/>
              <w:right w:val="nil"/>
            </w:tcBorders>
            <w:shd w:val="clear" w:color="auto" w:fill="auto"/>
            <w:vAlign w:val="bottom"/>
            <w:hideMark/>
          </w:tcPr>
          <w:p w:rsidR="00B958B1" w:rsidRPr="00A60844" w:rsidRDefault="00B958B1" w:rsidP="009F3B54">
            <w:pPr>
              <w:pStyle w:val="OGTabHead"/>
              <w:rPr>
                <w:lang w:eastAsia="en-AU"/>
              </w:rPr>
            </w:pPr>
            <w:r w:rsidRPr="00A60844">
              <w:rPr>
                <w:bCs/>
                <w:iCs/>
                <w:color w:val="000000"/>
                <w:lang w:eastAsia="en-AU"/>
              </w:rPr>
              <w:t>Quantity</w:t>
            </w:r>
          </w:p>
        </w:tc>
        <w:tc>
          <w:tcPr>
            <w:tcW w:w="907" w:type="dxa"/>
            <w:gridSpan w:val="2"/>
            <w:tcBorders>
              <w:top w:val="single" w:sz="6" w:space="0" w:color="auto"/>
              <w:left w:val="nil"/>
              <w:bottom w:val="nil"/>
              <w:right w:val="nil"/>
            </w:tcBorders>
            <w:shd w:val="clear" w:color="auto" w:fill="auto"/>
            <w:noWrap/>
            <w:vAlign w:val="bottom"/>
            <w:hideMark/>
          </w:tcPr>
          <w:p w:rsidR="00B958B1" w:rsidRPr="00A60844"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A60844"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A60844" w:rsidRDefault="00B958B1" w:rsidP="009F3B54">
            <w:pPr>
              <w:pStyle w:val="OGTableofFigures"/>
              <w:rPr>
                <w:color w:val="000000"/>
                <w:lang w:eastAsia="en-AU"/>
              </w:rPr>
            </w:pPr>
          </w:p>
        </w:tc>
      </w:tr>
      <w:tr w:rsidR="00B958B1" w:rsidRPr="00A60844" w:rsidTr="009F3B54">
        <w:trPr>
          <w:cantSplit/>
        </w:trPr>
        <w:tc>
          <w:tcPr>
            <w:tcW w:w="3155" w:type="dxa"/>
            <w:tcBorders>
              <w:top w:val="nil"/>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Clients on the pharmacotherapy program</w:t>
            </w:r>
          </w:p>
        </w:tc>
        <w:tc>
          <w:tcPr>
            <w:tcW w:w="907" w:type="dxa"/>
            <w:gridSpan w:val="2"/>
            <w:tcBorders>
              <w:top w:val="nil"/>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nil"/>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13 000</w:t>
            </w:r>
          </w:p>
        </w:tc>
        <w:tc>
          <w:tcPr>
            <w:tcW w:w="993"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14 083</w:t>
            </w:r>
          </w:p>
        </w:tc>
        <w:tc>
          <w:tcPr>
            <w:tcW w:w="907"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13 000</w:t>
            </w:r>
          </w:p>
        </w:tc>
        <w:tc>
          <w:tcPr>
            <w:tcW w:w="907" w:type="dxa"/>
            <w:tcBorders>
              <w:top w:val="nil"/>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13 666</w:t>
            </w:r>
          </w:p>
        </w:tc>
      </w:tr>
      <w:tr w:rsidR="00B958B1" w:rsidRPr="00A60844" w:rsidTr="009F3B54">
        <w:trPr>
          <w:cantSplit/>
        </w:trPr>
        <w:tc>
          <w:tcPr>
            <w:tcW w:w="7776" w:type="dxa"/>
            <w:gridSpan w:val="7"/>
            <w:tcBorders>
              <w:top w:val="nil"/>
              <w:left w:val="nil"/>
              <w:bottom w:val="single" w:sz="6" w:space="0" w:color="auto"/>
              <w:right w:val="nil"/>
            </w:tcBorders>
            <w:shd w:val="clear" w:color="auto" w:fill="auto"/>
            <w:vAlign w:val="bottom"/>
            <w:hideMark/>
          </w:tcPr>
          <w:p w:rsidR="00B958B1" w:rsidRPr="00A60844" w:rsidRDefault="00B958B1" w:rsidP="009F3B54">
            <w:pPr>
              <w:pStyle w:val="OGNotes"/>
              <w:rPr>
                <w:color w:val="000000"/>
              </w:rPr>
            </w:pPr>
            <w:r w:rsidRPr="00A60844">
              <w:t>The 2012</w:t>
            </w:r>
            <w:r w:rsidR="009F0F49">
              <w:noBreakHyphen/>
            </w:r>
            <w:r w:rsidRPr="00A60844">
              <w:t>13 Expected Outcome is higher than the 2012</w:t>
            </w:r>
            <w:r w:rsidR="009F0F49">
              <w:noBreakHyphen/>
            </w:r>
            <w:r w:rsidRPr="00A60844">
              <w:t>13 Target due to increased demand.</w:t>
            </w:r>
          </w:p>
        </w:tc>
      </w:tr>
      <w:tr w:rsidR="00B958B1" w:rsidRPr="00A60844" w:rsidTr="009F3B54">
        <w:trPr>
          <w:cantSplit/>
        </w:trPr>
        <w:tc>
          <w:tcPr>
            <w:tcW w:w="3155" w:type="dxa"/>
            <w:tcBorders>
              <w:top w:val="single" w:sz="6" w:space="0" w:color="auto"/>
              <w:left w:val="nil"/>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Commenced courses of treatment: community</w:t>
            </w:r>
            <w:r w:rsidR="009F0F49">
              <w:rPr>
                <w:color w:val="000000"/>
                <w:lang w:eastAsia="en-AU"/>
              </w:rPr>
              <w:noBreakHyphen/>
            </w:r>
            <w:r w:rsidRPr="00A60844">
              <w:rPr>
                <w:color w:val="000000"/>
                <w:lang w:eastAsia="en-AU"/>
              </w:rPr>
              <w:t>based drug treatment services</w:t>
            </w:r>
          </w:p>
        </w:tc>
        <w:tc>
          <w:tcPr>
            <w:tcW w:w="907" w:type="dxa"/>
            <w:gridSpan w:val="2"/>
            <w:tcBorders>
              <w:top w:val="single" w:sz="6" w:space="0" w:color="auto"/>
              <w:left w:val="nil"/>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37 905</w:t>
            </w:r>
          </w:p>
        </w:tc>
        <w:tc>
          <w:tcPr>
            <w:tcW w:w="993"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36 000</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37 465</w:t>
            </w:r>
          </w:p>
        </w:tc>
        <w:tc>
          <w:tcPr>
            <w:tcW w:w="907" w:type="dxa"/>
            <w:tcBorders>
              <w:top w:val="single" w:sz="6" w:space="0" w:color="auto"/>
              <w:left w:val="nil"/>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44 757</w:t>
            </w:r>
          </w:p>
        </w:tc>
      </w:tr>
      <w:tr w:rsidR="00B958B1" w:rsidRPr="00A60844" w:rsidTr="009F3B54">
        <w:trPr>
          <w:cantSplit/>
        </w:trPr>
        <w:tc>
          <w:tcPr>
            <w:tcW w:w="7776" w:type="dxa"/>
            <w:gridSpan w:val="7"/>
            <w:tcBorders>
              <w:top w:val="nil"/>
              <w:left w:val="nil"/>
              <w:bottom w:val="single" w:sz="6" w:space="0" w:color="auto"/>
              <w:right w:val="nil"/>
            </w:tcBorders>
            <w:shd w:val="clear" w:color="auto" w:fill="auto"/>
            <w:vAlign w:val="bottom"/>
            <w:hideMark/>
          </w:tcPr>
          <w:p w:rsidR="00B958B1" w:rsidRPr="00A60844" w:rsidRDefault="00B958B1" w:rsidP="009F3B54">
            <w:pPr>
              <w:pStyle w:val="OGNotes"/>
              <w:rPr>
                <w:color w:val="000000"/>
              </w:rPr>
            </w:pPr>
            <w:r w:rsidRPr="00A60844">
              <w:t>The higher 2013</w:t>
            </w:r>
            <w:r w:rsidR="009F0F49">
              <w:noBreakHyphen/>
            </w:r>
            <w:r w:rsidRPr="00A60844">
              <w:t>14 Target reflects the full year effect of funding provided in 2012</w:t>
            </w:r>
            <w:r w:rsidR="009F0F49">
              <w:noBreakHyphen/>
            </w:r>
            <w:r w:rsidRPr="00A60844">
              <w:t>13 for the Therapeutic</w:t>
            </w:r>
            <w:r w:rsidRPr="00FC468A">
              <w:t xml:space="preserve"> Counselling, Consultancy and Community Care </w:t>
            </w:r>
            <w:r w:rsidRPr="00A60844">
              <w:t>program</w:t>
            </w:r>
            <w:r>
              <w:t xml:space="preserve"> (</w:t>
            </w:r>
            <w:r w:rsidRPr="00A60844">
              <w:t>Therapeutic 4Cs program</w:t>
            </w:r>
            <w:r>
              <w:t>)</w:t>
            </w:r>
            <w:r w:rsidRPr="00A60844">
              <w:t>.</w:t>
            </w:r>
          </w:p>
        </w:tc>
      </w:tr>
      <w:tr w:rsidR="00B958B1" w:rsidRPr="00A60844"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Commenced courses of treatment: residential based drug treatment services</w:t>
            </w:r>
          </w:p>
        </w:tc>
        <w:tc>
          <w:tcPr>
            <w:tcW w:w="907" w:type="dxa"/>
            <w:gridSpan w:val="2"/>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6 062</w:t>
            </w:r>
          </w:p>
        </w:tc>
        <w:tc>
          <w:tcPr>
            <w:tcW w:w="993"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5 800</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6 062</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6 024</w:t>
            </w:r>
          </w:p>
        </w:tc>
      </w:tr>
      <w:tr w:rsidR="00B958B1" w:rsidRPr="00A60844"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Number of new residential withdrawal clients</w:t>
            </w:r>
          </w:p>
        </w:tc>
        <w:tc>
          <w:tcPr>
            <w:tcW w:w="907" w:type="dxa"/>
            <w:gridSpan w:val="2"/>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2 200</w:t>
            </w:r>
          </w:p>
        </w:tc>
        <w:tc>
          <w:tcPr>
            <w:tcW w:w="993"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2 200</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2 200</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2 323</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Text"/>
              <w:rPr>
                <w:color w:val="000000"/>
                <w:lang w:eastAsia="en-AU"/>
              </w:rPr>
            </w:pPr>
            <w:r w:rsidRPr="00A60844">
              <w:rPr>
                <w:color w:val="000000"/>
                <w:lang w:eastAsia="en-AU"/>
              </w:rPr>
              <w:t>Residential bed days</w:t>
            </w:r>
          </w:p>
        </w:tc>
        <w:tc>
          <w:tcPr>
            <w:tcW w:w="907" w:type="dxa"/>
            <w:gridSpan w:val="2"/>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UoM"/>
              <w:rPr>
                <w:color w:val="000000"/>
                <w:lang w:eastAsia="en-AU"/>
              </w:rPr>
            </w:pPr>
            <w:r w:rsidRPr="00A60844">
              <w:rPr>
                <w:color w:val="000000"/>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A60844" w:rsidRDefault="00B958B1" w:rsidP="009F3B54">
            <w:pPr>
              <w:pStyle w:val="OGTableofFigures"/>
              <w:rPr>
                <w:color w:val="000000"/>
                <w:lang w:eastAsia="en-AU"/>
              </w:rPr>
            </w:pPr>
            <w:r w:rsidRPr="00A60844">
              <w:rPr>
                <w:color w:val="000000"/>
                <w:lang w:eastAsia="en-AU"/>
              </w:rPr>
              <w:t>107 310</w:t>
            </w:r>
          </w:p>
        </w:tc>
        <w:tc>
          <w:tcPr>
            <w:tcW w:w="993"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107 310</w:t>
            </w:r>
          </w:p>
        </w:tc>
        <w:tc>
          <w:tcPr>
            <w:tcW w:w="907" w:type="dxa"/>
            <w:tcBorders>
              <w:top w:val="single" w:sz="6" w:space="0" w:color="auto"/>
              <w:left w:val="nil"/>
              <w:bottom w:val="single" w:sz="6" w:space="0" w:color="auto"/>
              <w:right w:val="nil"/>
            </w:tcBorders>
            <w:shd w:val="clear" w:color="000000" w:fill="FFFFFF"/>
            <w:hideMark/>
          </w:tcPr>
          <w:p w:rsidR="00B958B1" w:rsidRPr="00A60844" w:rsidRDefault="00B958B1" w:rsidP="009F3B54">
            <w:pPr>
              <w:pStyle w:val="OGTableofFigures"/>
              <w:rPr>
                <w:color w:val="000000"/>
                <w:lang w:eastAsia="en-AU"/>
              </w:rPr>
            </w:pPr>
            <w:r w:rsidRPr="00A60844">
              <w:rPr>
                <w:color w:val="000000"/>
                <w:lang w:eastAsia="en-AU"/>
              </w:rPr>
              <w:t>107 310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A60844">
              <w:rPr>
                <w:color w:val="000000"/>
                <w:lang w:eastAsia="en-AU"/>
              </w:rPr>
              <w:t>155 628</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Quality</w:t>
            </w:r>
          </w:p>
        </w:tc>
        <w:tc>
          <w:tcPr>
            <w:tcW w:w="907" w:type="dxa"/>
            <w:gridSpan w:val="2"/>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Percentage of new clients to existing clients</w:t>
            </w:r>
          </w:p>
        </w:tc>
        <w:tc>
          <w:tcPr>
            <w:tcW w:w="907" w:type="dxa"/>
            <w:gridSpan w:val="2"/>
            <w:tcBorders>
              <w:top w:val="nil"/>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50</w:t>
            </w:r>
          </w:p>
        </w:tc>
        <w:tc>
          <w:tcPr>
            <w:tcW w:w="993"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50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50</w:t>
            </w:r>
          </w:p>
        </w:tc>
        <w:tc>
          <w:tcPr>
            <w:tcW w:w="907" w:type="dxa"/>
            <w:tcBorders>
              <w:top w:val="nil"/>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60</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Percentage of residential rehabilitation courses of treatment greater than 65</w:t>
            </w:r>
            <w:r>
              <w:rPr>
                <w:color w:val="000000"/>
                <w:lang w:eastAsia="en-AU"/>
              </w:rPr>
              <w:t> </w:t>
            </w:r>
            <w:r w:rsidRPr="0063769A">
              <w:rPr>
                <w:color w:val="000000"/>
                <w:lang w:eastAsia="en-AU"/>
              </w:rPr>
              <w:t>days</w:t>
            </w:r>
          </w:p>
        </w:tc>
        <w:tc>
          <w:tcPr>
            <w:tcW w:w="907" w:type="dxa"/>
            <w:gridSpan w:val="2"/>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50</w:t>
            </w:r>
          </w:p>
        </w:tc>
        <w:tc>
          <w:tcPr>
            <w:tcW w:w="993"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50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50</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29.82</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Successful courses of treatment (episodes of care): community</w:t>
            </w:r>
            <w:r w:rsidR="009F0F49">
              <w:rPr>
                <w:color w:val="000000"/>
                <w:lang w:eastAsia="en-AU"/>
              </w:rPr>
              <w:noBreakHyphen/>
            </w:r>
            <w:r w:rsidRPr="0063769A">
              <w:rPr>
                <w:color w:val="000000"/>
                <w:lang w:eastAsia="en-AU"/>
              </w:rPr>
              <w:t>based drug treatment services</w:t>
            </w:r>
          </w:p>
        </w:tc>
        <w:tc>
          <w:tcPr>
            <w:tcW w:w="907" w:type="dxa"/>
            <w:gridSpan w:val="2"/>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number</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34</w:t>
            </w:r>
            <w:r>
              <w:rPr>
                <w:color w:val="000000"/>
                <w:lang w:eastAsia="en-AU"/>
              </w:rPr>
              <w:t> </w:t>
            </w:r>
            <w:r w:rsidRPr="0063769A">
              <w:rPr>
                <w:color w:val="000000"/>
                <w:lang w:eastAsia="en-AU"/>
              </w:rPr>
              <w:t>897</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34</w:t>
            </w:r>
            <w:r>
              <w:rPr>
                <w:color w:val="000000"/>
                <w:lang w:eastAsia="en-AU"/>
              </w:rPr>
              <w:t> </w:t>
            </w:r>
            <w:r w:rsidRPr="0063769A">
              <w:rPr>
                <w:color w:val="000000"/>
                <w:lang w:eastAsia="en-AU"/>
              </w:rPr>
              <w:t>800</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31</w:t>
            </w:r>
            <w:r>
              <w:rPr>
                <w:color w:val="000000"/>
                <w:lang w:eastAsia="en-AU"/>
              </w:rPr>
              <w:t> </w:t>
            </w:r>
            <w:r w:rsidRPr="0063769A">
              <w:rPr>
                <w:color w:val="000000"/>
                <w:lang w:eastAsia="en-AU"/>
              </w:rPr>
              <w:t>085</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39</w:t>
            </w:r>
            <w:r>
              <w:rPr>
                <w:color w:val="000000"/>
                <w:lang w:eastAsia="en-AU"/>
              </w:rPr>
              <w:t> </w:t>
            </w:r>
            <w:r w:rsidRPr="0063769A">
              <w:rPr>
                <w:color w:val="000000"/>
                <w:lang w:eastAsia="en-AU"/>
              </w:rPr>
              <w:t>838</w:t>
            </w:r>
          </w:p>
        </w:tc>
      </w:tr>
      <w:tr w:rsidR="00B958B1" w:rsidRPr="0063769A" w:rsidTr="009F3B54">
        <w:trPr>
          <w:cantSplit/>
        </w:trPr>
        <w:tc>
          <w:tcPr>
            <w:tcW w:w="7776" w:type="dxa"/>
            <w:gridSpan w:val="7"/>
            <w:tcBorders>
              <w:top w:val="nil"/>
              <w:left w:val="nil"/>
              <w:bottom w:val="single" w:sz="6" w:space="0" w:color="auto"/>
              <w:right w:val="nil"/>
            </w:tcBorders>
            <w:shd w:val="clear" w:color="auto" w:fill="auto"/>
            <w:vAlign w:val="bottom"/>
            <w:hideMark/>
          </w:tcPr>
          <w:p w:rsidR="00B958B1" w:rsidRDefault="00B958B1" w:rsidP="009F3B54">
            <w:pPr>
              <w:pStyle w:val="OGNotes"/>
            </w:pPr>
            <w:r w:rsidRPr="0063769A">
              <w:t>The 2012</w:t>
            </w:r>
            <w:r w:rsidR="009F0F49">
              <w:noBreakHyphen/>
            </w:r>
            <w:r w:rsidRPr="0063769A">
              <w:t>13 Expected Outcome is higher than the 2012</w:t>
            </w:r>
            <w:r w:rsidR="009F0F49">
              <w:noBreakHyphen/>
            </w:r>
            <w:r w:rsidRPr="0063769A">
              <w:t>13 Target due to an increase in community</w:t>
            </w:r>
            <w:r w:rsidR="009F0F49">
              <w:noBreakHyphen/>
            </w:r>
            <w:r w:rsidRPr="0063769A">
              <w:t xml:space="preserve">based drug treatment services being provided. Targets will be realigned as part of reform activities. </w:t>
            </w:r>
          </w:p>
          <w:p w:rsidR="00B958B1" w:rsidRPr="0063769A" w:rsidRDefault="00B958B1" w:rsidP="009F3B54">
            <w:pPr>
              <w:pStyle w:val="OGNotes"/>
              <w:rPr>
                <w:color w:val="000000"/>
                <w:sz w:val="16"/>
                <w:szCs w:val="16"/>
              </w:rPr>
            </w:pPr>
            <w:r w:rsidRPr="0063769A">
              <w:t xml:space="preserve">The </w:t>
            </w:r>
            <w:r>
              <w:t xml:space="preserve">higher </w:t>
            </w:r>
            <w:r w:rsidRPr="0063769A">
              <w:t>2013</w:t>
            </w:r>
            <w:r w:rsidR="009F0F49">
              <w:noBreakHyphen/>
            </w:r>
            <w:r w:rsidRPr="0063769A">
              <w:t>14 Target reflect the impact of 2010</w:t>
            </w:r>
            <w:r w:rsidR="009F0F49">
              <w:noBreakHyphen/>
            </w:r>
            <w:r w:rsidRPr="0063769A">
              <w:t>11 and 2011</w:t>
            </w:r>
            <w:r w:rsidR="009F0F49">
              <w:noBreakHyphen/>
            </w:r>
            <w:r w:rsidRPr="0063769A">
              <w:t>12 funding that has not previously been included.</w:t>
            </w:r>
          </w:p>
        </w:tc>
      </w:tr>
      <w:tr w:rsidR="00B958B1" w:rsidRPr="0063769A" w:rsidTr="009F3B54">
        <w:trPr>
          <w:cantSplit/>
        </w:trPr>
        <w:tc>
          <w:tcPr>
            <w:tcW w:w="3155" w:type="dxa"/>
            <w:tcBorders>
              <w:top w:val="single" w:sz="6" w:space="0" w:color="auto"/>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 xml:space="preserve">Successful courses of treatment </w:t>
            </w:r>
            <w:r>
              <w:rPr>
                <w:color w:val="000000"/>
                <w:lang w:eastAsia="en-AU"/>
              </w:rPr>
              <w:t>(episodes of care): residential</w:t>
            </w:r>
            <w:r w:rsidR="009F0F49">
              <w:rPr>
                <w:color w:val="000000"/>
                <w:lang w:eastAsia="en-AU"/>
              </w:rPr>
              <w:noBreakHyphen/>
            </w:r>
            <w:r w:rsidRPr="0063769A">
              <w:rPr>
                <w:color w:val="000000"/>
                <w:lang w:eastAsia="en-AU"/>
              </w:rPr>
              <w:t>based drug treatment services</w:t>
            </w:r>
          </w:p>
        </w:tc>
        <w:tc>
          <w:tcPr>
            <w:tcW w:w="907" w:type="dxa"/>
            <w:gridSpan w:val="2"/>
            <w:tcBorders>
              <w:top w:val="single" w:sz="6" w:space="0" w:color="auto"/>
              <w:left w:val="nil"/>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number</w:t>
            </w:r>
          </w:p>
        </w:tc>
        <w:tc>
          <w:tcPr>
            <w:tcW w:w="907" w:type="dxa"/>
            <w:tcBorders>
              <w:top w:val="single" w:sz="6" w:space="0" w:color="auto"/>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5</w:t>
            </w:r>
            <w:r>
              <w:rPr>
                <w:color w:val="000000"/>
                <w:lang w:eastAsia="en-AU"/>
              </w:rPr>
              <w:t> </w:t>
            </w:r>
            <w:r w:rsidRPr="0063769A">
              <w:rPr>
                <w:color w:val="000000"/>
                <w:lang w:eastAsia="en-AU"/>
              </w:rPr>
              <w:t>636</w:t>
            </w:r>
          </w:p>
        </w:tc>
        <w:tc>
          <w:tcPr>
            <w:tcW w:w="993"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5</w:t>
            </w:r>
            <w:r>
              <w:rPr>
                <w:color w:val="000000"/>
                <w:lang w:eastAsia="en-AU"/>
              </w:rPr>
              <w:t> </w:t>
            </w:r>
            <w:r w:rsidRPr="0063769A">
              <w:rPr>
                <w:color w:val="000000"/>
                <w:lang w:eastAsia="en-AU"/>
              </w:rPr>
              <w:t>000</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5</w:t>
            </w:r>
            <w:r>
              <w:rPr>
                <w:color w:val="000000"/>
                <w:lang w:eastAsia="en-AU"/>
              </w:rPr>
              <w:t> </w:t>
            </w:r>
            <w:r w:rsidRPr="0063769A">
              <w:rPr>
                <w:color w:val="000000"/>
                <w:lang w:eastAsia="en-AU"/>
              </w:rPr>
              <w:t>636</w:t>
            </w:r>
          </w:p>
        </w:tc>
        <w:tc>
          <w:tcPr>
            <w:tcW w:w="907" w:type="dxa"/>
            <w:tcBorders>
              <w:top w:val="single" w:sz="6" w:space="0" w:color="auto"/>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4</w:t>
            </w:r>
            <w:r>
              <w:rPr>
                <w:color w:val="000000"/>
                <w:lang w:eastAsia="en-AU"/>
              </w:rPr>
              <w:t> </w:t>
            </w:r>
            <w:r w:rsidRPr="0063769A">
              <w:rPr>
                <w:color w:val="000000"/>
                <w:lang w:eastAsia="en-AU"/>
              </w:rPr>
              <w:t>939</w:t>
            </w:r>
          </w:p>
        </w:tc>
      </w:tr>
      <w:tr w:rsidR="00B958B1" w:rsidRPr="0063769A" w:rsidTr="009F3B54">
        <w:trPr>
          <w:cantSplit/>
        </w:trPr>
        <w:tc>
          <w:tcPr>
            <w:tcW w:w="7776" w:type="dxa"/>
            <w:gridSpan w:val="7"/>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The 2012</w:t>
            </w:r>
            <w:r w:rsidR="009F0F49">
              <w:noBreakHyphen/>
            </w:r>
            <w:r w:rsidRPr="0063769A">
              <w:t>13 Expected Outcome is lower than the 2012</w:t>
            </w:r>
            <w:r w:rsidR="009F0F49">
              <w:noBreakHyphen/>
            </w:r>
            <w:r w:rsidRPr="0063769A">
              <w:t>13 Target due to a related increase in uptake community based options.</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Trained Alcohol and drug workers</w:t>
            </w:r>
          </w:p>
        </w:tc>
        <w:tc>
          <w:tcPr>
            <w:tcW w:w="907" w:type="dxa"/>
            <w:gridSpan w:val="2"/>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85</w:t>
            </w:r>
          </w:p>
        </w:tc>
        <w:tc>
          <w:tcPr>
            <w:tcW w:w="993"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85</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85</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67</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Timeliness</w:t>
            </w:r>
          </w:p>
        </w:tc>
        <w:tc>
          <w:tcPr>
            <w:tcW w:w="907" w:type="dxa"/>
            <w:gridSpan w:val="2"/>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Average working days between screening of client and commencement of community</w:t>
            </w:r>
            <w:r w:rsidR="009F0F49">
              <w:rPr>
                <w:color w:val="000000"/>
                <w:lang w:eastAsia="en-AU"/>
              </w:rPr>
              <w:noBreakHyphen/>
            </w:r>
            <w:r w:rsidRPr="0063769A">
              <w:rPr>
                <w:color w:val="000000"/>
                <w:lang w:eastAsia="en-AU"/>
              </w:rPr>
              <w:t>based drug treatment</w:t>
            </w:r>
          </w:p>
        </w:tc>
        <w:tc>
          <w:tcPr>
            <w:tcW w:w="907" w:type="dxa"/>
            <w:gridSpan w:val="2"/>
            <w:tcBorders>
              <w:top w:val="nil"/>
              <w:left w:val="nil"/>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days</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3</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3</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w:t>
            </w:r>
          </w:p>
        </w:tc>
      </w:tr>
      <w:tr w:rsidR="00B958B1" w:rsidRPr="0063769A" w:rsidTr="009F3B54">
        <w:trPr>
          <w:cantSplit/>
        </w:trPr>
        <w:tc>
          <w:tcPr>
            <w:tcW w:w="7776" w:type="dxa"/>
            <w:gridSpan w:val="7"/>
            <w:tcBorders>
              <w:top w:val="nil"/>
              <w:left w:val="nil"/>
              <w:bottom w:val="single" w:sz="6"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The 2012</w:t>
            </w:r>
            <w:r w:rsidR="009F0F49">
              <w:noBreakHyphen/>
            </w:r>
            <w:r w:rsidRPr="0063769A">
              <w:t>13 Expected Outcome is less than 2012</w:t>
            </w:r>
            <w:r w:rsidR="009F0F49">
              <w:noBreakHyphen/>
            </w:r>
            <w:r w:rsidRPr="0063769A">
              <w:t>13 Target as there are more community</w:t>
            </w:r>
            <w:r w:rsidR="009F0F49">
              <w:noBreakHyphen/>
            </w:r>
            <w:r w:rsidRPr="0063769A">
              <w:t>based drug treatment services being provided to clients than targeted. Targets will be realigned as part of reform activities.</w:t>
            </w:r>
          </w:p>
        </w:tc>
      </w:tr>
      <w:tr w:rsidR="00B958B1" w:rsidRPr="0063769A" w:rsidTr="009F3B54">
        <w:trPr>
          <w:cantSplit/>
        </w:trPr>
        <w:tc>
          <w:tcPr>
            <w:tcW w:w="3155"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Average working days between screening of client</w:t>
            </w:r>
            <w:r>
              <w:rPr>
                <w:color w:val="000000"/>
                <w:lang w:eastAsia="en-AU"/>
              </w:rPr>
              <w:t xml:space="preserve"> and commencement of residential</w:t>
            </w:r>
            <w:r w:rsidR="009F0F49">
              <w:rPr>
                <w:color w:val="000000"/>
                <w:lang w:eastAsia="en-AU"/>
              </w:rPr>
              <w:noBreakHyphen/>
            </w:r>
            <w:r w:rsidRPr="0063769A">
              <w:rPr>
                <w:color w:val="000000"/>
                <w:lang w:eastAsia="en-AU"/>
              </w:rPr>
              <w:t>based drug treatment</w:t>
            </w:r>
          </w:p>
        </w:tc>
        <w:tc>
          <w:tcPr>
            <w:tcW w:w="907" w:type="dxa"/>
            <w:gridSpan w:val="2"/>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UoM"/>
              <w:rPr>
                <w:color w:val="000000"/>
                <w:lang w:eastAsia="en-AU"/>
              </w:rPr>
            </w:pPr>
            <w:r w:rsidRPr="0063769A">
              <w:rPr>
                <w:color w:val="000000"/>
                <w:lang w:eastAsia="en-AU"/>
              </w:rPr>
              <w:t>days</w:t>
            </w:r>
          </w:p>
        </w:tc>
        <w:tc>
          <w:tcPr>
            <w:tcW w:w="907" w:type="dxa"/>
            <w:tcBorders>
              <w:top w:val="single" w:sz="6" w:space="0" w:color="auto"/>
              <w:left w:val="nil"/>
              <w:bottom w:val="single" w:sz="6" w:space="0" w:color="auto"/>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6</w:t>
            </w:r>
          </w:p>
        </w:tc>
        <w:tc>
          <w:tcPr>
            <w:tcW w:w="993"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6</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6</w:t>
            </w:r>
          </w:p>
        </w:tc>
        <w:tc>
          <w:tcPr>
            <w:tcW w:w="907" w:type="dxa"/>
            <w:tcBorders>
              <w:top w:val="single" w:sz="6" w:space="0" w:color="auto"/>
              <w:left w:val="nil"/>
              <w:bottom w:val="single" w:sz="6" w:space="0" w:color="auto"/>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7</w:t>
            </w:r>
          </w:p>
        </w:tc>
      </w:tr>
      <w:tr w:rsidR="00B958B1" w:rsidRPr="0063769A" w:rsidTr="009F3B54">
        <w:trPr>
          <w:cantSplit/>
        </w:trPr>
        <w:tc>
          <w:tcPr>
            <w:tcW w:w="3155" w:type="dxa"/>
            <w:tcBorders>
              <w:top w:val="single" w:sz="6" w:space="0" w:color="auto"/>
              <w:left w:val="nil"/>
              <w:bottom w:val="nil"/>
              <w:right w:val="nil"/>
            </w:tcBorders>
            <w:shd w:val="clear" w:color="auto" w:fill="auto"/>
            <w:vAlign w:val="bottom"/>
            <w:hideMark/>
          </w:tcPr>
          <w:p w:rsidR="00B958B1" w:rsidRPr="0063769A" w:rsidRDefault="00B958B1" w:rsidP="009F3B54">
            <w:pPr>
              <w:pStyle w:val="OGTabHead"/>
              <w:rPr>
                <w:lang w:eastAsia="en-AU"/>
              </w:rPr>
            </w:pPr>
            <w:r w:rsidRPr="00D32CA4">
              <w:rPr>
                <w:bCs/>
                <w:iCs/>
                <w:color w:val="000000"/>
                <w:lang w:eastAsia="en-AU"/>
              </w:rPr>
              <w:t>Cost</w:t>
            </w:r>
          </w:p>
        </w:tc>
        <w:tc>
          <w:tcPr>
            <w:tcW w:w="907" w:type="dxa"/>
            <w:gridSpan w:val="2"/>
            <w:tcBorders>
              <w:top w:val="single" w:sz="6" w:space="0" w:color="auto"/>
              <w:left w:val="nil"/>
              <w:bottom w:val="nil"/>
              <w:right w:val="nil"/>
            </w:tcBorders>
            <w:shd w:val="clear" w:color="auto" w:fill="auto"/>
            <w:noWrap/>
            <w:vAlign w:val="bottom"/>
            <w:hideMark/>
          </w:tcPr>
          <w:p w:rsidR="00B958B1" w:rsidRPr="0063769A"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vAlign w:val="bottom"/>
            <w:hideMark/>
          </w:tcPr>
          <w:p w:rsidR="00B958B1" w:rsidRPr="0063769A"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vAlign w:val="bottom"/>
            <w:hideMark/>
          </w:tcPr>
          <w:p w:rsidR="00B958B1" w:rsidRPr="0063769A" w:rsidRDefault="00B958B1" w:rsidP="009F3B54">
            <w:pPr>
              <w:pStyle w:val="OGTableofFigures"/>
              <w:rPr>
                <w:color w:val="000000"/>
                <w:lang w:eastAsia="en-AU"/>
              </w:rPr>
            </w:pPr>
          </w:p>
        </w:tc>
      </w:tr>
      <w:tr w:rsidR="00B958B1" w:rsidRPr="0063769A" w:rsidTr="009F3B54">
        <w:trPr>
          <w:cantSplit/>
        </w:trPr>
        <w:tc>
          <w:tcPr>
            <w:tcW w:w="3155" w:type="dxa"/>
            <w:tcBorders>
              <w:top w:val="nil"/>
              <w:left w:val="nil"/>
              <w:right w:val="nil"/>
            </w:tcBorders>
            <w:shd w:val="clear" w:color="000000" w:fill="FFFFFF"/>
            <w:hideMark/>
          </w:tcPr>
          <w:p w:rsidR="00B958B1" w:rsidRPr="0063769A" w:rsidRDefault="00B958B1" w:rsidP="009F3B54">
            <w:pPr>
              <w:pStyle w:val="OGTabText"/>
              <w:rPr>
                <w:color w:val="000000"/>
                <w:lang w:eastAsia="en-AU"/>
              </w:rPr>
            </w:pPr>
            <w:r w:rsidRPr="0063769A">
              <w:rPr>
                <w:color w:val="000000"/>
                <w:lang w:eastAsia="en-AU"/>
              </w:rPr>
              <w:t>Total output cost</w:t>
            </w:r>
          </w:p>
        </w:tc>
        <w:tc>
          <w:tcPr>
            <w:tcW w:w="907" w:type="dxa"/>
            <w:gridSpan w:val="2"/>
            <w:tcBorders>
              <w:top w:val="nil"/>
              <w:left w:val="nil"/>
              <w:right w:val="nil"/>
            </w:tcBorders>
            <w:shd w:val="clear" w:color="000000" w:fill="FFFFFF"/>
            <w:hideMark/>
          </w:tcPr>
          <w:p w:rsidR="00B958B1" w:rsidRPr="0063769A" w:rsidRDefault="00B958B1" w:rsidP="009F3B54">
            <w:pPr>
              <w:pStyle w:val="OGUoM"/>
              <w:rPr>
                <w:color w:val="000000"/>
                <w:lang w:eastAsia="en-AU"/>
              </w:rPr>
            </w:pPr>
            <w:r>
              <w:rPr>
                <w:color w:val="000000"/>
                <w:lang w:eastAsia="en-AU"/>
              </w:rPr>
              <w:t>$ million</w:t>
            </w:r>
          </w:p>
        </w:tc>
        <w:tc>
          <w:tcPr>
            <w:tcW w:w="907" w:type="dxa"/>
            <w:tcBorders>
              <w:top w:val="nil"/>
              <w:left w:val="nil"/>
              <w:right w:val="nil"/>
            </w:tcBorders>
            <w:shd w:val="clear" w:color="auto" w:fill="D9D9D9"/>
            <w:hideMark/>
          </w:tcPr>
          <w:p w:rsidR="00B958B1" w:rsidRPr="0063769A" w:rsidRDefault="00B958B1" w:rsidP="009F3B54">
            <w:pPr>
              <w:pStyle w:val="OGTableofFigures"/>
              <w:rPr>
                <w:color w:val="000000"/>
                <w:lang w:eastAsia="en-AU"/>
              </w:rPr>
            </w:pPr>
            <w:r w:rsidRPr="0063769A">
              <w:rPr>
                <w:color w:val="000000"/>
                <w:lang w:eastAsia="en-AU"/>
              </w:rPr>
              <w:t>125.4</w:t>
            </w:r>
          </w:p>
        </w:tc>
        <w:tc>
          <w:tcPr>
            <w:tcW w:w="993"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126</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120.5</w:t>
            </w:r>
          </w:p>
        </w:tc>
        <w:tc>
          <w:tcPr>
            <w:tcW w:w="907" w:type="dxa"/>
            <w:tcBorders>
              <w:top w:val="nil"/>
              <w:left w:val="nil"/>
              <w:right w:val="nil"/>
            </w:tcBorders>
            <w:shd w:val="clear" w:color="000000" w:fill="FFFFFF"/>
            <w:hideMark/>
          </w:tcPr>
          <w:p w:rsidR="00B958B1" w:rsidRPr="0063769A" w:rsidRDefault="00B958B1" w:rsidP="009F3B54">
            <w:pPr>
              <w:pStyle w:val="OGTableofFigures"/>
              <w:rPr>
                <w:color w:val="000000"/>
                <w:lang w:eastAsia="en-AU"/>
              </w:rPr>
            </w:pPr>
            <w:r w:rsidRPr="0063769A">
              <w:rPr>
                <w:color w:val="000000"/>
                <w:lang w:eastAsia="en-AU"/>
              </w:rPr>
              <w:t>115.3</w:t>
            </w:r>
          </w:p>
        </w:tc>
      </w:tr>
      <w:tr w:rsidR="00B958B1" w:rsidRPr="0063769A" w:rsidTr="009F3B54">
        <w:trPr>
          <w:cantSplit/>
        </w:trPr>
        <w:tc>
          <w:tcPr>
            <w:tcW w:w="7776" w:type="dxa"/>
            <w:gridSpan w:val="7"/>
            <w:tcBorders>
              <w:top w:val="nil"/>
              <w:left w:val="nil"/>
              <w:bottom w:val="single" w:sz="12" w:space="0" w:color="auto"/>
              <w:right w:val="nil"/>
            </w:tcBorders>
            <w:shd w:val="clear" w:color="auto" w:fill="auto"/>
            <w:vAlign w:val="bottom"/>
            <w:hideMark/>
          </w:tcPr>
          <w:p w:rsidR="00B958B1" w:rsidRPr="0063769A" w:rsidRDefault="00B958B1" w:rsidP="009F3B54">
            <w:pPr>
              <w:pStyle w:val="OGNotes"/>
              <w:rPr>
                <w:color w:val="000000"/>
                <w:sz w:val="16"/>
                <w:szCs w:val="16"/>
              </w:rPr>
            </w:pPr>
            <w:r w:rsidRPr="0063769A">
              <w:t xml:space="preserve">The </w:t>
            </w:r>
            <w:r>
              <w:t xml:space="preserve">higher </w:t>
            </w:r>
            <w:r w:rsidRPr="0063769A">
              <w:t>2013</w:t>
            </w:r>
            <w:r w:rsidR="009F0F49">
              <w:noBreakHyphen/>
            </w:r>
            <w:r w:rsidRPr="0063769A">
              <w:t>14 Target reflects funding for indexation and the implementation of the Social and Community Services (SACS) award funding.</w:t>
            </w:r>
          </w:p>
        </w:tc>
      </w:tr>
    </w:tbl>
    <w:p w:rsidR="00B958B1" w:rsidRDefault="00B958B1" w:rsidP="009F3B54">
      <w:pPr>
        <w:pStyle w:val="Source"/>
      </w:pPr>
      <w:r>
        <w:t>Source: Department of</w:t>
      </w:r>
      <w:r w:rsidRPr="00981AA0">
        <w:t xml:space="preserve"> </w:t>
      </w:r>
      <w:r>
        <w:t>Health</w:t>
      </w:r>
    </w:p>
    <w:p w:rsidR="00B958B1" w:rsidRDefault="00B958B1" w:rsidP="009F3B54">
      <w:pPr>
        <w:pStyle w:val="Source"/>
      </w:pPr>
      <w:r>
        <w:fldChar w:fldCharType="begin"/>
      </w:r>
      <w:r>
        <w:instrText xml:space="preserve"> XE "</w:instrText>
      </w:r>
      <w:r w:rsidRPr="00314757">
        <w:instrText>Department of Health:Drug Services</w:instrText>
      </w:r>
      <w:r>
        <w:instrText xml:space="preserve">" \r "BP3DHDrugSvces" </w:instrText>
      </w:r>
      <w:r>
        <w:fldChar w:fldCharType="end"/>
      </w:r>
    </w:p>
    <w:bookmarkEnd w:id="111"/>
    <w:p w:rsidR="00B958B1" w:rsidRPr="00377B4E" w:rsidRDefault="00B958B1" w:rsidP="009F3B54"/>
    <w:p w:rsidR="00B958B1" w:rsidRDefault="00B958B1" w:rsidP="00497606"/>
    <w:p w:rsidR="00B958B1" w:rsidRDefault="00B958B1" w:rsidP="00C45CC5">
      <w:pPr>
        <w:sectPr w:rsidR="00B958B1" w:rsidSect="00737C77">
          <w:footerReference w:type="even" r:id="rId23"/>
          <w:footerReference w:type="default" r:id="rId24"/>
          <w:pgSz w:w="9979" w:h="14181" w:code="34"/>
          <w:pgMar w:top="1138" w:right="1138" w:bottom="1138" w:left="1138" w:header="720" w:footer="720" w:gutter="0"/>
          <w:cols w:space="708"/>
          <w:docGrid w:linePitch="360"/>
        </w:sectPr>
      </w:pPr>
    </w:p>
    <w:p w:rsidR="00B958B1" w:rsidRDefault="00B958B1" w:rsidP="009F3B54">
      <w:pPr>
        <w:pStyle w:val="Heading1"/>
      </w:pPr>
      <w:bookmarkStart w:id="112" w:name="_Toc355362283"/>
      <w:r w:rsidRPr="00981AA0">
        <w:t xml:space="preserve">Department </w:t>
      </w:r>
      <w:r w:rsidRPr="00376BA6">
        <w:t>of</w:t>
      </w:r>
      <w:r w:rsidRPr="00981AA0">
        <w:t xml:space="preserve"> </w:t>
      </w:r>
      <w:r>
        <w:t>Human Services</w:t>
      </w:r>
      <w:bookmarkEnd w:id="112"/>
    </w:p>
    <w:p w:rsidR="00B958B1" w:rsidRDefault="00B958B1" w:rsidP="009F3B54">
      <w:pPr>
        <w:pStyle w:val="Heading2"/>
      </w:pPr>
      <w:r>
        <w:t>Ministerial portfolios</w:t>
      </w:r>
    </w:p>
    <w:p w:rsidR="00B958B1" w:rsidRDefault="00B958B1" w:rsidP="009F3B54">
      <w:r w:rsidRPr="00A80AE9">
        <w:t xml:space="preserve">The Department supports the ministerial portfolios of </w:t>
      </w:r>
      <w:r>
        <w:t xml:space="preserve">Community Services, Disability Services and Reform, Women’s Affairs, Youth Affairs and Housing. </w:t>
      </w:r>
    </w:p>
    <w:p w:rsidR="00B958B1" w:rsidRDefault="00B958B1" w:rsidP="009F3B54">
      <w:pPr>
        <w:pStyle w:val="Heading2"/>
      </w:pPr>
      <w:r>
        <w:t>Departmental mission statement</w:t>
      </w:r>
    </w:p>
    <w:p w:rsidR="00B958B1" w:rsidRDefault="00B958B1" w:rsidP="009F3B54">
      <w:r w:rsidRPr="00A82C26">
        <w:t>The Department of Human Services supports Victorians in need to build better lives and achieve their potential.</w:t>
      </w:r>
    </w:p>
    <w:p w:rsidR="00B958B1" w:rsidRPr="00A82C26" w:rsidRDefault="00B958B1" w:rsidP="009F3B54">
      <w:r>
        <w:t>The Department does this by providing housing and community services and programs so that individuals and families are supported and can participate in their community, the economy and life.</w:t>
      </w:r>
    </w:p>
    <w:p w:rsidR="00B958B1" w:rsidRPr="008F6B2D" w:rsidRDefault="00B958B1" w:rsidP="009F3B54">
      <w:pPr>
        <w:pStyle w:val="Heading2"/>
      </w:pPr>
      <w:r>
        <w:t xml:space="preserve">Departmental objectives, </w:t>
      </w:r>
      <w:r w:rsidRPr="008F6B2D">
        <w:t>indicators</w:t>
      </w:r>
      <w:r>
        <w:t xml:space="preserve"> and outputs</w:t>
      </w:r>
    </w:p>
    <w:p w:rsidR="00B958B1" w:rsidRDefault="00B958B1" w:rsidP="009F3B54">
      <w:r>
        <w:t>T</w:t>
      </w:r>
      <w:r w:rsidRPr="00A80AE9">
        <w:t>he Depar</w:t>
      </w:r>
      <w:r>
        <w:t>tment of Human Services’ objectives, indicators and linked outputs are</w:t>
      </w:r>
      <w:r w:rsidRPr="00A80AE9">
        <w:t>:</w:t>
      </w:r>
    </w:p>
    <w:tbl>
      <w:tblPr>
        <w:tblStyle w:val="TableGrid"/>
        <w:tblW w:w="7776" w:type="dxa"/>
        <w:tblInd w:w="29" w:type="dxa"/>
        <w:tblBorders>
          <w:insideH w:val="single" w:sz="6" w:space="0" w:color="auto"/>
        </w:tblBorders>
        <w:tblLayout w:type="fixed"/>
        <w:tblCellMar>
          <w:left w:w="43" w:type="dxa"/>
          <w:right w:w="43" w:type="dxa"/>
        </w:tblCellMar>
        <w:tblLook w:val="04A0" w:firstRow="1" w:lastRow="0" w:firstColumn="1" w:lastColumn="0" w:noHBand="0" w:noVBand="1"/>
      </w:tblPr>
      <w:tblGrid>
        <w:gridCol w:w="2592"/>
        <w:gridCol w:w="2592"/>
        <w:gridCol w:w="2592"/>
      </w:tblGrid>
      <w:tr w:rsidR="00B958B1" w:rsidTr="009F3B54">
        <w:trPr>
          <w:cantSplit/>
          <w:tblHeader/>
        </w:trPr>
        <w:tc>
          <w:tcPr>
            <w:tcW w:w="2592" w:type="dxa"/>
            <w:shd w:val="clear" w:color="auto" w:fill="000000"/>
          </w:tcPr>
          <w:p w:rsidR="00B958B1" w:rsidRDefault="00B958B1" w:rsidP="009F3B54">
            <w:pPr>
              <w:pStyle w:val="TabletextheadingLeft0"/>
            </w:pPr>
            <w:r w:rsidRPr="008A6031">
              <w:rPr>
                <w:highlight w:val="black"/>
                <w:lang w:eastAsia="en-AU"/>
              </w:rPr>
              <w:t>Departmental objectives</w:t>
            </w:r>
          </w:p>
        </w:tc>
        <w:tc>
          <w:tcPr>
            <w:tcW w:w="2592" w:type="dxa"/>
            <w:shd w:val="clear" w:color="auto" w:fill="000000"/>
          </w:tcPr>
          <w:p w:rsidR="00B958B1" w:rsidRDefault="00B958B1" w:rsidP="009F3B54">
            <w:pPr>
              <w:pStyle w:val="TabletextheadingLeft0"/>
            </w:pPr>
            <w:r w:rsidRPr="008A6031">
              <w:rPr>
                <w:highlight w:val="black"/>
                <w:lang w:eastAsia="en-AU"/>
              </w:rPr>
              <w:t>Indicators</w:t>
            </w:r>
          </w:p>
        </w:tc>
        <w:tc>
          <w:tcPr>
            <w:tcW w:w="2592" w:type="dxa"/>
            <w:shd w:val="clear" w:color="auto" w:fill="000000"/>
          </w:tcPr>
          <w:p w:rsidR="00B958B1" w:rsidRDefault="00B958B1" w:rsidP="009F3B54">
            <w:pPr>
              <w:pStyle w:val="TabletextheadingLeft0"/>
            </w:pPr>
            <w:r w:rsidRPr="008A6031">
              <w:rPr>
                <w:highlight w:val="black"/>
                <w:lang w:eastAsia="en-AU"/>
              </w:rPr>
              <w:t>Outputs</w:t>
            </w:r>
          </w:p>
        </w:tc>
      </w:tr>
      <w:tr w:rsidR="00B958B1" w:rsidRPr="0001120F" w:rsidTr="009F3B54">
        <w:trPr>
          <w:cantSplit/>
        </w:trPr>
        <w:tc>
          <w:tcPr>
            <w:tcW w:w="2592" w:type="dxa"/>
            <w:tcBorders>
              <w:bottom w:val="single" w:sz="6" w:space="0" w:color="auto"/>
            </w:tcBorders>
          </w:tcPr>
          <w:p w:rsidR="00B958B1" w:rsidRPr="0001120F" w:rsidRDefault="00B958B1" w:rsidP="009F3B54">
            <w:pPr>
              <w:pStyle w:val="Tabletext"/>
              <w:spacing w:after="80"/>
              <w:ind w:left="0" w:firstLine="0"/>
            </w:pPr>
            <w:r w:rsidRPr="0001120F">
              <w:t>Immediate Support</w:t>
            </w:r>
          </w:p>
          <w:p w:rsidR="00B958B1" w:rsidRPr="0001120F" w:rsidRDefault="00B958B1" w:rsidP="009F3B54">
            <w:pPr>
              <w:pStyle w:val="Tabletext"/>
              <w:spacing w:after="80"/>
              <w:ind w:left="0" w:firstLine="0"/>
            </w:pPr>
            <w:r w:rsidRPr="0001120F">
              <w:t>With its partners, the Department supports people in crisis, and helps individuals and families get their lives back on track.</w:t>
            </w:r>
          </w:p>
        </w:tc>
        <w:tc>
          <w:tcPr>
            <w:tcW w:w="2592" w:type="dxa"/>
            <w:tcBorders>
              <w:bottom w:val="single" w:sz="6" w:space="0" w:color="auto"/>
            </w:tcBorders>
          </w:tcPr>
          <w:p w:rsidR="00B958B1" w:rsidRPr="0001120F" w:rsidRDefault="00B958B1" w:rsidP="009F3B54">
            <w:pPr>
              <w:pStyle w:val="Tabletext"/>
              <w:spacing w:after="80"/>
              <w:ind w:left="0" w:firstLine="0"/>
            </w:pPr>
            <w:r w:rsidRPr="0001120F">
              <w:t>Stability of out</w:t>
            </w:r>
            <w:r w:rsidR="009F0F49">
              <w:noBreakHyphen/>
            </w:r>
            <w:r w:rsidRPr="0001120F">
              <w:t>of</w:t>
            </w:r>
            <w:r w:rsidR="009F0F49">
              <w:noBreakHyphen/>
            </w:r>
            <w:r w:rsidRPr="0001120F">
              <w:t>home care placements.</w:t>
            </w:r>
          </w:p>
          <w:p w:rsidR="00B958B1" w:rsidRPr="0001120F" w:rsidRDefault="00B958B1" w:rsidP="009F3B54">
            <w:pPr>
              <w:pStyle w:val="Tabletext"/>
              <w:spacing w:after="80"/>
              <w:ind w:left="0" w:firstLine="0"/>
            </w:pPr>
            <w:r w:rsidRPr="0001120F">
              <w:t>Improved safety of children reported to child protection.</w:t>
            </w:r>
          </w:p>
          <w:p w:rsidR="00B958B1" w:rsidRPr="0001120F" w:rsidRDefault="00B958B1" w:rsidP="009F3B54">
            <w:pPr>
              <w:pStyle w:val="Tabletext"/>
              <w:spacing w:after="80"/>
              <w:ind w:left="0" w:firstLine="0"/>
            </w:pPr>
            <w:r w:rsidRPr="0001120F">
              <w:t>Achievement of independent and sustainable housing on exit from homelessness services.</w:t>
            </w:r>
          </w:p>
        </w:tc>
        <w:tc>
          <w:tcPr>
            <w:tcW w:w="2592" w:type="dxa"/>
            <w:tcBorders>
              <w:bottom w:val="single" w:sz="6" w:space="0" w:color="auto"/>
            </w:tcBorders>
          </w:tcPr>
          <w:p w:rsidR="00B958B1" w:rsidRPr="0001120F" w:rsidRDefault="00B958B1" w:rsidP="009F3B54">
            <w:pPr>
              <w:pStyle w:val="Tabletext"/>
              <w:spacing w:after="80"/>
              <w:ind w:left="0" w:firstLine="0"/>
            </w:pPr>
            <w:r>
              <w:t>Child P</w:t>
            </w:r>
            <w:r w:rsidRPr="0001120F">
              <w:t xml:space="preserve">rotection and </w:t>
            </w:r>
            <w:r>
              <w:t>Family S</w:t>
            </w:r>
            <w:r w:rsidRPr="0001120F">
              <w:t>ervices</w:t>
            </w:r>
          </w:p>
          <w:p w:rsidR="00B958B1" w:rsidRPr="0001120F" w:rsidRDefault="00B958B1" w:rsidP="009F3B54">
            <w:pPr>
              <w:pStyle w:val="Tabletext"/>
              <w:spacing w:after="80"/>
              <w:ind w:left="0" w:firstLine="0"/>
            </w:pPr>
            <w:r w:rsidRPr="0001120F">
              <w:t xml:space="preserve">Youth </w:t>
            </w:r>
            <w:r>
              <w:t>Justice Custodial S</w:t>
            </w:r>
            <w:r w:rsidRPr="0001120F">
              <w:t>ervices</w:t>
            </w:r>
          </w:p>
          <w:p w:rsidR="00B958B1" w:rsidRPr="0001120F" w:rsidRDefault="00B958B1" w:rsidP="009F3B54">
            <w:pPr>
              <w:pStyle w:val="Tabletext"/>
              <w:spacing w:after="80"/>
              <w:ind w:left="0" w:firstLine="0"/>
            </w:pPr>
            <w:r w:rsidRPr="0001120F">
              <w:t>Community</w:t>
            </w:r>
            <w:r w:rsidR="009F0F49">
              <w:noBreakHyphen/>
            </w:r>
            <w:r>
              <w:t>based S</w:t>
            </w:r>
            <w:r w:rsidRPr="0001120F">
              <w:t>ervices</w:t>
            </w:r>
          </w:p>
          <w:p w:rsidR="00B958B1" w:rsidRPr="0001120F" w:rsidRDefault="00B958B1" w:rsidP="009F3B54">
            <w:pPr>
              <w:pStyle w:val="Tabletext"/>
              <w:spacing w:after="80"/>
              <w:ind w:left="0" w:firstLine="0"/>
            </w:pPr>
            <w:r>
              <w:t>Housing A</w:t>
            </w:r>
            <w:r w:rsidRPr="0001120F">
              <w:t>ssistance</w:t>
            </w:r>
          </w:p>
        </w:tc>
      </w:tr>
      <w:tr w:rsidR="00B958B1" w:rsidRPr="0001120F" w:rsidTr="009F3B54">
        <w:trPr>
          <w:cantSplit/>
        </w:trPr>
        <w:tc>
          <w:tcPr>
            <w:tcW w:w="2592" w:type="dxa"/>
            <w:tcBorders>
              <w:top w:val="single" w:sz="6" w:space="0" w:color="auto"/>
              <w:bottom w:val="single" w:sz="6" w:space="0" w:color="auto"/>
            </w:tcBorders>
          </w:tcPr>
          <w:p w:rsidR="00B958B1" w:rsidRPr="0001120F" w:rsidRDefault="00B958B1" w:rsidP="009F3B54">
            <w:pPr>
              <w:pStyle w:val="Tabletext"/>
              <w:spacing w:after="80"/>
              <w:ind w:left="0" w:firstLine="0"/>
            </w:pPr>
            <w:r w:rsidRPr="0001120F">
              <w:t>Capabilities and participation</w:t>
            </w:r>
          </w:p>
          <w:p w:rsidR="00B958B1" w:rsidRPr="0001120F" w:rsidRDefault="00B958B1" w:rsidP="009F3B54">
            <w:pPr>
              <w:pStyle w:val="Tabletext"/>
              <w:spacing w:after="80"/>
              <w:ind w:left="0" w:firstLine="0"/>
            </w:pPr>
            <w:r w:rsidRPr="0001120F">
              <w:t>With its partners, the Department works with families, individuals, young people and communities to improve their lives through building capabilities and resilience,</w:t>
            </w:r>
            <w:r>
              <w:t xml:space="preserve"> </w:t>
            </w:r>
            <w:r w:rsidRPr="0001120F">
              <w:t>supporting participation in work, education and the community.</w:t>
            </w:r>
          </w:p>
        </w:tc>
        <w:tc>
          <w:tcPr>
            <w:tcW w:w="2592" w:type="dxa"/>
            <w:tcBorders>
              <w:top w:val="single" w:sz="6" w:space="0" w:color="auto"/>
              <w:bottom w:val="single" w:sz="6" w:space="0" w:color="auto"/>
            </w:tcBorders>
          </w:tcPr>
          <w:p w:rsidR="00B958B1" w:rsidRPr="0001120F" w:rsidRDefault="00B958B1" w:rsidP="009F3B54">
            <w:pPr>
              <w:pStyle w:val="Tabletext"/>
              <w:spacing w:after="80"/>
              <w:ind w:left="0" w:firstLine="0"/>
            </w:pPr>
            <w:r w:rsidRPr="0001120F">
              <w:t>People with a disability who participate in social and community activities.</w:t>
            </w:r>
          </w:p>
          <w:p w:rsidR="00B958B1" w:rsidRPr="0001120F" w:rsidRDefault="00B958B1" w:rsidP="009F3B54">
            <w:pPr>
              <w:pStyle w:val="Tabletext"/>
              <w:spacing w:after="80"/>
              <w:ind w:left="0" w:firstLine="0"/>
            </w:pPr>
            <w:r w:rsidRPr="0001120F">
              <w:t>Attendance of young people in detention in accredited education or training.</w:t>
            </w:r>
          </w:p>
          <w:p w:rsidR="00B958B1" w:rsidRPr="0001120F" w:rsidRDefault="00B958B1" w:rsidP="009F3B54">
            <w:pPr>
              <w:pStyle w:val="Tabletext"/>
              <w:spacing w:after="80"/>
              <w:ind w:left="0" w:firstLine="0"/>
            </w:pPr>
            <w:r w:rsidRPr="0001120F">
              <w:t>Children in out</w:t>
            </w:r>
            <w:r w:rsidR="009F0F49">
              <w:noBreakHyphen/>
            </w:r>
            <w:r w:rsidRPr="0001120F">
              <w:t>of</w:t>
            </w:r>
            <w:r w:rsidR="009F0F49">
              <w:noBreakHyphen/>
            </w:r>
            <w:r w:rsidRPr="0001120F">
              <w:t>home care meeting literacy and numeracy benchmarks.</w:t>
            </w:r>
          </w:p>
        </w:tc>
        <w:tc>
          <w:tcPr>
            <w:tcW w:w="2592" w:type="dxa"/>
            <w:tcBorders>
              <w:top w:val="single" w:sz="6" w:space="0" w:color="auto"/>
              <w:bottom w:val="single" w:sz="6" w:space="0" w:color="auto"/>
            </w:tcBorders>
          </w:tcPr>
          <w:p w:rsidR="00B958B1" w:rsidRPr="0001120F" w:rsidRDefault="00B958B1" w:rsidP="009F3B54">
            <w:pPr>
              <w:pStyle w:val="Tabletext"/>
              <w:spacing w:after="80"/>
              <w:ind w:left="0" w:firstLine="0"/>
            </w:pPr>
            <w:r w:rsidRPr="0001120F">
              <w:t>Disability Services</w:t>
            </w:r>
          </w:p>
          <w:p w:rsidR="00B958B1" w:rsidRPr="0001120F" w:rsidRDefault="00B958B1" w:rsidP="009F3B54">
            <w:pPr>
              <w:pStyle w:val="Tabletext"/>
              <w:spacing w:after="80"/>
              <w:ind w:left="0" w:firstLine="0"/>
            </w:pPr>
            <w:r>
              <w:t>Child Protection and Family S</w:t>
            </w:r>
            <w:r w:rsidRPr="0001120F">
              <w:t>ervices</w:t>
            </w:r>
          </w:p>
          <w:p w:rsidR="00B958B1" w:rsidRPr="0001120F" w:rsidRDefault="00B958B1" w:rsidP="009F3B54">
            <w:pPr>
              <w:pStyle w:val="Tabletext"/>
              <w:spacing w:after="80"/>
              <w:ind w:left="0" w:firstLine="0"/>
            </w:pPr>
            <w:r w:rsidRPr="0001120F">
              <w:t xml:space="preserve">Youth </w:t>
            </w:r>
            <w:r>
              <w:t>Justice Custodial S</w:t>
            </w:r>
            <w:r w:rsidRPr="0001120F">
              <w:t>ervices</w:t>
            </w:r>
          </w:p>
          <w:p w:rsidR="00B958B1" w:rsidRPr="0001120F" w:rsidRDefault="00B958B1" w:rsidP="009F3B54">
            <w:pPr>
              <w:pStyle w:val="Tabletext"/>
              <w:spacing w:after="80"/>
              <w:ind w:left="0" w:firstLine="0"/>
            </w:pPr>
            <w:r w:rsidRPr="0001120F">
              <w:t>Community</w:t>
            </w:r>
            <w:r w:rsidR="009F0F49">
              <w:noBreakHyphen/>
            </w:r>
            <w:r>
              <w:t>based S</w:t>
            </w:r>
            <w:r w:rsidRPr="0001120F">
              <w:t>ervices</w:t>
            </w:r>
          </w:p>
          <w:p w:rsidR="00B958B1" w:rsidRPr="0001120F" w:rsidRDefault="00B958B1" w:rsidP="009F3B54">
            <w:pPr>
              <w:pStyle w:val="Tabletext"/>
              <w:spacing w:after="80"/>
              <w:ind w:left="0" w:firstLine="0"/>
            </w:pPr>
            <w:r>
              <w:t>Youth A</w:t>
            </w:r>
            <w:r w:rsidRPr="0001120F">
              <w:t>ffairs</w:t>
            </w:r>
          </w:p>
          <w:p w:rsidR="00B958B1" w:rsidRPr="0001120F" w:rsidRDefault="00B958B1" w:rsidP="009F3B54">
            <w:pPr>
              <w:pStyle w:val="Tabletext"/>
              <w:spacing w:after="80"/>
              <w:ind w:left="0" w:firstLine="0"/>
            </w:pPr>
            <w:r w:rsidRPr="0001120F">
              <w:t>Women</w:t>
            </w:r>
            <w:r>
              <w:t>’s A</w:t>
            </w:r>
            <w:r w:rsidRPr="0001120F">
              <w:t>ffairs</w:t>
            </w:r>
          </w:p>
          <w:p w:rsidR="00B958B1" w:rsidRPr="0001120F" w:rsidRDefault="00B958B1" w:rsidP="009F3B54">
            <w:pPr>
              <w:pStyle w:val="Tabletext"/>
              <w:spacing w:after="80"/>
              <w:ind w:left="0" w:firstLine="0"/>
            </w:pPr>
            <w:r>
              <w:t>Office for D</w:t>
            </w:r>
            <w:r w:rsidRPr="0001120F">
              <w:t>isability</w:t>
            </w:r>
          </w:p>
          <w:p w:rsidR="00B958B1" w:rsidRPr="0001120F" w:rsidRDefault="00B958B1" w:rsidP="009F3B54">
            <w:pPr>
              <w:pStyle w:val="Tabletext"/>
              <w:spacing w:after="80"/>
              <w:ind w:left="0" w:firstLine="0"/>
            </w:pPr>
            <w:r w:rsidRPr="0001120F">
              <w:t xml:space="preserve">Community </w:t>
            </w:r>
            <w:r>
              <w:t>P</w:t>
            </w:r>
            <w:r w:rsidRPr="0001120F">
              <w:t>articipation</w:t>
            </w:r>
          </w:p>
        </w:tc>
      </w:tr>
      <w:tr w:rsidR="00B958B1" w:rsidRPr="0001120F" w:rsidTr="009F3B54">
        <w:trPr>
          <w:cantSplit/>
        </w:trPr>
        <w:tc>
          <w:tcPr>
            <w:tcW w:w="2592" w:type="dxa"/>
            <w:tcBorders>
              <w:top w:val="single" w:sz="6" w:space="0" w:color="auto"/>
              <w:bottom w:val="single" w:sz="12" w:space="0" w:color="auto"/>
            </w:tcBorders>
          </w:tcPr>
          <w:p w:rsidR="00B958B1" w:rsidRPr="0001120F" w:rsidRDefault="00B958B1" w:rsidP="009F3B54">
            <w:pPr>
              <w:pStyle w:val="Tabletext"/>
              <w:spacing w:after="80"/>
              <w:ind w:left="0" w:firstLine="0"/>
            </w:pPr>
            <w:r w:rsidRPr="0001120F">
              <w:t>Quality of life</w:t>
            </w:r>
          </w:p>
          <w:p w:rsidR="00B958B1" w:rsidRPr="0001120F" w:rsidRDefault="00B958B1" w:rsidP="009F3B54">
            <w:pPr>
              <w:pStyle w:val="Tabletext"/>
              <w:spacing w:after="80"/>
              <w:ind w:left="0" w:firstLine="0"/>
            </w:pPr>
            <w:r w:rsidRPr="0001120F">
              <w:t>With its partners, the Department provides services to support people in need to enjoy a positive life.</w:t>
            </w:r>
          </w:p>
        </w:tc>
        <w:tc>
          <w:tcPr>
            <w:tcW w:w="2592" w:type="dxa"/>
            <w:tcBorders>
              <w:top w:val="single" w:sz="6" w:space="0" w:color="auto"/>
              <w:bottom w:val="single" w:sz="12" w:space="0" w:color="auto"/>
            </w:tcBorders>
          </w:tcPr>
          <w:p w:rsidR="00B958B1" w:rsidRPr="0001120F" w:rsidRDefault="00B958B1" w:rsidP="009F3B54">
            <w:pPr>
              <w:pStyle w:val="Tabletext"/>
              <w:spacing w:after="80"/>
              <w:ind w:left="0" w:firstLine="0"/>
            </w:pPr>
            <w:r w:rsidRPr="0001120F">
              <w:t>New housing allocations to those in greatest need.</w:t>
            </w:r>
          </w:p>
          <w:p w:rsidR="00B958B1" w:rsidRPr="0001120F" w:rsidRDefault="00B958B1" w:rsidP="009F3B54">
            <w:pPr>
              <w:pStyle w:val="Tabletext"/>
              <w:spacing w:after="80"/>
              <w:ind w:left="0" w:firstLine="0"/>
            </w:pPr>
            <w:r w:rsidRPr="0001120F">
              <w:t>Efficient management of housing stock (including occupancy rate and turnaround time).</w:t>
            </w:r>
          </w:p>
          <w:p w:rsidR="00B958B1" w:rsidRPr="0001120F" w:rsidRDefault="00B958B1" w:rsidP="009F3B54">
            <w:pPr>
              <w:pStyle w:val="Tabletext"/>
              <w:spacing w:after="80"/>
              <w:ind w:left="0" w:firstLine="0"/>
            </w:pPr>
            <w:r w:rsidRPr="0001120F">
              <w:t>Disability clients receiving individualised support to live in the community.</w:t>
            </w:r>
          </w:p>
        </w:tc>
        <w:tc>
          <w:tcPr>
            <w:tcW w:w="2592" w:type="dxa"/>
            <w:tcBorders>
              <w:top w:val="single" w:sz="6" w:space="0" w:color="auto"/>
              <w:bottom w:val="single" w:sz="12" w:space="0" w:color="auto"/>
            </w:tcBorders>
          </w:tcPr>
          <w:p w:rsidR="00B958B1" w:rsidRPr="0001120F" w:rsidRDefault="00B958B1" w:rsidP="009F3B54">
            <w:pPr>
              <w:pStyle w:val="Tabletext"/>
              <w:spacing w:after="80"/>
              <w:ind w:left="0" w:firstLine="0"/>
            </w:pPr>
            <w:r w:rsidRPr="0001120F">
              <w:t>Disability Services</w:t>
            </w:r>
          </w:p>
          <w:p w:rsidR="00B958B1" w:rsidRPr="0001120F" w:rsidRDefault="00B958B1" w:rsidP="009F3B54">
            <w:pPr>
              <w:pStyle w:val="Tabletext"/>
              <w:spacing w:after="80"/>
              <w:ind w:left="0" w:firstLine="0"/>
            </w:pPr>
            <w:r w:rsidRPr="0001120F">
              <w:t xml:space="preserve">Concessions to </w:t>
            </w:r>
            <w:r>
              <w:t>Pensioners and B</w:t>
            </w:r>
            <w:r w:rsidRPr="0001120F">
              <w:t>eneficiaries</w:t>
            </w:r>
          </w:p>
          <w:p w:rsidR="00B958B1" w:rsidRPr="0001120F" w:rsidRDefault="00B958B1" w:rsidP="009F3B54">
            <w:pPr>
              <w:pStyle w:val="Tabletext"/>
              <w:spacing w:after="80"/>
              <w:ind w:left="0" w:firstLine="0"/>
            </w:pPr>
            <w:r>
              <w:t>Housing A</w:t>
            </w:r>
            <w:r w:rsidRPr="0001120F">
              <w:t>ssistance</w:t>
            </w:r>
          </w:p>
        </w:tc>
      </w:tr>
    </w:tbl>
    <w:p w:rsidR="00B958B1" w:rsidRDefault="00B958B1" w:rsidP="009F3B54">
      <w:pPr>
        <w:pStyle w:val="Source"/>
      </w:pPr>
      <w:r>
        <w:t>Source: Department of Human Services</w:t>
      </w:r>
    </w:p>
    <w:p w:rsidR="00B958B1" w:rsidRDefault="00B958B1" w:rsidP="009F3B54">
      <w:pPr>
        <w:pStyle w:val="Source"/>
      </w:pPr>
    </w:p>
    <w:p w:rsidR="00B958B1" w:rsidRPr="00027570" w:rsidRDefault="00B958B1" w:rsidP="009F3B54">
      <w:pPr>
        <w:pStyle w:val="Heading2"/>
      </w:pPr>
      <w:r w:rsidRPr="00027570">
        <w:t xml:space="preserve">Changes to the output structure </w:t>
      </w:r>
    </w:p>
    <w:p w:rsidR="00B958B1" w:rsidRDefault="00B958B1" w:rsidP="009F3B54">
      <w:pPr>
        <w:jc w:val="both"/>
      </w:pPr>
      <w:r w:rsidRPr="001B5FD0">
        <w:t xml:space="preserve">The Department </w:t>
      </w:r>
      <w:r>
        <w:t xml:space="preserve">of Human Services </w:t>
      </w:r>
      <w:r w:rsidRPr="001B5FD0">
        <w:t xml:space="preserve">has </w:t>
      </w:r>
      <w:r>
        <w:t>brought</w:t>
      </w:r>
      <w:r w:rsidRPr="003C1189">
        <w:t xml:space="preserve"> together key outputs within the output groups of Disability Services, Child Protection and Family Services</w:t>
      </w:r>
      <w:r>
        <w:t xml:space="preserve"> and Housing Assistance to better align outputs with Government policy, current service delivery and the emphasis on</w:t>
      </w:r>
      <w:r w:rsidRPr="003C1189">
        <w:t xml:space="preserve"> integrated ser</w:t>
      </w:r>
      <w:r>
        <w:t xml:space="preserve">vice delivery in the Department’s service delivery model. There have been no changes to the Empowering Individuals and Communities output group, </w:t>
      </w:r>
      <w:r w:rsidRPr="005479BD">
        <w:t xml:space="preserve">the </w:t>
      </w:r>
      <w:r w:rsidRPr="005479BD">
        <w:rPr>
          <w:lang w:eastAsia="en-AU"/>
        </w:rPr>
        <w:t xml:space="preserve">Youth Services and Youth Justice output group or </w:t>
      </w:r>
      <w:r w:rsidRPr="005479BD">
        <w:t>the Concessions to Pensioners and Beneficiaries output group.</w:t>
      </w:r>
    </w:p>
    <w:p w:rsidR="00B958B1" w:rsidRDefault="00B958B1" w:rsidP="009F3B54">
      <w:r>
        <w:t>The changes to the Department of Human Services’ output structure for 2013</w:t>
      </w:r>
      <w:r w:rsidR="009F0F49">
        <w:noBreakHyphen/>
      </w:r>
      <w:r>
        <w:t>14 are shown in the table below:</w:t>
      </w:r>
    </w:p>
    <w:tbl>
      <w:tblPr>
        <w:tblStyle w:val="TableGrid"/>
        <w:tblW w:w="7776" w:type="dxa"/>
        <w:tblInd w:w="29" w:type="dxa"/>
        <w:tblLayout w:type="fixed"/>
        <w:tblCellMar>
          <w:left w:w="43" w:type="dxa"/>
          <w:right w:w="43" w:type="dxa"/>
        </w:tblCellMar>
        <w:tblLook w:val="04A0" w:firstRow="1" w:lastRow="0" w:firstColumn="1" w:lastColumn="0" w:noHBand="0" w:noVBand="1"/>
      </w:tblPr>
      <w:tblGrid>
        <w:gridCol w:w="2424"/>
        <w:gridCol w:w="2760"/>
        <w:gridCol w:w="2592"/>
      </w:tblGrid>
      <w:tr w:rsidR="00B958B1" w:rsidTr="009F3B54">
        <w:trPr>
          <w:cantSplit/>
          <w:tblHeader/>
        </w:trPr>
        <w:tc>
          <w:tcPr>
            <w:tcW w:w="2424" w:type="dxa"/>
            <w:tcBorders>
              <w:top w:val="single" w:sz="6" w:space="0" w:color="auto"/>
              <w:left w:val="single" w:sz="6" w:space="0" w:color="auto"/>
              <w:bottom w:val="single" w:sz="6" w:space="0" w:color="auto"/>
            </w:tcBorders>
            <w:shd w:val="clear" w:color="auto" w:fill="000000"/>
          </w:tcPr>
          <w:p w:rsidR="00B958B1" w:rsidRDefault="00B958B1" w:rsidP="009F3B54">
            <w:pPr>
              <w:pStyle w:val="TabletextheadingLeft0"/>
            </w:pPr>
            <w:r w:rsidRPr="008A6031">
              <w:rPr>
                <w:lang w:eastAsia="en-AU"/>
              </w:rPr>
              <w:t>2012</w:t>
            </w:r>
            <w:r w:rsidR="009F0F49">
              <w:rPr>
                <w:lang w:eastAsia="en-AU"/>
              </w:rPr>
              <w:noBreakHyphen/>
            </w:r>
            <w:r w:rsidRPr="008A6031">
              <w:rPr>
                <w:lang w:eastAsia="en-AU"/>
              </w:rPr>
              <w:t>13 Outputs</w:t>
            </w:r>
          </w:p>
        </w:tc>
        <w:tc>
          <w:tcPr>
            <w:tcW w:w="2760" w:type="dxa"/>
            <w:tcBorders>
              <w:top w:val="single" w:sz="6" w:space="0" w:color="auto"/>
              <w:bottom w:val="single" w:sz="6" w:space="0" w:color="auto"/>
            </w:tcBorders>
            <w:shd w:val="clear" w:color="auto" w:fill="000000"/>
          </w:tcPr>
          <w:p w:rsidR="00B958B1" w:rsidRDefault="00B958B1" w:rsidP="009F3B54">
            <w:pPr>
              <w:pStyle w:val="TabletextheadingLeft0"/>
            </w:pPr>
            <w:r w:rsidRPr="008A6031">
              <w:rPr>
                <w:lang w:eastAsia="en-AU"/>
              </w:rPr>
              <w:t>Reason</w:t>
            </w:r>
          </w:p>
        </w:tc>
        <w:tc>
          <w:tcPr>
            <w:tcW w:w="2592" w:type="dxa"/>
            <w:tcBorders>
              <w:top w:val="single" w:sz="6" w:space="0" w:color="auto"/>
              <w:bottom w:val="single" w:sz="6" w:space="0" w:color="auto"/>
              <w:right w:val="single" w:sz="6" w:space="0" w:color="auto"/>
            </w:tcBorders>
            <w:shd w:val="clear" w:color="auto" w:fill="000000"/>
          </w:tcPr>
          <w:p w:rsidR="00B958B1" w:rsidRDefault="00B958B1" w:rsidP="009F3B54">
            <w:pPr>
              <w:pStyle w:val="TabletextheadingLeft0"/>
            </w:pPr>
            <w:r w:rsidRPr="008A6031">
              <w:rPr>
                <w:lang w:eastAsia="en-AU"/>
              </w:rPr>
              <w:t>2013</w:t>
            </w:r>
            <w:r w:rsidR="009F0F49">
              <w:rPr>
                <w:lang w:eastAsia="en-AU"/>
              </w:rPr>
              <w:noBreakHyphen/>
            </w:r>
            <w:r w:rsidRPr="008A6031">
              <w:rPr>
                <w:lang w:eastAsia="en-AU"/>
              </w:rPr>
              <w:t>14 Outputs</w:t>
            </w:r>
          </w:p>
        </w:tc>
      </w:tr>
      <w:tr w:rsidR="00B958B1" w:rsidTr="009F3B54">
        <w:trPr>
          <w:cantSplit/>
        </w:trPr>
        <w:tc>
          <w:tcPr>
            <w:tcW w:w="2424" w:type="dxa"/>
            <w:tcBorders>
              <w:top w:val="single" w:sz="6" w:space="0" w:color="auto"/>
            </w:tcBorders>
          </w:tcPr>
          <w:p w:rsidR="00B958B1" w:rsidRPr="003D1129" w:rsidRDefault="00B958B1" w:rsidP="009F3B54">
            <w:pPr>
              <w:pStyle w:val="Tabletextnoindent"/>
            </w:pPr>
            <w:r w:rsidRPr="003D1129">
              <w:t>Self Directed Support</w:t>
            </w:r>
          </w:p>
          <w:p w:rsidR="00B958B1" w:rsidRPr="003D1129" w:rsidRDefault="00B958B1" w:rsidP="009F3B54">
            <w:pPr>
              <w:pStyle w:val="Tabletextnoindent"/>
            </w:pPr>
            <w:r w:rsidRPr="003D1129">
              <w:t>Client Services and Capacity</w:t>
            </w:r>
          </w:p>
          <w:p w:rsidR="00B958B1" w:rsidRPr="003D1129" w:rsidRDefault="00B958B1" w:rsidP="009F3B54">
            <w:pPr>
              <w:pStyle w:val="Tabletextnoindent"/>
            </w:pPr>
            <w:r w:rsidRPr="003D1129">
              <w:t>Accommodation Support</w:t>
            </w:r>
          </w:p>
        </w:tc>
        <w:tc>
          <w:tcPr>
            <w:tcW w:w="2760" w:type="dxa"/>
            <w:tcBorders>
              <w:top w:val="single" w:sz="6" w:space="0" w:color="auto"/>
            </w:tcBorders>
          </w:tcPr>
          <w:p w:rsidR="00B958B1" w:rsidRPr="003D1129" w:rsidRDefault="00B958B1" w:rsidP="009F3B54">
            <w:pPr>
              <w:pStyle w:val="Tabletextnoindent"/>
            </w:pPr>
            <w:r w:rsidRPr="003D1129">
              <w:t>Disability Services Output Group outputs integrated to better reflect the new model of disability services delivery through the National Disability Insurance Scheme.</w:t>
            </w:r>
          </w:p>
        </w:tc>
        <w:tc>
          <w:tcPr>
            <w:tcW w:w="2592" w:type="dxa"/>
            <w:tcBorders>
              <w:top w:val="single" w:sz="6" w:space="0" w:color="auto"/>
            </w:tcBorders>
          </w:tcPr>
          <w:p w:rsidR="00B958B1" w:rsidRPr="003D1129" w:rsidRDefault="00B958B1" w:rsidP="009F3B54">
            <w:pPr>
              <w:pStyle w:val="Tabletextnoindent"/>
            </w:pPr>
            <w:r w:rsidRPr="003D1129">
              <w:t>Disability Services</w:t>
            </w:r>
          </w:p>
        </w:tc>
      </w:tr>
      <w:tr w:rsidR="00B958B1" w:rsidTr="009F3B54">
        <w:trPr>
          <w:cantSplit/>
        </w:trPr>
        <w:tc>
          <w:tcPr>
            <w:tcW w:w="2424" w:type="dxa"/>
            <w:shd w:val="clear" w:color="auto" w:fill="D9D9D9" w:themeFill="background1" w:themeFillShade="D9"/>
          </w:tcPr>
          <w:p w:rsidR="00B958B1" w:rsidRPr="003D1129" w:rsidRDefault="00B958B1" w:rsidP="009F3B54">
            <w:pPr>
              <w:pStyle w:val="Tabletextnoindent"/>
            </w:pPr>
            <w:r w:rsidRPr="003D1129">
              <w:t>Statutory Child Protection Services</w:t>
            </w:r>
          </w:p>
          <w:p w:rsidR="00B958B1" w:rsidRPr="003D1129" w:rsidRDefault="00B958B1" w:rsidP="009F3B54">
            <w:pPr>
              <w:pStyle w:val="Tabletextnoindent"/>
            </w:pPr>
            <w:r w:rsidRPr="003D1129">
              <w:t>Specialist Support and Placement Services</w:t>
            </w:r>
          </w:p>
          <w:p w:rsidR="00B958B1" w:rsidRPr="003D1129" w:rsidRDefault="00B958B1" w:rsidP="009F3B54">
            <w:pPr>
              <w:pStyle w:val="Tabletextnoindent"/>
            </w:pPr>
            <w:r w:rsidRPr="003D1129">
              <w:t>Family and Community Services</w:t>
            </w:r>
          </w:p>
        </w:tc>
        <w:tc>
          <w:tcPr>
            <w:tcW w:w="2760" w:type="dxa"/>
            <w:shd w:val="clear" w:color="auto" w:fill="D9D9D9" w:themeFill="background1" w:themeFillShade="D9"/>
          </w:tcPr>
          <w:p w:rsidR="00B958B1" w:rsidRPr="003D1129" w:rsidRDefault="00B958B1" w:rsidP="009F3B54">
            <w:pPr>
              <w:pStyle w:val="Tabletextnoindent"/>
            </w:pPr>
            <w:r w:rsidRPr="003D1129">
              <w:t>The Child Protection and Family Services Output Group integrated to reflect the department</w:t>
            </w:r>
            <w:r>
              <w:t>’</w:t>
            </w:r>
            <w:r w:rsidRPr="003D1129">
              <w:t>s delivery of better outcomes for clients in a more flexible way</w:t>
            </w:r>
            <w:r>
              <w:t xml:space="preserve">. </w:t>
            </w:r>
          </w:p>
        </w:tc>
        <w:tc>
          <w:tcPr>
            <w:tcW w:w="2592" w:type="dxa"/>
            <w:shd w:val="clear" w:color="auto" w:fill="D9D9D9" w:themeFill="background1" w:themeFillShade="D9"/>
          </w:tcPr>
          <w:p w:rsidR="00B958B1" w:rsidRPr="003D1129" w:rsidRDefault="00B958B1" w:rsidP="009F3B54">
            <w:pPr>
              <w:pStyle w:val="Tabletextnoindent"/>
            </w:pPr>
            <w:r w:rsidRPr="003D1129">
              <w:t>Child Protection and Family Services</w:t>
            </w:r>
          </w:p>
        </w:tc>
      </w:tr>
      <w:tr w:rsidR="00B958B1" w:rsidTr="009F3B54">
        <w:trPr>
          <w:cantSplit/>
        </w:trPr>
        <w:tc>
          <w:tcPr>
            <w:tcW w:w="2424" w:type="dxa"/>
          </w:tcPr>
          <w:p w:rsidR="00B958B1" w:rsidRPr="003D1129" w:rsidRDefault="00B958B1" w:rsidP="009F3B54">
            <w:pPr>
              <w:pStyle w:val="Tabletextnoindent"/>
            </w:pPr>
            <w:r w:rsidRPr="003D1129">
              <w:t>Housing Support and Homelessness Assistance</w:t>
            </w:r>
          </w:p>
          <w:p w:rsidR="00B958B1" w:rsidRPr="003D1129" w:rsidRDefault="00B958B1" w:rsidP="009F3B54">
            <w:pPr>
              <w:pStyle w:val="Tabletextnoindent"/>
            </w:pPr>
            <w:r w:rsidRPr="003D1129">
              <w:t>Social Housing</w:t>
            </w:r>
          </w:p>
        </w:tc>
        <w:tc>
          <w:tcPr>
            <w:tcW w:w="2760" w:type="dxa"/>
          </w:tcPr>
          <w:p w:rsidR="00B958B1" w:rsidRPr="003D1129" w:rsidRDefault="00B958B1" w:rsidP="009F3B54">
            <w:pPr>
              <w:pStyle w:val="Tabletextnoindent"/>
            </w:pPr>
            <w:r w:rsidRPr="003D1129">
              <w:t>The Housing Assistance Output Group integrated to reflect the department</w:t>
            </w:r>
            <w:r>
              <w:t>’</w:t>
            </w:r>
            <w:r w:rsidRPr="003D1129">
              <w:t>s delivery of better outcomes for clients in a more flexible way.</w:t>
            </w:r>
          </w:p>
        </w:tc>
        <w:tc>
          <w:tcPr>
            <w:tcW w:w="2592" w:type="dxa"/>
          </w:tcPr>
          <w:p w:rsidR="00B958B1" w:rsidRPr="003D1129" w:rsidRDefault="00B958B1" w:rsidP="009F3B54">
            <w:pPr>
              <w:pStyle w:val="Tabletextnoindent"/>
            </w:pPr>
            <w:r>
              <w:t>Housing Assistance</w:t>
            </w:r>
          </w:p>
        </w:tc>
      </w:tr>
      <w:tr w:rsidR="00B958B1" w:rsidTr="009F3B54">
        <w:trPr>
          <w:cantSplit/>
        </w:trPr>
        <w:tc>
          <w:tcPr>
            <w:tcW w:w="2424" w:type="dxa"/>
            <w:tcBorders>
              <w:bottom w:val="single" w:sz="12" w:space="0" w:color="auto"/>
            </w:tcBorders>
            <w:shd w:val="clear" w:color="auto" w:fill="D9D9D9" w:themeFill="background1" w:themeFillShade="D9"/>
          </w:tcPr>
          <w:p w:rsidR="00B958B1" w:rsidRPr="003D1129" w:rsidRDefault="00B958B1" w:rsidP="009F3B54">
            <w:pPr>
              <w:pStyle w:val="Tabletextnoindent"/>
            </w:pPr>
            <w:r w:rsidRPr="003D1129">
              <w:t>Women</w:t>
            </w:r>
            <w:r>
              <w:t>’</w:t>
            </w:r>
            <w:r w:rsidRPr="003D1129">
              <w:t>s Policy</w:t>
            </w:r>
          </w:p>
        </w:tc>
        <w:tc>
          <w:tcPr>
            <w:tcW w:w="2760" w:type="dxa"/>
            <w:tcBorders>
              <w:bottom w:val="single" w:sz="12" w:space="0" w:color="auto"/>
            </w:tcBorders>
            <w:shd w:val="clear" w:color="auto" w:fill="D9D9D9" w:themeFill="background1" w:themeFillShade="D9"/>
          </w:tcPr>
          <w:p w:rsidR="00B958B1" w:rsidRPr="003D1129" w:rsidRDefault="00B958B1" w:rsidP="009F3B54">
            <w:pPr>
              <w:pStyle w:val="Tabletextnoindent"/>
            </w:pPr>
            <w:r w:rsidRPr="003D1129">
              <w:t>The output has been renamed to more accurately encompass the responsibilities of the Office of Women</w:t>
            </w:r>
            <w:r>
              <w:t>’</w:t>
            </w:r>
            <w:r w:rsidRPr="003D1129">
              <w:t>s Affairs, which was formerly known as the Office of Women</w:t>
            </w:r>
            <w:r>
              <w:t>’</w:t>
            </w:r>
            <w:r w:rsidRPr="003D1129">
              <w:t>s Policy.</w:t>
            </w:r>
          </w:p>
        </w:tc>
        <w:tc>
          <w:tcPr>
            <w:tcW w:w="2592" w:type="dxa"/>
            <w:tcBorders>
              <w:bottom w:val="single" w:sz="12" w:space="0" w:color="auto"/>
            </w:tcBorders>
            <w:shd w:val="clear" w:color="auto" w:fill="D9D9D9" w:themeFill="background1" w:themeFillShade="D9"/>
          </w:tcPr>
          <w:p w:rsidR="00B958B1" w:rsidRPr="003D1129" w:rsidRDefault="00B958B1" w:rsidP="009F3B54">
            <w:pPr>
              <w:pStyle w:val="Tabletextnoindent"/>
            </w:pPr>
            <w:r w:rsidRPr="003D1129">
              <w:t>Women</w:t>
            </w:r>
            <w:r>
              <w:t>’</w:t>
            </w:r>
            <w:r w:rsidRPr="003D1129">
              <w:t>s Affairs</w:t>
            </w:r>
          </w:p>
        </w:tc>
      </w:tr>
    </w:tbl>
    <w:p w:rsidR="00B958B1" w:rsidRDefault="00B958B1" w:rsidP="009F3B54">
      <w:pPr>
        <w:pStyle w:val="Source"/>
      </w:pPr>
      <w:r>
        <w:t>Source: Department of Human Services</w:t>
      </w:r>
    </w:p>
    <w:p w:rsidR="00B958B1" w:rsidRDefault="00B958B1" w:rsidP="009F3B54">
      <w:pPr>
        <w:pStyle w:val="Source"/>
      </w:pPr>
    </w:p>
    <w:p w:rsidR="00B958B1" w:rsidRDefault="00B958B1" w:rsidP="009F3B54">
      <w:r>
        <w:t xml:space="preserve">The following table summarises the Department’s total output cost. </w:t>
      </w:r>
    </w:p>
    <w:p w:rsidR="00B958B1" w:rsidRPr="00441A8A" w:rsidRDefault="00B958B1" w:rsidP="009F3B54">
      <w:pPr>
        <w:rPr>
          <w:rFonts w:ascii="Calibri" w:hAnsi="Calibri"/>
          <w:b/>
          <w:lang w:eastAsia="en-AU"/>
        </w:rPr>
      </w:pPr>
      <w:r>
        <w:rPr>
          <w:rFonts w:ascii="Calibri" w:hAnsi="Calibri"/>
          <w:b/>
          <w:lang w:eastAsia="en-AU"/>
        </w:rPr>
        <w:t>Table 2.11</w:t>
      </w:r>
      <w:r w:rsidRPr="00441A8A">
        <w:rPr>
          <w:rFonts w:ascii="Calibri" w:hAnsi="Calibri"/>
          <w:b/>
          <w:lang w:eastAsia="en-AU"/>
        </w:rPr>
        <w:t>:</w:t>
      </w:r>
      <w:r w:rsidRPr="00441A8A">
        <w:rPr>
          <w:rFonts w:ascii="Calibri" w:hAnsi="Calibri"/>
          <w:b/>
          <w:lang w:eastAsia="en-AU"/>
        </w:rPr>
        <w:tab/>
        <w:t>Output summary</w:t>
      </w:r>
    </w:p>
    <w:p w:rsidR="00B958B1" w:rsidRPr="007826E2" w:rsidRDefault="00B958B1" w:rsidP="009F3B54">
      <w:pPr>
        <w:pStyle w:val="million"/>
      </w:pPr>
      <w:r w:rsidRPr="00C41991">
        <w:t xml:space="preserve"> ($</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064"/>
        <w:gridCol w:w="870"/>
        <w:gridCol w:w="870"/>
        <w:gridCol w:w="870"/>
        <w:gridCol w:w="1102"/>
      </w:tblGrid>
      <w:tr w:rsidR="00B958B1" w:rsidRPr="007826E2" w:rsidTr="009F3B54">
        <w:tc>
          <w:tcPr>
            <w:tcW w:w="4064" w:type="dxa"/>
            <w:tcBorders>
              <w:top w:val="single" w:sz="4" w:space="0" w:color="auto"/>
              <w:left w:val="single" w:sz="4" w:space="0" w:color="auto"/>
              <w:bottom w:val="nil"/>
              <w:right w:val="nil"/>
            </w:tcBorders>
            <w:shd w:val="clear" w:color="auto" w:fill="000000"/>
          </w:tcPr>
          <w:p w:rsidR="00B958B1" w:rsidRPr="007826E2" w:rsidRDefault="00B958B1" w:rsidP="009F3B54">
            <w:pPr>
              <w:pStyle w:val="Tabletext"/>
              <w:rPr>
                <w:lang w:eastAsia="en-AU"/>
              </w:rPr>
            </w:pPr>
            <w:r w:rsidRPr="007826E2">
              <w:rPr>
                <w:lang w:eastAsia="en-AU"/>
              </w:rPr>
              <w:t xml:space="preserve">  </w:t>
            </w:r>
          </w:p>
        </w:tc>
        <w:tc>
          <w:tcPr>
            <w:tcW w:w="870" w:type="dxa"/>
            <w:tcBorders>
              <w:top w:val="single" w:sz="4" w:space="0" w:color="auto"/>
              <w:left w:val="nil"/>
              <w:bottom w:val="nil"/>
              <w:right w:val="nil"/>
            </w:tcBorders>
            <w:shd w:val="clear" w:color="auto" w:fill="000000"/>
          </w:tcPr>
          <w:p w:rsidR="00B958B1" w:rsidRPr="007826E2" w:rsidRDefault="00B958B1" w:rsidP="009F3B54">
            <w:pPr>
              <w:pStyle w:val="Tabletextheading"/>
              <w:rPr>
                <w:lang w:eastAsia="en-AU"/>
              </w:rPr>
            </w:pPr>
            <w:r w:rsidRPr="007826E2">
              <w:rPr>
                <w:lang w:eastAsia="en-AU"/>
              </w:rPr>
              <w:t>2012</w:t>
            </w:r>
            <w:r w:rsidR="009F0F49">
              <w:rPr>
                <w:lang w:eastAsia="en-AU"/>
              </w:rPr>
              <w:noBreakHyphen/>
            </w:r>
            <w:r w:rsidRPr="007826E2">
              <w:rPr>
                <w:lang w:eastAsia="en-AU"/>
              </w:rPr>
              <w:t>13</w:t>
            </w:r>
          </w:p>
        </w:tc>
        <w:tc>
          <w:tcPr>
            <w:tcW w:w="870" w:type="dxa"/>
            <w:tcBorders>
              <w:top w:val="single" w:sz="4" w:space="0" w:color="auto"/>
              <w:left w:val="nil"/>
              <w:bottom w:val="nil"/>
              <w:right w:val="nil"/>
            </w:tcBorders>
            <w:shd w:val="clear" w:color="auto" w:fill="000000"/>
          </w:tcPr>
          <w:p w:rsidR="00B958B1" w:rsidRPr="007826E2" w:rsidRDefault="00B958B1" w:rsidP="009F3B54">
            <w:pPr>
              <w:pStyle w:val="Tabletextheading"/>
              <w:rPr>
                <w:lang w:eastAsia="en-AU"/>
              </w:rPr>
            </w:pPr>
            <w:r w:rsidRPr="007826E2">
              <w:rPr>
                <w:lang w:eastAsia="en-AU"/>
              </w:rPr>
              <w:t>2012</w:t>
            </w:r>
            <w:r w:rsidR="009F0F49">
              <w:rPr>
                <w:lang w:eastAsia="en-AU"/>
              </w:rPr>
              <w:noBreakHyphen/>
            </w:r>
            <w:r w:rsidRPr="007826E2">
              <w:rPr>
                <w:lang w:eastAsia="en-AU"/>
              </w:rPr>
              <w:t>13</w:t>
            </w:r>
          </w:p>
        </w:tc>
        <w:tc>
          <w:tcPr>
            <w:tcW w:w="870" w:type="dxa"/>
            <w:tcBorders>
              <w:top w:val="single" w:sz="4" w:space="0" w:color="auto"/>
              <w:left w:val="nil"/>
              <w:bottom w:val="nil"/>
              <w:right w:val="nil"/>
            </w:tcBorders>
            <w:shd w:val="clear" w:color="auto" w:fill="000000"/>
          </w:tcPr>
          <w:p w:rsidR="00B958B1" w:rsidRPr="007826E2" w:rsidRDefault="00B958B1" w:rsidP="009F3B54">
            <w:pPr>
              <w:pStyle w:val="Tabletextheading"/>
              <w:rPr>
                <w:lang w:eastAsia="en-AU"/>
              </w:rPr>
            </w:pPr>
            <w:r w:rsidRPr="007826E2">
              <w:rPr>
                <w:lang w:eastAsia="en-AU"/>
              </w:rPr>
              <w:t>2013</w:t>
            </w:r>
            <w:r w:rsidR="009F0F49">
              <w:rPr>
                <w:lang w:eastAsia="en-AU"/>
              </w:rPr>
              <w:noBreakHyphen/>
            </w:r>
            <w:r w:rsidRPr="007826E2">
              <w:rPr>
                <w:lang w:eastAsia="en-AU"/>
              </w:rPr>
              <w:t>14</w:t>
            </w:r>
          </w:p>
        </w:tc>
        <w:tc>
          <w:tcPr>
            <w:tcW w:w="1102" w:type="dxa"/>
            <w:tcBorders>
              <w:top w:val="single" w:sz="4" w:space="0" w:color="auto"/>
              <w:left w:val="nil"/>
              <w:bottom w:val="nil"/>
              <w:right w:val="single" w:sz="4" w:space="0" w:color="auto"/>
            </w:tcBorders>
            <w:shd w:val="clear" w:color="auto" w:fill="000000"/>
          </w:tcPr>
          <w:p w:rsidR="00B958B1" w:rsidRPr="007826E2" w:rsidRDefault="00B958B1" w:rsidP="009F3B54">
            <w:pPr>
              <w:pStyle w:val="Tabletextheading"/>
              <w:rPr>
                <w:rFonts w:cs="Calibri"/>
                <w:iCs/>
                <w:color w:val="FFFFFF"/>
                <w:vertAlign w:val="superscript"/>
                <w:lang w:eastAsia="en-AU"/>
              </w:rPr>
            </w:pPr>
            <w:r w:rsidRPr="007826E2">
              <w:rPr>
                <w:lang w:eastAsia="en-AU"/>
              </w:rPr>
              <w:t xml:space="preserve">Variation </w:t>
            </w:r>
            <w:r w:rsidRPr="007826E2">
              <w:rPr>
                <w:rFonts w:cs="Calibri"/>
                <w:iCs/>
                <w:color w:val="FFFFFF"/>
                <w:vertAlign w:val="superscript"/>
                <w:lang w:eastAsia="en-AU"/>
              </w:rPr>
              <w:t>(a)</w:t>
            </w:r>
          </w:p>
        </w:tc>
      </w:tr>
      <w:tr w:rsidR="00B958B1" w:rsidRPr="007826E2" w:rsidTr="009F3B54">
        <w:tc>
          <w:tcPr>
            <w:tcW w:w="4064" w:type="dxa"/>
            <w:tcBorders>
              <w:top w:val="nil"/>
              <w:left w:val="single" w:sz="4" w:space="0" w:color="auto"/>
              <w:bottom w:val="single" w:sz="4" w:space="0" w:color="auto"/>
              <w:right w:val="nil"/>
            </w:tcBorders>
            <w:shd w:val="clear" w:color="auto" w:fill="000000"/>
          </w:tcPr>
          <w:p w:rsidR="00B958B1" w:rsidRPr="007826E2" w:rsidRDefault="00B958B1" w:rsidP="009F3B54">
            <w:pPr>
              <w:pStyle w:val="Tabletext"/>
              <w:rPr>
                <w:lang w:eastAsia="en-AU"/>
              </w:rPr>
            </w:pPr>
            <w:r w:rsidRPr="007826E2">
              <w:rPr>
                <w:lang w:eastAsia="en-AU"/>
              </w:rPr>
              <w:t xml:space="preserve">  </w:t>
            </w:r>
          </w:p>
        </w:tc>
        <w:tc>
          <w:tcPr>
            <w:tcW w:w="870" w:type="dxa"/>
            <w:tcBorders>
              <w:top w:val="nil"/>
              <w:left w:val="nil"/>
              <w:bottom w:val="single" w:sz="4" w:space="0" w:color="auto"/>
              <w:right w:val="nil"/>
            </w:tcBorders>
            <w:shd w:val="clear" w:color="auto" w:fill="000000"/>
          </w:tcPr>
          <w:p w:rsidR="00B958B1" w:rsidRPr="007826E2" w:rsidRDefault="00B958B1" w:rsidP="009F3B54">
            <w:pPr>
              <w:pStyle w:val="Tabletextheading"/>
              <w:rPr>
                <w:lang w:eastAsia="en-AU"/>
              </w:rPr>
            </w:pPr>
            <w:r w:rsidRPr="007826E2">
              <w:rPr>
                <w:lang w:eastAsia="en-AU"/>
              </w:rPr>
              <w:t>Budget</w:t>
            </w:r>
          </w:p>
        </w:tc>
        <w:tc>
          <w:tcPr>
            <w:tcW w:w="870" w:type="dxa"/>
            <w:tcBorders>
              <w:top w:val="nil"/>
              <w:left w:val="nil"/>
              <w:bottom w:val="single" w:sz="4" w:space="0" w:color="auto"/>
              <w:right w:val="nil"/>
            </w:tcBorders>
            <w:shd w:val="clear" w:color="auto" w:fill="000000"/>
          </w:tcPr>
          <w:p w:rsidR="00B958B1" w:rsidRPr="007826E2" w:rsidRDefault="00B958B1" w:rsidP="009F3B54">
            <w:pPr>
              <w:pStyle w:val="Tabletextheading"/>
              <w:rPr>
                <w:lang w:eastAsia="en-AU"/>
              </w:rPr>
            </w:pPr>
            <w:r w:rsidRPr="007826E2">
              <w:rPr>
                <w:lang w:eastAsia="en-AU"/>
              </w:rPr>
              <w:t>Revised</w:t>
            </w:r>
          </w:p>
        </w:tc>
        <w:tc>
          <w:tcPr>
            <w:tcW w:w="870" w:type="dxa"/>
            <w:tcBorders>
              <w:top w:val="nil"/>
              <w:left w:val="nil"/>
              <w:bottom w:val="single" w:sz="4" w:space="0" w:color="auto"/>
              <w:right w:val="nil"/>
            </w:tcBorders>
            <w:shd w:val="clear" w:color="auto" w:fill="000000"/>
          </w:tcPr>
          <w:p w:rsidR="00B958B1" w:rsidRPr="007826E2" w:rsidRDefault="00B958B1" w:rsidP="009F3B54">
            <w:pPr>
              <w:pStyle w:val="Tabletextheading"/>
              <w:rPr>
                <w:lang w:eastAsia="en-AU"/>
              </w:rPr>
            </w:pPr>
            <w:r w:rsidRPr="007826E2">
              <w:rPr>
                <w:lang w:eastAsia="en-AU"/>
              </w:rPr>
              <w:t>Budget</w:t>
            </w:r>
          </w:p>
        </w:tc>
        <w:tc>
          <w:tcPr>
            <w:tcW w:w="1102" w:type="dxa"/>
            <w:tcBorders>
              <w:top w:val="nil"/>
              <w:left w:val="nil"/>
              <w:bottom w:val="single" w:sz="4" w:space="0" w:color="auto"/>
              <w:right w:val="single" w:sz="4" w:space="0" w:color="auto"/>
            </w:tcBorders>
            <w:shd w:val="clear" w:color="auto" w:fill="000000"/>
          </w:tcPr>
          <w:p w:rsidR="00B958B1" w:rsidRPr="007826E2" w:rsidRDefault="00B958B1" w:rsidP="009F3B54">
            <w:pPr>
              <w:pStyle w:val="Tabletextheading"/>
              <w:rPr>
                <w:lang w:eastAsia="en-AU"/>
              </w:rPr>
            </w:pPr>
            <w:r w:rsidRPr="007826E2">
              <w:rPr>
                <w:lang w:eastAsia="en-AU"/>
              </w:rPr>
              <w:t>%</w:t>
            </w:r>
          </w:p>
        </w:tc>
      </w:tr>
      <w:tr w:rsidR="00B958B1" w:rsidRPr="007826E2" w:rsidTr="009F3B54">
        <w:tc>
          <w:tcPr>
            <w:tcW w:w="4064" w:type="dxa"/>
            <w:tcBorders>
              <w:top w:val="single" w:sz="4" w:space="0" w:color="auto"/>
              <w:left w:val="nil"/>
              <w:bottom w:val="nil"/>
              <w:right w:val="nil"/>
            </w:tcBorders>
          </w:tcPr>
          <w:p w:rsidR="00B958B1" w:rsidRPr="007826E2" w:rsidRDefault="00B958B1" w:rsidP="009F3B54">
            <w:pPr>
              <w:pStyle w:val="Tabletext"/>
              <w:rPr>
                <w:color w:val="000000"/>
                <w:vertAlign w:val="superscript"/>
                <w:lang w:eastAsia="en-AU"/>
              </w:rPr>
            </w:pPr>
            <w:r w:rsidRPr="007826E2">
              <w:rPr>
                <w:color w:val="000000"/>
                <w:lang w:eastAsia="en-AU"/>
              </w:rPr>
              <w:t>Disability Services</w:t>
            </w:r>
            <w:r w:rsidRPr="007826E2">
              <w:rPr>
                <w:color w:val="000000"/>
                <w:vertAlign w:val="superscript"/>
                <w:lang w:eastAsia="en-AU"/>
              </w:rPr>
              <w:t xml:space="preserve"> (c) (d)</w:t>
            </w:r>
          </w:p>
        </w:tc>
        <w:tc>
          <w:tcPr>
            <w:tcW w:w="870" w:type="dxa"/>
            <w:tcBorders>
              <w:top w:val="single" w:sz="4" w:space="0" w:color="auto"/>
              <w:left w:val="nil"/>
              <w:bottom w:val="nil"/>
              <w:right w:val="nil"/>
            </w:tcBorders>
          </w:tcPr>
          <w:p w:rsidR="00B958B1" w:rsidRPr="007826E2" w:rsidRDefault="00B958B1" w:rsidP="009F3B54">
            <w:pPr>
              <w:pStyle w:val="TableofFigures"/>
              <w:rPr>
                <w:rFonts w:cs="Calibri"/>
                <w:color w:val="000000"/>
                <w:lang w:eastAsia="en-AU"/>
              </w:rPr>
            </w:pPr>
            <w:r w:rsidRPr="007826E2">
              <w:rPr>
                <w:color w:val="000000"/>
                <w:lang w:eastAsia="en-AU"/>
              </w:rPr>
              <w:t xml:space="preserve">1 </w:t>
            </w:r>
            <w:r w:rsidRPr="007826E2">
              <w:rPr>
                <w:rFonts w:cs="Calibri"/>
                <w:color w:val="000000"/>
                <w:lang w:eastAsia="en-AU"/>
              </w:rPr>
              <w:t>477.2</w:t>
            </w:r>
          </w:p>
        </w:tc>
        <w:tc>
          <w:tcPr>
            <w:tcW w:w="870" w:type="dxa"/>
            <w:tcBorders>
              <w:top w:val="single" w:sz="4" w:space="0" w:color="auto"/>
              <w:left w:val="nil"/>
              <w:bottom w:val="nil"/>
              <w:right w:val="nil"/>
            </w:tcBorders>
          </w:tcPr>
          <w:p w:rsidR="00B958B1" w:rsidRPr="007826E2" w:rsidRDefault="00B958B1" w:rsidP="009F3B54">
            <w:pPr>
              <w:pStyle w:val="TableofFigures"/>
              <w:rPr>
                <w:rFonts w:cs="Calibri"/>
                <w:color w:val="000000"/>
                <w:lang w:eastAsia="en-AU"/>
              </w:rPr>
            </w:pPr>
            <w:r w:rsidRPr="007826E2">
              <w:rPr>
                <w:color w:val="000000"/>
                <w:lang w:eastAsia="en-AU"/>
              </w:rPr>
              <w:t xml:space="preserve">1 </w:t>
            </w:r>
            <w:r w:rsidRPr="007826E2">
              <w:rPr>
                <w:rFonts w:cs="Calibri"/>
                <w:color w:val="000000"/>
                <w:lang w:eastAsia="en-AU"/>
              </w:rPr>
              <w:t>501.9</w:t>
            </w:r>
          </w:p>
        </w:tc>
        <w:tc>
          <w:tcPr>
            <w:tcW w:w="870" w:type="dxa"/>
            <w:tcBorders>
              <w:top w:val="single" w:sz="4" w:space="0" w:color="auto"/>
              <w:left w:val="nil"/>
              <w:bottom w:val="nil"/>
              <w:right w:val="nil"/>
            </w:tcBorders>
          </w:tcPr>
          <w:p w:rsidR="00B958B1" w:rsidRPr="007826E2" w:rsidRDefault="00B958B1" w:rsidP="009F3B54">
            <w:pPr>
              <w:pStyle w:val="TableofFigures"/>
              <w:rPr>
                <w:rFonts w:cs="Calibri"/>
                <w:color w:val="000000"/>
                <w:lang w:eastAsia="en-AU"/>
              </w:rPr>
            </w:pPr>
            <w:r w:rsidRPr="007826E2">
              <w:rPr>
                <w:color w:val="000000"/>
                <w:lang w:eastAsia="en-AU"/>
              </w:rPr>
              <w:t xml:space="preserve">1 </w:t>
            </w:r>
            <w:r w:rsidRPr="007826E2">
              <w:rPr>
                <w:rFonts w:cs="Calibri"/>
                <w:color w:val="000000"/>
                <w:lang w:eastAsia="en-AU"/>
              </w:rPr>
              <w:t>587.7</w:t>
            </w:r>
          </w:p>
        </w:tc>
        <w:tc>
          <w:tcPr>
            <w:tcW w:w="1102" w:type="dxa"/>
            <w:tcBorders>
              <w:top w:val="single" w:sz="4" w:space="0" w:color="auto"/>
              <w:left w:val="nil"/>
              <w:bottom w:val="nil"/>
              <w:right w:val="nil"/>
            </w:tcBorders>
          </w:tcPr>
          <w:p w:rsidR="00B958B1" w:rsidRPr="007826E2" w:rsidRDefault="00B958B1" w:rsidP="009F3B54">
            <w:pPr>
              <w:pStyle w:val="TableofFigures"/>
              <w:rPr>
                <w:color w:val="000000"/>
                <w:lang w:eastAsia="en-AU"/>
              </w:rPr>
            </w:pPr>
            <w:r w:rsidRPr="007826E2">
              <w:rPr>
                <w:color w:val="000000"/>
                <w:lang w:eastAsia="en-AU"/>
              </w:rPr>
              <w:t>7.5</w:t>
            </w:r>
          </w:p>
        </w:tc>
      </w:tr>
      <w:tr w:rsidR="00B958B1" w:rsidRPr="007826E2" w:rsidTr="009F3B54">
        <w:tc>
          <w:tcPr>
            <w:tcW w:w="4064" w:type="dxa"/>
            <w:tcBorders>
              <w:top w:val="nil"/>
              <w:left w:val="nil"/>
              <w:bottom w:val="nil"/>
              <w:right w:val="nil"/>
            </w:tcBorders>
          </w:tcPr>
          <w:p w:rsidR="00B958B1" w:rsidRPr="007826E2" w:rsidRDefault="00B958B1" w:rsidP="009F3B54">
            <w:pPr>
              <w:pStyle w:val="Tabletext"/>
              <w:rPr>
                <w:color w:val="000000"/>
                <w:vertAlign w:val="superscript"/>
                <w:lang w:eastAsia="en-AU"/>
              </w:rPr>
            </w:pPr>
            <w:r w:rsidRPr="007826E2">
              <w:rPr>
                <w:color w:val="000000"/>
                <w:lang w:eastAsia="en-AU"/>
              </w:rPr>
              <w:t xml:space="preserve">Child Protection and Family Services </w:t>
            </w:r>
            <w:r w:rsidRPr="007826E2">
              <w:rPr>
                <w:color w:val="000000"/>
                <w:vertAlign w:val="superscript"/>
                <w:lang w:eastAsia="en-AU"/>
              </w:rPr>
              <w:t>(c)</w:t>
            </w:r>
          </w:p>
        </w:tc>
        <w:tc>
          <w:tcPr>
            <w:tcW w:w="870" w:type="dxa"/>
            <w:tcBorders>
              <w:top w:val="nil"/>
              <w:left w:val="nil"/>
              <w:bottom w:val="nil"/>
              <w:right w:val="nil"/>
            </w:tcBorders>
          </w:tcPr>
          <w:p w:rsidR="00B958B1" w:rsidRPr="007826E2" w:rsidRDefault="00B958B1" w:rsidP="009F3B54">
            <w:pPr>
              <w:pStyle w:val="TableofFigures"/>
              <w:rPr>
                <w:rFonts w:cs="Calibri"/>
                <w:color w:val="000000"/>
                <w:lang w:eastAsia="en-AU"/>
              </w:rPr>
            </w:pPr>
            <w:r w:rsidRPr="007826E2">
              <w:rPr>
                <w:color w:val="000000"/>
                <w:lang w:eastAsia="en-AU"/>
              </w:rPr>
              <w:t xml:space="preserve"> 739.2</w:t>
            </w:r>
          </w:p>
        </w:tc>
        <w:tc>
          <w:tcPr>
            <w:tcW w:w="870" w:type="dxa"/>
            <w:tcBorders>
              <w:top w:val="nil"/>
              <w:left w:val="nil"/>
              <w:bottom w:val="nil"/>
              <w:right w:val="nil"/>
            </w:tcBorders>
          </w:tcPr>
          <w:p w:rsidR="00B958B1" w:rsidRPr="007826E2" w:rsidRDefault="00B958B1" w:rsidP="009F3B54">
            <w:pPr>
              <w:pStyle w:val="TableofFigures"/>
              <w:rPr>
                <w:rFonts w:cs="Calibri"/>
                <w:color w:val="000000"/>
                <w:lang w:eastAsia="en-AU"/>
              </w:rPr>
            </w:pPr>
            <w:r w:rsidRPr="007826E2">
              <w:rPr>
                <w:color w:val="000000"/>
                <w:lang w:eastAsia="en-AU"/>
              </w:rPr>
              <w:t xml:space="preserve"> 756.3</w:t>
            </w:r>
          </w:p>
        </w:tc>
        <w:tc>
          <w:tcPr>
            <w:tcW w:w="870" w:type="dxa"/>
            <w:tcBorders>
              <w:top w:val="nil"/>
              <w:left w:val="nil"/>
              <w:bottom w:val="nil"/>
              <w:right w:val="nil"/>
            </w:tcBorders>
          </w:tcPr>
          <w:p w:rsidR="00B958B1" w:rsidRPr="007826E2" w:rsidRDefault="00B958B1" w:rsidP="009F3B54">
            <w:pPr>
              <w:pStyle w:val="TableofFigures"/>
              <w:rPr>
                <w:rFonts w:cs="Calibri"/>
                <w:color w:val="000000"/>
                <w:lang w:eastAsia="en-AU"/>
              </w:rPr>
            </w:pPr>
            <w:r w:rsidRPr="007826E2">
              <w:rPr>
                <w:color w:val="000000"/>
                <w:lang w:eastAsia="en-AU"/>
              </w:rPr>
              <w:t xml:space="preserve"> 795.3</w:t>
            </w:r>
          </w:p>
        </w:tc>
        <w:tc>
          <w:tcPr>
            <w:tcW w:w="1102" w:type="dxa"/>
            <w:tcBorders>
              <w:top w:val="nil"/>
              <w:left w:val="nil"/>
              <w:bottom w:val="nil"/>
              <w:right w:val="nil"/>
            </w:tcBorders>
          </w:tcPr>
          <w:p w:rsidR="00B958B1" w:rsidRPr="007826E2" w:rsidRDefault="00B958B1" w:rsidP="009F3B54">
            <w:pPr>
              <w:pStyle w:val="TableofFigures"/>
              <w:rPr>
                <w:color w:val="000000"/>
                <w:lang w:eastAsia="en-AU"/>
              </w:rPr>
            </w:pPr>
            <w:r w:rsidRPr="007826E2">
              <w:rPr>
                <w:color w:val="000000"/>
                <w:lang w:eastAsia="en-AU"/>
              </w:rPr>
              <w:t>7.6</w:t>
            </w:r>
          </w:p>
        </w:tc>
      </w:tr>
      <w:tr w:rsidR="00B958B1" w:rsidRPr="007826E2" w:rsidTr="009F3B54">
        <w:tc>
          <w:tcPr>
            <w:tcW w:w="4064" w:type="dxa"/>
            <w:tcBorders>
              <w:top w:val="nil"/>
              <w:left w:val="nil"/>
              <w:bottom w:val="nil"/>
              <w:right w:val="nil"/>
            </w:tcBorders>
          </w:tcPr>
          <w:p w:rsidR="00B958B1" w:rsidRPr="007826E2" w:rsidRDefault="00B958B1" w:rsidP="009F3B54">
            <w:pPr>
              <w:pStyle w:val="Tabletext"/>
              <w:rPr>
                <w:color w:val="000000"/>
                <w:lang w:eastAsia="en-AU"/>
              </w:rPr>
            </w:pPr>
            <w:r w:rsidRPr="007826E2">
              <w:rPr>
                <w:color w:val="000000"/>
                <w:lang w:eastAsia="en-AU"/>
              </w:rPr>
              <w:t>Youth Services and Youth Justice</w:t>
            </w:r>
          </w:p>
        </w:tc>
        <w:tc>
          <w:tcPr>
            <w:tcW w:w="870" w:type="dxa"/>
            <w:tcBorders>
              <w:top w:val="nil"/>
              <w:left w:val="nil"/>
              <w:bottom w:val="nil"/>
              <w:right w:val="nil"/>
            </w:tcBorders>
          </w:tcPr>
          <w:p w:rsidR="00B958B1" w:rsidRPr="007826E2" w:rsidRDefault="00B958B1" w:rsidP="009F3B54">
            <w:pPr>
              <w:pStyle w:val="TableofFigures"/>
              <w:rPr>
                <w:rFonts w:cs="Calibri"/>
                <w:color w:val="000000"/>
                <w:lang w:eastAsia="en-AU"/>
              </w:rPr>
            </w:pPr>
            <w:r w:rsidRPr="007826E2">
              <w:rPr>
                <w:color w:val="000000"/>
                <w:lang w:eastAsia="en-AU"/>
              </w:rPr>
              <w:t xml:space="preserve"> 130.5</w:t>
            </w:r>
          </w:p>
        </w:tc>
        <w:tc>
          <w:tcPr>
            <w:tcW w:w="870" w:type="dxa"/>
            <w:tcBorders>
              <w:top w:val="nil"/>
              <w:left w:val="nil"/>
              <w:bottom w:val="nil"/>
              <w:right w:val="nil"/>
            </w:tcBorders>
          </w:tcPr>
          <w:p w:rsidR="00B958B1" w:rsidRPr="007826E2" w:rsidRDefault="00B958B1" w:rsidP="009F3B54">
            <w:pPr>
              <w:pStyle w:val="TableofFigures"/>
              <w:rPr>
                <w:rFonts w:cs="Calibri"/>
                <w:color w:val="000000"/>
                <w:lang w:eastAsia="en-AU"/>
              </w:rPr>
            </w:pPr>
            <w:r w:rsidRPr="007826E2">
              <w:rPr>
                <w:color w:val="000000"/>
                <w:lang w:eastAsia="en-AU"/>
              </w:rPr>
              <w:t xml:space="preserve"> 134.4</w:t>
            </w:r>
          </w:p>
        </w:tc>
        <w:tc>
          <w:tcPr>
            <w:tcW w:w="870" w:type="dxa"/>
            <w:tcBorders>
              <w:top w:val="nil"/>
              <w:left w:val="nil"/>
              <w:bottom w:val="nil"/>
              <w:right w:val="nil"/>
            </w:tcBorders>
          </w:tcPr>
          <w:p w:rsidR="00B958B1" w:rsidRPr="007826E2" w:rsidRDefault="00B958B1" w:rsidP="009F3B54">
            <w:pPr>
              <w:pStyle w:val="TableofFigures"/>
              <w:rPr>
                <w:rFonts w:cs="Calibri"/>
                <w:color w:val="000000"/>
                <w:lang w:eastAsia="en-AU"/>
              </w:rPr>
            </w:pPr>
            <w:r w:rsidRPr="007826E2">
              <w:rPr>
                <w:color w:val="000000"/>
                <w:lang w:eastAsia="en-AU"/>
              </w:rPr>
              <w:t xml:space="preserve"> 136.3</w:t>
            </w:r>
          </w:p>
        </w:tc>
        <w:tc>
          <w:tcPr>
            <w:tcW w:w="1102" w:type="dxa"/>
            <w:tcBorders>
              <w:top w:val="nil"/>
              <w:left w:val="nil"/>
              <w:bottom w:val="nil"/>
              <w:right w:val="nil"/>
            </w:tcBorders>
          </w:tcPr>
          <w:p w:rsidR="00B958B1" w:rsidRPr="007826E2" w:rsidRDefault="00B958B1" w:rsidP="009F3B54">
            <w:pPr>
              <w:pStyle w:val="TableofFigures"/>
              <w:rPr>
                <w:color w:val="000000"/>
                <w:lang w:eastAsia="en-AU"/>
              </w:rPr>
            </w:pPr>
            <w:r w:rsidRPr="007826E2">
              <w:rPr>
                <w:color w:val="000000"/>
                <w:lang w:eastAsia="en-AU"/>
              </w:rPr>
              <w:t>4.4</w:t>
            </w:r>
          </w:p>
        </w:tc>
      </w:tr>
      <w:tr w:rsidR="00B958B1" w:rsidRPr="007826E2" w:rsidTr="009F3B54">
        <w:tc>
          <w:tcPr>
            <w:tcW w:w="4064" w:type="dxa"/>
            <w:tcBorders>
              <w:top w:val="nil"/>
              <w:left w:val="nil"/>
              <w:bottom w:val="nil"/>
              <w:right w:val="nil"/>
            </w:tcBorders>
          </w:tcPr>
          <w:p w:rsidR="00B958B1" w:rsidRPr="007826E2" w:rsidRDefault="00B958B1" w:rsidP="009F3B54">
            <w:pPr>
              <w:pStyle w:val="Tabletext"/>
              <w:rPr>
                <w:color w:val="000000"/>
                <w:vertAlign w:val="superscript"/>
                <w:lang w:eastAsia="en-AU"/>
              </w:rPr>
            </w:pPr>
            <w:r w:rsidRPr="007826E2">
              <w:rPr>
                <w:color w:val="000000"/>
                <w:lang w:eastAsia="en-AU"/>
              </w:rPr>
              <w:t xml:space="preserve">Concessions to Pensioners and Beneficiaries </w:t>
            </w:r>
            <w:r w:rsidRPr="007826E2">
              <w:rPr>
                <w:color w:val="000000"/>
                <w:vertAlign w:val="superscript"/>
                <w:lang w:eastAsia="en-AU"/>
              </w:rPr>
              <w:t>(e)</w:t>
            </w:r>
          </w:p>
        </w:tc>
        <w:tc>
          <w:tcPr>
            <w:tcW w:w="870" w:type="dxa"/>
            <w:tcBorders>
              <w:top w:val="nil"/>
              <w:left w:val="nil"/>
              <w:bottom w:val="nil"/>
              <w:right w:val="nil"/>
            </w:tcBorders>
          </w:tcPr>
          <w:p w:rsidR="00B958B1" w:rsidRPr="007826E2" w:rsidRDefault="00B958B1" w:rsidP="009F3B54">
            <w:pPr>
              <w:pStyle w:val="TableofFigures"/>
              <w:rPr>
                <w:rFonts w:cs="Calibri"/>
                <w:color w:val="000000"/>
                <w:lang w:eastAsia="en-AU"/>
              </w:rPr>
            </w:pPr>
            <w:r w:rsidRPr="007826E2">
              <w:rPr>
                <w:color w:val="000000"/>
                <w:lang w:eastAsia="en-AU"/>
              </w:rPr>
              <w:t xml:space="preserve"> 647.1</w:t>
            </w:r>
          </w:p>
        </w:tc>
        <w:tc>
          <w:tcPr>
            <w:tcW w:w="870" w:type="dxa"/>
            <w:tcBorders>
              <w:top w:val="nil"/>
              <w:left w:val="nil"/>
              <w:bottom w:val="nil"/>
              <w:right w:val="nil"/>
            </w:tcBorders>
          </w:tcPr>
          <w:p w:rsidR="00B958B1" w:rsidRPr="007826E2" w:rsidRDefault="00B958B1" w:rsidP="009F3B54">
            <w:pPr>
              <w:pStyle w:val="TableofFigures"/>
              <w:rPr>
                <w:rFonts w:cs="Calibri"/>
                <w:color w:val="000000"/>
                <w:lang w:eastAsia="en-AU"/>
              </w:rPr>
            </w:pPr>
            <w:r w:rsidRPr="007826E2">
              <w:rPr>
                <w:color w:val="000000"/>
                <w:lang w:eastAsia="en-AU"/>
              </w:rPr>
              <w:t xml:space="preserve"> 644.9</w:t>
            </w:r>
          </w:p>
        </w:tc>
        <w:tc>
          <w:tcPr>
            <w:tcW w:w="870" w:type="dxa"/>
            <w:tcBorders>
              <w:top w:val="nil"/>
              <w:left w:val="nil"/>
              <w:bottom w:val="nil"/>
              <w:right w:val="nil"/>
            </w:tcBorders>
          </w:tcPr>
          <w:p w:rsidR="00B958B1" w:rsidRPr="007826E2" w:rsidRDefault="00B958B1" w:rsidP="009F3B54">
            <w:pPr>
              <w:pStyle w:val="TableofFigures"/>
              <w:rPr>
                <w:rFonts w:cs="Calibri"/>
                <w:color w:val="000000"/>
                <w:lang w:eastAsia="en-AU"/>
              </w:rPr>
            </w:pPr>
            <w:r w:rsidRPr="007826E2">
              <w:rPr>
                <w:color w:val="000000"/>
                <w:lang w:eastAsia="en-AU"/>
              </w:rPr>
              <w:t xml:space="preserve"> 670.2</w:t>
            </w:r>
          </w:p>
        </w:tc>
        <w:tc>
          <w:tcPr>
            <w:tcW w:w="1102" w:type="dxa"/>
            <w:tcBorders>
              <w:top w:val="nil"/>
              <w:left w:val="nil"/>
              <w:bottom w:val="nil"/>
              <w:right w:val="nil"/>
            </w:tcBorders>
          </w:tcPr>
          <w:p w:rsidR="00B958B1" w:rsidRPr="007826E2" w:rsidRDefault="00B958B1" w:rsidP="009F3B54">
            <w:pPr>
              <w:pStyle w:val="TableofFigures"/>
              <w:rPr>
                <w:color w:val="000000"/>
                <w:lang w:eastAsia="en-AU"/>
              </w:rPr>
            </w:pPr>
            <w:r w:rsidRPr="007826E2">
              <w:rPr>
                <w:color w:val="000000"/>
                <w:lang w:eastAsia="en-AU"/>
              </w:rPr>
              <w:t>3.6</w:t>
            </w:r>
          </w:p>
        </w:tc>
      </w:tr>
      <w:tr w:rsidR="00B958B1" w:rsidRPr="007826E2" w:rsidTr="009F3B54">
        <w:tc>
          <w:tcPr>
            <w:tcW w:w="4064" w:type="dxa"/>
            <w:tcBorders>
              <w:top w:val="nil"/>
              <w:left w:val="nil"/>
              <w:bottom w:val="nil"/>
              <w:right w:val="nil"/>
            </w:tcBorders>
          </w:tcPr>
          <w:p w:rsidR="00B958B1" w:rsidRPr="007826E2" w:rsidRDefault="00B958B1" w:rsidP="009F3B54">
            <w:pPr>
              <w:pStyle w:val="Tabletext"/>
              <w:rPr>
                <w:color w:val="000000"/>
                <w:lang w:eastAsia="en-AU"/>
              </w:rPr>
            </w:pPr>
            <w:r w:rsidRPr="007826E2">
              <w:rPr>
                <w:color w:val="000000"/>
                <w:lang w:eastAsia="en-AU"/>
              </w:rPr>
              <w:t xml:space="preserve">Housing Assistance </w:t>
            </w:r>
            <w:r w:rsidRPr="007826E2">
              <w:rPr>
                <w:color w:val="000000"/>
                <w:vertAlign w:val="superscript"/>
                <w:lang w:eastAsia="en-AU"/>
              </w:rPr>
              <w:t>(f)</w:t>
            </w:r>
          </w:p>
        </w:tc>
        <w:tc>
          <w:tcPr>
            <w:tcW w:w="870" w:type="dxa"/>
            <w:tcBorders>
              <w:top w:val="nil"/>
              <w:left w:val="nil"/>
              <w:bottom w:val="nil"/>
              <w:right w:val="nil"/>
            </w:tcBorders>
          </w:tcPr>
          <w:p w:rsidR="00B958B1" w:rsidRPr="007826E2" w:rsidRDefault="00B958B1" w:rsidP="009F3B54">
            <w:pPr>
              <w:pStyle w:val="TableofFigures"/>
              <w:rPr>
                <w:rFonts w:cs="Calibri"/>
                <w:color w:val="000000"/>
                <w:lang w:eastAsia="en-AU"/>
              </w:rPr>
            </w:pPr>
            <w:r w:rsidRPr="007826E2">
              <w:rPr>
                <w:color w:val="000000"/>
                <w:lang w:eastAsia="en-AU"/>
              </w:rPr>
              <w:t xml:space="preserve"> 400.1</w:t>
            </w:r>
          </w:p>
        </w:tc>
        <w:tc>
          <w:tcPr>
            <w:tcW w:w="870" w:type="dxa"/>
            <w:tcBorders>
              <w:top w:val="nil"/>
              <w:left w:val="nil"/>
              <w:bottom w:val="nil"/>
              <w:right w:val="nil"/>
            </w:tcBorders>
          </w:tcPr>
          <w:p w:rsidR="00B958B1" w:rsidRPr="007826E2" w:rsidRDefault="00B958B1" w:rsidP="009F3B54">
            <w:pPr>
              <w:pStyle w:val="TableofFigures"/>
              <w:rPr>
                <w:rFonts w:cs="Calibri"/>
                <w:color w:val="000000"/>
                <w:lang w:eastAsia="en-AU"/>
              </w:rPr>
            </w:pPr>
            <w:r w:rsidRPr="007826E2">
              <w:rPr>
                <w:color w:val="000000"/>
                <w:lang w:eastAsia="en-AU"/>
              </w:rPr>
              <w:t xml:space="preserve"> 414.3</w:t>
            </w:r>
          </w:p>
        </w:tc>
        <w:tc>
          <w:tcPr>
            <w:tcW w:w="870" w:type="dxa"/>
            <w:tcBorders>
              <w:top w:val="nil"/>
              <w:left w:val="nil"/>
              <w:bottom w:val="nil"/>
              <w:right w:val="nil"/>
            </w:tcBorders>
          </w:tcPr>
          <w:p w:rsidR="00B958B1" w:rsidRPr="007826E2" w:rsidRDefault="00B958B1" w:rsidP="009F3B54">
            <w:pPr>
              <w:pStyle w:val="TableofFigures"/>
              <w:rPr>
                <w:rFonts w:cs="Calibri"/>
                <w:color w:val="000000"/>
                <w:lang w:eastAsia="en-AU"/>
              </w:rPr>
            </w:pPr>
            <w:r w:rsidRPr="007826E2">
              <w:rPr>
                <w:color w:val="000000"/>
                <w:lang w:eastAsia="en-AU"/>
              </w:rPr>
              <w:t xml:space="preserve"> 387.0</w:t>
            </w:r>
          </w:p>
        </w:tc>
        <w:tc>
          <w:tcPr>
            <w:tcW w:w="1102" w:type="dxa"/>
            <w:tcBorders>
              <w:top w:val="nil"/>
              <w:left w:val="nil"/>
              <w:bottom w:val="nil"/>
              <w:right w:val="nil"/>
            </w:tcBorders>
          </w:tcPr>
          <w:p w:rsidR="00B958B1" w:rsidRPr="007826E2" w:rsidRDefault="009F0F49" w:rsidP="009F3B54">
            <w:pPr>
              <w:pStyle w:val="TableofFigures"/>
              <w:rPr>
                <w:color w:val="000000"/>
                <w:lang w:eastAsia="en-AU"/>
              </w:rPr>
            </w:pPr>
            <w:r>
              <w:rPr>
                <w:color w:val="000000"/>
                <w:lang w:eastAsia="en-AU"/>
              </w:rPr>
              <w:noBreakHyphen/>
            </w:r>
            <w:r w:rsidR="00B958B1" w:rsidRPr="007826E2">
              <w:rPr>
                <w:color w:val="000000"/>
                <w:lang w:eastAsia="en-AU"/>
              </w:rPr>
              <w:t>3.3</w:t>
            </w:r>
          </w:p>
        </w:tc>
      </w:tr>
      <w:tr w:rsidR="00B958B1" w:rsidRPr="007826E2" w:rsidTr="009F3B54">
        <w:tc>
          <w:tcPr>
            <w:tcW w:w="4064" w:type="dxa"/>
            <w:tcBorders>
              <w:top w:val="nil"/>
              <w:left w:val="nil"/>
              <w:bottom w:val="nil"/>
              <w:right w:val="nil"/>
            </w:tcBorders>
          </w:tcPr>
          <w:p w:rsidR="00B958B1" w:rsidRPr="007826E2" w:rsidRDefault="00B958B1" w:rsidP="009F3B54">
            <w:pPr>
              <w:pStyle w:val="Tabletext"/>
              <w:rPr>
                <w:color w:val="000000"/>
                <w:lang w:eastAsia="en-AU"/>
              </w:rPr>
            </w:pPr>
            <w:r w:rsidRPr="007826E2">
              <w:rPr>
                <w:color w:val="000000"/>
                <w:lang w:eastAsia="en-AU"/>
              </w:rPr>
              <w:t xml:space="preserve">Empowering Individuals and Communities </w:t>
            </w:r>
            <w:r w:rsidRPr="007826E2">
              <w:rPr>
                <w:color w:val="000000"/>
                <w:vertAlign w:val="superscript"/>
                <w:lang w:eastAsia="en-AU"/>
              </w:rPr>
              <w:t>(g)</w:t>
            </w:r>
          </w:p>
        </w:tc>
        <w:tc>
          <w:tcPr>
            <w:tcW w:w="870" w:type="dxa"/>
            <w:tcBorders>
              <w:top w:val="nil"/>
              <w:left w:val="nil"/>
              <w:bottom w:val="nil"/>
              <w:right w:val="nil"/>
            </w:tcBorders>
          </w:tcPr>
          <w:p w:rsidR="00B958B1" w:rsidRPr="007826E2" w:rsidRDefault="00B958B1" w:rsidP="009F3B54">
            <w:pPr>
              <w:pStyle w:val="TableofFigures"/>
              <w:rPr>
                <w:rFonts w:cs="Calibri"/>
                <w:color w:val="000000"/>
                <w:lang w:eastAsia="en-AU"/>
              </w:rPr>
            </w:pPr>
            <w:r w:rsidRPr="007826E2">
              <w:rPr>
                <w:color w:val="000000"/>
                <w:lang w:eastAsia="en-AU"/>
              </w:rPr>
              <w:t xml:space="preserve"> 57.1</w:t>
            </w:r>
          </w:p>
        </w:tc>
        <w:tc>
          <w:tcPr>
            <w:tcW w:w="870" w:type="dxa"/>
            <w:tcBorders>
              <w:top w:val="nil"/>
              <w:left w:val="nil"/>
              <w:bottom w:val="nil"/>
              <w:right w:val="nil"/>
            </w:tcBorders>
          </w:tcPr>
          <w:p w:rsidR="00B958B1" w:rsidRPr="007826E2" w:rsidRDefault="00B958B1" w:rsidP="009F3B54">
            <w:pPr>
              <w:pStyle w:val="TableofFigures"/>
              <w:rPr>
                <w:rFonts w:cs="Calibri"/>
                <w:color w:val="000000"/>
                <w:lang w:eastAsia="en-AU"/>
              </w:rPr>
            </w:pPr>
            <w:r w:rsidRPr="007826E2">
              <w:rPr>
                <w:color w:val="000000"/>
                <w:lang w:eastAsia="en-AU"/>
              </w:rPr>
              <w:t xml:space="preserve"> 58.1</w:t>
            </w:r>
          </w:p>
        </w:tc>
        <w:tc>
          <w:tcPr>
            <w:tcW w:w="870" w:type="dxa"/>
            <w:tcBorders>
              <w:top w:val="nil"/>
              <w:left w:val="nil"/>
              <w:bottom w:val="nil"/>
              <w:right w:val="nil"/>
            </w:tcBorders>
          </w:tcPr>
          <w:p w:rsidR="00B958B1" w:rsidRPr="007826E2" w:rsidRDefault="00B958B1" w:rsidP="009F3B54">
            <w:pPr>
              <w:pStyle w:val="TableofFigures"/>
              <w:rPr>
                <w:rFonts w:cs="Calibri"/>
                <w:color w:val="000000"/>
                <w:lang w:eastAsia="en-AU"/>
              </w:rPr>
            </w:pPr>
            <w:r w:rsidRPr="007826E2">
              <w:rPr>
                <w:color w:val="000000"/>
                <w:lang w:eastAsia="en-AU"/>
              </w:rPr>
              <w:t xml:space="preserve"> 69.9</w:t>
            </w:r>
          </w:p>
        </w:tc>
        <w:tc>
          <w:tcPr>
            <w:tcW w:w="1102" w:type="dxa"/>
            <w:tcBorders>
              <w:top w:val="nil"/>
              <w:left w:val="nil"/>
              <w:bottom w:val="nil"/>
              <w:right w:val="nil"/>
            </w:tcBorders>
          </w:tcPr>
          <w:p w:rsidR="00B958B1" w:rsidRPr="007826E2" w:rsidRDefault="00B958B1" w:rsidP="009F3B54">
            <w:pPr>
              <w:pStyle w:val="TableofFigures"/>
              <w:rPr>
                <w:color w:val="000000"/>
                <w:lang w:eastAsia="en-AU"/>
              </w:rPr>
            </w:pPr>
            <w:r w:rsidRPr="007826E2">
              <w:rPr>
                <w:color w:val="000000"/>
                <w:lang w:eastAsia="en-AU"/>
              </w:rPr>
              <w:t>22.4</w:t>
            </w:r>
          </w:p>
        </w:tc>
      </w:tr>
      <w:tr w:rsidR="00B958B1" w:rsidRPr="007826E2" w:rsidTr="009F3B54">
        <w:tc>
          <w:tcPr>
            <w:tcW w:w="4064" w:type="dxa"/>
            <w:tcBorders>
              <w:top w:val="single" w:sz="6" w:space="0" w:color="auto"/>
              <w:left w:val="nil"/>
              <w:bottom w:val="single" w:sz="12" w:space="0" w:color="auto"/>
              <w:right w:val="nil"/>
            </w:tcBorders>
          </w:tcPr>
          <w:p w:rsidR="00B958B1" w:rsidRPr="007826E2" w:rsidRDefault="00B958B1" w:rsidP="009F3B54">
            <w:pPr>
              <w:pStyle w:val="Tabletext"/>
              <w:rPr>
                <w:rFonts w:cs="Calibri"/>
                <w:b/>
                <w:bCs/>
                <w:color w:val="000000"/>
                <w:vertAlign w:val="superscript"/>
                <w:lang w:eastAsia="en-AU"/>
              </w:rPr>
            </w:pPr>
            <w:r w:rsidRPr="007826E2">
              <w:rPr>
                <w:b/>
                <w:bCs/>
                <w:color w:val="000000"/>
                <w:lang w:eastAsia="en-AU"/>
              </w:rPr>
              <w:t xml:space="preserve">Total </w:t>
            </w:r>
            <w:r w:rsidRPr="007826E2">
              <w:rPr>
                <w:rFonts w:cs="Calibri"/>
                <w:b/>
                <w:bCs/>
                <w:color w:val="000000"/>
                <w:vertAlign w:val="superscript"/>
                <w:lang w:eastAsia="en-AU"/>
              </w:rPr>
              <w:t>(h)</w:t>
            </w:r>
          </w:p>
        </w:tc>
        <w:tc>
          <w:tcPr>
            <w:tcW w:w="870" w:type="dxa"/>
            <w:tcBorders>
              <w:top w:val="single" w:sz="6" w:space="0" w:color="auto"/>
              <w:left w:val="nil"/>
              <w:bottom w:val="single" w:sz="12" w:space="0" w:color="auto"/>
              <w:right w:val="nil"/>
            </w:tcBorders>
          </w:tcPr>
          <w:p w:rsidR="00B958B1" w:rsidRPr="007826E2" w:rsidRDefault="00B958B1" w:rsidP="009F3B54">
            <w:pPr>
              <w:pStyle w:val="TableofFigures"/>
              <w:rPr>
                <w:rFonts w:cs="Calibri"/>
                <w:b/>
                <w:bCs/>
                <w:color w:val="000000"/>
                <w:szCs w:val="22"/>
                <w:lang w:eastAsia="en-AU"/>
              </w:rPr>
            </w:pPr>
            <w:r w:rsidRPr="007826E2">
              <w:rPr>
                <w:b/>
                <w:bCs/>
                <w:color w:val="000000"/>
                <w:szCs w:val="22"/>
                <w:lang w:eastAsia="en-AU"/>
              </w:rPr>
              <w:t xml:space="preserve">3 </w:t>
            </w:r>
            <w:r w:rsidRPr="007826E2">
              <w:rPr>
                <w:rFonts w:cs="Calibri"/>
                <w:b/>
                <w:bCs/>
                <w:color w:val="000000"/>
                <w:szCs w:val="22"/>
                <w:lang w:eastAsia="en-AU"/>
              </w:rPr>
              <w:t>451.2</w:t>
            </w:r>
          </w:p>
        </w:tc>
        <w:tc>
          <w:tcPr>
            <w:tcW w:w="870" w:type="dxa"/>
            <w:tcBorders>
              <w:top w:val="single" w:sz="6" w:space="0" w:color="auto"/>
              <w:left w:val="nil"/>
              <w:bottom w:val="single" w:sz="12" w:space="0" w:color="auto"/>
              <w:right w:val="nil"/>
            </w:tcBorders>
          </w:tcPr>
          <w:p w:rsidR="00B958B1" w:rsidRPr="007826E2" w:rsidRDefault="00B958B1" w:rsidP="009F3B54">
            <w:pPr>
              <w:pStyle w:val="TableofFigures"/>
              <w:rPr>
                <w:rFonts w:cs="Calibri"/>
                <w:b/>
                <w:bCs/>
                <w:color w:val="000000"/>
                <w:szCs w:val="22"/>
                <w:lang w:eastAsia="en-AU"/>
              </w:rPr>
            </w:pPr>
            <w:r w:rsidRPr="007826E2">
              <w:rPr>
                <w:b/>
                <w:bCs/>
                <w:color w:val="000000"/>
                <w:szCs w:val="22"/>
                <w:lang w:eastAsia="en-AU"/>
              </w:rPr>
              <w:t xml:space="preserve">3 </w:t>
            </w:r>
            <w:r w:rsidRPr="007826E2">
              <w:rPr>
                <w:rFonts w:cs="Calibri"/>
                <w:b/>
                <w:bCs/>
                <w:color w:val="000000"/>
                <w:szCs w:val="22"/>
                <w:lang w:eastAsia="en-AU"/>
              </w:rPr>
              <w:t>509.9</w:t>
            </w:r>
          </w:p>
        </w:tc>
        <w:tc>
          <w:tcPr>
            <w:tcW w:w="870" w:type="dxa"/>
            <w:tcBorders>
              <w:top w:val="single" w:sz="6" w:space="0" w:color="auto"/>
              <w:left w:val="nil"/>
              <w:bottom w:val="single" w:sz="12" w:space="0" w:color="auto"/>
              <w:right w:val="nil"/>
            </w:tcBorders>
          </w:tcPr>
          <w:p w:rsidR="00B958B1" w:rsidRPr="007826E2" w:rsidRDefault="00B958B1" w:rsidP="009F3B54">
            <w:pPr>
              <w:pStyle w:val="TableofFigures"/>
              <w:rPr>
                <w:rFonts w:cs="Calibri"/>
                <w:b/>
                <w:bCs/>
                <w:color w:val="000000"/>
                <w:szCs w:val="22"/>
                <w:lang w:eastAsia="en-AU"/>
              </w:rPr>
            </w:pPr>
            <w:r w:rsidRPr="007826E2">
              <w:rPr>
                <w:b/>
                <w:bCs/>
                <w:color w:val="000000"/>
                <w:szCs w:val="22"/>
                <w:lang w:eastAsia="en-AU"/>
              </w:rPr>
              <w:t xml:space="preserve">3 </w:t>
            </w:r>
            <w:r w:rsidRPr="007826E2">
              <w:rPr>
                <w:rFonts w:cs="Calibri"/>
                <w:b/>
                <w:bCs/>
                <w:color w:val="000000"/>
                <w:szCs w:val="22"/>
                <w:lang w:eastAsia="en-AU"/>
              </w:rPr>
              <w:t>646.4</w:t>
            </w:r>
          </w:p>
        </w:tc>
        <w:tc>
          <w:tcPr>
            <w:tcW w:w="1102" w:type="dxa"/>
            <w:tcBorders>
              <w:top w:val="single" w:sz="6" w:space="0" w:color="auto"/>
              <w:left w:val="nil"/>
              <w:bottom w:val="single" w:sz="12" w:space="0" w:color="auto"/>
              <w:right w:val="nil"/>
            </w:tcBorders>
          </w:tcPr>
          <w:p w:rsidR="00B958B1" w:rsidRPr="007826E2" w:rsidRDefault="00B958B1" w:rsidP="009F3B54">
            <w:pPr>
              <w:pStyle w:val="TableofFigures"/>
              <w:rPr>
                <w:b/>
                <w:bCs/>
                <w:color w:val="000000"/>
                <w:szCs w:val="22"/>
                <w:lang w:eastAsia="en-AU"/>
              </w:rPr>
            </w:pPr>
            <w:r w:rsidRPr="007826E2">
              <w:rPr>
                <w:b/>
                <w:bCs/>
                <w:color w:val="000000"/>
                <w:szCs w:val="22"/>
                <w:lang w:eastAsia="en-AU"/>
              </w:rPr>
              <w:t>5.7</w:t>
            </w:r>
          </w:p>
        </w:tc>
      </w:tr>
    </w:tbl>
    <w:p w:rsidR="00B958B1" w:rsidRPr="001262B7" w:rsidRDefault="00B958B1" w:rsidP="009F3B54">
      <w:pPr>
        <w:pStyle w:val="Source"/>
        <w:rPr>
          <w:rFonts w:ascii="Times New Roman" w:hAnsi="Times New Roman"/>
          <w:sz w:val="20"/>
          <w:lang w:eastAsia="en-AU"/>
        </w:rPr>
      </w:pPr>
      <w:r w:rsidRPr="00C41991">
        <w:t>Source: Department of Human Services</w:t>
      </w:r>
    </w:p>
    <w:p w:rsidR="00B958B1" w:rsidRPr="00C41991" w:rsidRDefault="00B958B1" w:rsidP="009F3B54">
      <w:pPr>
        <w:pStyle w:val="Notes"/>
      </w:pPr>
      <w:r>
        <w:fldChar w:fldCharType="begin"/>
      </w:r>
      <w:r>
        <w:instrText xml:space="preserve"> XE "</w:instrText>
      </w:r>
      <w:r w:rsidRPr="006C6AD5">
        <w:instrText>Department of Human Services:Output summary</w:instrText>
      </w:r>
      <w:r>
        <w:instrText xml:space="preserve">" </w:instrText>
      </w:r>
      <w:r>
        <w:fldChar w:fldCharType="end"/>
      </w:r>
      <w:r w:rsidRPr="00C41991">
        <w:t>Notes:</w:t>
      </w:r>
    </w:p>
    <w:p w:rsidR="00B958B1" w:rsidRPr="008F2315" w:rsidRDefault="00B958B1" w:rsidP="009F3B54">
      <w:pPr>
        <w:pStyle w:val="Notes"/>
      </w:pPr>
      <w:r>
        <w:t xml:space="preserve">(a) </w:t>
      </w:r>
      <w:r>
        <w:tab/>
      </w:r>
      <w:r w:rsidRPr="008F2315">
        <w:t>Variation between 2012</w:t>
      </w:r>
      <w:r w:rsidR="009F0F49">
        <w:noBreakHyphen/>
      </w:r>
      <w:r w:rsidRPr="008F2315">
        <w:t xml:space="preserve">13 </w:t>
      </w:r>
      <w:r>
        <w:t>B</w:t>
      </w:r>
      <w:r w:rsidRPr="008F2315">
        <w:t>udget and 2013</w:t>
      </w:r>
      <w:r w:rsidR="009F0F49">
        <w:noBreakHyphen/>
      </w:r>
      <w:r w:rsidRPr="008F2315">
        <w:t xml:space="preserve">14 </w:t>
      </w:r>
      <w:r>
        <w:t>b</w:t>
      </w:r>
      <w:r w:rsidRPr="008F2315">
        <w:t>udget.</w:t>
      </w:r>
    </w:p>
    <w:p w:rsidR="00B958B1" w:rsidRPr="008F2315" w:rsidRDefault="00B958B1" w:rsidP="009F3B54">
      <w:pPr>
        <w:pStyle w:val="Notes"/>
      </w:pPr>
      <w:r w:rsidRPr="008F2315">
        <w:t xml:space="preserve">(b) </w:t>
      </w:r>
      <w:r>
        <w:tab/>
      </w:r>
      <w:r w:rsidRPr="008F2315">
        <w:t>Variations in the Department of Human Services</w:t>
      </w:r>
      <w:r>
        <w:t>’</w:t>
      </w:r>
      <w:r w:rsidRPr="008F2315">
        <w:t xml:space="preserve"> 2013</w:t>
      </w:r>
      <w:r w:rsidR="009F0F49">
        <w:noBreakHyphen/>
      </w:r>
      <w:r w:rsidRPr="008F2315">
        <w:t xml:space="preserve">14 </w:t>
      </w:r>
      <w:r>
        <w:t>b</w:t>
      </w:r>
      <w:r w:rsidRPr="008F2315">
        <w:t>udget compared with the 2012</w:t>
      </w:r>
      <w:r w:rsidR="009F0F49">
        <w:noBreakHyphen/>
      </w:r>
      <w:r w:rsidRPr="008F2315">
        <w:t>13 budget are primarily due to funding provided for government policy commitments including the full</w:t>
      </w:r>
      <w:r w:rsidR="009F0F49">
        <w:noBreakHyphen/>
      </w:r>
      <w:r w:rsidRPr="008F2315">
        <w:t>year effect of initiative funding announced in previous years</w:t>
      </w:r>
      <w:r>
        <w:t>’</w:t>
      </w:r>
      <w:r w:rsidRPr="008F2315">
        <w:t xml:space="preserve"> budgets.</w:t>
      </w:r>
    </w:p>
    <w:p w:rsidR="00B958B1" w:rsidRDefault="00B958B1" w:rsidP="009F3B54">
      <w:pPr>
        <w:pStyle w:val="Notes"/>
      </w:pPr>
      <w:r w:rsidRPr="008F2315">
        <w:t xml:space="preserve">(c) </w:t>
      </w:r>
      <w:r>
        <w:tab/>
      </w:r>
      <w:r w:rsidRPr="008F2315">
        <w:t>The higher 2013</w:t>
      </w:r>
      <w:r w:rsidR="009F0F49">
        <w:noBreakHyphen/>
      </w:r>
      <w:r w:rsidRPr="008F2315">
        <w:t xml:space="preserve">14 </w:t>
      </w:r>
      <w:r>
        <w:t>b</w:t>
      </w:r>
      <w:r w:rsidRPr="008F2315">
        <w:t>udget primarily reflects additional government investment provided in 2013</w:t>
      </w:r>
      <w:r w:rsidR="009F0F49">
        <w:noBreakHyphen/>
      </w:r>
      <w:r w:rsidRPr="008F2315">
        <w:t>14, the impact of the social and community services pay equity case and the full year effect of prior year initiatives.</w:t>
      </w:r>
    </w:p>
    <w:p w:rsidR="00B958B1" w:rsidRPr="008F2315" w:rsidRDefault="00B958B1" w:rsidP="009F3B54">
      <w:pPr>
        <w:pStyle w:val="Notes"/>
      </w:pPr>
      <w:r>
        <w:t xml:space="preserve">(d) </w:t>
      </w:r>
      <w:r>
        <w:tab/>
      </w:r>
      <w:r w:rsidRPr="00481576">
        <w:t>The output summary includes funding for the National Disability Insurance Scheme</w:t>
      </w:r>
      <w:r>
        <w:t xml:space="preserve"> trial operating in the Barwon a</w:t>
      </w:r>
      <w:r w:rsidRPr="00481576">
        <w:t xml:space="preserve">rea in Victoria. This will be delivered by the National Disability Insurance Scheme launch authority </w:t>
      </w:r>
      <w:r>
        <w:t xml:space="preserve">which </w:t>
      </w:r>
      <w:r w:rsidRPr="00481576">
        <w:t>is responsible for the delivery of services.</w:t>
      </w:r>
    </w:p>
    <w:p w:rsidR="00B958B1" w:rsidRPr="003D6D28" w:rsidRDefault="00B958B1" w:rsidP="009F3B54">
      <w:pPr>
        <w:pStyle w:val="Notes"/>
      </w:pPr>
      <w:r w:rsidRPr="008F2315">
        <w:t>(</w:t>
      </w:r>
      <w:r>
        <w:t>e</w:t>
      </w:r>
      <w:r w:rsidRPr="008F2315">
        <w:t xml:space="preserve">) </w:t>
      </w:r>
      <w:r>
        <w:tab/>
      </w:r>
      <w:r w:rsidRPr="003D6D28">
        <w:t>The output summary includes funding for transport concessions transferred to the Department of Transport, Planning and Local Infrastructure. This funding is reflected in the Department of Transport, Planning and Local Infrastructures’ Public Transport Services output.</w:t>
      </w:r>
    </w:p>
    <w:p w:rsidR="00B958B1" w:rsidRDefault="00B958B1" w:rsidP="009F3B54">
      <w:pPr>
        <w:pStyle w:val="Notes"/>
      </w:pPr>
      <w:r w:rsidRPr="003D6D28">
        <w:t xml:space="preserve">(f) </w:t>
      </w:r>
      <w:r w:rsidRPr="003D6D28">
        <w:tab/>
        <w:t>The 2013</w:t>
      </w:r>
      <w:r w:rsidR="009F0F49">
        <w:noBreakHyphen/>
      </w:r>
      <w:r w:rsidRPr="003D6D28">
        <w:t>14 Budget reduction primarily reflects completion of fixed</w:t>
      </w:r>
      <w:r w:rsidR="009F0F49">
        <w:noBreakHyphen/>
      </w:r>
      <w:r w:rsidRPr="003D6D28">
        <w:t>term initiatives and the exclusion of the 2013</w:t>
      </w:r>
      <w:r w:rsidR="009F0F49">
        <w:noBreakHyphen/>
      </w:r>
      <w:r w:rsidRPr="003D6D28">
        <w:t>14 Transitional National Partnership Agreement on Homelessness Commonwealth funding of $22.14</w:t>
      </w:r>
      <w:r>
        <w:t> million</w:t>
      </w:r>
      <w:r w:rsidRPr="003D6D28">
        <w:t xml:space="preserve"> which is subject to finalisation of the Implementation Plan.</w:t>
      </w:r>
    </w:p>
    <w:p w:rsidR="00B958B1" w:rsidRPr="008F2315" w:rsidRDefault="00B958B1" w:rsidP="009F3B54">
      <w:pPr>
        <w:pStyle w:val="Notes"/>
      </w:pPr>
      <w:r w:rsidRPr="009F18D0">
        <w:t>(</w:t>
      </w:r>
      <w:r>
        <w:t>g</w:t>
      </w:r>
      <w:r w:rsidRPr="009F18D0">
        <w:t xml:space="preserve">) </w:t>
      </w:r>
      <w:r>
        <w:tab/>
      </w:r>
      <w:r w:rsidRPr="009F18D0">
        <w:t>The higher 2013</w:t>
      </w:r>
      <w:r w:rsidR="009F0F49">
        <w:noBreakHyphen/>
      </w:r>
      <w:r w:rsidRPr="009F18D0">
        <w:t xml:space="preserve">14 </w:t>
      </w:r>
      <w:r>
        <w:t>b</w:t>
      </w:r>
      <w:r w:rsidRPr="009F18D0">
        <w:t xml:space="preserve">udget primarily reflects the machinery of government transfer of functions of the </w:t>
      </w:r>
      <w:r>
        <w:t>Office for the Community Sector</w:t>
      </w:r>
      <w:r w:rsidRPr="009F18D0">
        <w:t xml:space="preserve"> from the Department of Planning and Community Development to the Department of Human Services.</w:t>
      </w:r>
    </w:p>
    <w:p w:rsidR="00B958B1" w:rsidRPr="00C41991" w:rsidRDefault="00B958B1" w:rsidP="009F3B54">
      <w:pPr>
        <w:pStyle w:val="Notes"/>
      </w:pPr>
      <w:r w:rsidRPr="008F2315">
        <w:t>(</w:t>
      </w:r>
      <w:r>
        <w:t>h</w:t>
      </w:r>
      <w:r w:rsidRPr="008F2315">
        <w:t xml:space="preserve">) </w:t>
      </w:r>
      <w:r>
        <w:tab/>
      </w:r>
      <w:r w:rsidRPr="008F2315">
        <w:t xml:space="preserve">Total output expense may not equate to the total expense reported in </w:t>
      </w:r>
      <w:r w:rsidRPr="0067379F">
        <w:rPr>
          <w:i w:val="0"/>
        </w:rPr>
        <w:t>Budget Paper No.</w:t>
      </w:r>
      <w:r>
        <w:rPr>
          <w:i w:val="0"/>
        </w:rPr>
        <w:t> </w:t>
      </w:r>
      <w:r w:rsidRPr="0067379F">
        <w:rPr>
          <w:i w:val="0"/>
        </w:rPr>
        <w:t>5</w:t>
      </w:r>
      <w:r w:rsidRPr="008F2315">
        <w:t xml:space="preserve">, Chapter 3, </w:t>
      </w:r>
      <w:r w:rsidRPr="00902EBC">
        <w:rPr>
          <w:i w:val="0"/>
        </w:rPr>
        <w:t xml:space="preserve">Departmental Financial Statement </w:t>
      </w:r>
      <w:r w:rsidRPr="008F2315">
        <w:t xml:space="preserve">due to additional expenses in </w:t>
      </w:r>
      <w:r w:rsidRPr="0067379F">
        <w:rPr>
          <w:i w:val="0"/>
        </w:rPr>
        <w:t>Budget Paper No.</w:t>
      </w:r>
      <w:r>
        <w:rPr>
          <w:i w:val="0"/>
        </w:rPr>
        <w:t> </w:t>
      </w:r>
      <w:r w:rsidRPr="0067379F">
        <w:rPr>
          <w:i w:val="0"/>
        </w:rPr>
        <w:t>5</w:t>
      </w:r>
      <w:r w:rsidRPr="008F2315">
        <w:t xml:space="preserve"> that are not included</w:t>
      </w:r>
      <w:r>
        <w:t xml:space="preserve"> in departmental output costs. </w:t>
      </w:r>
    </w:p>
    <w:p w:rsidR="00B958B1" w:rsidRDefault="00B958B1" w:rsidP="009F3B54">
      <w:pPr>
        <w:pStyle w:val="Source"/>
      </w:pPr>
    </w:p>
    <w:p w:rsidR="00B958B1" w:rsidRDefault="00B958B1" w:rsidP="009F3B54">
      <w:pPr>
        <w:pStyle w:val="Heading2"/>
      </w:pPr>
      <w:r>
        <w:rPr>
          <w:lang w:eastAsia="en-AU"/>
        </w:rPr>
        <w:br w:type="page"/>
      </w:r>
      <w:r w:rsidRPr="00B2751D">
        <w:t>Amounts available</w:t>
      </w:r>
    </w:p>
    <w:p w:rsidR="00B958B1" w:rsidRDefault="00B958B1" w:rsidP="009F3B54">
      <w:r>
        <w:t>The following tables detail the amounts available to the Department from Parliamentary authority and income generated through transactions.</w:t>
      </w:r>
    </w:p>
    <w:p w:rsidR="00B958B1" w:rsidRPr="00B2751D" w:rsidRDefault="00B958B1" w:rsidP="009F3B54">
      <w:r>
        <w:t>Table 2.12 outlines the Department’s income from transactions and Table 2.13 summarises the sources of Parliamentary authority available to the Department to fund the provision of outputs, additions to the net asset base and payments made on behalf of the State.</w:t>
      </w:r>
    </w:p>
    <w:p w:rsidR="00B958B1" w:rsidRPr="001262B7" w:rsidRDefault="00B958B1" w:rsidP="009F3B54">
      <w:pPr>
        <w:pStyle w:val="Tableheading"/>
        <w:rPr>
          <w:lang w:eastAsia="en-AU"/>
        </w:rPr>
      </w:pPr>
      <w:r w:rsidRPr="001262B7">
        <w:rPr>
          <w:lang w:eastAsia="en-AU"/>
        </w:rPr>
        <w:t>Table</w:t>
      </w:r>
      <w:r>
        <w:rPr>
          <w:lang w:eastAsia="en-AU"/>
        </w:rPr>
        <w:t> 2.12</w:t>
      </w:r>
      <w:r w:rsidRPr="001262B7">
        <w:rPr>
          <w:lang w:eastAsia="en-AU"/>
        </w:rPr>
        <w:t xml:space="preserve">: </w:t>
      </w:r>
      <w:r>
        <w:rPr>
          <w:lang w:eastAsia="en-AU"/>
        </w:rPr>
        <w:tab/>
      </w:r>
      <w:r w:rsidRPr="001262B7">
        <w:rPr>
          <w:lang w:eastAsia="en-AU"/>
        </w:rPr>
        <w:t>Income from transactions</w:t>
      </w:r>
    </w:p>
    <w:p w:rsidR="00B958B1" w:rsidRPr="00461DD0" w:rsidRDefault="00B958B1" w:rsidP="009F3B54">
      <w:pPr>
        <w:pStyle w:val="million"/>
      </w:pPr>
      <w:r w:rsidRPr="00C41991">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244"/>
        <w:gridCol w:w="883"/>
        <w:gridCol w:w="883"/>
        <w:gridCol w:w="883"/>
        <w:gridCol w:w="883"/>
      </w:tblGrid>
      <w:tr w:rsidR="00B958B1" w:rsidRPr="00461DD0" w:rsidTr="009F3B54">
        <w:tc>
          <w:tcPr>
            <w:tcW w:w="4244" w:type="dxa"/>
            <w:tcBorders>
              <w:top w:val="single" w:sz="6" w:space="0" w:color="auto"/>
              <w:left w:val="single" w:sz="6" w:space="0" w:color="auto"/>
              <w:bottom w:val="nil"/>
              <w:right w:val="nil"/>
            </w:tcBorders>
            <w:shd w:val="clear" w:color="auto" w:fill="000000"/>
          </w:tcPr>
          <w:p w:rsidR="00B958B1" w:rsidRPr="00461DD0" w:rsidRDefault="00B958B1" w:rsidP="009F3B54">
            <w:pPr>
              <w:pStyle w:val="Tabletext"/>
              <w:rPr>
                <w:lang w:eastAsia="en-AU"/>
              </w:rPr>
            </w:pPr>
            <w:r w:rsidRPr="00461DD0">
              <w:rPr>
                <w:lang w:eastAsia="en-AU"/>
              </w:rPr>
              <w:t xml:space="preserve"> </w:t>
            </w:r>
          </w:p>
        </w:tc>
        <w:tc>
          <w:tcPr>
            <w:tcW w:w="883" w:type="dxa"/>
            <w:tcBorders>
              <w:top w:val="single" w:sz="6" w:space="0" w:color="auto"/>
              <w:left w:val="nil"/>
              <w:bottom w:val="nil"/>
              <w:right w:val="nil"/>
            </w:tcBorders>
            <w:shd w:val="clear" w:color="auto" w:fill="000000"/>
          </w:tcPr>
          <w:p w:rsidR="00B958B1" w:rsidRPr="00461DD0" w:rsidRDefault="00B958B1" w:rsidP="009F3B54">
            <w:pPr>
              <w:pStyle w:val="Tabletextheading"/>
              <w:rPr>
                <w:lang w:eastAsia="en-AU"/>
              </w:rPr>
            </w:pPr>
            <w:r w:rsidRPr="00461DD0">
              <w:rPr>
                <w:lang w:eastAsia="en-AU"/>
              </w:rPr>
              <w:t>2011</w:t>
            </w:r>
            <w:r w:rsidR="009F0F49">
              <w:rPr>
                <w:lang w:eastAsia="en-AU"/>
              </w:rPr>
              <w:noBreakHyphen/>
            </w:r>
            <w:r w:rsidRPr="00461DD0">
              <w:rPr>
                <w:lang w:eastAsia="en-AU"/>
              </w:rPr>
              <w:t>12</w:t>
            </w:r>
          </w:p>
        </w:tc>
        <w:tc>
          <w:tcPr>
            <w:tcW w:w="883" w:type="dxa"/>
            <w:tcBorders>
              <w:top w:val="single" w:sz="6" w:space="0" w:color="auto"/>
              <w:left w:val="nil"/>
              <w:bottom w:val="nil"/>
              <w:right w:val="nil"/>
            </w:tcBorders>
            <w:shd w:val="clear" w:color="auto" w:fill="000000"/>
          </w:tcPr>
          <w:p w:rsidR="00B958B1" w:rsidRPr="00461DD0" w:rsidRDefault="00B958B1" w:rsidP="009F3B54">
            <w:pPr>
              <w:pStyle w:val="Tabletextheading"/>
              <w:rPr>
                <w:lang w:eastAsia="en-AU"/>
              </w:rPr>
            </w:pPr>
            <w:r w:rsidRPr="00461DD0">
              <w:rPr>
                <w:lang w:eastAsia="en-AU"/>
              </w:rPr>
              <w:t>2012</w:t>
            </w:r>
            <w:r w:rsidR="009F0F49">
              <w:rPr>
                <w:lang w:eastAsia="en-AU"/>
              </w:rPr>
              <w:noBreakHyphen/>
            </w:r>
            <w:r w:rsidRPr="00461DD0">
              <w:rPr>
                <w:lang w:eastAsia="en-AU"/>
              </w:rPr>
              <w:t>13</w:t>
            </w:r>
          </w:p>
        </w:tc>
        <w:tc>
          <w:tcPr>
            <w:tcW w:w="883" w:type="dxa"/>
            <w:tcBorders>
              <w:top w:val="single" w:sz="6" w:space="0" w:color="auto"/>
              <w:left w:val="nil"/>
              <w:bottom w:val="nil"/>
              <w:right w:val="nil"/>
            </w:tcBorders>
            <w:shd w:val="clear" w:color="auto" w:fill="000000"/>
          </w:tcPr>
          <w:p w:rsidR="00B958B1" w:rsidRPr="00461DD0" w:rsidRDefault="00B958B1" w:rsidP="009F3B54">
            <w:pPr>
              <w:pStyle w:val="Tabletextheading"/>
              <w:rPr>
                <w:lang w:eastAsia="en-AU"/>
              </w:rPr>
            </w:pPr>
            <w:r w:rsidRPr="00461DD0">
              <w:rPr>
                <w:lang w:eastAsia="en-AU"/>
              </w:rPr>
              <w:t>2012</w:t>
            </w:r>
            <w:r w:rsidR="009F0F49">
              <w:rPr>
                <w:lang w:eastAsia="en-AU"/>
              </w:rPr>
              <w:noBreakHyphen/>
            </w:r>
            <w:r w:rsidRPr="00461DD0">
              <w:rPr>
                <w:lang w:eastAsia="en-AU"/>
              </w:rPr>
              <w:t>13</w:t>
            </w:r>
          </w:p>
        </w:tc>
        <w:tc>
          <w:tcPr>
            <w:tcW w:w="883" w:type="dxa"/>
            <w:tcBorders>
              <w:top w:val="single" w:sz="6" w:space="0" w:color="auto"/>
              <w:left w:val="nil"/>
              <w:bottom w:val="nil"/>
              <w:right w:val="single" w:sz="6" w:space="0" w:color="auto"/>
            </w:tcBorders>
            <w:shd w:val="clear" w:color="auto" w:fill="000000"/>
          </w:tcPr>
          <w:p w:rsidR="00B958B1" w:rsidRPr="00461DD0" w:rsidRDefault="00B958B1" w:rsidP="009F3B54">
            <w:pPr>
              <w:pStyle w:val="Tabletextheading"/>
              <w:rPr>
                <w:lang w:eastAsia="en-AU"/>
              </w:rPr>
            </w:pPr>
            <w:r w:rsidRPr="00461DD0">
              <w:rPr>
                <w:lang w:eastAsia="en-AU"/>
              </w:rPr>
              <w:t>2013</w:t>
            </w:r>
            <w:r w:rsidR="009F0F49">
              <w:rPr>
                <w:lang w:eastAsia="en-AU"/>
              </w:rPr>
              <w:noBreakHyphen/>
            </w:r>
            <w:r w:rsidRPr="00461DD0">
              <w:rPr>
                <w:lang w:eastAsia="en-AU"/>
              </w:rPr>
              <w:t>14</w:t>
            </w:r>
          </w:p>
        </w:tc>
      </w:tr>
      <w:tr w:rsidR="00B958B1" w:rsidRPr="00461DD0" w:rsidTr="009F3B54">
        <w:tc>
          <w:tcPr>
            <w:tcW w:w="4244" w:type="dxa"/>
            <w:tcBorders>
              <w:top w:val="nil"/>
              <w:left w:val="single" w:sz="6" w:space="0" w:color="auto"/>
              <w:bottom w:val="single" w:sz="6" w:space="0" w:color="auto"/>
              <w:right w:val="nil"/>
            </w:tcBorders>
            <w:shd w:val="clear" w:color="auto" w:fill="000000"/>
          </w:tcPr>
          <w:p w:rsidR="00B958B1" w:rsidRPr="00461DD0" w:rsidRDefault="00B958B1" w:rsidP="009F3B54">
            <w:pPr>
              <w:pStyle w:val="Tabletext"/>
              <w:rPr>
                <w:lang w:eastAsia="en-AU"/>
              </w:rPr>
            </w:pPr>
            <w:r w:rsidRPr="00461DD0">
              <w:rPr>
                <w:lang w:eastAsia="en-AU"/>
              </w:rPr>
              <w:t xml:space="preserve"> </w:t>
            </w:r>
          </w:p>
        </w:tc>
        <w:tc>
          <w:tcPr>
            <w:tcW w:w="883" w:type="dxa"/>
            <w:tcBorders>
              <w:top w:val="nil"/>
              <w:left w:val="nil"/>
              <w:bottom w:val="single" w:sz="6" w:space="0" w:color="auto"/>
              <w:right w:val="nil"/>
            </w:tcBorders>
            <w:shd w:val="clear" w:color="auto" w:fill="000000"/>
          </w:tcPr>
          <w:p w:rsidR="00B958B1" w:rsidRPr="00461DD0" w:rsidRDefault="00B958B1" w:rsidP="009F3B54">
            <w:pPr>
              <w:pStyle w:val="Tabletextheading"/>
              <w:rPr>
                <w:lang w:eastAsia="en-AU"/>
              </w:rPr>
            </w:pPr>
            <w:r w:rsidRPr="00461DD0">
              <w:rPr>
                <w:lang w:eastAsia="en-AU"/>
              </w:rPr>
              <w:t>Actual</w:t>
            </w:r>
          </w:p>
        </w:tc>
        <w:tc>
          <w:tcPr>
            <w:tcW w:w="883" w:type="dxa"/>
            <w:tcBorders>
              <w:top w:val="nil"/>
              <w:left w:val="nil"/>
              <w:bottom w:val="single" w:sz="6" w:space="0" w:color="auto"/>
              <w:right w:val="nil"/>
            </w:tcBorders>
            <w:shd w:val="clear" w:color="auto" w:fill="000000"/>
          </w:tcPr>
          <w:p w:rsidR="00B958B1" w:rsidRPr="00461DD0" w:rsidRDefault="00B958B1" w:rsidP="009F3B54">
            <w:pPr>
              <w:pStyle w:val="Tabletextheading"/>
              <w:rPr>
                <w:lang w:eastAsia="en-AU"/>
              </w:rPr>
            </w:pPr>
            <w:r w:rsidRPr="00461DD0">
              <w:rPr>
                <w:lang w:eastAsia="en-AU"/>
              </w:rPr>
              <w:t xml:space="preserve">Budget </w:t>
            </w:r>
          </w:p>
        </w:tc>
        <w:tc>
          <w:tcPr>
            <w:tcW w:w="883" w:type="dxa"/>
            <w:tcBorders>
              <w:top w:val="nil"/>
              <w:left w:val="nil"/>
              <w:bottom w:val="single" w:sz="6" w:space="0" w:color="auto"/>
              <w:right w:val="nil"/>
            </w:tcBorders>
            <w:shd w:val="clear" w:color="auto" w:fill="000000"/>
          </w:tcPr>
          <w:p w:rsidR="00B958B1" w:rsidRPr="00461DD0" w:rsidRDefault="00B958B1" w:rsidP="009F3B54">
            <w:pPr>
              <w:pStyle w:val="Tabletextheading"/>
              <w:rPr>
                <w:lang w:eastAsia="en-AU"/>
              </w:rPr>
            </w:pPr>
            <w:r w:rsidRPr="00461DD0">
              <w:rPr>
                <w:lang w:eastAsia="en-AU"/>
              </w:rPr>
              <w:t>Revised</w:t>
            </w:r>
          </w:p>
        </w:tc>
        <w:tc>
          <w:tcPr>
            <w:tcW w:w="883" w:type="dxa"/>
            <w:tcBorders>
              <w:top w:val="nil"/>
              <w:left w:val="nil"/>
              <w:bottom w:val="single" w:sz="6" w:space="0" w:color="auto"/>
              <w:right w:val="single" w:sz="6" w:space="0" w:color="auto"/>
            </w:tcBorders>
            <w:shd w:val="clear" w:color="auto" w:fill="000000"/>
          </w:tcPr>
          <w:p w:rsidR="00B958B1" w:rsidRPr="00461DD0" w:rsidRDefault="00B958B1" w:rsidP="009F3B54">
            <w:pPr>
              <w:pStyle w:val="Tabletextheading"/>
              <w:rPr>
                <w:lang w:eastAsia="en-AU"/>
              </w:rPr>
            </w:pPr>
            <w:r w:rsidRPr="00461DD0">
              <w:rPr>
                <w:lang w:eastAsia="en-AU"/>
              </w:rPr>
              <w:t>Budget</w:t>
            </w:r>
          </w:p>
        </w:tc>
      </w:tr>
      <w:tr w:rsidR="00B958B1" w:rsidRPr="00461DD0" w:rsidTr="009F3B54">
        <w:tc>
          <w:tcPr>
            <w:tcW w:w="4244" w:type="dxa"/>
            <w:tcBorders>
              <w:top w:val="nil"/>
              <w:left w:val="nil"/>
              <w:bottom w:val="nil"/>
              <w:right w:val="nil"/>
            </w:tcBorders>
          </w:tcPr>
          <w:p w:rsidR="00B958B1" w:rsidRPr="00461DD0" w:rsidRDefault="00B958B1" w:rsidP="009F3B54">
            <w:pPr>
              <w:pStyle w:val="Tabletext"/>
              <w:rPr>
                <w:lang w:eastAsia="en-AU"/>
              </w:rPr>
            </w:pPr>
            <w:r w:rsidRPr="00461DD0">
              <w:rPr>
                <w:lang w:eastAsia="en-AU"/>
              </w:rPr>
              <w:t>Output appropriations</w:t>
            </w:r>
          </w:p>
        </w:tc>
        <w:tc>
          <w:tcPr>
            <w:tcW w:w="883" w:type="dxa"/>
            <w:tcBorders>
              <w:top w:val="nil"/>
              <w:left w:val="nil"/>
              <w:bottom w:val="nil"/>
              <w:right w:val="nil"/>
            </w:tcBorders>
          </w:tcPr>
          <w:p w:rsidR="00B958B1" w:rsidRPr="00461DD0" w:rsidRDefault="00B958B1" w:rsidP="009F3B54">
            <w:pPr>
              <w:pStyle w:val="TableofFigures"/>
              <w:rPr>
                <w:rFonts w:cs="Calibri"/>
                <w:lang w:eastAsia="en-AU"/>
              </w:rPr>
            </w:pPr>
            <w:r w:rsidRPr="00461DD0">
              <w:rPr>
                <w:lang w:eastAsia="en-AU"/>
              </w:rPr>
              <w:t xml:space="preserve">3 </w:t>
            </w:r>
            <w:r w:rsidRPr="00461DD0">
              <w:rPr>
                <w:rFonts w:cs="Calibri"/>
                <w:lang w:eastAsia="en-AU"/>
              </w:rPr>
              <w:t>281.2</w:t>
            </w:r>
          </w:p>
        </w:tc>
        <w:tc>
          <w:tcPr>
            <w:tcW w:w="883" w:type="dxa"/>
            <w:tcBorders>
              <w:top w:val="nil"/>
              <w:left w:val="nil"/>
              <w:bottom w:val="nil"/>
              <w:right w:val="nil"/>
            </w:tcBorders>
          </w:tcPr>
          <w:p w:rsidR="00B958B1" w:rsidRPr="00461DD0" w:rsidRDefault="00B958B1" w:rsidP="009F3B54">
            <w:pPr>
              <w:pStyle w:val="TableofFigures"/>
              <w:rPr>
                <w:rFonts w:cs="Calibri"/>
                <w:lang w:eastAsia="en-AU"/>
              </w:rPr>
            </w:pPr>
            <w:r w:rsidRPr="00461DD0">
              <w:rPr>
                <w:lang w:eastAsia="en-AU"/>
              </w:rPr>
              <w:t xml:space="preserve">3 </w:t>
            </w:r>
            <w:r w:rsidRPr="00461DD0">
              <w:rPr>
                <w:rFonts w:cs="Calibri"/>
                <w:lang w:eastAsia="en-AU"/>
              </w:rPr>
              <w:t>395.2</w:t>
            </w:r>
          </w:p>
        </w:tc>
        <w:tc>
          <w:tcPr>
            <w:tcW w:w="883" w:type="dxa"/>
            <w:tcBorders>
              <w:top w:val="nil"/>
              <w:left w:val="nil"/>
              <w:bottom w:val="nil"/>
              <w:right w:val="nil"/>
            </w:tcBorders>
          </w:tcPr>
          <w:p w:rsidR="00B958B1" w:rsidRPr="00461DD0" w:rsidRDefault="00B958B1" w:rsidP="009F3B54">
            <w:pPr>
              <w:pStyle w:val="TableofFigures"/>
              <w:rPr>
                <w:rFonts w:cs="Calibri"/>
                <w:lang w:eastAsia="en-AU"/>
              </w:rPr>
            </w:pPr>
            <w:r w:rsidRPr="00461DD0">
              <w:rPr>
                <w:lang w:eastAsia="en-AU"/>
              </w:rPr>
              <w:t xml:space="preserve">3 </w:t>
            </w:r>
            <w:r w:rsidRPr="00461DD0">
              <w:rPr>
                <w:rFonts w:cs="Calibri"/>
                <w:lang w:eastAsia="en-AU"/>
              </w:rPr>
              <w:t>449.2</w:t>
            </w:r>
          </w:p>
        </w:tc>
        <w:tc>
          <w:tcPr>
            <w:tcW w:w="883" w:type="dxa"/>
            <w:tcBorders>
              <w:top w:val="nil"/>
              <w:left w:val="nil"/>
              <w:bottom w:val="nil"/>
              <w:right w:val="nil"/>
            </w:tcBorders>
          </w:tcPr>
          <w:p w:rsidR="00B958B1" w:rsidRPr="00461DD0" w:rsidRDefault="00B958B1" w:rsidP="009F3B54">
            <w:pPr>
              <w:pStyle w:val="TableofFigures"/>
              <w:rPr>
                <w:rFonts w:cs="Calibri"/>
                <w:lang w:eastAsia="en-AU"/>
              </w:rPr>
            </w:pPr>
            <w:r w:rsidRPr="00461DD0">
              <w:rPr>
                <w:lang w:eastAsia="en-AU"/>
              </w:rPr>
              <w:t xml:space="preserve">3 </w:t>
            </w:r>
            <w:r w:rsidRPr="00461DD0">
              <w:rPr>
                <w:rFonts w:cs="Calibri"/>
                <w:lang w:eastAsia="en-AU"/>
              </w:rPr>
              <w:t>581.3</w:t>
            </w:r>
          </w:p>
        </w:tc>
      </w:tr>
      <w:tr w:rsidR="00B958B1" w:rsidRPr="00461DD0" w:rsidTr="009F3B54">
        <w:tc>
          <w:tcPr>
            <w:tcW w:w="4244" w:type="dxa"/>
            <w:tcBorders>
              <w:top w:val="nil"/>
              <w:left w:val="nil"/>
              <w:bottom w:val="nil"/>
              <w:right w:val="nil"/>
            </w:tcBorders>
          </w:tcPr>
          <w:p w:rsidR="00B958B1" w:rsidRPr="00461DD0" w:rsidRDefault="00B958B1" w:rsidP="009F3B54">
            <w:pPr>
              <w:pStyle w:val="Tabletext"/>
              <w:rPr>
                <w:lang w:eastAsia="en-AU"/>
              </w:rPr>
            </w:pPr>
            <w:r w:rsidRPr="00461DD0">
              <w:rPr>
                <w:lang w:eastAsia="en-AU"/>
              </w:rPr>
              <w:t>Special appropriations</w:t>
            </w:r>
          </w:p>
        </w:tc>
        <w:tc>
          <w:tcPr>
            <w:tcW w:w="883" w:type="dxa"/>
            <w:tcBorders>
              <w:top w:val="nil"/>
              <w:left w:val="nil"/>
              <w:bottom w:val="nil"/>
              <w:right w:val="nil"/>
            </w:tcBorders>
          </w:tcPr>
          <w:p w:rsidR="00B958B1" w:rsidRPr="00461DD0" w:rsidRDefault="00B958B1" w:rsidP="009F3B54">
            <w:pPr>
              <w:pStyle w:val="TableofFigures"/>
              <w:rPr>
                <w:lang w:eastAsia="en-AU"/>
              </w:rPr>
            </w:pPr>
            <w:r w:rsidRPr="00461DD0">
              <w:rPr>
                <w:lang w:eastAsia="en-AU"/>
              </w:rPr>
              <w:t xml:space="preserve"> 63.9</w:t>
            </w:r>
          </w:p>
        </w:tc>
        <w:tc>
          <w:tcPr>
            <w:tcW w:w="883" w:type="dxa"/>
            <w:tcBorders>
              <w:top w:val="nil"/>
              <w:left w:val="nil"/>
              <w:bottom w:val="nil"/>
              <w:right w:val="nil"/>
            </w:tcBorders>
          </w:tcPr>
          <w:p w:rsidR="00B958B1" w:rsidRPr="00461DD0" w:rsidRDefault="00B958B1" w:rsidP="009F3B54">
            <w:pPr>
              <w:pStyle w:val="TableofFigures"/>
              <w:rPr>
                <w:lang w:eastAsia="en-AU"/>
              </w:rPr>
            </w:pPr>
            <w:r w:rsidRPr="00461DD0">
              <w:rPr>
                <w:lang w:eastAsia="en-AU"/>
              </w:rPr>
              <w:t xml:space="preserve"> 63.9</w:t>
            </w:r>
          </w:p>
        </w:tc>
        <w:tc>
          <w:tcPr>
            <w:tcW w:w="883" w:type="dxa"/>
            <w:tcBorders>
              <w:top w:val="nil"/>
              <w:left w:val="nil"/>
              <w:bottom w:val="nil"/>
              <w:right w:val="nil"/>
            </w:tcBorders>
          </w:tcPr>
          <w:p w:rsidR="00B958B1" w:rsidRPr="00461DD0" w:rsidRDefault="00B958B1" w:rsidP="009F3B54">
            <w:pPr>
              <w:pStyle w:val="TableofFigures"/>
              <w:rPr>
                <w:lang w:eastAsia="en-AU"/>
              </w:rPr>
            </w:pPr>
            <w:r w:rsidRPr="00461DD0">
              <w:rPr>
                <w:lang w:eastAsia="en-AU"/>
              </w:rPr>
              <w:t xml:space="preserve"> 63.9</w:t>
            </w:r>
          </w:p>
        </w:tc>
        <w:tc>
          <w:tcPr>
            <w:tcW w:w="883" w:type="dxa"/>
            <w:tcBorders>
              <w:top w:val="nil"/>
              <w:left w:val="nil"/>
              <w:bottom w:val="nil"/>
              <w:right w:val="nil"/>
            </w:tcBorders>
          </w:tcPr>
          <w:p w:rsidR="00B958B1" w:rsidRPr="00461DD0" w:rsidRDefault="00B958B1" w:rsidP="009F3B54">
            <w:pPr>
              <w:pStyle w:val="TableofFigures"/>
              <w:rPr>
                <w:lang w:eastAsia="en-AU"/>
              </w:rPr>
            </w:pPr>
            <w:r w:rsidRPr="00461DD0">
              <w:rPr>
                <w:lang w:eastAsia="en-AU"/>
              </w:rPr>
              <w:t xml:space="preserve"> 63.9</w:t>
            </w:r>
          </w:p>
        </w:tc>
      </w:tr>
      <w:tr w:rsidR="00B958B1" w:rsidRPr="00461DD0" w:rsidTr="009F3B54">
        <w:tc>
          <w:tcPr>
            <w:tcW w:w="4244" w:type="dxa"/>
            <w:tcBorders>
              <w:top w:val="nil"/>
              <w:left w:val="nil"/>
              <w:bottom w:val="nil"/>
              <w:right w:val="nil"/>
            </w:tcBorders>
          </w:tcPr>
          <w:p w:rsidR="00B958B1" w:rsidRPr="00461DD0" w:rsidRDefault="00B958B1" w:rsidP="009F3B54">
            <w:pPr>
              <w:pStyle w:val="Tabletext"/>
              <w:rPr>
                <w:lang w:eastAsia="en-AU"/>
              </w:rPr>
            </w:pPr>
            <w:r w:rsidRPr="00461DD0">
              <w:rPr>
                <w:lang w:eastAsia="en-AU"/>
              </w:rPr>
              <w:t>Interest</w:t>
            </w:r>
          </w:p>
        </w:tc>
        <w:tc>
          <w:tcPr>
            <w:tcW w:w="883" w:type="dxa"/>
            <w:tcBorders>
              <w:top w:val="nil"/>
              <w:left w:val="nil"/>
              <w:bottom w:val="nil"/>
              <w:right w:val="nil"/>
            </w:tcBorders>
          </w:tcPr>
          <w:p w:rsidR="00B958B1" w:rsidRPr="00461DD0" w:rsidRDefault="00B958B1" w:rsidP="009F3B54">
            <w:pPr>
              <w:pStyle w:val="TableofFigures"/>
              <w:rPr>
                <w:lang w:eastAsia="en-AU"/>
              </w:rPr>
            </w:pPr>
            <w:r w:rsidRPr="00461DD0">
              <w:rPr>
                <w:lang w:eastAsia="en-AU"/>
              </w:rPr>
              <w:t xml:space="preserve"> 0.2</w:t>
            </w:r>
          </w:p>
        </w:tc>
        <w:tc>
          <w:tcPr>
            <w:tcW w:w="883" w:type="dxa"/>
            <w:tcBorders>
              <w:top w:val="nil"/>
              <w:left w:val="nil"/>
              <w:bottom w:val="nil"/>
              <w:right w:val="nil"/>
            </w:tcBorders>
          </w:tcPr>
          <w:p w:rsidR="00B958B1" w:rsidRPr="00461DD0" w:rsidRDefault="00B958B1" w:rsidP="009F3B54">
            <w:pPr>
              <w:pStyle w:val="TableofFigures"/>
              <w:rPr>
                <w:lang w:eastAsia="en-AU"/>
              </w:rPr>
            </w:pPr>
            <w:r w:rsidRPr="00461DD0">
              <w:rPr>
                <w:lang w:eastAsia="en-AU"/>
              </w:rPr>
              <w:t xml:space="preserve"> 0.4</w:t>
            </w:r>
          </w:p>
        </w:tc>
        <w:tc>
          <w:tcPr>
            <w:tcW w:w="883" w:type="dxa"/>
            <w:tcBorders>
              <w:top w:val="nil"/>
              <w:left w:val="nil"/>
              <w:bottom w:val="nil"/>
              <w:right w:val="nil"/>
            </w:tcBorders>
          </w:tcPr>
          <w:p w:rsidR="00B958B1" w:rsidRPr="00461DD0" w:rsidRDefault="00B958B1" w:rsidP="009F3B54">
            <w:pPr>
              <w:pStyle w:val="TableofFigures"/>
              <w:rPr>
                <w:lang w:eastAsia="en-AU"/>
              </w:rPr>
            </w:pPr>
            <w:r w:rsidRPr="00461DD0">
              <w:rPr>
                <w:lang w:eastAsia="en-AU"/>
              </w:rPr>
              <w:t xml:space="preserve"> 0.4</w:t>
            </w:r>
          </w:p>
        </w:tc>
        <w:tc>
          <w:tcPr>
            <w:tcW w:w="883" w:type="dxa"/>
            <w:tcBorders>
              <w:top w:val="nil"/>
              <w:left w:val="nil"/>
              <w:bottom w:val="nil"/>
              <w:right w:val="nil"/>
            </w:tcBorders>
          </w:tcPr>
          <w:p w:rsidR="00B958B1" w:rsidRPr="00461DD0" w:rsidRDefault="00B958B1" w:rsidP="009F3B54">
            <w:pPr>
              <w:pStyle w:val="TableofFigures"/>
              <w:rPr>
                <w:lang w:eastAsia="en-AU"/>
              </w:rPr>
            </w:pPr>
            <w:r w:rsidRPr="00461DD0">
              <w:rPr>
                <w:lang w:eastAsia="en-AU"/>
              </w:rPr>
              <w:t xml:space="preserve"> 0.4</w:t>
            </w:r>
          </w:p>
        </w:tc>
      </w:tr>
      <w:tr w:rsidR="00B958B1" w:rsidRPr="00461DD0" w:rsidTr="009F3B54">
        <w:tc>
          <w:tcPr>
            <w:tcW w:w="4244" w:type="dxa"/>
            <w:tcBorders>
              <w:top w:val="nil"/>
              <w:left w:val="nil"/>
              <w:bottom w:val="nil"/>
              <w:right w:val="nil"/>
            </w:tcBorders>
          </w:tcPr>
          <w:p w:rsidR="00B958B1" w:rsidRPr="00461DD0" w:rsidRDefault="00B958B1" w:rsidP="009F3B54">
            <w:pPr>
              <w:pStyle w:val="Tabletext"/>
              <w:rPr>
                <w:lang w:eastAsia="en-AU"/>
              </w:rPr>
            </w:pPr>
            <w:r w:rsidRPr="00461DD0">
              <w:rPr>
                <w:lang w:eastAsia="en-AU"/>
              </w:rPr>
              <w:t>Sale</w:t>
            </w:r>
            <w:r>
              <w:rPr>
                <w:lang w:eastAsia="en-AU"/>
              </w:rPr>
              <w:t>s</w:t>
            </w:r>
            <w:r w:rsidRPr="00461DD0">
              <w:rPr>
                <w:lang w:eastAsia="en-AU"/>
              </w:rPr>
              <w:t xml:space="preserve"> of goods and services</w:t>
            </w:r>
          </w:p>
        </w:tc>
        <w:tc>
          <w:tcPr>
            <w:tcW w:w="883" w:type="dxa"/>
            <w:tcBorders>
              <w:top w:val="nil"/>
              <w:left w:val="nil"/>
              <w:bottom w:val="nil"/>
              <w:right w:val="nil"/>
            </w:tcBorders>
          </w:tcPr>
          <w:p w:rsidR="00B958B1" w:rsidRPr="00461DD0" w:rsidRDefault="00B958B1" w:rsidP="009F3B54">
            <w:pPr>
              <w:pStyle w:val="TableofFigures"/>
              <w:rPr>
                <w:lang w:eastAsia="en-AU"/>
              </w:rPr>
            </w:pPr>
            <w:r w:rsidRPr="00461DD0">
              <w:rPr>
                <w:lang w:eastAsia="en-AU"/>
              </w:rPr>
              <w:t xml:space="preserve"> 20.0</w:t>
            </w:r>
          </w:p>
        </w:tc>
        <w:tc>
          <w:tcPr>
            <w:tcW w:w="883" w:type="dxa"/>
            <w:tcBorders>
              <w:top w:val="nil"/>
              <w:left w:val="nil"/>
              <w:bottom w:val="nil"/>
              <w:right w:val="nil"/>
            </w:tcBorders>
          </w:tcPr>
          <w:p w:rsidR="00B958B1" w:rsidRPr="00461DD0" w:rsidRDefault="00B958B1" w:rsidP="009F3B54">
            <w:pPr>
              <w:pStyle w:val="TableofFigures"/>
              <w:rPr>
                <w:lang w:eastAsia="en-AU"/>
              </w:rPr>
            </w:pPr>
            <w:r w:rsidRPr="00461DD0">
              <w:rPr>
                <w:lang w:eastAsia="en-AU"/>
              </w:rPr>
              <w:t xml:space="preserve"> 16.0</w:t>
            </w:r>
          </w:p>
        </w:tc>
        <w:tc>
          <w:tcPr>
            <w:tcW w:w="883" w:type="dxa"/>
            <w:tcBorders>
              <w:top w:val="nil"/>
              <w:left w:val="nil"/>
              <w:bottom w:val="nil"/>
              <w:right w:val="nil"/>
            </w:tcBorders>
          </w:tcPr>
          <w:p w:rsidR="00B958B1" w:rsidRPr="00461DD0" w:rsidRDefault="00B958B1" w:rsidP="009F3B54">
            <w:pPr>
              <w:pStyle w:val="TableofFigures"/>
              <w:rPr>
                <w:lang w:eastAsia="en-AU"/>
              </w:rPr>
            </w:pPr>
            <w:r w:rsidRPr="00461DD0">
              <w:rPr>
                <w:lang w:eastAsia="en-AU"/>
              </w:rPr>
              <w:t xml:space="preserve"> 16.0</w:t>
            </w:r>
          </w:p>
        </w:tc>
        <w:tc>
          <w:tcPr>
            <w:tcW w:w="883" w:type="dxa"/>
            <w:tcBorders>
              <w:top w:val="nil"/>
              <w:left w:val="nil"/>
              <w:bottom w:val="nil"/>
              <w:right w:val="nil"/>
            </w:tcBorders>
          </w:tcPr>
          <w:p w:rsidR="00B958B1" w:rsidRPr="00461DD0" w:rsidRDefault="00B958B1" w:rsidP="009F3B54">
            <w:pPr>
              <w:pStyle w:val="TableofFigures"/>
              <w:rPr>
                <w:lang w:eastAsia="en-AU"/>
              </w:rPr>
            </w:pPr>
            <w:r w:rsidRPr="00461DD0">
              <w:rPr>
                <w:lang w:eastAsia="en-AU"/>
              </w:rPr>
              <w:t xml:space="preserve"> 16.4</w:t>
            </w:r>
          </w:p>
        </w:tc>
      </w:tr>
      <w:tr w:rsidR="00B958B1" w:rsidRPr="00461DD0" w:rsidTr="009F3B54">
        <w:tc>
          <w:tcPr>
            <w:tcW w:w="4244" w:type="dxa"/>
            <w:tcBorders>
              <w:top w:val="nil"/>
              <w:left w:val="nil"/>
              <w:bottom w:val="nil"/>
              <w:right w:val="nil"/>
            </w:tcBorders>
          </w:tcPr>
          <w:p w:rsidR="00B958B1" w:rsidRPr="00461DD0" w:rsidRDefault="00B958B1" w:rsidP="009F3B54">
            <w:pPr>
              <w:pStyle w:val="Tabletext"/>
              <w:rPr>
                <w:lang w:eastAsia="en-AU"/>
              </w:rPr>
            </w:pPr>
            <w:r w:rsidRPr="00461DD0">
              <w:rPr>
                <w:lang w:eastAsia="en-AU"/>
              </w:rPr>
              <w:t>Grants</w:t>
            </w:r>
          </w:p>
        </w:tc>
        <w:tc>
          <w:tcPr>
            <w:tcW w:w="883" w:type="dxa"/>
            <w:tcBorders>
              <w:top w:val="nil"/>
              <w:left w:val="nil"/>
              <w:bottom w:val="nil"/>
              <w:right w:val="nil"/>
            </w:tcBorders>
          </w:tcPr>
          <w:p w:rsidR="00B958B1" w:rsidRPr="00461DD0" w:rsidRDefault="00B958B1" w:rsidP="009F3B54">
            <w:pPr>
              <w:pStyle w:val="TableofFigures"/>
              <w:rPr>
                <w:lang w:eastAsia="en-AU"/>
              </w:rPr>
            </w:pPr>
            <w:r w:rsidRPr="00461DD0">
              <w:rPr>
                <w:lang w:eastAsia="en-AU"/>
              </w:rPr>
              <w:t xml:space="preserve"> 10.8</w:t>
            </w:r>
          </w:p>
        </w:tc>
        <w:tc>
          <w:tcPr>
            <w:tcW w:w="883" w:type="dxa"/>
            <w:tcBorders>
              <w:top w:val="nil"/>
              <w:left w:val="nil"/>
              <w:bottom w:val="nil"/>
              <w:right w:val="nil"/>
            </w:tcBorders>
          </w:tcPr>
          <w:p w:rsidR="00B958B1" w:rsidRPr="00461DD0" w:rsidRDefault="00B958B1" w:rsidP="009F3B54">
            <w:pPr>
              <w:pStyle w:val="TableofFigures"/>
              <w:rPr>
                <w:lang w:eastAsia="en-AU"/>
              </w:rPr>
            </w:pPr>
            <w:r w:rsidRPr="00461DD0">
              <w:rPr>
                <w:lang w:eastAsia="en-AU"/>
              </w:rPr>
              <w:t xml:space="preserve"> 0.7</w:t>
            </w:r>
          </w:p>
        </w:tc>
        <w:tc>
          <w:tcPr>
            <w:tcW w:w="883" w:type="dxa"/>
            <w:tcBorders>
              <w:top w:val="nil"/>
              <w:left w:val="nil"/>
              <w:bottom w:val="nil"/>
              <w:right w:val="nil"/>
            </w:tcBorders>
          </w:tcPr>
          <w:p w:rsidR="00B958B1" w:rsidRPr="00461DD0" w:rsidRDefault="00B958B1" w:rsidP="009F3B54">
            <w:pPr>
              <w:pStyle w:val="TableofFigures"/>
              <w:rPr>
                <w:lang w:eastAsia="en-AU"/>
              </w:rPr>
            </w:pPr>
            <w:r w:rsidRPr="00461DD0">
              <w:rPr>
                <w:lang w:eastAsia="en-AU"/>
              </w:rPr>
              <w:t xml:space="preserve"> 3.7</w:t>
            </w:r>
          </w:p>
        </w:tc>
        <w:tc>
          <w:tcPr>
            <w:tcW w:w="883" w:type="dxa"/>
            <w:tcBorders>
              <w:top w:val="nil"/>
              <w:left w:val="nil"/>
              <w:bottom w:val="nil"/>
              <w:right w:val="nil"/>
            </w:tcBorders>
          </w:tcPr>
          <w:p w:rsidR="00B958B1" w:rsidRPr="00461DD0" w:rsidRDefault="00B958B1" w:rsidP="009F3B54">
            <w:pPr>
              <w:pStyle w:val="TableofFigures"/>
              <w:rPr>
                <w:lang w:eastAsia="en-AU"/>
              </w:rPr>
            </w:pPr>
            <w:r w:rsidRPr="00461DD0">
              <w:rPr>
                <w:lang w:eastAsia="en-AU"/>
              </w:rPr>
              <w:t xml:space="preserve"> 8.2</w:t>
            </w:r>
          </w:p>
        </w:tc>
      </w:tr>
      <w:tr w:rsidR="00B958B1" w:rsidRPr="00461DD0" w:rsidTr="009F3B54">
        <w:tc>
          <w:tcPr>
            <w:tcW w:w="4244" w:type="dxa"/>
            <w:tcBorders>
              <w:top w:val="nil"/>
              <w:left w:val="nil"/>
              <w:bottom w:val="nil"/>
              <w:right w:val="nil"/>
            </w:tcBorders>
          </w:tcPr>
          <w:p w:rsidR="00B958B1" w:rsidRPr="00461DD0" w:rsidRDefault="00B958B1" w:rsidP="009F3B54">
            <w:pPr>
              <w:pStyle w:val="Tabletext"/>
              <w:rPr>
                <w:lang w:eastAsia="en-AU"/>
              </w:rPr>
            </w:pPr>
            <w:r w:rsidRPr="00461DD0">
              <w:rPr>
                <w:lang w:eastAsia="en-AU"/>
              </w:rPr>
              <w:t>Fair value of assets and services received free of charge or for nominal consideration</w:t>
            </w:r>
          </w:p>
        </w:tc>
        <w:tc>
          <w:tcPr>
            <w:tcW w:w="883" w:type="dxa"/>
            <w:tcBorders>
              <w:top w:val="nil"/>
              <w:left w:val="nil"/>
              <w:bottom w:val="nil"/>
              <w:right w:val="nil"/>
            </w:tcBorders>
          </w:tcPr>
          <w:p w:rsidR="00B958B1" w:rsidRPr="00461DD0" w:rsidRDefault="00B958B1" w:rsidP="009F3B54">
            <w:pPr>
              <w:pStyle w:val="TableofFigures"/>
              <w:rPr>
                <w:lang w:eastAsia="en-AU"/>
              </w:rPr>
            </w:pPr>
            <w:r w:rsidRPr="00461DD0">
              <w:rPr>
                <w:lang w:eastAsia="en-AU"/>
              </w:rPr>
              <w:t xml:space="preserve"> 2.0</w:t>
            </w:r>
          </w:p>
        </w:tc>
        <w:tc>
          <w:tcPr>
            <w:tcW w:w="883" w:type="dxa"/>
            <w:tcBorders>
              <w:top w:val="nil"/>
              <w:left w:val="nil"/>
              <w:bottom w:val="nil"/>
              <w:right w:val="nil"/>
            </w:tcBorders>
          </w:tcPr>
          <w:p w:rsidR="00B958B1" w:rsidRPr="00461DD0" w:rsidRDefault="00B958B1" w:rsidP="009F3B54">
            <w:pPr>
              <w:pStyle w:val="TableofFigures"/>
              <w:rPr>
                <w:lang w:eastAsia="en-AU"/>
              </w:rPr>
            </w:pPr>
            <w:r w:rsidRPr="00461DD0">
              <w:rPr>
                <w:lang w:eastAsia="en-AU"/>
              </w:rPr>
              <w:t>..</w:t>
            </w:r>
          </w:p>
        </w:tc>
        <w:tc>
          <w:tcPr>
            <w:tcW w:w="883" w:type="dxa"/>
            <w:tcBorders>
              <w:top w:val="nil"/>
              <w:left w:val="nil"/>
              <w:bottom w:val="nil"/>
              <w:right w:val="nil"/>
            </w:tcBorders>
          </w:tcPr>
          <w:p w:rsidR="00B958B1" w:rsidRPr="00461DD0" w:rsidRDefault="00B958B1" w:rsidP="009F3B54">
            <w:pPr>
              <w:pStyle w:val="TableofFigures"/>
              <w:rPr>
                <w:lang w:eastAsia="en-AU"/>
              </w:rPr>
            </w:pPr>
            <w:r w:rsidRPr="00461DD0">
              <w:rPr>
                <w:lang w:eastAsia="en-AU"/>
              </w:rPr>
              <w:t>..</w:t>
            </w:r>
          </w:p>
        </w:tc>
        <w:tc>
          <w:tcPr>
            <w:tcW w:w="883" w:type="dxa"/>
            <w:tcBorders>
              <w:top w:val="nil"/>
              <w:left w:val="nil"/>
              <w:bottom w:val="nil"/>
              <w:right w:val="nil"/>
            </w:tcBorders>
          </w:tcPr>
          <w:p w:rsidR="00B958B1" w:rsidRPr="00461DD0" w:rsidRDefault="00B958B1" w:rsidP="009F3B54">
            <w:pPr>
              <w:pStyle w:val="TableofFigures"/>
              <w:rPr>
                <w:lang w:eastAsia="en-AU"/>
              </w:rPr>
            </w:pPr>
            <w:r w:rsidRPr="00461DD0">
              <w:rPr>
                <w:lang w:eastAsia="en-AU"/>
              </w:rPr>
              <w:t>..</w:t>
            </w:r>
          </w:p>
        </w:tc>
      </w:tr>
      <w:tr w:rsidR="00B958B1" w:rsidRPr="00461DD0" w:rsidTr="009F3B54">
        <w:tc>
          <w:tcPr>
            <w:tcW w:w="4244" w:type="dxa"/>
            <w:tcBorders>
              <w:top w:val="nil"/>
              <w:left w:val="nil"/>
              <w:bottom w:val="single" w:sz="6" w:space="0" w:color="auto"/>
              <w:right w:val="nil"/>
            </w:tcBorders>
          </w:tcPr>
          <w:p w:rsidR="00B958B1" w:rsidRPr="00461DD0" w:rsidRDefault="00B958B1" w:rsidP="009F3B54">
            <w:pPr>
              <w:pStyle w:val="Tabletext"/>
              <w:rPr>
                <w:lang w:eastAsia="en-AU"/>
              </w:rPr>
            </w:pPr>
            <w:r w:rsidRPr="00461DD0">
              <w:rPr>
                <w:lang w:eastAsia="en-AU"/>
              </w:rPr>
              <w:t>Other income</w:t>
            </w:r>
          </w:p>
        </w:tc>
        <w:tc>
          <w:tcPr>
            <w:tcW w:w="883" w:type="dxa"/>
            <w:tcBorders>
              <w:top w:val="nil"/>
              <w:left w:val="nil"/>
              <w:bottom w:val="single" w:sz="6" w:space="0" w:color="auto"/>
              <w:right w:val="nil"/>
            </w:tcBorders>
          </w:tcPr>
          <w:p w:rsidR="00B958B1" w:rsidRPr="00461DD0" w:rsidRDefault="00B958B1" w:rsidP="009F3B54">
            <w:pPr>
              <w:pStyle w:val="TableofFigures"/>
              <w:rPr>
                <w:lang w:eastAsia="en-AU"/>
              </w:rPr>
            </w:pPr>
            <w:r w:rsidRPr="00461DD0">
              <w:rPr>
                <w:lang w:eastAsia="en-AU"/>
              </w:rPr>
              <w:t xml:space="preserve"> 3.4</w:t>
            </w:r>
          </w:p>
        </w:tc>
        <w:tc>
          <w:tcPr>
            <w:tcW w:w="883" w:type="dxa"/>
            <w:tcBorders>
              <w:top w:val="nil"/>
              <w:left w:val="nil"/>
              <w:bottom w:val="single" w:sz="6" w:space="0" w:color="auto"/>
              <w:right w:val="nil"/>
            </w:tcBorders>
          </w:tcPr>
          <w:p w:rsidR="00B958B1" w:rsidRPr="00461DD0" w:rsidRDefault="00B958B1" w:rsidP="009F3B54">
            <w:pPr>
              <w:pStyle w:val="TableofFigures"/>
              <w:rPr>
                <w:lang w:eastAsia="en-AU"/>
              </w:rPr>
            </w:pPr>
            <w:r w:rsidRPr="00461DD0">
              <w:rPr>
                <w:lang w:eastAsia="en-AU"/>
              </w:rPr>
              <w:t xml:space="preserve"> 0.7</w:t>
            </w:r>
          </w:p>
        </w:tc>
        <w:tc>
          <w:tcPr>
            <w:tcW w:w="883" w:type="dxa"/>
            <w:tcBorders>
              <w:top w:val="nil"/>
              <w:left w:val="nil"/>
              <w:bottom w:val="single" w:sz="6" w:space="0" w:color="auto"/>
              <w:right w:val="nil"/>
            </w:tcBorders>
          </w:tcPr>
          <w:p w:rsidR="00B958B1" w:rsidRPr="00461DD0" w:rsidRDefault="00B958B1" w:rsidP="009F3B54">
            <w:pPr>
              <w:pStyle w:val="TableofFigures"/>
              <w:rPr>
                <w:lang w:eastAsia="en-AU"/>
              </w:rPr>
            </w:pPr>
            <w:r w:rsidRPr="00461DD0">
              <w:rPr>
                <w:lang w:eastAsia="en-AU"/>
              </w:rPr>
              <w:t xml:space="preserve"> 0.7</w:t>
            </w:r>
          </w:p>
        </w:tc>
        <w:tc>
          <w:tcPr>
            <w:tcW w:w="883" w:type="dxa"/>
            <w:tcBorders>
              <w:top w:val="nil"/>
              <w:left w:val="nil"/>
              <w:bottom w:val="single" w:sz="6" w:space="0" w:color="auto"/>
              <w:right w:val="nil"/>
            </w:tcBorders>
          </w:tcPr>
          <w:p w:rsidR="00B958B1" w:rsidRPr="00461DD0" w:rsidRDefault="00B958B1" w:rsidP="009F3B54">
            <w:pPr>
              <w:pStyle w:val="TableofFigures"/>
              <w:rPr>
                <w:lang w:eastAsia="en-AU"/>
              </w:rPr>
            </w:pPr>
            <w:r w:rsidRPr="00461DD0">
              <w:rPr>
                <w:lang w:eastAsia="en-AU"/>
              </w:rPr>
              <w:t xml:space="preserve"> 0.7</w:t>
            </w:r>
          </w:p>
        </w:tc>
      </w:tr>
      <w:tr w:rsidR="00B958B1" w:rsidRPr="00461DD0" w:rsidTr="009F3B54">
        <w:tc>
          <w:tcPr>
            <w:tcW w:w="4244" w:type="dxa"/>
            <w:tcBorders>
              <w:top w:val="single" w:sz="6" w:space="0" w:color="auto"/>
              <w:left w:val="nil"/>
              <w:bottom w:val="single" w:sz="12" w:space="0" w:color="auto"/>
              <w:right w:val="nil"/>
            </w:tcBorders>
          </w:tcPr>
          <w:p w:rsidR="00B958B1" w:rsidRPr="00461DD0" w:rsidRDefault="00B958B1" w:rsidP="009F3B54">
            <w:pPr>
              <w:pStyle w:val="Tabletext"/>
              <w:rPr>
                <w:b/>
                <w:bCs/>
                <w:lang w:eastAsia="en-AU"/>
              </w:rPr>
            </w:pPr>
            <w:r w:rsidRPr="00461DD0">
              <w:rPr>
                <w:b/>
                <w:bCs/>
                <w:lang w:eastAsia="en-AU"/>
              </w:rPr>
              <w:t>Total income from transactions</w:t>
            </w:r>
          </w:p>
        </w:tc>
        <w:tc>
          <w:tcPr>
            <w:tcW w:w="883" w:type="dxa"/>
            <w:tcBorders>
              <w:top w:val="single" w:sz="6" w:space="0" w:color="auto"/>
              <w:left w:val="nil"/>
              <w:bottom w:val="single" w:sz="12" w:space="0" w:color="auto"/>
              <w:right w:val="nil"/>
            </w:tcBorders>
          </w:tcPr>
          <w:p w:rsidR="00B958B1" w:rsidRPr="00461DD0" w:rsidRDefault="00B958B1" w:rsidP="009F3B54">
            <w:pPr>
              <w:pStyle w:val="TableofFigures"/>
              <w:rPr>
                <w:rFonts w:cs="Calibri"/>
                <w:b/>
                <w:bCs/>
                <w:lang w:eastAsia="en-AU"/>
              </w:rPr>
            </w:pPr>
            <w:r w:rsidRPr="00461DD0">
              <w:rPr>
                <w:b/>
                <w:bCs/>
                <w:lang w:eastAsia="en-AU"/>
              </w:rPr>
              <w:t xml:space="preserve">3 </w:t>
            </w:r>
            <w:r w:rsidRPr="00461DD0">
              <w:rPr>
                <w:rFonts w:cs="Calibri"/>
                <w:b/>
                <w:bCs/>
                <w:lang w:eastAsia="en-AU"/>
              </w:rPr>
              <w:t>381.5</w:t>
            </w:r>
          </w:p>
        </w:tc>
        <w:tc>
          <w:tcPr>
            <w:tcW w:w="883" w:type="dxa"/>
            <w:tcBorders>
              <w:top w:val="single" w:sz="6" w:space="0" w:color="auto"/>
              <w:left w:val="nil"/>
              <w:bottom w:val="single" w:sz="12" w:space="0" w:color="auto"/>
              <w:right w:val="nil"/>
            </w:tcBorders>
          </w:tcPr>
          <w:p w:rsidR="00B958B1" w:rsidRPr="00461DD0" w:rsidRDefault="00B958B1" w:rsidP="009F3B54">
            <w:pPr>
              <w:pStyle w:val="TableofFigures"/>
              <w:rPr>
                <w:rFonts w:cs="Calibri"/>
                <w:b/>
                <w:bCs/>
                <w:lang w:eastAsia="en-AU"/>
              </w:rPr>
            </w:pPr>
            <w:r w:rsidRPr="00461DD0">
              <w:rPr>
                <w:b/>
                <w:bCs/>
                <w:lang w:eastAsia="en-AU"/>
              </w:rPr>
              <w:t xml:space="preserve">3 </w:t>
            </w:r>
            <w:r w:rsidRPr="00461DD0">
              <w:rPr>
                <w:rFonts w:cs="Calibri"/>
                <w:b/>
                <w:bCs/>
                <w:lang w:eastAsia="en-AU"/>
              </w:rPr>
              <w:t>476.8</w:t>
            </w:r>
          </w:p>
        </w:tc>
        <w:tc>
          <w:tcPr>
            <w:tcW w:w="883" w:type="dxa"/>
            <w:tcBorders>
              <w:top w:val="single" w:sz="6" w:space="0" w:color="auto"/>
              <w:left w:val="nil"/>
              <w:bottom w:val="single" w:sz="12" w:space="0" w:color="auto"/>
              <w:right w:val="nil"/>
            </w:tcBorders>
          </w:tcPr>
          <w:p w:rsidR="00B958B1" w:rsidRPr="00461DD0" w:rsidRDefault="00B958B1" w:rsidP="009F3B54">
            <w:pPr>
              <w:pStyle w:val="TableofFigures"/>
              <w:rPr>
                <w:rFonts w:cs="Calibri"/>
                <w:b/>
                <w:bCs/>
                <w:lang w:eastAsia="en-AU"/>
              </w:rPr>
            </w:pPr>
            <w:r w:rsidRPr="00461DD0">
              <w:rPr>
                <w:b/>
                <w:bCs/>
                <w:lang w:eastAsia="en-AU"/>
              </w:rPr>
              <w:t xml:space="preserve">3 </w:t>
            </w:r>
            <w:r w:rsidRPr="00461DD0">
              <w:rPr>
                <w:rFonts w:cs="Calibri"/>
                <w:b/>
                <w:bCs/>
                <w:lang w:eastAsia="en-AU"/>
              </w:rPr>
              <w:t>533.8</w:t>
            </w:r>
          </w:p>
        </w:tc>
        <w:tc>
          <w:tcPr>
            <w:tcW w:w="883" w:type="dxa"/>
            <w:tcBorders>
              <w:top w:val="single" w:sz="6" w:space="0" w:color="auto"/>
              <w:left w:val="nil"/>
              <w:bottom w:val="single" w:sz="12" w:space="0" w:color="auto"/>
              <w:right w:val="nil"/>
            </w:tcBorders>
          </w:tcPr>
          <w:p w:rsidR="00B958B1" w:rsidRPr="00461DD0" w:rsidRDefault="00B958B1" w:rsidP="009F3B54">
            <w:pPr>
              <w:pStyle w:val="TableofFigures"/>
              <w:rPr>
                <w:rFonts w:cs="Calibri"/>
                <w:b/>
                <w:bCs/>
                <w:lang w:eastAsia="en-AU"/>
              </w:rPr>
            </w:pPr>
            <w:r w:rsidRPr="00461DD0">
              <w:rPr>
                <w:b/>
                <w:bCs/>
                <w:lang w:eastAsia="en-AU"/>
              </w:rPr>
              <w:t xml:space="preserve">3 </w:t>
            </w:r>
            <w:r w:rsidRPr="00461DD0">
              <w:rPr>
                <w:rFonts w:cs="Calibri"/>
                <w:b/>
                <w:bCs/>
                <w:lang w:eastAsia="en-AU"/>
              </w:rPr>
              <w:t>670.9</w:t>
            </w:r>
          </w:p>
        </w:tc>
      </w:tr>
    </w:tbl>
    <w:p w:rsidR="00B958B1" w:rsidRDefault="00B958B1" w:rsidP="009F3B54">
      <w:pPr>
        <w:pStyle w:val="Source"/>
        <w:rPr>
          <w:lang w:eastAsia="en-AU"/>
        </w:rPr>
      </w:pPr>
      <w:r w:rsidRPr="00353F74">
        <w:rPr>
          <w:lang w:eastAsia="en-AU"/>
        </w:rPr>
        <w:t xml:space="preserve">Sources: Departments of Human Services and Treasury and Finance </w:t>
      </w:r>
    </w:p>
    <w:p w:rsidR="00B958B1" w:rsidRPr="00175147" w:rsidRDefault="00B958B1" w:rsidP="00175147">
      <w:pPr>
        <w:pStyle w:val="Source"/>
        <w:rPr>
          <w:lang w:eastAsia="en-AU"/>
        </w:rPr>
      </w:pPr>
    </w:p>
    <w:p w:rsidR="00B958B1" w:rsidRPr="00353F74" w:rsidRDefault="00B958B1" w:rsidP="009F3B54">
      <w:pPr>
        <w:pStyle w:val="Tableheading"/>
        <w:rPr>
          <w:lang w:eastAsia="en-AU"/>
        </w:rPr>
      </w:pPr>
      <w:r w:rsidRPr="00353F74">
        <w:rPr>
          <w:lang w:eastAsia="en-AU"/>
        </w:rPr>
        <w:t>Table </w:t>
      </w:r>
      <w:r>
        <w:rPr>
          <w:lang w:eastAsia="en-AU"/>
        </w:rPr>
        <w:t>2.13</w:t>
      </w:r>
      <w:r w:rsidRPr="00353F74">
        <w:rPr>
          <w:lang w:eastAsia="en-AU"/>
        </w:rPr>
        <w:t>:</w:t>
      </w:r>
      <w:r w:rsidRPr="00353F74">
        <w:rPr>
          <w:lang w:eastAsia="en-AU"/>
        </w:rPr>
        <w:tab/>
        <w:t xml:space="preserve">Parliamentary authority for resources </w:t>
      </w:r>
    </w:p>
    <w:p w:rsidR="00B958B1" w:rsidRPr="00461DD0" w:rsidRDefault="00B958B1" w:rsidP="009F3B54">
      <w:pPr>
        <w:pStyle w:val="million"/>
        <w:rPr>
          <w:rFonts w:ascii="Garamond" w:hAnsi="Garamond"/>
          <w:sz w:val="22"/>
        </w:rPr>
      </w:pPr>
      <w:r w:rsidRPr="00353F74">
        <w:t>($</w:t>
      </w:r>
      <w:r>
        <w:t> million</w:t>
      </w:r>
      <w:r w:rsidRPr="00353F74">
        <w:t>)</w:t>
      </w:r>
    </w:p>
    <w:tbl>
      <w:tblPr>
        <w:tblW w:w="7776" w:type="dxa"/>
        <w:tblInd w:w="29" w:type="dxa"/>
        <w:tblLayout w:type="fixed"/>
        <w:tblCellMar>
          <w:left w:w="43" w:type="dxa"/>
          <w:right w:w="43" w:type="dxa"/>
        </w:tblCellMar>
        <w:tblLook w:val="0000" w:firstRow="0" w:lastRow="0" w:firstColumn="0" w:lastColumn="0" w:noHBand="0" w:noVBand="0"/>
      </w:tblPr>
      <w:tblGrid>
        <w:gridCol w:w="5054"/>
        <w:gridCol w:w="907"/>
        <w:gridCol w:w="907"/>
        <w:gridCol w:w="908"/>
      </w:tblGrid>
      <w:tr w:rsidR="00B958B1" w:rsidRPr="00461DD0" w:rsidTr="009F3B54">
        <w:tc>
          <w:tcPr>
            <w:tcW w:w="5054" w:type="dxa"/>
            <w:tcBorders>
              <w:top w:val="single" w:sz="6" w:space="0" w:color="auto"/>
              <w:left w:val="single" w:sz="6" w:space="0" w:color="auto"/>
              <w:bottom w:val="nil"/>
              <w:right w:val="nil"/>
            </w:tcBorders>
            <w:shd w:val="clear" w:color="auto" w:fill="000000"/>
          </w:tcPr>
          <w:p w:rsidR="00B958B1" w:rsidRPr="00461DD0" w:rsidRDefault="00B958B1" w:rsidP="009F3B54">
            <w:pPr>
              <w:pStyle w:val="Tabletext"/>
              <w:rPr>
                <w:lang w:eastAsia="en-AU"/>
              </w:rPr>
            </w:pPr>
            <w:r w:rsidRPr="00461DD0">
              <w:rPr>
                <w:lang w:eastAsia="en-AU"/>
              </w:rPr>
              <w:t xml:space="preserve"> </w:t>
            </w:r>
          </w:p>
        </w:tc>
        <w:tc>
          <w:tcPr>
            <w:tcW w:w="907" w:type="dxa"/>
            <w:tcBorders>
              <w:top w:val="single" w:sz="6" w:space="0" w:color="auto"/>
              <w:left w:val="nil"/>
              <w:bottom w:val="nil"/>
              <w:right w:val="nil"/>
            </w:tcBorders>
            <w:shd w:val="clear" w:color="auto" w:fill="000000"/>
          </w:tcPr>
          <w:p w:rsidR="00B958B1" w:rsidRPr="00461DD0" w:rsidRDefault="00B958B1" w:rsidP="009F3B54">
            <w:pPr>
              <w:pStyle w:val="Tabletextheading"/>
              <w:rPr>
                <w:lang w:eastAsia="en-AU"/>
              </w:rPr>
            </w:pPr>
            <w:r w:rsidRPr="00461DD0">
              <w:rPr>
                <w:lang w:eastAsia="en-AU"/>
              </w:rPr>
              <w:t>2012</w:t>
            </w:r>
            <w:r w:rsidR="009F0F49">
              <w:rPr>
                <w:lang w:eastAsia="en-AU"/>
              </w:rPr>
              <w:noBreakHyphen/>
            </w:r>
            <w:r w:rsidRPr="00461DD0">
              <w:rPr>
                <w:lang w:eastAsia="en-AU"/>
              </w:rPr>
              <w:t>13</w:t>
            </w:r>
          </w:p>
        </w:tc>
        <w:tc>
          <w:tcPr>
            <w:tcW w:w="907" w:type="dxa"/>
            <w:tcBorders>
              <w:top w:val="single" w:sz="6" w:space="0" w:color="auto"/>
              <w:left w:val="nil"/>
              <w:bottom w:val="nil"/>
              <w:right w:val="nil"/>
            </w:tcBorders>
            <w:shd w:val="clear" w:color="auto" w:fill="000000"/>
          </w:tcPr>
          <w:p w:rsidR="00B958B1" w:rsidRPr="00461DD0" w:rsidRDefault="00B958B1" w:rsidP="009F3B54">
            <w:pPr>
              <w:pStyle w:val="Tabletextheading"/>
              <w:rPr>
                <w:lang w:eastAsia="en-AU"/>
              </w:rPr>
            </w:pPr>
            <w:r w:rsidRPr="00461DD0">
              <w:rPr>
                <w:lang w:eastAsia="en-AU"/>
              </w:rPr>
              <w:t>2012</w:t>
            </w:r>
            <w:r w:rsidR="009F0F49">
              <w:rPr>
                <w:lang w:eastAsia="en-AU"/>
              </w:rPr>
              <w:noBreakHyphen/>
            </w:r>
            <w:r w:rsidRPr="00461DD0">
              <w:rPr>
                <w:lang w:eastAsia="en-AU"/>
              </w:rPr>
              <w:t>13</w:t>
            </w:r>
          </w:p>
        </w:tc>
        <w:tc>
          <w:tcPr>
            <w:tcW w:w="908" w:type="dxa"/>
            <w:tcBorders>
              <w:top w:val="single" w:sz="6" w:space="0" w:color="auto"/>
              <w:left w:val="nil"/>
              <w:bottom w:val="nil"/>
              <w:right w:val="single" w:sz="6" w:space="0" w:color="auto"/>
            </w:tcBorders>
            <w:shd w:val="clear" w:color="auto" w:fill="000000"/>
          </w:tcPr>
          <w:p w:rsidR="00B958B1" w:rsidRPr="00461DD0" w:rsidRDefault="00B958B1" w:rsidP="009F3B54">
            <w:pPr>
              <w:pStyle w:val="Tabletextheading"/>
              <w:rPr>
                <w:lang w:eastAsia="en-AU"/>
              </w:rPr>
            </w:pPr>
            <w:r w:rsidRPr="00461DD0">
              <w:rPr>
                <w:lang w:eastAsia="en-AU"/>
              </w:rPr>
              <w:t>2013</w:t>
            </w:r>
            <w:r w:rsidR="009F0F49">
              <w:rPr>
                <w:lang w:eastAsia="en-AU"/>
              </w:rPr>
              <w:noBreakHyphen/>
            </w:r>
            <w:r w:rsidRPr="00461DD0">
              <w:rPr>
                <w:lang w:eastAsia="en-AU"/>
              </w:rPr>
              <w:t>14</w:t>
            </w:r>
          </w:p>
        </w:tc>
      </w:tr>
      <w:tr w:rsidR="00B958B1" w:rsidRPr="00461DD0" w:rsidTr="009F3B54">
        <w:tc>
          <w:tcPr>
            <w:tcW w:w="5054" w:type="dxa"/>
            <w:tcBorders>
              <w:top w:val="nil"/>
              <w:left w:val="single" w:sz="6" w:space="0" w:color="auto"/>
              <w:bottom w:val="single" w:sz="6" w:space="0" w:color="auto"/>
              <w:right w:val="nil"/>
            </w:tcBorders>
            <w:shd w:val="clear" w:color="auto" w:fill="000000"/>
          </w:tcPr>
          <w:p w:rsidR="00B958B1" w:rsidRPr="00461DD0" w:rsidRDefault="00B958B1" w:rsidP="009F3B54">
            <w:pPr>
              <w:pStyle w:val="Tabletext"/>
              <w:rPr>
                <w:lang w:eastAsia="en-AU"/>
              </w:rPr>
            </w:pPr>
            <w:r w:rsidRPr="00461DD0">
              <w:rPr>
                <w:lang w:eastAsia="en-AU"/>
              </w:rPr>
              <w:t xml:space="preserve"> </w:t>
            </w:r>
          </w:p>
        </w:tc>
        <w:tc>
          <w:tcPr>
            <w:tcW w:w="907" w:type="dxa"/>
            <w:tcBorders>
              <w:top w:val="nil"/>
              <w:left w:val="nil"/>
              <w:bottom w:val="single" w:sz="6" w:space="0" w:color="auto"/>
              <w:right w:val="nil"/>
            </w:tcBorders>
            <w:shd w:val="clear" w:color="auto" w:fill="000000"/>
          </w:tcPr>
          <w:p w:rsidR="00B958B1" w:rsidRPr="00461DD0" w:rsidRDefault="00B958B1" w:rsidP="009F3B54">
            <w:pPr>
              <w:pStyle w:val="Tabletextheading"/>
              <w:rPr>
                <w:lang w:eastAsia="en-AU"/>
              </w:rPr>
            </w:pPr>
            <w:r w:rsidRPr="00461DD0">
              <w:rPr>
                <w:lang w:eastAsia="en-AU"/>
              </w:rPr>
              <w:t>Budget</w:t>
            </w:r>
          </w:p>
        </w:tc>
        <w:tc>
          <w:tcPr>
            <w:tcW w:w="907" w:type="dxa"/>
            <w:tcBorders>
              <w:top w:val="nil"/>
              <w:left w:val="nil"/>
              <w:bottom w:val="single" w:sz="6" w:space="0" w:color="auto"/>
              <w:right w:val="nil"/>
            </w:tcBorders>
            <w:shd w:val="clear" w:color="auto" w:fill="000000"/>
          </w:tcPr>
          <w:p w:rsidR="00B958B1" w:rsidRPr="00461DD0" w:rsidRDefault="00B958B1" w:rsidP="009F3B54">
            <w:pPr>
              <w:pStyle w:val="Tabletextheading"/>
              <w:rPr>
                <w:lang w:eastAsia="en-AU"/>
              </w:rPr>
            </w:pPr>
            <w:r w:rsidRPr="00461DD0">
              <w:rPr>
                <w:lang w:eastAsia="en-AU"/>
              </w:rPr>
              <w:t>Revised</w:t>
            </w:r>
          </w:p>
        </w:tc>
        <w:tc>
          <w:tcPr>
            <w:tcW w:w="908" w:type="dxa"/>
            <w:tcBorders>
              <w:top w:val="nil"/>
              <w:left w:val="nil"/>
              <w:bottom w:val="single" w:sz="6" w:space="0" w:color="auto"/>
              <w:right w:val="single" w:sz="6" w:space="0" w:color="auto"/>
            </w:tcBorders>
            <w:shd w:val="clear" w:color="auto" w:fill="000000"/>
          </w:tcPr>
          <w:p w:rsidR="00B958B1" w:rsidRPr="00461DD0" w:rsidRDefault="00B958B1" w:rsidP="009F3B54">
            <w:pPr>
              <w:pStyle w:val="Tabletextheading"/>
              <w:rPr>
                <w:lang w:eastAsia="en-AU"/>
              </w:rPr>
            </w:pPr>
            <w:r w:rsidRPr="00461DD0">
              <w:rPr>
                <w:lang w:eastAsia="en-AU"/>
              </w:rPr>
              <w:t>Budget</w:t>
            </w:r>
          </w:p>
        </w:tc>
      </w:tr>
      <w:tr w:rsidR="00B958B1" w:rsidRPr="00461DD0" w:rsidTr="009F3B54">
        <w:tc>
          <w:tcPr>
            <w:tcW w:w="5054" w:type="dxa"/>
            <w:tcBorders>
              <w:top w:val="single" w:sz="6" w:space="0" w:color="auto"/>
              <w:left w:val="nil"/>
              <w:bottom w:val="nil"/>
              <w:right w:val="nil"/>
            </w:tcBorders>
            <w:shd w:val="solid" w:color="FFFFFF" w:fill="auto"/>
          </w:tcPr>
          <w:p w:rsidR="00B958B1" w:rsidRPr="00461DD0" w:rsidRDefault="00B958B1" w:rsidP="009F3B54">
            <w:pPr>
              <w:pStyle w:val="Tabletext"/>
              <w:rPr>
                <w:b/>
                <w:bCs/>
                <w:lang w:eastAsia="en-AU"/>
              </w:rPr>
            </w:pPr>
            <w:r w:rsidRPr="00461DD0">
              <w:rPr>
                <w:b/>
                <w:bCs/>
                <w:lang w:eastAsia="en-AU"/>
              </w:rPr>
              <w:t>Annual appropriations</w:t>
            </w:r>
          </w:p>
        </w:tc>
        <w:tc>
          <w:tcPr>
            <w:tcW w:w="907" w:type="dxa"/>
            <w:tcBorders>
              <w:top w:val="single" w:sz="6" w:space="0" w:color="auto"/>
              <w:left w:val="nil"/>
              <w:bottom w:val="nil"/>
              <w:right w:val="nil"/>
            </w:tcBorders>
            <w:shd w:val="solid" w:color="FFFFFF" w:fill="auto"/>
          </w:tcPr>
          <w:p w:rsidR="00B958B1" w:rsidRPr="00461DD0" w:rsidRDefault="00B958B1" w:rsidP="009F3B54">
            <w:pPr>
              <w:pStyle w:val="TableofFigures"/>
              <w:rPr>
                <w:rFonts w:cs="Calibri"/>
                <w:b/>
                <w:bCs/>
                <w:lang w:eastAsia="en-AU"/>
              </w:rPr>
            </w:pPr>
            <w:r w:rsidRPr="00461DD0">
              <w:rPr>
                <w:b/>
                <w:bCs/>
                <w:lang w:eastAsia="en-AU"/>
              </w:rPr>
              <w:t xml:space="preserve">3 </w:t>
            </w:r>
            <w:r w:rsidRPr="00461DD0">
              <w:rPr>
                <w:rFonts w:cs="Calibri"/>
                <w:b/>
                <w:bCs/>
                <w:lang w:eastAsia="en-AU"/>
              </w:rPr>
              <w:t>446.2</w:t>
            </w:r>
          </w:p>
        </w:tc>
        <w:tc>
          <w:tcPr>
            <w:tcW w:w="907" w:type="dxa"/>
            <w:tcBorders>
              <w:top w:val="single" w:sz="6" w:space="0" w:color="auto"/>
              <w:left w:val="nil"/>
              <w:bottom w:val="nil"/>
              <w:right w:val="nil"/>
            </w:tcBorders>
            <w:shd w:val="solid" w:color="FFFFFF" w:fill="auto"/>
          </w:tcPr>
          <w:p w:rsidR="00B958B1" w:rsidRPr="00461DD0" w:rsidRDefault="00B958B1" w:rsidP="009F3B54">
            <w:pPr>
              <w:pStyle w:val="TableofFigures"/>
              <w:rPr>
                <w:rFonts w:cs="Calibri"/>
                <w:b/>
                <w:bCs/>
                <w:lang w:eastAsia="en-AU"/>
              </w:rPr>
            </w:pPr>
            <w:r w:rsidRPr="00461DD0">
              <w:rPr>
                <w:b/>
                <w:bCs/>
                <w:lang w:eastAsia="en-AU"/>
              </w:rPr>
              <w:t xml:space="preserve">3 </w:t>
            </w:r>
            <w:r w:rsidRPr="00461DD0">
              <w:rPr>
                <w:rFonts w:cs="Calibri"/>
                <w:b/>
                <w:bCs/>
                <w:lang w:eastAsia="en-AU"/>
              </w:rPr>
              <w:t>448.9</w:t>
            </w:r>
          </w:p>
        </w:tc>
        <w:tc>
          <w:tcPr>
            <w:tcW w:w="908" w:type="dxa"/>
            <w:tcBorders>
              <w:top w:val="single" w:sz="6" w:space="0" w:color="auto"/>
              <w:left w:val="nil"/>
              <w:bottom w:val="nil"/>
              <w:right w:val="nil"/>
            </w:tcBorders>
            <w:shd w:val="solid" w:color="FFFFFF" w:fill="auto"/>
          </w:tcPr>
          <w:p w:rsidR="00B958B1" w:rsidRPr="00461DD0" w:rsidRDefault="00B958B1" w:rsidP="009F3B54">
            <w:pPr>
              <w:pStyle w:val="TableofFigures"/>
              <w:rPr>
                <w:rFonts w:cs="Calibri"/>
                <w:b/>
                <w:bCs/>
                <w:lang w:eastAsia="en-AU"/>
              </w:rPr>
            </w:pPr>
            <w:r w:rsidRPr="00461DD0">
              <w:rPr>
                <w:b/>
                <w:bCs/>
                <w:lang w:eastAsia="en-AU"/>
              </w:rPr>
              <w:t xml:space="preserve">3 </w:t>
            </w:r>
            <w:r w:rsidRPr="00461DD0">
              <w:rPr>
                <w:rFonts w:cs="Calibri"/>
                <w:b/>
                <w:bCs/>
                <w:lang w:eastAsia="en-AU"/>
              </w:rPr>
              <w:t>618.6</w:t>
            </w:r>
          </w:p>
        </w:tc>
      </w:tr>
      <w:tr w:rsidR="00B958B1" w:rsidRPr="00461DD0" w:rsidTr="009F3B54">
        <w:tc>
          <w:tcPr>
            <w:tcW w:w="5054" w:type="dxa"/>
            <w:tcBorders>
              <w:top w:val="nil"/>
              <w:left w:val="nil"/>
              <w:bottom w:val="nil"/>
              <w:right w:val="nil"/>
            </w:tcBorders>
            <w:shd w:val="solid" w:color="FFFFFF" w:fill="auto"/>
          </w:tcPr>
          <w:p w:rsidR="00B958B1" w:rsidRPr="00461DD0" w:rsidRDefault="00B958B1" w:rsidP="009F3B54">
            <w:pPr>
              <w:pStyle w:val="Tabletext"/>
              <w:rPr>
                <w:lang w:eastAsia="en-AU"/>
              </w:rPr>
            </w:pPr>
            <w:r w:rsidRPr="00461DD0">
              <w:rPr>
                <w:lang w:eastAsia="en-AU"/>
              </w:rPr>
              <w:t xml:space="preserve"> Provision of outputs</w:t>
            </w:r>
          </w:p>
        </w:tc>
        <w:tc>
          <w:tcPr>
            <w:tcW w:w="907" w:type="dxa"/>
            <w:tcBorders>
              <w:top w:val="nil"/>
              <w:left w:val="nil"/>
              <w:bottom w:val="nil"/>
              <w:right w:val="nil"/>
            </w:tcBorders>
            <w:shd w:val="solid" w:color="FFFFFF" w:fill="auto"/>
          </w:tcPr>
          <w:p w:rsidR="00B958B1" w:rsidRPr="00461DD0" w:rsidRDefault="00B958B1" w:rsidP="009F3B54">
            <w:pPr>
              <w:pStyle w:val="TableofFigures"/>
              <w:rPr>
                <w:rFonts w:cs="Calibri"/>
                <w:lang w:eastAsia="en-AU"/>
              </w:rPr>
            </w:pPr>
            <w:r w:rsidRPr="00461DD0">
              <w:rPr>
                <w:lang w:eastAsia="en-AU"/>
              </w:rPr>
              <w:t xml:space="preserve">3 </w:t>
            </w:r>
            <w:r w:rsidRPr="00461DD0">
              <w:rPr>
                <w:rFonts w:cs="Calibri"/>
                <w:lang w:eastAsia="en-AU"/>
              </w:rPr>
              <w:t>375.4</w:t>
            </w:r>
          </w:p>
        </w:tc>
        <w:tc>
          <w:tcPr>
            <w:tcW w:w="907" w:type="dxa"/>
            <w:tcBorders>
              <w:top w:val="nil"/>
              <w:left w:val="nil"/>
              <w:bottom w:val="nil"/>
              <w:right w:val="nil"/>
            </w:tcBorders>
            <w:shd w:val="solid" w:color="FFFFFF" w:fill="auto"/>
          </w:tcPr>
          <w:p w:rsidR="00B958B1" w:rsidRPr="00461DD0" w:rsidRDefault="00B958B1" w:rsidP="009F3B54">
            <w:pPr>
              <w:pStyle w:val="TableofFigures"/>
              <w:rPr>
                <w:rFonts w:cs="Calibri"/>
                <w:lang w:eastAsia="en-AU"/>
              </w:rPr>
            </w:pPr>
            <w:r w:rsidRPr="00461DD0">
              <w:rPr>
                <w:lang w:eastAsia="en-AU"/>
              </w:rPr>
              <w:t xml:space="preserve">3 </w:t>
            </w:r>
            <w:r w:rsidRPr="00461DD0">
              <w:rPr>
                <w:rFonts w:cs="Calibri"/>
                <w:lang w:eastAsia="en-AU"/>
              </w:rPr>
              <w:t>408.4</w:t>
            </w:r>
          </w:p>
        </w:tc>
        <w:tc>
          <w:tcPr>
            <w:tcW w:w="908" w:type="dxa"/>
            <w:tcBorders>
              <w:top w:val="nil"/>
              <w:left w:val="nil"/>
              <w:bottom w:val="nil"/>
              <w:right w:val="nil"/>
            </w:tcBorders>
            <w:shd w:val="solid" w:color="FFFFFF" w:fill="auto"/>
          </w:tcPr>
          <w:p w:rsidR="00B958B1" w:rsidRPr="00461DD0" w:rsidRDefault="00B958B1" w:rsidP="009F3B54">
            <w:pPr>
              <w:pStyle w:val="TableofFigures"/>
              <w:rPr>
                <w:rFonts w:cs="Calibri"/>
                <w:lang w:eastAsia="en-AU"/>
              </w:rPr>
            </w:pPr>
            <w:r w:rsidRPr="00461DD0">
              <w:rPr>
                <w:lang w:eastAsia="en-AU"/>
              </w:rPr>
              <w:t xml:space="preserve">3 </w:t>
            </w:r>
            <w:r w:rsidRPr="00461DD0">
              <w:rPr>
                <w:rFonts w:cs="Calibri"/>
                <w:lang w:eastAsia="en-AU"/>
              </w:rPr>
              <w:t>534.6</w:t>
            </w:r>
          </w:p>
        </w:tc>
      </w:tr>
      <w:tr w:rsidR="00B958B1" w:rsidRPr="00461DD0" w:rsidTr="009F3B54">
        <w:tc>
          <w:tcPr>
            <w:tcW w:w="5054" w:type="dxa"/>
            <w:tcBorders>
              <w:top w:val="nil"/>
              <w:left w:val="nil"/>
              <w:bottom w:val="nil"/>
              <w:right w:val="nil"/>
            </w:tcBorders>
            <w:shd w:val="solid" w:color="FFFFFF" w:fill="auto"/>
          </w:tcPr>
          <w:p w:rsidR="00B958B1" w:rsidRPr="00461DD0" w:rsidRDefault="00B958B1" w:rsidP="009F3B54">
            <w:pPr>
              <w:pStyle w:val="Tabletext"/>
              <w:rPr>
                <w:lang w:eastAsia="en-AU"/>
              </w:rPr>
            </w:pPr>
            <w:r w:rsidRPr="00461DD0">
              <w:rPr>
                <w:lang w:eastAsia="en-AU"/>
              </w:rPr>
              <w:t xml:space="preserve"> Additions to the net asset base</w:t>
            </w:r>
          </w:p>
        </w:tc>
        <w:tc>
          <w:tcPr>
            <w:tcW w:w="907" w:type="dxa"/>
            <w:tcBorders>
              <w:top w:val="nil"/>
              <w:left w:val="nil"/>
              <w:bottom w:val="nil"/>
              <w:right w:val="nil"/>
            </w:tcBorders>
            <w:shd w:val="solid" w:color="FFFFFF" w:fill="auto"/>
          </w:tcPr>
          <w:p w:rsidR="00B958B1" w:rsidRPr="00461DD0" w:rsidRDefault="00B958B1" w:rsidP="009F3B54">
            <w:pPr>
              <w:pStyle w:val="TableofFigures"/>
              <w:rPr>
                <w:lang w:eastAsia="en-AU"/>
              </w:rPr>
            </w:pPr>
            <w:r w:rsidRPr="00461DD0">
              <w:rPr>
                <w:lang w:eastAsia="en-AU"/>
              </w:rPr>
              <w:t xml:space="preserve"> 70.8</w:t>
            </w:r>
          </w:p>
        </w:tc>
        <w:tc>
          <w:tcPr>
            <w:tcW w:w="907" w:type="dxa"/>
            <w:tcBorders>
              <w:top w:val="nil"/>
              <w:left w:val="nil"/>
              <w:bottom w:val="nil"/>
              <w:right w:val="nil"/>
            </w:tcBorders>
            <w:shd w:val="solid" w:color="FFFFFF" w:fill="auto"/>
          </w:tcPr>
          <w:p w:rsidR="00B958B1" w:rsidRPr="00461DD0" w:rsidRDefault="00B958B1" w:rsidP="009F3B54">
            <w:pPr>
              <w:pStyle w:val="TableofFigures"/>
              <w:rPr>
                <w:lang w:eastAsia="en-AU"/>
              </w:rPr>
            </w:pPr>
            <w:r w:rsidRPr="00461DD0">
              <w:rPr>
                <w:lang w:eastAsia="en-AU"/>
              </w:rPr>
              <w:t xml:space="preserve"> 40.5</w:t>
            </w:r>
          </w:p>
        </w:tc>
        <w:tc>
          <w:tcPr>
            <w:tcW w:w="908" w:type="dxa"/>
            <w:tcBorders>
              <w:top w:val="nil"/>
              <w:left w:val="nil"/>
              <w:bottom w:val="nil"/>
              <w:right w:val="nil"/>
            </w:tcBorders>
            <w:shd w:val="solid" w:color="FFFFFF" w:fill="auto"/>
          </w:tcPr>
          <w:p w:rsidR="00B958B1" w:rsidRPr="00461DD0" w:rsidRDefault="00B958B1" w:rsidP="009F3B54">
            <w:pPr>
              <w:pStyle w:val="TableofFigures"/>
              <w:rPr>
                <w:lang w:eastAsia="en-AU"/>
              </w:rPr>
            </w:pPr>
            <w:r w:rsidRPr="00461DD0">
              <w:rPr>
                <w:lang w:eastAsia="en-AU"/>
              </w:rPr>
              <w:t xml:space="preserve"> 84.0</w:t>
            </w:r>
          </w:p>
        </w:tc>
      </w:tr>
      <w:tr w:rsidR="00B958B1" w:rsidRPr="00461DD0" w:rsidTr="009F3B54">
        <w:tc>
          <w:tcPr>
            <w:tcW w:w="5054" w:type="dxa"/>
            <w:tcBorders>
              <w:top w:val="nil"/>
              <w:left w:val="nil"/>
              <w:bottom w:val="nil"/>
              <w:right w:val="nil"/>
            </w:tcBorders>
            <w:shd w:val="solid" w:color="FFFFFF" w:fill="auto"/>
          </w:tcPr>
          <w:p w:rsidR="00B958B1" w:rsidRPr="00461DD0" w:rsidRDefault="00B958B1" w:rsidP="009F3B54">
            <w:pPr>
              <w:pStyle w:val="Tabletext"/>
              <w:rPr>
                <w:lang w:eastAsia="en-AU"/>
              </w:rPr>
            </w:pPr>
            <w:r w:rsidRPr="00461DD0">
              <w:rPr>
                <w:lang w:eastAsia="en-AU"/>
              </w:rPr>
              <w:t>Receipts credited to appropriations</w:t>
            </w:r>
          </w:p>
        </w:tc>
        <w:tc>
          <w:tcPr>
            <w:tcW w:w="907" w:type="dxa"/>
            <w:tcBorders>
              <w:top w:val="nil"/>
              <w:left w:val="nil"/>
              <w:bottom w:val="nil"/>
              <w:right w:val="nil"/>
            </w:tcBorders>
            <w:shd w:val="solid" w:color="FFFFFF" w:fill="auto"/>
          </w:tcPr>
          <w:p w:rsidR="00B958B1" w:rsidRPr="00461DD0" w:rsidRDefault="00B958B1" w:rsidP="009F3B54">
            <w:pPr>
              <w:pStyle w:val="TableofFigures"/>
              <w:rPr>
                <w:lang w:eastAsia="en-AU"/>
              </w:rPr>
            </w:pPr>
            <w:r w:rsidRPr="00461DD0">
              <w:rPr>
                <w:lang w:eastAsia="en-AU"/>
              </w:rPr>
              <w:t xml:space="preserve"> 111.9</w:t>
            </w:r>
          </w:p>
        </w:tc>
        <w:tc>
          <w:tcPr>
            <w:tcW w:w="907" w:type="dxa"/>
            <w:tcBorders>
              <w:top w:val="nil"/>
              <w:left w:val="nil"/>
              <w:bottom w:val="nil"/>
              <w:right w:val="nil"/>
            </w:tcBorders>
            <w:shd w:val="solid" w:color="FFFFFF" w:fill="auto"/>
          </w:tcPr>
          <w:p w:rsidR="00B958B1" w:rsidRPr="00461DD0" w:rsidRDefault="00B958B1" w:rsidP="009F3B54">
            <w:pPr>
              <w:pStyle w:val="TableofFigures"/>
              <w:rPr>
                <w:lang w:eastAsia="en-AU"/>
              </w:rPr>
            </w:pPr>
            <w:r w:rsidRPr="00461DD0">
              <w:rPr>
                <w:lang w:eastAsia="en-AU"/>
              </w:rPr>
              <w:t xml:space="preserve"> 41.7</w:t>
            </w:r>
          </w:p>
        </w:tc>
        <w:tc>
          <w:tcPr>
            <w:tcW w:w="908" w:type="dxa"/>
            <w:tcBorders>
              <w:top w:val="nil"/>
              <w:left w:val="nil"/>
              <w:bottom w:val="nil"/>
              <w:right w:val="nil"/>
            </w:tcBorders>
            <w:shd w:val="solid" w:color="FFFFFF" w:fill="auto"/>
          </w:tcPr>
          <w:p w:rsidR="00B958B1" w:rsidRPr="00461DD0" w:rsidRDefault="00B958B1" w:rsidP="009F3B54">
            <w:pPr>
              <w:pStyle w:val="TableofFigures"/>
              <w:rPr>
                <w:lang w:eastAsia="en-AU"/>
              </w:rPr>
            </w:pPr>
            <w:r w:rsidRPr="00461DD0">
              <w:rPr>
                <w:lang w:eastAsia="en-AU"/>
              </w:rPr>
              <w:t xml:space="preserve"> 50.3</w:t>
            </w:r>
          </w:p>
        </w:tc>
      </w:tr>
      <w:tr w:rsidR="00B958B1" w:rsidRPr="00461DD0" w:rsidTr="009F3B54">
        <w:tc>
          <w:tcPr>
            <w:tcW w:w="5054" w:type="dxa"/>
            <w:tcBorders>
              <w:top w:val="nil"/>
              <w:left w:val="nil"/>
              <w:bottom w:val="nil"/>
              <w:right w:val="nil"/>
            </w:tcBorders>
            <w:shd w:val="solid" w:color="FFFFFF" w:fill="auto"/>
          </w:tcPr>
          <w:p w:rsidR="00B958B1" w:rsidRPr="00461DD0" w:rsidRDefault="00B958B1" w:rsidP="009F3B54">
            <w:pPr>
              <w:pStyle w:val="Tabletext"/>
              <w:rPr>
                <w:b/>
                <w:bCs/>
                <w:lang w:eastAsia="en-AU"/>
              </w:rPr>
            </w:pPr>
            <w:r w:rsidRPr="00461DD0">
              <w:rPr>
                <w:b/>
                <w:bCs/>
                <w:lang w:eastAsia="en-AU"/>
              </w:rPr>
              <w:t>Unapplied previous years appropriation</w:t>
            </w:r>
          </w:p>
        </w:tc>
        <w:tc>
          <w:tcPr>
            <w:tcW w:w="907" w:type="dxa"/>
            <w:tcBorders>
              <w:top w:val="nil"/>
              <w:left w:val="nil"/>
              <w:bottom w:val="nil"/>
              <w:right w:val="nil"/>
            </w:tcBorders>
            <w:shd w:val="solid" w:color="FFFFFF" w:fill="auto"/>
          </w:tcPr>
          <w:p w:rsidR="00B958B1" w:rsidRPr="00461DD0" w:rsidRDefault="00B958B1" w:rsidP="009F3B54">
            <w:pPr>
              <w:pStyle w:val="TableofFigures"/>
              <w:rPr>
                <w:lang w:eastAsia="en-AU"/>
              </w:rPr>
            </w:pPr>
            <w:r w:rsidRPr="00461DD0">
              <w:rPr>
                <w:lang w:eastAsia="en-AU"/>
              </w:rPr>
              <w:t xml:space="preserve"> 0.9</w:t>
            </w:r>
          </w:p>
        </w:tc>
        <w:tc>
          <w:tcPr>
            <w:tcW w:w="907" w:type="dxa"/>
            <w:tcBorders>
              <w:top w:val="nil"/>
              <w:left w:val="nil"/>
              <w:bottom w:val="nil"/>
              <w:right w:val="nil"/>
            </w:tcBorders>
            <w:shd w:val="solid" w:color="FFFFFF" w:fill="auto"/>
          </w:tcPr>
          <w:p w:rsidR="00B958B1" w:rsidRPr="00461DD0" w:rsidRDefault="00B958B1" w:rsidP="009F3B54">
            <w:pPr>
              <w:pStyle w:val="TableofFigures"/>
              <w:rPr>
                <w:lang w:eastAsia="en-AU"/>
              </w:rPr>
            </w:pPr>
            <w:r w:rsidRPr="00461DD0">
              <w:rPr>
                <w:lang w:eastAsia="en-AU"/>
              </w:rPr>
              <w:t xml:space="preserve"> 32.2</w:t>
            </w:r>
          </w:p>
        </w:tc>
        <w:tc>
          <w:tcPr>
            <w:tcW w:w="908" w:type="dxa"/>
            <w:tcBorders>
              <w:top w:val="nil"/>
              <w:left w:val="nil"/>
              <w:bottom w:val="nil"/>
              <w:right w:val="nil"/>
            </w:tcBorders>
            <w:shd w:val="solid" w:color="FFFFFF" w:fill="auto"/>
          </w:tcPr>
          <w:p w:rsidR="00B958B1" w:rsidRPr="00461DD0" w:rsidRDefault="00B958B1" w:rsidP="009F3B54">
            <w:pPr>
              <w:pStyle w:val="TableofFigures"/>
              <w:rPr>
                <w:lang w:eastAsia="en-AU"/>
              </w:rPr>
            </w:pPr>
            <w:r w:rsidRPr="00461DD0">
              <w:rPr>
                <w:lang w:eastAsia="en-AU"/>
              </w:rPr>
              <w:t xml:space="preserve"> 14.9</w:t>
            </w:r>
          </w:p>
        </w:tc>
      </w:tr>
      <w:tr w:rsidR="00B958B1" w:rsidRPr="00461DD0" w:rsidTr="009F3B54">
        <w:tc>
          <w:tcPr>
            <w:tcW w:w="5054" w:type="dxa"/>
            <w:tcBorders>
              <w:top w:val="nil"/>
              <w:left w:val="nil"/>
              <w:bottom w:val="nil"/>
              <w:right w:val="nil"/>
            </w:tcBorders>
            <w:shd w:val="solid" w:color="FFFFFF" w:fill="auto"/>
          </w:tcPr>
          <w:p w:rsidR="00B958B1" w:rsidRPr="00461DD0" w:rsidRDefault="00B958B1" w:rsidP="009F3B54">
            <w:pPr>
              <w:pStyle w:val="Tabletext"/>
              <w:rPr>
                <w:lang w:eastAsia="en-AU"/>
              </w:rPr>
            </w:pPr>
            <w:r w:rsidRPr="00461DD0">
              <w:rPr>
                <w:lang w:eastAsia="en-AU"/>
              </w:rPr>
              <w:t xml:space="preserve"> Provision of outputs</w:t>
            </w:r>
          </w:p>
        </w:tc>
        <w:tc>
          <w:tcPr>
            <w:tcW w:w="907" w:type="dxa"/>
            <w:tcBorders>
              <w:top w:val="nil"/>
              <w:left w:val="nil"/>
              <w:bottom w:val="nil"/>
              <w:right w:val="nil"/>
            </w:tcBorders>
            <w:shd w:val="solid" w:color="FFFFFF" w:fill="auto"/>
          </w:tcPr>
          <w:p w:rsidR="00B958B1" w:rsidRPr="00461DD0" w:rsidRDefault="00B958B1" w:rsidP="009F3B54">
            <w:pPr>
              <w:pStyle w:val="TableofFigures"/>
              <w:rPr>
                <w:lang w:eastAsia="en-AU"/>
              </w:rPr>
            </w:pPr>
            <w:r w:rsidRPr="00461DD0">
              <w:rPr>
                <w:lang w:eastAsia="en-AU"/>
              </w:rPr>
              <w:t>..</w:t>
            </w:r>
          </w:p>
        </w:tc>
        <w:tc>
          <w:tcPr>
            <w:tcW w:w="907" w:type="dxa"/>
            <w:tcBorders>
              <w:top w:val="nil"/>
              <w:left w:val="nil"/>
              <w:bottom w:val="nil"/>
              <w:right w:val="nil"/>
            </w:tcBorders>
            <w:shd w:val="solid" w:color="FFFFFF" w:fill="auto"/>
          </w:tcPr>
          <w:p w:rsidR="00B958B1" w:rsidRPr="00461DD0" w:rsidRDefault="00B958B1" w:rsidP="009F3B54">
            <w:pPr>
              <w:pStyle w:val="TableofFigures"/>
              <w:rPr>
                <w:lang w:eastAsia="en-AU"/>
              </w:rPr>
            </w:pPr>
            <w:r w:rsidRPr="00461DD0">
              <w:rPr>
                <w:lang w:eastAsia="en-AU"/>
              </w:rPr>
              <w:t xml:space="preserve"> 21.0</w:t>
            </w:r>
          </w:p>
        </w:tc>
        <w:tc>
          <w:tcPr>
            <w:tcW w:w="908" w:type="dxa"/>
            <w:tcBorders>
              <w:top w:val="nil"/>
              <w:left w:val="nil"/>
              <w:bottom w:val="nil"/>
              <w:right w:val="nil"/>
            </w:tcBorders>
            <w:shd w:val="solid" w:color="FFFFFF" w:fill="auto"/>
          </w:tcPr>
          <w:p w:rsidR="00B958B1" w:rsidRPr="00461DD0" w:rsidRDefault="00B958B1" w:rsidP="009F3B54">
            <w:pPr>
              <w:pStyle w:val="TableofFigures"/>
              <w:rPr>
                <w:lang w:eastAsia="en-AU"/>
              </w:rPr>
            </w:pPr>
            <w:r w:rsidRPr="00461DD0">
              <w:rPr>
                <w:lang w:eastAsia="en-AU"/>
              </w:rPr>
              <w:t xml:space="preserve"> 2.9</w:t>
            </w:r>
          </w:p>
        </w:tc>
      </w:tr>
      <w:tr w:rsidR="00B958B1" w:rsidRPr="00461DD0" w:rsidTr="009F3B54">
        <w:tc>
          <w:tcPr>
            <w:tcW w:w="5054" w:type="dxa"/>
            <w:tcBorders>
              <w:top w:val="nil"/>
              <w:left w:val="nil"/>
              <w:bottom w:val="nil"/>
              <w:right w:val="nil"/>
            </w:tcBorders>
            <w:shd w:val="solid" w:color="FFFFFF" w:fill="auto"/>
          </w:tcPr>
          <w:p w:rsidR="00B958B1" w:rsidRPr="00461DD0" w:rsidRDefault="00B958B1" w:rsidP="009F3B54">
            <w:pPr>
              <w:pStyle w:val="Tabletext"/>
              <w:rPr>
                <w:lang w:eastAsia="en-AU"/>
              </w:rPr>
            </w:pPr>
            <w:r w:rsidRPr="00461DD0">
              <w:rPr>
                <w:lang w:eastAsia="en-AU"/>
              </w:rPr>
              <w:t xml:space="preserve"> Additions to the net asset base</w:t>
            </w:r>
          </w:p>
        </w:tc>
        <w:tc>
          <w:tcPr>
            <w:tcW w:w="907" w:type="dxa"/>
            <w:tcBorders>
              <w:top w:val="nil"/>
              <w:left w:val="nil"/>
              <w:bottom w:val="nil"/>
              <w:right w:val="nil"/>
            </w:tcBorders>
            <w:shd w:val="solid" w:color="FFFFFF" w:fill="auto"/>
          </w:tcPr>
          <w:p w:rsidR="00B958B1" w:rsidRPr="00461DD0" w:rsidRDefault="00B958B1" w:rsidP="009F3B54">
            <w:pPr>
              <w:pStyle w:val="TableofFigures"/>
              <w:rPr>
                <w:lang w:eastAsia="en-AU"/>
              </w:rPr>
            </w:pPr>
            <w:r w:rsidRPr="00461DD0">
              <w:rPr>
                <w:lang w:eastAsia="en-AU"/>
              </w:rPr>
              <w:t xml:space="preserve"> 0.9</w:t>
            </w:r>
          </w:p>
        </w:tc>
        <w:tc>
          <w:tcPr>
            <w:tcW w:w="907" w:type="dxa"/>
            <w:tcBorders>
              <w:top w:val="nil"/>
              <w:left w:val="nil"/>
              <w:bottom w:val="nil"/>
              <w:right w:val="nil"/>
            </w:tcBorders>
            <w:shd w:val="solid" w:color="FFFFFF" w:fill="auto"/>
          </w:tcPr>
          <w:p w:rsidR="00B958B1" w:rsidRPr="00461DD0" w:rsidRDefault="00B958B1" w:rsidP="009F3B54">
            <w:pPr>
              <w:pStyle w:val="TableofFigures"/>
              <w:rPr>
                <w:lang w:eastAsia="en-AU"/>
              </w:rPr>
            </w:pPr>
            <w:r w:rsidRPr="00461DD0">
              <w:rPr>
                <w:lang w:eastAsia="en-AU"/>
              </w:rPr>
              <w:t xml:space="preserve"> 11.3</w:t>
            </w:r>
          </w:p>
        </w:tc>
        <w:tc>
          <w:tcPr>
            <w:tcW w:w="908" w:type="dxa"/>
            <w:tcBorders>
              <w:top w:val="nil"/>
              <w:left w:val="nil"/>
              <w:bottom w:val="nil"/>
              <w:right w:val="nil"/>
            </w:tcBorders>
            <w:shd w:val="solid" w:color="FFFFFF" w:fill="auto"/>
          </w:tcPr>
          <w:p w:rsidR="00B958B1" w:rsidRPr="00461DD0" w:rsidRDefault="00B958B1" w:rsidP="009F3B54">
            <w:pPr>
              <w:pStyle w:val="TableofFigures"/>
              <w:rPr>
                <w:lang w:eastAsia="en-AU"/>
              </w:rPr>
            </w:pPr>
            <w:r w:rsidRPr="00461DD0">
              <w:rPr>
                <w:lang w:eastAsia="en-AU"/>
              </w:rPr>
              <w:t xml:space="preserve"> 12.0</w:t>
            </w:r>
          </w:p>
        </w:tc>
      </w:tr>
      <w:tr w:rsidR="00B958B1" w:rsidRPr="00461DD0" w:rsidTr="009F3B54">
        <w:tc>
          <w:tcPr>
            <w:tcW w:w="5054" w:type="dxa"/>
            <w:tcBorders>
              <w:top w:val="nil"/>
              <w:left w:val="nil"/>
              <w:bottom w:val="single" w:sz="6" w:space="0" w:color="auto"/>
              <w:right w:val="nil"/>
            </w:tcBorders>
            <w:shd w:val="solid" w:color="FFFFFF" w:fill="auto"/>
          </w:tcPr>
          <w:p w:rsidR="00B958B1" w:rsidRPr="00461DD0" w:rsidRDefault="00B958B1" w:rsidP="009F3B54">
            <w:pPr>
              <w:pStyle w:val="Tabletext"/>
              <w:rPr>
                <w:lang w:eastAsia="en-AU"/>
              </w:rPr>
            </w:pPr>
            <w:r w:rsidRPr="00461DD0">
              <w:rPr>
                <w:lang w:eastAsia="en-AU"/>
              </w:rPr>
              <w:t>Accumulated surplus – previously applied appropriation</w:t>
            </w:r>
          </w:p>
        </w:tc>
        <w:tc>
          <w:tcPr>
            <w:tcW w:w="907" w:type="dxa"/>
            <w:tcBorders>
              <w:top w:val="nil"/>
              <w:left w:val="nil"/>
              <w:bottom w:val="single" w:sz="6" w:space="0" w:color="auto"/>
              <w:right w:val="nil"/>
            </w:tcBorders>
            <w:shd w:val="solid" w:color="FFFFFF" w:fill="auto"/>
          </w:tcPr>
          <w:p w:rsidR="00B958B1" w:rsidRPr="00461DD0" w:rsidRDefault="00B958B1" w:rsidP="009F3B54">
            <w:pPr>
              <w:pStyle w:val="TableofFigures"/>
              <w:rPr>
                <w:lang w:eastAsia="en-AU"/>
              </w:rPr>
            </w:pPr>
            <w:r w:rsidRPr="00461DD0">
              <w:rPr>
                <w:lang w:eastAsia="en-AU"/>
              </w:rPr>
              <w:t>..</w:t>
            </w:r>
          </w:p>
        </w:tc>
        <w:tc>
          <w:tcPr>
            <w:tcW w:w="907" w:type="dxa"/>
            <w:tcBorders>
              <w:top w:val="nil"/>
              <w:left w:val="nil"/>
              <w:bottom w:val="single" w:sz="6" w:space="0" w:color="auto"/>
              <w:right w:val="nil"/>
            </w:tcBorders>
            <w:shd w:val="solid" w:color="FFFFFF" w:fill="auto"/>
          </w:tcPr>
          <w:p w:rsidR="00B958B1" w:rsidRPr="00461DD0" w:rsidRDefault="00B958B1" w:rsidP="009F3B54">
            <w:pPr>
              <w:pStyle w:val="TableofFigures"/>
              <w:rPr>
                <w:lang w:eastAsia="en-AU"/>
              </w:rPr>
            </w:pPr>
            <w:r w:rsidRPr="00461DD0">
              <w:rPr>
                <w:lang w:eastAsia="en-AU"/>
              </w:rPr>
              <w:t xml:space="preserve"> 28.7</w:t>
            </w:r>
          </w:p>
        </w:tc>
        <w:tc>
          <w:tcPr>
            <w:tcW w:w="908" w:type="dxa"/>
            <w:tcBorders>
              <w:top w:val="nil"/>
              <w:left w:val="nil"/>
              <w:bottom w:val="single" w:sz="6" w:space="0" w:color="auto"/>
              <w:right w:val="nil"/>
            </w:tcBorders>
            <w:shd w:val="solid" w:color="FFFFFF" w:fill="auto"/>
          </w:tcPr>
          <w:p w:rsidR="00B958B1" w:rsidRPr="00461DD0" w:rsidRDefault="00B958B1" w:rsidP="009F3B54">
            <w:pPr>
              <w:pStyle w:val="TableofFigures"/>
              <w:rPr>
                <w:lang w:eastAsia="en-AU"/>
              </w:rPr>
            </w:pPr>
            <w:r w:rsidRPr="00461DD0">
              <w:rPr>
                <w:lang w:eastAsia="en-AU"/>
              </w:rPr>
              <w:t>..</w:t>
            </w:r>
          </w:p>
        </w:tc>
      </w:tr>
      <w:tr w:rsidR="00B958B1" w:rsidRPr="00461DD0" w:rsidTr="009F3B54">
        <w:tc>
          <w:tcPr>
            <w:tcW w:w="5054" w:type="dxa"/>
            <w:tcBorders>
              <w:top w:val="nil"/>
              <w:left w:val="nil"/>
              <w:bottom w:val="nil"/>
              <w:right w:val="nil"/>
            </w:tcBorders>
            <w:shd w:val="solid" w:color="FFFFFF" w:fill="auto"/>
          </w:tcPr>
          <w:p w:rsidR="00B958B1" w:rsidRPr="00461DD0" w:rsidRDefault="00B958B1" w:rsidP="009F3B54">
            <w:pPr>
              <w:pStyle w:val="Tabletext"/>
              <w:rPr>
                <w:b/>
                <w:bCs/>
                <w:lang w:eastAsia="en-AU"/>
              </w:rPr>
            </w:pPr>
            <w:r w:rsidRPr="00461DD0">
              <w:rPr>
                <w:b/>
                <w:bCs/>
                <w:lang w:eastAsia="en-AU"/>
              </w:rPr>
              <w:t>Gross annual appropriation</w:t>
            </w:r>
          </w:p>
        </w:tc>
        <w:tc>
          <w:tcPr>
            <w:tcW w:w="907" w:type="dxa"/>
            <w:tcBorders>
              <w:top w:val="nil"/>
              <w:left w:val="nil"/>
              <w:bottom w:val="nil"/>
              <w:right w:val="nil"/>
            </w:tcBorders>
            <w:shd w:val="solid" w:color="FFFFFF" w:fill="auto"/>
          </w:tcPr>
          <w:p w:rsidR="00B958B1" w:rsidRPr="00461DD0" w:rsidRDefault="00B958B1" w:rsidP="009F3B54">
            <w:pPr>
              <w:pStyle w:val="TableofFigures"/>
              <w:rPr>
                <w:rFonts w:cs="Calibri"/>
                <w:b/>
                <w:bCs/>
                <w:lang w:eastAsia="en-AU"/>
              </w:rPr>
            </w:pPr>
            <w:r w:rsidRPr="00461DD0">
              <w:rPr>
                <w:b/>
                <w:bCs/>
                <w:lang w:eastAsia="en-AU"/>
              </w:rPr>
              <w:t xml:space="preserve">3 </w:t>
            </w:r>
            <w:r w:rsidRPr="00461DD0">
              <w:rPr>
                <w:rFonts w:cs="Calibri"/>
                <w:b/>
                <w:bCs/>
                <w:lang w:eastAsia="en-AU"/>
              </w:rPr>
              <w:t>558.9</w:t>
            </w:r>
          </w:p>
        </w:tc>
        <w:tc>
          <w:tcPr>
            <w:tcW w:w="907" w:type="dxa"/>
            <w:tcBorders>
              <w:top w:val="nil"/>
              <w:left w:val="nil"/>
              <w:bottom w:val="nil"/>
              <w:right w:val="nil"/>
            </w:tcBorders>
            <w:shd w:val="solid" w:color="FFFFFF" w:fill="auto"/>
          </w:tcPr>
          <w:p w:rsidR="00B958B1" w:rsidRPr="00461DD0" w:rsidRDefault="00B958B1" w:rsidP="009F3B54">
            <w:pPr>
              <w:pStyle w:val="TableofFigures"/>
              <w:rPr>
                <w:rFonts w:cs="Calibri"/>
                <w:b/>
                <w:bCs/>
                <w:lang w:eastAsia="en-AU"/>
              </w:rPr>
            </w:pPr>
            <w:r w:rsidRPr="00461DD0">
              <w:rPr>
                <w:b/>
                <w:bCs/>
                <w:lang w:eastAsia="en-AU"/>
              </w:rPr>
              <w:t xml:space="preserve">3 </w:t>
            </w:r>
            <w:r w:rsidRPr="00461DD0">
              <w:rPr>
                <w:rFonts w:cs="Calibri"/>
                <w:b/>
                <w:bCs/>
                <w:lang w:eastAsia="en-AU"/>
              </w:rPr>
              <w:t>551.6</w:t>
            </w:r>
          </w:p>
        </w:tc>
        <w:tc>
          <w:tcPr>
            <w:tcW w:w="908" w:type="dxa"/>
            <w:tcBorders>
              <w:top w:val="nil"/>
              <w:left w:val="nil"/>
              <w:bottom w:val="nil"/>
              <w:right w:val="nil"/>
            </w:tcBorders>
            <w:shd w:val="solid" w:color="FFFFFF" w:fill="auto"/>
          </w:tcPr>
          <w:p w:rsidR="00B958B1" w:rsidRPr="00461DD0" w:rsidRDefault="00B958B1" w:rsidP="009F3B54">
            <w:pPr>
              <w:pStyle w:val="TableofFigures"/>
              <w:rPr>
                <w:rFonts w:cs="Calibri"/>
                <w:b/>
                <w:bCs/>
                <w:lang w:eastAsia="en-AU"/>
              </w:rPr>
            </w:pPr>
            <w:r w:rsidRPr="00461DD0">
              <w:rPr>
                <w:b/>
                <w:bCs/>
                <w:lang w:eastAsia="en-AU"/>
              </w:rPr>
              <w:t xml:space="preserve">3 </w:t>
            </w:r>
            <w:r w:rsidRPr="00461DD0">
              <w:rPr>
                <w:rFonts w:cs="Calibri"/>
                <w:b/>
                <w:bCs/>
                <w:lang w:eastAsia="en-AU"/>
              </w:rPr>
              <w:t>683.8</w:t>
            </w:r>
          </w:p>
        </w:tc>
      </w:tr>
      <w:tr w:rsidR="00B958B1" w:rsidRPr="00461DD0" w:rsidTr="009F3B54">
        <w:tc>
          <w:tcPr>
            <w:tcW w:w="5054" w:type="dxa"/>
            <w:tcBorders>
              <w:top w:val="nil"/>
              <w:left w:val="nil"/>
              <w:bottom w:val="nil"/>
              <w:right w:val="nil"/>
            </w:tcBorders>
            <w:shd w:val="solid" w:color="FFFFFF" w:fill="auto"/>
          </w:tcPr>
          <w:p w:rsidR="00B958B1" w:rsidRPr="00461DD0" w:rsidRDefault="00B958B1" w:rsidP="009F3B54">
            <w:pPr>
              <w:pStyle w:val="Tabletext"/>
              <w:rPr>
                <w:lang w:eastAsia="en-AU"/>
              </w:rPr>
            </w:pPr>
            <w:r w:rsidRPr="00461DD0">
              <w:rPr>
                <w:lang w:eastAsia="en-AU"/>
              </w:rPr>
              <w:t>Special appropriations</w:t>
            </w:r>
          </w:p>
        </w:tc>
        <w:tc>
          <w:tcPr>
            <w:tcW w:w="907" w:type="dxa"/>
            <w:tcBorders>
              <w:top w:val="nil"/>
              <w:left w:val="nil"/>
              <w:bottom w:val="nil"/>
              <w:right w:val="nil"/>
            </w:tcBorders>
            <w:shd w:val="solid" w:color="FFFFFF" w:fill="auto"/>
          </w:tcPr>
          <w:p w:rsidR="00B958B1" w:rsidRPr="00461DD0" w:rsidRDefault="00B958B1" w:rsidP="009F3B54">
            <w:pPr>
              <w:pStyle w:val="TableofFigures"/>
              <w:rPr>
                <w:lang w:eastAsia="en-AU"/>
              </w:rPr>
            </w:pPr>
            <w:r w:rsidRPr="00461DD0">
              <w:rPr>
                <w:lang w:eastAsia="en-AU"/>
              </w:rPr>
              <w:t xml:space="preserve"> 63.9</w:t>
            </w:r>
          </w:p>
        </w:tc>
        <w:tc>
          <w:tcPr>
            <w:tcW w:w="907" w:type="dxa"/>
            <w:tcBorders>
              <w:top w:val="nil"/>
              <w:left w:val="nil"/>
              <w:bottom w:val="nil"/>
              <w:right w:val="nil"/>
            </w:tcBorders>
            <w:shd w:val="solid" w:color="FFFFFF" w:fill="auto"/>
          </w:tcPr>
          <w:p w:rsidR="00B958B1" w:rsidRPr="00461DD0" w:rsidRDefault="00B958B1" w:rsidP="009F3B54">
            <w:pPr>
              <w:pStyle w:val="TableofFigures"/>
              <w:rPr>
                <w:lang w:eastAsia="en-AU"/>
              </w:rPr>
            </w:pPr>
            <w:r w:rsidRPr="00461DD0">
              <w:rPr>
                <w:lang w:eastAsia="en-AU"/>
              </w:rPr>
              <w:t xml:space="preserve"> 63.9</w:t>
            </w:r>
          </w:p>
        </w:tc>
        <w:tc>
          <w:tcPr>
            <w:tcW w:w="908" w:type="dxa"/>
            <w:tcBorders>
              <w:top w:val="nil"/>
              <w:left w:val="nil"/>
              <w:bottom w:val="nil"/>
              <w:right w:val="nil"/>
            </w:tcBorders>
            <w:shd w:val="solid" w:color="FFFFFF" w:fill="auto"/>
          </w:tcPr>
          <w:p w:rsidR="00B958B1" w:rsidRPr="00461DD0" w:rsidRDefault="00B958B1" w:rsidP="009F3B54">
            <w:pPr>
              <w:pStyle w:val="TableofFigures"/>
              <w:rPr>
                <w:lang w:eastAsia="en-AU"/>
              </w:rPr>
            </w:pPr>
            <w:r w:rsidRPr="00461DD0">
              <w:rPr>
                <w:lang w:eastAsia="en-AU"/>
              </w:rPr>
              <w:t xml:space="preserve"> 63.9</w:t>
            </w:r>
          </w:p>
        </w:tc>
      </w:tr>
      <w:tr w:rsidR="00B958B1" w:rsidRPr="00461DD0" w:rsidTr="009F3B54">
        <w:tc>
          <w:tcPr>
            <w:tcW w:w="5054" w:type="dxa"/>
            <w:tcBorders>
              <w:top w:val="nil"/>
              <w:left w:val="nil"/>
              <w:bottom w:val="single" w:sz="6" w:space="0" w:color="auto"/>
              <w:right w:val="nil"/>
            </w:tcBorders>
            <w:shd w:val="solid" w:color="FFFFFF" w:fill="auto"/>
          </w:tcPr>
          <w:p w:rsidR="00B958B1" w:rsidRPr="00461DD0" w:rsidRDefault="00B958B1" w:rsidP="009F3B54">
            <w:pPr>
              <w:pStyle w:val="Tabletext"/>
              <w:rPr>
                <w:lang w:eastAsia="en-AU"/>
              </w:rPr>
            </w:pPr>
            <w:r w:rsidRPr="00461DD0">
              <w:rPr>
                <w:lang w:eastAsia="en-AU"/>
              </w:rPr>
              <w:t>Trust funds</w:t>
            </w:r>
          </w:p>
        </w:tc>
        <w:tc>
          <w:tcPr>
            <w:tcW w:w="907" w:type="dxa"/>
            <w:tcBorders>
              <w:top w:val="nil"/>
              <w:left w:val="nil"/>
              <w:bottom w:val="single" w:sz="6" w:space="0" w:color="auto"/>
              <w:right w:val="nil"/>
            </w:tcBorders>
            <w:shd w:val="solid" w:color="FFFFFF" w:fill="auto"/>
          </w:tcPr>
          <w:p w:rsidR="00B958B1" w:rsidRPr="00461DD0" w:rsidRDefault="00B958B1" w:rsidP="009F3B54">
            <w:pPr>
              <w:pStyle w:val="TableofFigures"/>
              <w:rPr>
                <w:lang w:eastAsia="en-AU"/>
              </w:rPr>
            </w:pPr>
            <w:r w:rsidRPr="00461DD0">
              <w:rPr>
                <w:lang w:eastAsia="en-AU"/>
              </w:rPr>
              <w:t xml:space="preserve"> 15.8</w:t>
            </w:r>
          </w:p>
        </w:tc>
        <w:tc>
          <w:tcPr>
            <w:tcW w:w="907" w:type="dxa"/>
            <w:tcBorders>
              <w:top w:val="nil"/>
              <w:left w:val="nil"/>
              <w:bottom w:val="single" w:sz="6" w:space="0" w:color="auto"/>
              <w:right w:val="nil"/>
            </w:tcBorders>
            <w:shd w:val="solid" w:color="FFFFFF" w:fill="auto"/>
          </w:tcPr>
          <w:p w:rsidR="00B958B1" w:rsidRPr="00461DD0" w:rsidRDefault="00B958B1" w:rsidP="009F3B54">
            <w:pPr>
              <w:pStyle w:val="TableofFigures"/>
              <w:rPr>
                <w:lang w:eastAsia="en-AU"/>
              </w:rPr>
            </w:pPr>
            <w:r w:rsidRPr="00461DD0">
              <w:rPr>
                <w:lang w:eastAsia="en-AU"/>
              </w:rPr>
              <w:t xml:space="preserve"> 18.8</w:t>
            </w:r>
          </w:p>
        </w:tc>
        <w:tc>
          <w:tcPr>
            <w:tcW w:w="908" w:type="dxa"/>
            <w:tcBorders>
              <w:top w:val="nil"/>
              <w:left w:val="nil"/>
              <w:bottom w:val="single" w:sz="6" w:space="0" w:color="auto"/>
              <w:right w:val="nil"/>
            </w:tcBorders>
            <w:shd w:val="solid" w:color="FFFFFF" w:fill="auto"/>
          </w:tcPr>
          <w:p w:rsidR="00B958B1" w:rsidRPr="00461DD0" w:rsidRDefault="00B958B1" w:rsidP="009F3B54">
            <w:pPr>
              <w:pStyle w:val="TableofFigures"/>
              <w:rPr>
                <w:lang w:eastAsia="en-AU"/>
              </w:rPr>
            </w:pPr>
            <w:r w:rsidRPr="00461DD0">
              <w:rPr>
                <w:lang w:eastAsia="en-AU"/>
              </w:rPr>
              <w:t xml:space="preserve"> 23.7</w:t>
            </w:r>
          </w:p>
        </w:tc>
      </w:tr>
      <w:tr w:rsidR="00B958B1" w:rsidRPr="00461DD0" w:rsidTr="009F3B54">
        <w:tc>
          <w:tcPr>
            <w:tcW w:w="5054" w:type="dxa"/>
            <w:tcBorders>
              <w:top w:val="nil"/>
              <w:left w:val="nil"/>
              <w:bottom w:val="single" w:sz="12" w:space="0" w:color="auto"/>
              <w:right w:val="nil"/>
            </w:tcBorders>
            <w:shd w:val="solid" w:color="FFFFFF" w:fill="auto"/>
          </w:tcPr>
          <w:p w:rsidR="00B958B1" w:rsidRPr="00461DD0" w:rsidRDefault="00B958B1" w:rsidP="009F3B54">
            <w:pPr>
              <w:pStyle w:val="Tabletext"/>
              <w:rPr>
                <w:b/>
                <w:bCs/>
                <w:lang w:eastAsia="en-AU"/>
              </w:rPr>
            </w:pPr>
            <w:r w:rsidRPr="00461DD0">
              <w:rPr>
                <w:b/>
                <w:bCs/>
                <w:lang w:eastAsia="en-AU"/>
              </w:rPr>
              <w:t>Total parliamentary authority</w:t>
            </w:r>
          </w:p>
        </w:tc>
        <w:tc>
          <w:tcPr>
            <w:tcW w:w="907" w:type="dxa"/>
            <w:tcBorders>
              <w:top w:val="nil"/>
              <w:left w:val="nil"/>
              <w:bottom w:val="single" w:sz="12" w:space="0" w:color="auto"/>
              <w:right w:val="nil"/>
            </w:tcBorders>
            <w:shd w:val="solid" w:color="FFFFFF" w:fill="auto"/>
          </w:tcPr>
          <w:p w:rsidR="00B958B1" w:rsidRPr="00461DD0" w:rsidRDefault="00B958B1" w:rsidP="009F3B54">
            <w:pPr>
              <w:pStyle w:val="TableofFigures"/>
              <w:rPr>
                <w:rFonts w:cs="Calibri"/>
                <w:b/>
                <w:bCs/>
                <w:lang w:eastAsia="en-AU"/>
              </w:rPr>
            </w:pPr>
            <w:r w:rsidRPr="00461DD0">
              <w:rPr>
                <w:b/>
                <w:bCs/>
                <w:lang w:eastAsia="en-AU"/>
              </w:rPr>
              <w:t xml:space="preserve">3 </w:t>
            </w:r>
            <w:r w:rsidRPr="00461DD0">
              <w:rPr>
                <w:rFonts w:cs="Calibri"/>
                <w:b/>
                <w:bCs/>
                <w:lang w:eastAsia="en-AU"/>
              </w:rPr>
              <w:t>638.6</w:t>
            </w:r>
          </w:p>
        </w:tc>
        <w:tc>
          <w:tcPr>
            <w:tcW w:w="907" w:type="dxa"/>
            <w:tcBorders>
              <w:top w:val="nil"/>
              <w:left w:val="nil"/>
              <w:bottom w:val="single" w:sz="12" w:space="0" w:color="auto"/>
              <w:right w:val="nil"/>
            </w:tcBorders>
            <w:shd w:val="solid" w:color="FFFFFF" w:fill="auto"/>
          </w:tcPr>
          <w:p w:rsidR="00B958B1" w:rsidRPr="00461DD0" w:rsidRDefault="00B958B1" w:rsidP="009F3B54">
            <w:pPr>
              <w:pStyle w:val="TableofFigures"/>
              <w:rPr>
                <w:rFonts w:cs="Calibri"/>
                <w:b/>
                <w:bCs/>
                <w:lang w:eastAsia="en-AU"/>
              </w:rPr>
            </w:pPr>
            <w:r w:rsidRPr="00461DD0">
              <w:rPr>
                <w:b/>
                <w:bCs/>
                <w:lang w:eastAsia="en-AU"/>
              </w:rPr>
              <w:t xml:space="preserve">3 </w:t>
            </w:r>
            <w:r w:rsidRPr="00461DD0">
              <w:rPr>
                <w:rFonts w:cs="Calibri"/>
                <w:b/>
                <w:bCs/>
                <w:lang w:eastAsia="en-AU"/>
              </w:rPr>
              <w:t>634.3</w:t>
            </w:r>
          </w:p>
        </w:tc>
        <w:tc>
          <w:tcPr>
            <w:tcW w:w="908" w:type="dxa"/>
            <w:tcBorders>
              <w:top w:val="nil"/>
              <w:left w:val="nil"/>
              <w:bottom w:val="single" w:sz="12" w:space="0" w:color="auto"/>
              <w:right w:val="nil"/>
            </w:tcBorders>
            <w:shd w:val="solid" w:color="FFFFFF" w:fill="auto"/>
          </w:tcPr>
          <w:p w:rsidR="00B958B1" w:rsidRPr="00461DD0" w:rsidRDefault="00B958B1" w:rsidP="009F3B54">
            <w:pPr>
              <w:pStyle w:val="TableofFigures"/>
              <w:rPr>
                <w:rFonts w:cs="Calibri"/>
                <w:b/>
                <w:bCs/>
                <w:lang w:eastAsia="en-AU"/>
              </w:rPr>
            </w:pPr>
            <w:r w:rsidRPr="00461DD0">
              <w:rPr>
                <w:b/>
                <w:bCs/>
                <w:lang w:eastAsia="en-AU"/>
              </w:rPr>
              <w:t xml:space="preserve">3 </w:t>
            </w:r>
            <w:r w:rsidRPr="00461DD0">
              <w:rPr>
                <w:rFonts w:cs="Calibri"/>
                <w:b/>
                <w:bCs/>
                <w:lang w:eastAsia="en-AU"/>
              </w:rPr>
              <w:t>771.4</w:t>
            </w:r>
          </w:p>
        </w:tc>
      </w:tr>
    </w:tbl>
    <w:p w:rsidR="00B958B1" w:rsidRPr="001262B7" w:rsidRDefault="00B958B1" w:rsidP="009F3B54">
      <w:pPr>
        <w:pStyle w:val="Source"/>
        <w:rPr>
          <w:lang w:eastAsia="en-AU"/>
        </w:rPr>
      </w:pPr>
      <w:r w:rsidRPr="001262B7">
        <w:rPr>
          <w:lang w:eastAsia="en-AU"/>
        </w:rPr>
        <w:t xml:space="preserve">Sources: Departments of Human Services and Treasury and Finance </w:t>
      </w:r>
    </w:p>
    <w:p w:rsidR="00B958B1" w:rsidRDefault="00B958B1" w:rsidP="009F3B54">
      <w:pPr>
        <w:pStyle w:val="Source"/>
      </w:pPr>
      <w:r>
        <w:fldChar w:fldCharType="begin"/>
      </w:r>
      <w:r>
        <w:instrText xml:space="preserve"> XE "</w:instrText>
      </w:r>
      <w:r w:rsidRPr="006C6AD5">
        <w:instrText>Department of Human Services:</w:instrText>
      </w:r>
      <w:r>
        <w:instrText xml:space="preserve">Parliamentary authority for resources" </w:instrText>
      </w:r>
      <w:r>
        <w:fldChar w:fldCharType="end"/>
      </w:r>
    </w:p>
    <w:p w:rsidR="00B958B1" w:rsidRDefault="00B958B1" w:rsidP="009F3B54">
      <w:pPr>
        <w:pStyle w:val="OGHeading1"/>
      </w:pPr>
      <w:r>
        <w:br w:type="page"/>
      </w:r>
      <w:bookmarkStart w:id="113" w:name="BP3DHSDisabilitySvces"/>
      <w:r>
        <w:t>Disability Services</w:t>
      </w:r>
    </w:p>
    <w:p w:rsidR="00B958B1" w:rsidRDefault="00B958B1" w:rsidP="009F3B54">
      <w:pPr>
        <w:pStyle w:val="OGText"/>
      </w:pPr>
      <w:r>
        <w:t>The Disability Services output, through the provision of continuing care and support services for people with disabilities, their carers and their families, aims to make a positive difference for Victorians experiencing disadvantage and provide excellent community services to meet clients’ needs.</w:t>
      </w:r>
    </w:p>
    <w:tbl>
      <w:tblPr>
        <w:tblW w:w="7782" w:type="dxa"/>
        <w:tblInd w:w="29" w:type="dxa"/>
        <w:tblLayout w:type="fixed"/>
        <w:tblCellMar>
          <w:left w:w="43" w:type="dxa"/>
          <w:right w:w="43" w:type="dxa"/>
        </w:tblCellMar>
        <w:tblLook w:val="04A0" w:firstRow="1" w:lastRow="0" w:firstColumn="1" w:lastColumn="0" w:noHBand="0" w:noVBand="1"/>
      </w:tblPr>
      <w:tblGrid>
        <w:gridCol w:w="3154"/>
        <w:gridCol w:w="908"/>
        <w:gridCol w:w="907"/>
        <w:gridCol w:w="994"/>
        <w:gridCol w:w="907"/>
        <w:gridCol w:w="906"/>
        <w:gridCol w:w="6"/>
      </w:tblGrid>
      <w:tr w:rsidR="00B958B1" w:rsidRPr="00D32CA4" w:rsidTr="009F3B54">
        <w:trPr>
          <w:cantSplit/>
          <w:tblHeader/>
        </w:trPr>
        <w:tc>
          <w:tcPr>
            <w:tcW w:w="3154" w:type="dxa"/>
            <w:tcBorders>
              <w:top w:val="single" w:sz="4" w:space="0" w:color="auto"/>
              <w:left w:val="single" w:sz="4" w:space="0" w:color="auto"/>
              <w:bottom w:val="single" w:sz="4" w:space="0" w:color="auto"/>
              <w:right w:val="nil"/>
            </w:tcBorders>
            <w:shd w:val="clear" w:color="auto" w:fill="000000"/>
            <w:vAlign w:val="bottom"/>
          </w:tcPr>
          <w:p w:rsidR="00B958B1" w:rsidRPr="00D32CA4" w:rsidRDefault="00B958B1" w:rsidP="009F3B54">
            <w:pPr>
              <w:pStyle w:val="OGTabColLeft"/>
              <w:rPr>
                <w:i/>
              </w:rPr>
            </w:pPr>
            <w:r w:rsidRPr="00D32CA4">
              <w:t>Major Outputs/Deliverables</w:t>
            </w:r>
            <w:r w:rsidRPr="00D32CA4">
              <w:br/>
            </w:r>
            <w:r w:rsidRPr="0085011C">
              <w:rPr>
                <w:b w:val="0"/>
                <w:i/>
              </w:rPr>
              <w:t>Performance measures</w:t>
            </w:r>
          </w:p>
        </w:tc>
        <w:tc>
          <w:tcPr>
            <w:tcW w:w="908"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4"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12" w:type="dxa"/>
            <w:gridSpan w:val="2"/>
            <w:tcBorders>
              <w:top w:val="single" w:sz="4" w:space="0" w:color="auto"/>
              <w:left w:val="nil"/>
              <w:bottom w:val="single" w:sz="4" w:space="0" w:color="auto"/>
              <w:right w:val="single" w:sz="4" w:space="0" w:color="auto"/>
            </w:tcBorders>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617DF1" w:rsidTr="009F3B54">
        <w:trPr>
          <w:gridAfter w:val="1"/>
          <w:wAfter w:w="6" w:type="dxa"/>
          <w:cantSplit/>
        </w:trPr>
        <w:tc>
          <w:tcPr>
            <w:tcW w:w="7776" w:type="dxa"/>
            <w:gridSpan w:val="6"/>
            <w:tcBorders>
              <w:top w:val="nil"/>
              <w:left w:val="nil"/>
              <w:bottom w:val="nil"/>
              <w:right w:val="nil"/>
            </w:tcBorders>
            <w:shd w:val="clear" w:color="auto" w:fill="auto"/>
            <w:vAlign w:val="bottom"/>
            <w:hideMark/>
          </w:tcPr>
          <w:p w:rsidR="00B958B1" w:rsidRPr="00617DF1" w:rsidRDefault="00B958B1" w:rsidP="009F3B54">
            <w:pPr>
              <w:pStyle w:val="OGHeading2"/>
              <w:rPr>
                <w:lang w:eastAsia="en-AU"/>
              </w:rPr>
            </w:pPr>
            <w:r w:rsidRPr="00617DF1">
              <w:rPr>
                <w:lang w:eastAsia="en-AU"/>
              </w:rPr>
              <w:t>Disability Services</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Text"/>
              <w:rPr>
                <w:lang w:eastAsia="en-AU"/>
              </w:rPr>
            </w:pPr>
            <w:r w:rsidRPr="00617DF1">
              <w:rPr>
                <w:lang w:eastAsia="en-AU"/>
              </w:rPr>
              <w:t>This output provides:</w:t>
            </w:r>
          </w:p>
          <w:p w:rsidR="00B958B1" w:rsidRDefault="00B958B1" w:rsidP="009F3B54">
            <w:pPr>
              <w:pStyle w:val="OGTabBullet"/>
            </w:pPr>
            <w:r>
              <w:t>p</w:t>
            </w:r>
            <w:r w:rsidRPr="00617DF1">
              <w:t>rograms and resources that enable clients with a disability to exercise choice and control through the use of packages of individualised funding</w:t>
            </w:r>
            <w:r>
              <w:t>;</w:t>
            </w:r>
          </w:p>
          <w:p w:rsidR="00B958B1" w:rsidRDefault="00B958B1" w:rsidP="009F3B54">
            <w:pPr>
              <w:pStyle w:val="OGTabBullet"/>
            </w:pPr>
            <w:r>
              <w:t>s</w:t>
            </w:r>
            <w:r w:rsidRPr="00617DF1">
              <w:t>pecialised support for people with a disability and resources and programs that build capacity to respond to the needs of people with a disability</w:t>
            </w:r>
            <w:r>
              <w:t>; and</w:t>
            </w:r>
          </w:p>
          <w:p w:rsidR="00B958B1" w:rsidRDefault="00B958B1" w:rsidP="009F3B54">
            <w:pPr>
              <w:pStyle w:val="OGTabBullet"/>
            </w:pPr>
            <w:r>
              <w:t>b</w:t>
            </w:r>
            <w:r w:rsidRPr="00617DF1">
              <w:t>ed and facility</w:t>
            </w:r>
            <w:r w:rsidR="009F0F49">
              <w:noBreakHyphen/>
            </w:r>
            <w:r w:rsidRPr="00617DF1">
              <w:t xml:space="preserve">based services characterised by the bundling of accommodation </w:t>
            </w:r>
            <w:r>
              <w:t>services and disability support</w:t>
            </w:r>
            <w:r w:rsidRPr="00617DF1">
              <w:t>.</w:t>
            </w:r>
          </w:p>
          <w:p w:rsidR="00B958B1" w:rsidRDefault="00B958B1" w:rsidP="009F3B54">
            <w:pPr>
              <w:pStyle w:val="OGText"/>
              <w:rPr>
                <w:lang w:eastAsia="en-AU"/>
              </w:rPr>
            </w:pPr>
            <w:r w:rsidRPr="00617DF1">
              <w:rPr>
                <w:lang w:eastAsia="en-AU"/>
              </w:rPr>
              <w:t>This output supports the Department</w:t>
            </w:r>
            <w:r>
              <w:rPr>
                <w:lang w:eastAsia="en-AU"/>
              </w:rPr>
              <w:t>’</w:t>
            </w:r>
            <w:r w:rsidRPr="00617DF1">
              <w:rPr>
                <w:lang w:eastAsia="en-AU"/>
              </w:rPr>
              <w:t>s capabilities and participation and quality of life objectives.</w:t>
            </w:r>
          </w:p>
          <w:p w:rsidR="00B958B1" w:rsidRPr="00617DF1" w:rsidRDefault="00B958B1" w:rsidP="009F3B54">
            <w:pPr>
              <w:pStyle w:val="OGNotes"/>
            </w:pPr>
            <w:r w:rsidRPr="00617DF1">
              <w:t>This new output for 2013</w:t>
            </w:r>
            <w:r w:rsidR="009F0F49">
              <w:noBreakHyphen/>
            </w:r>
            <w:r w:rsidRPr="00617DF1">
              <w:t>14 consolidates the performance measures of the three discontinued 2012</w:t>
            </w:r>
            <w:r w:rsidR="009F0F49">
              <w:noBreakHyphen/>
            </w:r>
            <w:r w:rsidRPr="00617DF1">
              <w:t xml:space="preserve">13 outputs </w:t>
            </w:r>
            <w:r>
              <w:t>‘</w:t>
            </w:r>
            <w:r w:rsidRPr="00617DF1">
              <w:t>Self Directed Support</w:t>
            </w:r>
            <w:r>
              <w:t>’</w:t>
            </w:r>
            <w:r w:rsidRPr="00617DF1">
              <w:t xml:space="preserve">, </w:t>
            </w:r>
            <w:r>
              <w:t>‘</w:t>
            </w:r>
            <w:r w:rsidRPr="00617DF1">
              <w:t>Client Services and Capacity</w:t>
            </w:r>
            <w:r>
              <w:t>’</w:t>
            </w:r>
            <w:r w:rsidRPr="00617DF1">
              <w:t xml:space="preserve"> and </w:t>
            </w:r>
            <w:r>
              <w:t>‘</w:t>
            </w:r>
            <w:r w:rsidRPr="00617DF1">
              <w:t>Accommodation Support</w:t>
            </w:r>
            <w:r>
              <w:t>’</w:t>
            </w:r>
            <w:r w:rsidRPr="00617DF1">
              <w: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Quantity</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TabHead"/>
              <w:rPr>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Head"/>
              <w:rPr>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Head"/>
              <w:rPr>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Head"/>
              <w:rPr>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Head"/>
              <w:rPr>
                <w:lang w:eastAsia="en-AU"/>
              </w:rPr>
            </w:pPr>
          </w:p>
        </w:tc>
      </w:tr>
      <w:tr w:rsidR="00B958B1" w:rsidRPr="00617DF1" w:rsidTr="009F3B54">
        <w:trPr>
          <w:gridAfter w:val="1"/>
          <w:wAfter w:w="6" w:type="dxa"/>
          <w:cantSplit/>
        </w:trPr>
        <w:tc>
          <w:tcPr>
            <w:tcW w:w="3154" w:type="dxa"/>
            <w:tcBorders>
              <w:top w:val="nil"/>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Clients accessing aids and equipment</w:t>
            </w:r>
          </w:p>
        </w:tc>
        <w:tc>
          <w:tcPr>
            <w:tcW w:w="908" w:type="dxa"/>
            <w:tcBorders>
              <w:top w:val="nil"/>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nil"/>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29</w:t>
            </w:r>
            <w:r>
              <w:rPr>
                <w:color w:val="000000"/>
                <w:lang w:eastAsia="en-AU"/>
              </w:rPr>
              <w:t> </w:t>
            </w:r>
            <w:r w:rsidRPr="00617DF1">
              <w:rPr>
                <w:color w:val="000000"/>
                <w:lang w:eastAsia="en-AU"/>
              </w:rPr>
              <w:t>827</w:t>
            </w:r>
          </w:p>
        </w:tc>
        <w:tc>
          <w:tcPr>
            <w:tcW w:w="994"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29</w:t>
            </w:r>
            <w:r>
              <w:rPr>
                <w:color w:val="000000"/>
                <w:lang w:eastAsia="en-AU"/>
              </w:rPr>
              <w:t> </w:t>
            </w:r>
            <w:r w:rsidRPr="00617DF1">
              <w:rPr>
                <w:color w:val="000000"/>
                <w:lang w:eastAsia="en-AU"/>
              </w:rPr>
              <w:t>827</w:t>
            </w:r>
          </w:p>
        </w:tc>
        <w:tc>
          <w:tcPr>
            <w:tcW w:w="907"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29</w:t>
            </w:r>
            <w:r>
              <w:rPr>
                <w:color w:val="000000"/>
                <w:lang w:eastAsia="en-AU"/>
              </w:rPr>
              <w:t> </w:t>
            </w:r>
            <w:r w:rsidRPr="00617DF1">
              <w:rPr>
                <w:color w:val="000000"/>
                <w:lang w:eastAsia="en-AU"/>
              </w:rPr>
              <w:t>827</w:t>
            </w:r>
          </w:p>
        </w:tc>
        <w:tc>
          <w:tcPr>
            <w:tcW w:w="906"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33</w:t>
            </w:r>
            <w:r>
              <w:rPr>
                <w:color w:val="000000"/>
                <w:lang w:eastAsia="en-AU"/>
              </w:rPr>
              <w:t> </w:t>
            </w:r>
            <w:r w:rsidRPr="00617DF1">
              <w:rPr>
                <w:color w:val="000000"/>
                <w:lang w:eastAsia="en-AU"/>
              </w:rPr>
              <w:t>819</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Client Services and Capacity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Clients in residential institutions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128</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128</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135</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134</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17DF1">
              <w:t>This performance measure is transferred directly from the Accommodation Support output.</w:t>
            </w:r>
          </w:p>
          <w:p w:rsidR="00B958B1" w:rsidRDefault="00B958B1" w:rsidP="009F3B54">
            <w:pPr>
              <w:pStyle w:val="OGNotes"/>
            </w:pPr>
            <w:r w:rsidRPr="00617DF1">
              <w:t>The 2012</w:t>
            </w:r>
            <w:r w:rsidR="009F0F49">
              <w:noBreakHyphen/>
            </w:r>
            <w:r w:rsidRPr="00617DF1">
              <w:t>13 Expected Outcome is lower than the 201</w:t>
            </w:r>
            <w:r>
              <w:t>2</w:t>
            </w:r>
            <w:r w:rsidR="009F0F49">
              <w:noBreakHyphen/>
            </w:r>
            <w:r w:rsidRPr="00617DF1">
              <w:t>1</w:t>
            </w:r>
            <w:r>
              <w:t>3</w:t>
            </w:r>
            <w:r w:rsidRPr="00617DF1">
              <w:t xml:space="preserve"> Target due to the continuing reduction in the number of individuals living in residential institutions.</w:t>
            </w:r>
          </w:p>
          <w:p w:rsidR="00B958B1" w:rsidRPr="00617DF1" w:rsidRDefault="00B958B1" w:rsidP="009F3B54">
            <w:pPr>
              <w:pStyle w:val="OGNotes"/>
              <w:rPr>
                <w:color w:val="000000"/>
              </w:rPr>
            </w:pPr>
            <w:r w:rsidRPr="00617DF1">
              <w:t>The lower 2013</w:t>
            </w:r>
            <w:r w:rsidR="009F0F49">
              <w:noBreakHyphen/>
            </w:r>
            <w:r w:rsidRPr="00617DF1">
              <w:t>14 Target reflects this improved performance.</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Clients receiving case management services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5</w:t>
            </w:r>
            <w:r>
              <w:rPr>
                <w:color w:val="000000"/>
                <w:lang w:eastAsia="en-AU"/>
              </w:rPr>
              <w:t> </w:t>
            </w:r>
            <w:r w:rsidRPr="00617DF1">
              <w:rPr>
                <w:color w:val="000000"/>
                <w:lang w:eastAsia="en-AU"/>
              </w:rPr>
              <w:t>300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5</w:t>
            </w:r>
            <w:r>
              <w:rPr>
                <w:color w:val="000000"/>
                <w:lang w:eastAsia="en-AU"/>
              </w:rPr>
              <w:t> </w:t>
            </w:r>
            <w:r w:rsidRPr="00617DF1">
              <w:rPr>
                <w:color w:val="000000"/>
                <w:lang w:eastAsia="en-AU"/>
              </w:rPr>
              <w:t>370</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5</w:t>
            </w:r>
            <w:r>
              <w:rPr>
                <w:color w:val="000000"/>
                <w:lang w:eastAsia="en-AU"/>
              </w:rPr>
              <w:t> </w:t>
            </w:r>
            <w:r w:rsidRPr="00617DF1">
              <w:rPr>
                <w:color w:val="000000"/>
                <w:lang w:eastAsia="en-AU"/>
              </w:rPr>
              <w:t>300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5</w:t>
            </w:r>
            <w:r>
              <w:rPr>
                <w:color w:val="000000"/>
                <w:lang w:eastAsia="en-AU"/>
              </w:rPr>
              <w:t> </w:t>
            </w:r>
            <w:r w:rsidRPr="00617DF1">
              <w:rPr>
                <w:color w:val="000000"/>
                <w:lang w:eastAsia="en-AU"/>
              </w:rPr>
              <w:t>651</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Client Services and Capacity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keepNext/>
              <w:rPr>
                <w:color w:val="000000"/>
                <w:lang w:eastAsia="en-AU"/>
              </w:rPr>
            </w:pPr>
            <w:r w:rsidRPr="00617DF1">
              <w:rPr>
                <w:color w:val="000000"/>
                <w:lang w:eastAsia="en-AU"/>
              </w:rPr>
              <w:t>Clients receiving individualised support</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keepNext/>
              <w:rPr>
                <w:color w:val="000000"/>
                <w:lang w:eastAsia="en-AU"/>
              </w:rPr>
            </w:pPr>
            <w:r w:rsidRPr="00617DF1">
              <w:rPr>
                <w:color w:val="000000"/>
                <w:lang w:eastAsia="en-AU"/>
              </w:rPr>
              <w:t>number</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keepNext/>
              <w:rPr>
                <w:color w:val="000000"/>
                <w:lang w:eastAsia="en-AU"/>
              </w:rPr>
            </w:pPr>
            <w:r w:rsidRPr="00617DF1">
              <w:rPr>
                <w:color w:val="000000"/>
                <w:lang w:eastAsia="en-AU"/>
              </w:rPr>
              <w:t>14</w:t>
            </w:r>
            <w:r>
              <w:rPr>
                <w:color w:val="000000"/>
                <w:lang w:eastAsia="en-AU"/>
              </w:rPr>
              <w:t> </w:t>
            </w:r>
            <w:r w:rsidRPr="00617DF1">
              <w:rPr>
                <w:color w:val="000000"/>
                <w:lang w:eastAsia="en-AU"/>
              </w:rPr>
              <w:t>924</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14</w:t>
            </w:r>
            <w:r>
              <w:rPr>
                <w:color w:val="000000"/>
                <w:lang w:eastAsia="en-AU"/>
              </w:rPr>
              <w:t> </w:t>
            </w:r>
            <w:r w:rsidRPr="00617DF1">
              <w:rPr>
                <w:color w:val="000000"/>
                <w:lang w:eastAsia="en-AU"/>
              </w:rPr>
              <w:t>208</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14</w:t>
            </w:r>
            <w:r>
              <w:rPr>
                <w:color w:val="000000"/>
                <w:lang w:eastAsia="en-AU"/>
              </w:rPr>
              <w:t> </w:t>
            </w:r>
            <w:r w:rsidRPr="00617DF1">
              <w:rPr>
                <w:color w:val="000000"/>
                <w:lang w:eastAsia="en-AU"/>
              </w:rPr>
              <w:t>208</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nm</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17DF1">
              <w:t>This performance measure is transferred directly from the Self Directed Support output.</w:t>
            </w:r>
          </w:p>
          <w:p w:rsidR="00B958B1" w:rsidRPr="00757DD1" w:rsidRDefault="00B958B1" w:rsidP="009F3B54">
            <w:pPr>
              <w:pStyle w:val="OGNotes"/>
            </w:pPr>
            <w:r w:rsidRPr="00617DF1">
              <w:t>The higher 2013</w:t>
            </w:r>
            <w:r w:rsidR="009F0F49">
              <w:noBreakHyphen/>
            </w:r>
            <w:r w:rsidRPr="00617DF1">
              <w:t xml:space="preserve">14 Target reflects additional funding provided in the </w:t>
            </w:r>
            <w:r w:rsidRPr="00902EBC">
              <w:rPr>
                <w:i w:val="0"/>
              </w:rPr>
              <w:t>2013</w:t>
            </w:r>
            <w:r w:rsidR="009F0F49">
              <w:rPr>
                <w:i w:val="0"/>
              </w:rPr>
              <w:noBreakHyphen/>
            </w:r>
            <w:r w:rsidRPr="00902EBC">
              <w:rPr>
                <w:i w:val="0"/>
              </w:rPr>
              <w:t>14 Budget.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Hours of community</w:t>
            </w:r>
            <w:r w:rsidR="009F0F49">
              <w:rPr>
                <w:color w:val="000000"/>
                <w:lang w:eastAsia="en-AU"/>
              </w:rPr>
              <w:noBreakHyphen/>
            </w:r>
            <w:r w:rsidRPr="00617DF1">
              <w:rPr>
                <w:color w:val="000000"/>
                <w:lang w:eastAsia="en-AU"/>
              </w:rPr>
              <w:t>based respite</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000</w:t>
            </w:r>
            <w:r>
              <w:rPr>
                <w:color w:val="000000"/>
                <w:lang w:eastAsia="en-AU"/>
              </w:rPr>
              <w:t> </w:t>
            </w:r>
            <w:r w:rsidRPr="00617DF1">
              <w:rPr>
                <w:color w:val="000000"/>
                <w:lang w:eastAsia="en-AU"/>
              </w:rPr>
              <w:t>000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000</w:t>
            </w:r>
            <w:r>
              <w:rPr>
                <w:color w:val="000000"/>
                <w:lang w:eastAsia="en-AU"/>
              </w:rPr>
              <w:t> </w:t>
            </w:r>
            <w:r w:rsidRPr="00617DF1">
              <w:rPr>
                <w:color w:val="000000"/>
                <w:lang w:eastAsia="en-AU"/>
              </w:rPr>
              <w:t>000</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000</w:t>
            </w:r>
            <w:r>
              <w:rPr>
                <w:color w:val="000000"/>
                <w:lang w:eastAsia="en-AU"/>
              </w:rPr>
              <w:t> </w:t>
            </w:r>
            <w:r w:rsidRPr="00617DF1">
              <w:rPr>
                <w:color w:val="000000"/>
                <w:lang w:eastAsia="en-AU"/>
              </w:rPr>
              <w:t>000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nm</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Client Services and Capacity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keepNext/>
              <w:rPr>
                <w:color w:val="000000"/>
                <w:lang w:eastAsia="en-AU"/>
              </w:rPr>
            </w:pPr>
            <w:r w:rsidRPr="00617DF1">
              <w:rPr>
                <w:color w:val="000000"/>
                <w:lang w:eastAsia="en-AU"/>
              </w:rPr>
              <w:t>Number of respite days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keepNext/>
              <w:rPr>
                <w:color w:val="000000"/>
                <w:lang w:eastAsia="en-AU"/>
              </w:rPr>
            </w:pPr>
            <w:r w:rsidRPr="00617DF1">
              <w:rPr>
                <w:color w:val="000000"/>
                <w:lang w:eastAsia="en-AU"/>
              </w:rPr>
              <w:t>number</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keepNext/>
              <w:rPr>
                <w:color w:val="000000"/>
                <w:lang w:eastAsia="en-AU"/>
              </w:rPr>
            </w:pPr>
            <w:r w:rsidRPr="00617DF1">
              <w:rPr>
                <w:color w:val="000000"/>
                <w:lang w:eastAsia="en-AU"/>
              </w:rPr>
              <w:t>96</w:t>
            </w:r>
            <w:r>
              <w:rPr>
                <w:color w:val="000000"/>
                <w:lang w:eastAsia="en-AU"/>
              </w:rPr>
              <w:t> </w:t>
            </w:r>
            <w:r w:rsidRPr="00617DF1">
              <w:rPr>
                <w:color w:val="000000"/>
                <w:lang w:eastAsia="en-AU"/>
              </w:rPr>
              <w:t>000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96</w:t>
            </w:r>
            <w:r>
              <w:rPr>
                <w:color w:val="000000"/>
                <w:lang w:eastAsia="en-AU"/>
              </w:rPr>
              <w:t> </w:t>
            </w:r>
            <w:r w:rsidRPr="00617DF1">
              <w:rPr>
                <w:color w:val="000000"/>
                <w:lang w:eastAsia="en-AU"/>
              </w:rPr>
              <w:t>000</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96</w:t>
            </w:r>
            <w:r>
              <w:rPr>
                <w:color w:val="000000"/>
                <w:lang w:eastAsia="en-AU"/>
              </w:rPr>
              <w:t> </w:t>
            </w:r>
            <w:r w:rsidRPr="00617DF1">
              <w:rPr>
                <w:color w:val="000000"/>
                <w:lang w:eastAsia="en-AU"/>
              </w:rPr>
              <w:t>000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nm</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Accommodation Support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pageBreakBefore/>
              <w:rPr>
                <w:color w:val="000000"/>
                <w:lang w:eastAsia="en-AU"/>
              </w:rPr>
            </w:pPr>
            <w:r w:rsidRPr="00617DF1">
              <w:rPr>
                <w:color w:val="000000"/>
                <w:lang w:eastAsia="en-AU"/>
              </w:rPr>
              <w:t>Number of supported accommodation beds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5</w:t>
            </w:r>
            <w:r>
              <w:rPr>
                <w:color w:val="000000"/>
                <w:lang w:eastAsia="en-AU"/>
              </w:rPr>
              <w:t> </w:t>
            </w:r>
            <w:r w:rsidRPr="00617DF1">
              <w:rPr>
                <w:color w:val="000000"/>
                <w:lang w:eastAsia="en-AU"/>
              </w:rPr>
              <w:t>043</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5</w:t>
            </w:r>
            <w:r>
              <w:rPr>
                <w:color w:val="000000"/>
                <w:lang w:eastAsia="en-AU"/>
              </w:rPr>
              <w:t> </w:t>
            </w:r>
            <w:r w:rsidRPr="00617DF1">
              <w:rPr>
                <w:color w:val="000000"/>
                <w:lang w:eastAsia="en-AU"/>
              </w:rPr>
              <w:t>043</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5</w:t>
            </w:r>
            <w:r>
              <w:rPr>
                <w:color w:val="000000"/>
                <w:lang w:eastAsia="en-AU"/>
              </w:rPr>
              <w:t> </w:t>
            </w:r>
            <w:r w:rsidRPr="00617DF1">
              <w:rPr>
                <w:color w:val="000000"/>
                <w:lang w:eastAsia="en-AU"/>
              </w:rPr>
              <w:t>043</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nm</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Accommodation Support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Quality</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Clients satisfied with the aids and equipment services system</w:t>
            </w:r>
          </w:p>
        </w:tc>
        <w:tc>
          <w:tcPr>
            <w:tcW w:w="908" w:type="dxa"/>
            <w:tcBorders>
              <w:top w:val="nil"/>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nil"/>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85</w:t>
            </w:r>
          </w:p>
        </w:tc>
        <w:tc>
          <w:tcPr>
            <w:tcW w:w="994"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85</w:t>
            </w:r>
          </w:p>
        </w:tc>
        <w:tc>
          <w:tcPr>
            <w:tcW w:w="907"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85</w:t>
            </w:r>
          </w:p>
        </w:tc>
        <w:tc>
          <w:tcPr>
            <w:tcW w:w="906"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90</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Client Services and Capacity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Clients who have had a comprehensive health status review</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70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70</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70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nm</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Accommodation Support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Organisations that have successfully completed a quality review (accommodation supports)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95</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95</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95</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nm</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17DF1">
              <w:t>This performance measure is transferred directly from the Accommodation Support output.</w:t>
            </w:r>
          </w:p>
          <w:p w:rsidR="00B958B1" w:rsidRPr="00617DF1" w:rsidRDefault="00B958B1" w:rsidP="009F3B54">
            <w:pPr>
              <w:pStyle w:val="OGNotes"/>
              <w:rPr>
                <w:color w:val="000000"/>
              </w:rPr>
            </w:pPr>
            <w:r w:rsidRPr="00617DF1">
              <w:t>This performance measure renames the 2012</w:t>
            </w:r>
            <w:r w:rsidR="009F0F49">
              <w:noBreakHyphen/>
            </w:r>
            <w:r w:rsidRPr="00617DF1">
              <w:t xml:space="preserve">13 performance measure </w:t>
            </w:r>
            <w:r>
              <w:t>‘</w:t>
            </w:r>
            <w:r w:rsidRPr="00617DF1">
              <w:t>Organisations that have successfully completed a quality review</w:t>
            </w:r>
            <w:r>
              <w:t>’</w:t>
            </w:r>
            <w:r w:rsidRPr="00617DF1">
              <w:t xml:space="preserve"> from the Accommodation Support output. This new measure reports on the same activity as the previous measure </w:t>
            </w:r>
            <w:r>
              <w:t>but</w:t>
            </w:r>
            <w:r w:rsidRPr="00617DF1">
              <w:t xml:space="preserve"> has been amended for increased clarity.</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Organisations that have successfully completed a quality review (client services and capacity)</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95</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95</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95</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nm</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17DF1">
              <w:t>This performance measure is transferred directly from the Client Services and Capacity output.</w:t>
            </w:r>
          </w:p>
          <w:p w:rsidR="00B958B1" w:rsidRPr="00617DF1" w:rsidRDefault="00B958B1" w:rsidP="009F3B54">
            <w:pPr>
              <w:pStyle w:val="OGNotes"/>
              <w:rPr>
                <w:color w:val="000000"/>
              </w:rPr>
            </w:pPr>
            <w:r w:rsidRPr="00617DF1">
              <w:t>This performance measure renames the 2012</w:t>
            </w:r>
            <w:r w:rsidR="009F0F49">
              <w:noBreakHyphen/>
            </w:r>
            <w:r w:rsidRPr="00617DF1">
              <w:t xml:space="preserve">13 performance measure </w:t>
            </w:r>
            <w:r>
              <w:t>‘</w:t>
            </w:r>
            <w:r w:rsidRPr="00617DF1">
              <w:t>Organisations that have successfully completed a quality review</w:t>
            </w:r>
            <w:r>
              <w:t>’</w:t>
            </w:r>
            <w:r w:rsidRPr="00617DF1">
              <w:t xml:space="preserve"> from the Client Services and Capacity output. This new measure reports on the same activity as the previous measure </w:t>
            </w:r>
            <w:r>
              <w:t>but</w:t>
            </w:r>
            <w:r w:rsidRPr="00617DF1">
              <w:t xml:space="preserve"> has been amended for increased clarity.</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Organisations that have successfully completed a quality review (individualised supports)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95</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95</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95</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nm</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17DF1">
              <w:t>This performance measure is transferred directly from the Self Directed Support output.</w:t>
            </w:r>
          </w:p>
          <w:p w:rsidR="00B958B1" w:rsidRPr="00617DF1" w:rsidRDefault="00B958B1" w:rsidP="009F3B54">
            <w:pPr>
              <w:pStyle w:val="OGNotes"/>
              <w:rPr>
                <w:color w:val="000000"/>
              </w:rPr>
            </w:pPr>
            <w:r w:rsidRPr="00617DF1">
              <w:t>This performance measure renames the 2012</w:t>
            </w:r>
            <w:r w:rsidR="009F0F49">
              <w:noBreakHyphen/>
            </w:r>
            <w:r w:rsidRPr="00617DF1">
              <w:t xml:space="preserve">13 performance measure </w:t>
            </w:r>
            <w:r>
              <w:t>‘</w:t>
            </w:r>
            <w:r w:rsidRPr="00617DF1">
              <w:t>Organisations that have successfully completed a quality review</w:t>
            </w:r>
            <w:r>
              <w:t>’</w:t>
            </w:r>
            <w:r w:rsidRPr="00617DF1">
              <w:t xml:space="preserve"> from the Self Directed Support output. This new measure reports on the same activity as the previous measure </w:t>
            </w:r>
            <w:r>
              <w:t>but</w:t>
            </w:r>
            <w:r w:rsidRPr="00617DF1">
              <w:t xml:space="preserve">  has been amended for increased clarity.</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keepNext/>
              <w:rPr>
                <w:color w:val="000000"/>
                <w:lang w:eastAsia="en-AU"/>
              </w:rPr>
            </w:pPr>
            <w:r w:rsidRPr="00617DF1">
              <w:rPr>
                <w:color w:val="000000"/>
                <w:lang w:eastAsia="en-AU"/>
              </w:rPr>
              <w:t>Support plans reviewed at least once during each period of three years commencing from when the support plan was first prepared (accommodation supports)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keepNext/>
              <w:rPr>
                <w:color w:val="000000"/>
                <w:lang w:eastAsia="en-AU"/>
              </w:rPr>
            </w:pPr>
            <w:r>
              <w:rPr>
                <w:color w:val="000000"/>
                <w:lang w:eastAsia="en-AU"/>
              </w:rPr>
              <w:t>per cent</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keepNext/>
              <w:rPr>
                <w:color w:val="000000"/>
                <w:lang w:eastAsia="en-AU"/>
              </w:rPr>
            </w:pPr>
            <w:r w:rsidRPr="00617DF1">
              <w:rPr>
                <w:color w:val="000000"/>
                <w:lang w:eastAsia="en-AU"/>
              </w:rPr>
              <w:t>100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100</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100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96</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17DF1">
              <w:t>This performance measure is transferred directly from the Accommodation Support output.</w:t>
            </w:r>
          </w:p>
          <w:p w:rsidR="00B958B1" w:rsidRPr="00617DF1" w:rsidRDefault="00B958B1" w:rsidP="009F3B54">
            <w:pPr>
              <w:pStyle w:val="OGNotes"/>
              <w:rPr>
                <w:color w:val="000000"/>
              </w:rPr>
            </w:pPr>
            <w:r w:rsidRPr="00617DF1">
              <w:t>This performance measure renames the 2012</w:t>
            </w:r>
            <w:r w:rsidR="009F0F49">
              <w:noBreakHyphen/>
            </w:r>
            <w:r w:rsidRPr="00617DF1">
              <w:t xml:space="preserve">13 performance measure </w:t>
            </w:r>
            <w:r>
              <w:t>‘</w:t>
            </w:r>
            <w:r w:rsidRPr="00617DF1">
              <w:t>Support plans reviewed at least once during each period of three years commencing from when the support plan was first prepared</w:t>
            </w:r>
            <w:r>
              <w:t>’</w:t>
            </w:r>
            <w:r w:rsidRPr="00617DF1">
              <w:t xml:space="preserve"> from the Accommodation Support output. This new measure reports on the same activity as the previous measure </w:t>
            </w:r>
            <w:r>
              <w:t>but</w:t>
            </w:r>
            <w:r w:rsidRPr="00617DF1">
              <w:t xml:space="preserve"> has been amended for increased clarity.</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Support plans reviewed at least once during each period of three years commencing from when the support plan was first prepared (individualised supports)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100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100</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96</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17DF1">
              <w:t>This performance measure is transferred directly from the Self Directed Support output.</w:t>
            </w:r>
          </w:p>
          <w:p w:rsidR="00B958B1" w:rsidRPr="00617DF1" w:rsidRDefault="00B958B1" w:rsidP="009F3B54">
            <w:pPr>
              <w:pStyle w:val="OGNotes"/>
              <w:rPr>
                <w:color w:val="000000"/>
              </w:rPr>
            </w:pPr>
            <w:r w:rsidRPr="00617DF1">
              <w:t>This performance measure renames the 2012</w:t>
            </w:r>
            <w:r w:rsidR="009F0F49">
              <w:noBreakHyphen/>
            </w:r>
            <w:r w:rsidRPr="00617DF1">
              <w:t xml:space="preserve">13 performance measure </w:t>
            </w:r>
            <w:r>
              <w:t>‘</w:t>
            </w:r>
            <w:r w:rsidRPr="00617DF1">
              <w:t>Support plans reviewed at least once during each period of three years commencing from when the support plan was first prepared</w:t>
            </w:r>
            <w:r>
              <w:t>’</w:t>
            </w:r>
            <w:r w:rsidRPr="00617DF1">
              <w:t xml:space="preserve"> from the Self Directed Support output. This new measure reports on the same activity as the previous measure </w:t>
            </w:r>
            <w:r>
              <w:t>but</w:t>
            </w:r>
            <w:r w:rsidRPr="00617DF1">
              <w:t xml:space="preserve"> has been amended for increased clarity.</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Support plans reviewed every 12 months for persons residing in residential institutions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100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100</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92</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Accommodation Support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Timeliness</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Applications for aids and equipment acknowledged in writing within 10 working days</w:t>
            </w:r>
          </w:p>
        </w:tc>
        <w:tc>
          <w:tcPr>
            <w:tcW w:w="908" w:type="dxa"/>
            <w:tcBorders>
              <w:top w:val="nil"/>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nil"/>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90</w:t>
            </w:r>
          </w:p>
        </w:tc>
        <w:tc>
          <w:tcPr>
            <w:tcW w:w="994"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90</w:t>
            </w:r>
          </w:p>
        </w:tc>
        <w:tc>
          <w:tcPr>
            <w:tcW w:w="907"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90</w:t>
            </w:r>
          </w:p>
        </w:tc>
        <w:tc>
          <w:tcPr>
            <w:tcW w:w="906"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nm</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Client Services and Capacity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Proportion of clients whose support is commenced within departmental timelines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85</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85</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85</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nm</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Self Directed Support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Support plans prepared within 60 days of the person commencing to regularly access the disability services (accommodation supports)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100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100</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94</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17DF1">
              <w:t>This performance measure is transferred directly from the Accommodation Support output.</w:t>
            </w:r>
          </w:p>
          <w:p w:rsidR="00B958B1" w:rsidRPr="00617DF1" w:rsidRDefault="00B958B1" w:rsidP="009F3B54">
            <w:pPr>
              <w:pStyle w:val="OGNotes"/>
              <w:rPr>
                <w:color w:val="000000"/>
              </w:rPr>
            </w:pPr>
            <w:r w:rsidRPr="00617DF1">
              <w:t>This performance measure renames the 2012</w:t>
            </w:r>
            <w:r w:rsidR="009F0F49">
              <w:noBreakHyphen/>
            </w:r>
            <w:r w:rsidRPr="00617DF1">
              <w:t xml:space="preserve">13 performance measure </w:t>
            </w:r>
            <w:r>
              <w:t>‘</w:t>
            </w:r>
            <w:r w:rsidRPr="00617DF1">
              <w:t>Support plans prepared within 60</w:t>
            </w:r>
            <w:r>
              <w:t> </w:t>
            </w:r>
            <w:r w:rsidRPr="00617DF1">
              <w:t>days of the person commencing to regularly access disability services</w:t>
            </w:r>
            <w:r>
              <w:t>’</w:t>
            </w:r>
            <w:r w:rsidRPr="00617DF1">
              <w:t xml:space="preserve"> from the Accommodation Support output. This new measure reports on the same activity as the previous measure </w:t>
            </w:r>
            <w:r>
              <w:t>but</w:t>
            </w:r>
            <w:r w:rsidRPr="00617DF1">
              <w:t xml:space="preserve"> has been amended for increased clarity.</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keepNext/>
              <w:rPr>
                <w:color w:val="000000"/>
                <w:lang w:eastAsia="en-AU"/>
              </w:rPr>
            </w:pPr>
            <w:r w:rsidRPr="00617DF1">
              <w:rPr>
                <w:color w:val="000000"/>
                <w:lang w:eastAsia="en-AU"/>
              </w:rPr>
              <w:t>Support plans prepared within 60 days of the person com</w:t>
            </w:r>
            <w:r>
              <w:rPr>
                <w:color w:val="000000"/>
                <w:lang w:eastAsia="en-AU"/>
              </w:rPr>
              <w:t xml:space="preserve">mencing to regularly access </w:t>
            </w:r>
            <w:r w:rsidRPr="00617DF1">
              <w:rPr>
                <w:color w:val="000000"/>
                <w:lang w:eastAsia="en-AU"/>
              </w:rPr>
              <w:t>disability services (individualised supports)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keepNext/>
              <w:rPr>
                <w:color w:val="000000"/>
                <w:lang w:eastAsia="en-AU"/>
              </w:rPr>
            </w:pPr>
            <w:r>
              <w:rPr>
                <w:color w:val="000000"/>
                <w:lang w:eastAsia="en-AU"/>
              </w:rPr>
              <w:t>per cent</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keepNext/>
              <w:rPr>
                <w:color w:val="000000"/>
                <w:lang w:eastAsia="en-AU"/>
              </w:rPr>
            </w:pPr>
            <w:r w:rsidRPr="00617DF1">
              <w:rPr>
                <w:color w:val="000000"/>
                <w:lang w:eastAsia="en-AU"/>
              </w:rPr>
              <w:t>100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100</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100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97</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17DF1">
              <w:t>This performance measure is transferred directly from the Self Directed Support output.</w:t>
            </w:r>
          </w:p>
          <w:p w:rsidR="00B958B1" w:rsidRPr="00617DF1" w:rsidRDefault="00B958B1" w:rsidP="009F3B54">
            <w:pPr>
              <w:pStyle w:val="OGNotes"/>
              <w:rPr>
                <w:color w:val="000000"/>
              </w:rPr>
            </w:pPr>
            <w:r w:rsidRPr="00617DF1">
              <w:t>This performance measure renames the 2012</w:t>
            </w:r>
            <w:r w:rsidR="009F0F49">
              <w:noBreakHyphen/>
            </w:r>
            <w:r w:rsidRPr="00617DF1">
              <w:t xml:space="preserve">13 performance measure </w:t>
            </w:r>
            <w:r>
              <w:t>‘</w:t>
            </w:r>
            <w:r w:rsidRPr="00617DF1">
              <w:t>Support plans prepared within 60 days of the person commencing to regularly access disability services</w:t>
            </w:r>
            <w:r>
              <w:t>’</w:t>
            </w:r>
            <w:r w:rsidRPr="00617DF1">
              <w:t xml:space="preserve"> from the Self Directed Support output. This new measure reports on the same activity as the previous measure </w:t>
            </w:r>
            <w:r>
              <w:t>but</w:t>
            </w:r>
            <w:r w:rsidRPr="00617DF1">
              <w:t xml:space="preserve"> has been amended for increased clarity.</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Supported accommodation occupancy rate</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95</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95</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95</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nm</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Accommodation Support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Cost</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keepNext/>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keepNext/>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keepNext/>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keepNext/>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keepNext/>
              <w:rPr>
                <w:color w:val="000000"/>
                <w:lang w:eastAsia="en-AU"/>
              </w:rPr>
            </w:pPr>
          </w:p>
        </w:tc>
      </w:tr>
      <w:tr w:rsidR="00B958B1" w:rsidRPr="00617DF1" w:rsidTr="009F3B54">
        <w:trPr>
          <w:gridAfter w:val="1"/>
          <w:wAfter w:w="6" w:type="dxa"/>
          <w:cantSplit/>
        </w:trPr>
        <w:tc>
          <w:tcPr>
            <w:tcW w:w="3154" w:type="dxa"/>
            <w:tcBorders>
              <w:top w:val="nil"/>
              <w:left w:val="nil"/>
              <w:right w:val="nil"/>
            </w:tcBorders>
            <w:shd w:val="clear" w:color="000000" w:fill="FFFFFF"/>
            <w:hideMark/>
          </w:tcPr>
          <w:p w:rsidR="00B958B1" w:rsidRPr="00617DF1" w:rsidRDefault="00B958B1" w:rsidP="009F3B54">
            <w:pPr>
              <w:pStyle w:val="OGTabText"/>
              <w:keepNext/>
              <w:rPr>
                <w:color w:val="000000"/>
                <w:lang w:eastAsia="en-AU"/>
              </w:rPr>
            </w:pPr>
            <w:r w:rsidRPr="00617DF1">
              <w:rPr>
                <w:color w:val="000000"/>
                <w:lang w:eastAsia="en-AU"/>
              </w:rPr>
              <w:t>Total output cost</w:t>
            </w:r>
          </w:p>
        </w:tc>
        <w:tc>
          <w:tcPr>
            <w:tcW w:w="908" w:type="dxa"/>
            <w:tcBorders>
              <w:top w:val="nil"/>
              <w:left w:val="nil"/>
              <w:right w:val="nil"/>
            </w:tcBorders>
            <w:shd w:val="clear" w:color="000000" w:fill="FFFFFF"/>
            <w:hideMark/>
          </w:tcPr>
          <w:p w:rsidR="00B958B1" w:rsidRPr="00617DF1" w:rsidRDefault="00B958B1" w:rsidP="009F3B54">
            <w:pPr>
              <w:pStyle w:val="OGUoM"/>
              <w:keepNext/>
              <w:rPr>
                <w:color w:val="000000"/>
                <w:lang w:eastAsia="en-AU"/>
              </w:rPr>
            </w:pPr>
            <w:r w:rsidRPr="00617DF1">
              <w:rPr>
                <w:color w:val="000000"/>
                <w:lang w:eastAsia="en-AU"/>
              </w:rPr>
              <w:t>$million</w:t>
            </w:r>
          </w:p>
        </w:tc>
        <w:tc>
          <w:tcPr>
            <w:tcW w:w="907" w:type="dxa"/>
            <w:tcBorders>
              <w:top w:val="nil"/>
              <w:left w:val="nil"/>
              <w:right w:val="nil"/>
            </w:tcBorders>
            <w:shd w:val="clear" w:color="auto" w:fill="D9D9D9"/>
            <w:hideMark/>
          </w:tcPr>
          <w:p w:rsidR="00B958B1" w:rsidRPr="00617DF1" w:rsidRDefault="00B958B1" w:rsidP="009F3B54">
            <w:pPr>
              <w:pStyle w:val="OGTableofFigures"/>
              <w:keepNext/>
              <w:rPr>
                <w:color w:val="000000"/>
                <w:lang w:eastAsia="en-AU"/>
              </w:rPr>
            </w:pPr>
            <w:r w:rsidRPr="00617DF1">
              <w:rPr>
                <w:color w:val="000000"/>
                <w:lang w:eastAsia="en-AU"/>
              </w:rPr>
              <w:t>1</w:t>
            </w:r>
            <w:r>
              <w:rPr>
                <w:color w:val="000000"/>
                <w:lang w:eastAsia="en-AU"/>
              </w:rPr>
              <w:t> </w:t>
            </w:r>
            <w:r w:rsidRPr="00617DF1">
              <w:rPr>
                <w:color w:val="000000"/>
                <w:lang w:eastAsia="en-AU"/>
              </w:rPr>
              <w:t>587.7</w:t>
            </w:r>
          </w:p>
        </w:tc>
        <w:tc>
          <w:tcPr>
            <w:tcW w:w="994" w:type="dxa"/>
            <w:tcBorders>
              <w:top w:val="nil"/>
              <w:left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1</w:t>
            </w:r>
            <w:r>
              <w:rPr>
                <w:color w:val="000000"/>
                <w:lang w:eastAsia="en-AU"/>
              </w:rPr>
              <w:t> </w:t>
            </w:r>
            <w:r w:rsidRPr="00617DF1">
              <w:rPr>
                <w:color w:val="000000"/>
                <w:lang w:eastAsia="en-AU"/>
              </w:rPr>
              <w:t>501.9</w:t>
            </w:r>
          </w:p>
        </w:tc>
        <w:tc>
          <w:tcPr>
            <w:tcW w:w="907" w:type="dxa"/>
            <w:tcBorders>
              <w:top w:val="nil"/>
              <w:left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1</w:t>
            </w:r>
            <w:r>
              <w:rPr>
                <w:color w:val="000000"/>
                <w:lang w:eastAsia="en-AU"/>
              </w:rPr>
              <w:t> </w:t>
            </w:r>
            <w:r w:rsidRPr="00617DF1">
              <w:rPr>
                <w:color w:val="000000"/>
                <w:lang w:eastAsia="en-AU"/>
              </w:rPr>
              <w:t>477.2</w:t>
            </w:r>
          </w:p>
        </w:tc>
        <w:tc>
          <w:tcPr>
            <w:tcW w:w="906" w:type="dxa"/>
            <w:tcBorders>
              <w:top w:val="nil"/>
              <w:left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1</w:t>
            </w:r>
            <w:r>
              <w:rPr>
                <w:color w:val="000000"/>
                <w:lang w:eastAsia="en-AU"/>
              </w:rPr>
              <w:t> </w:t>
            </w:r>
            <w:r w:rsidRPr="00617DF1">
              <w:rPr>
                <w:color w:val="000000"/>
                <w:lang w:eastAsia="en-AU"/>
              </w:rPr>
              <w:t>444.3</w:t>
            </w:r>
          </w:p>
        </w:tc>
      </w:tr>
      <w:tr w:rsidR="00B958B1" w:rsidRPr="00617DF1" w:rsidTr="009F3B54">
        <w:trPr>
          <w:gridAfter w:val="1"/>
          <w:wAfter w:w="6" w:type="dxa"/>
          <w:cantSplit/>
        </w:trPr>
        <w:tc>
          <w:tcPr>
            <w:tcW w:w="7776" w:type="dxa"/>
            <w:gridSpan w:val="6"/>
            <w:tcBorders>
              <w:top w:val="nil"/>
              <w:left w:val="nil"/>
              <w:bottom w:val="single" w:sz="12" w:space="0" w:color="auto"/>
              <w:right w:val="nil"/>
            </w:tcBorders>
            <w:shd w:val="clear" w:color="auto" w:fill="auto"/>
            <w:vAlign w:val="bottom"/>
            <w:hideMark/>
          </w:tcPr>
          <w:p w:rsidR="00B958B1" w:rsidRDefault="00B958B1" w:rsidP="009F3B54">
            <w:pPr>
              <w:pStyle w:val="OGNotes"/>
            </w:pPr>
            <w:r w:rsidRPr="00617DF1">
              <w:t>This performance measure is proposed to consolidate the 2012</w:t>
            </w:r>
            <w:r w:rsidR="009F0F49">
              <w:noBreakHyphen/>
            </w:r>
            <w:r w:rsidRPr="00617DF1">
              <w:t xml:space="preserve">13 performance measures </w:t>
            </w:r>
            <w:r>
              <w:t>‘</w:t>
            </w:r>
            <w:r w:rsidRPr="00617DF1">
              <w:t>Total output cost</w:t>
            </w:r>
            <w:r>
              <w:t>’</w:t>
            </w:r>
            <w:r w:rsidRPr="00617DF1">
              <w:t xml:space="preserve"> within Self Directed Support, Client Services and Capacity and Accommodation Support outputs into a new measure for 2013</w:t>
            </w:r>
            <w:r w:rsidR="009F0F49">
              <w:noBreakHyphen/>
            </w:r>
            <w:r w:rsidRPr="00617DF1">
              <w:t xml:space="preserve">14 called </w:t>
            </w:r>
            <w:r>
              <w:t>‘</w:t>
            </w:r>
            <w:r w:rsidRPr="00617DF1">
              <w:t>Total output cost</w:t>
            </w:r>
            <w:r>
              <w:t>’</w:t>
            </w:r>
            <w:r w:rsidRPr="00617DF1">
              <w:t xml:space="preserve"> within the new Disability Services output.</w:t>
            </w:r>
          </w:p>
          <w:p w:rsidR="00B958B1" w:rsidRPr="00617DF1" w:rsidRDefault="00B958B1" w:rsidP="009F3B54">
            <w:pPr>
              <w:pStyle w:val="OGNotes"/>
              <w:rPr>
                <w:color w:val="000000"/>
              </w:rPr>
            </w:pPr>
            <w:r w:rsidRPr="00617DF1">
              <w:t>The higher 2013</w:t>
            </w:r>
            <w:r w:rsidR="009F0F49">
              <w:noBreakHyphen/>
            </w:r>
            <w:r w:rsidRPr="00617DF1">
              <w:t xml:space="preserve">14 Target primarily reflects additional funding provided in the </w:t>
            </w:r>
            <w:r w:rsidRPr="00BA77E0">
              <w:rPr>
                <w:i w:val="0"/>
              </w:rPr>
              <w:t>2013</w:t>
            </w:r>
            <w:r w:rsidR="009F0F49">
              <w:rPr>
                <w:i w:val="0"/>
              </w:rPr>
              <w:noBreakHyphen/>
            </w:r>
            <w:r w:rsidRPr="00BA77E0">
              <w:rPr>
                <w:i w:val="0"/>
              </w:rPr>
              <w:t>14 Budget</w:t>
            </w:r>
            <w:r w:rsidRPr="00617DF1">
              <w:t>, the impact of the social and community services pay equity case, and the full year effect of initiative funding announced in previous years</w:t>
            </w:r>
            <w:r>
              <w:t>’</w:t>
            </w:r>
            <w:r w:rsidRPr="00617DF1">
              <w:t xml:space="preserve"> budgets.</w:t>
            </w:r>
          </w:p>
        </w:tc>
      </w:tr>
    </w:tbl>
    <w:p w:rsidR="00B958B1" w:rsidRDefault="00B958B1" w:rsidP="009F3B54">
      <w:pPr>
        <w:pStyle w:val="Source"/>
        <w:rPr>
          <w:lang w:eastAsia="en-AU"/>
        </w:rPr>
      </w:pPr>
      <w:r>
        <w:rPr>
          <w:lang w:eastAsia="en-AU"/>
        </w:rPr>
        <w:t>Source: Department of Human Services</w:t>
      </w:r>
    </w:p>
    <w:p w:rsidR="00B958B1" w:rsidRDefault="00B958B1" w:rsidP="009F3B54">
      <w:pPr>
        <w:pStyle w:val="Source"/>
        <w:rPr>
          <w:lang w:eastAsia="en-AU"/>
        </w:rPr>
      </w:pPr>
      <w:r>
        <w:rPr>
          <w:lang w:eastAsia="en-AU"/>
        </w:rPr>
        <w:fldChar w:fldCharType="begin"/>
      </w:r>
      <w:r>
        <w:instrText xml:space="preserve"> XE "</w:instrText>
      </w:r>
      <w:r w:rsidRPr="009445F2">
        <w:rPr>
          <w:lang w:eastAsia="en-AU"/>
        </w:rPr>
        <w:instrText>Department of Human Services</w:instrText>
      </w:r>
      <w:r w:rsidRPr="009445F2">
        <w:instrText>:Disability Services</w:instrText>
      </w:r>
      <w:r>
        <w:instrText xml:space="preserve">" \r "BP3DHSDisabilitySvces" </w:instrText>
      </w:r>
      <w:r>
        <w:rPr>
          <w:lang w:eastAsia="en-AU"/>
        </w:rPr>
        <w:fldChar w:fldCharType="end"/>
      </w:r>
    </w:p>
    <w:bookmarkEnd w:id="113"/>
    <w:p w:rsidR="00B958B1" w:rsidRPr="00617DF1" w:rsidRDefault="00B958B1" w:rsidP="009F3B54">
      <w:pPr>
        <w:pStyle w:val="OGHeading1"/>
        <w:rPr>
          <w:lang w:eastAsia="en-AU"/>
        </w:rPr>
      </w:pPr>
      <w:r>
        <w:rPr>
          <w:lang w:eastAsia="en-AU"/>
        </w:rPr>
        <w:br w:type="page"/>
      </w:r>
      <w:bookmarkStart w:id="114" w:name="BP3DHSChildProtecFamily"/>
      <w:r w:rsidRPr="00617DF1">
        <w:rPr>
          <w:lang w:eastAsia="en-AU"/>
        </w:rPr>
        <w:t>Child Protection and Family Services</w:t>
      </w:r>
    </w:p>
    <w:p w:rsidR="00B958B1" w:rsidRPr="00617DF1" w:rsidRDefault="00B958B1" w:rsidP="009F3B54">
      <w:pPr>
        <w:pStyle w:val="OGText"/>
        <w:rPr>
          <w:lang w:eastAsia="en-AU"/>
        </w:rPr>
      </w:pPr>
      <w:r>
        <w:rPr>
          <w:lang w:eastAsia="en-AU"/>
        </w:rPr>
        <w:t xml:space="preserve">The </w:t>
      </w:r>
      <w:r w:rsidRPr="00617DF1">
        <w:rPr>
          <w:lang w:eastAsia="en-AU"/>
        </w:rPr>
        <w:t>Child Protection and Family Services output, through the funding of statutory child protection services, family support and parenting services, family violence and sexual assault</w:t>
      </w:r>
      <w:r>
        <w:rPr>
          <w:lang w:eastAsia="en-AU"/>
        </w:rPr>
        <w:t xml:space="preserve"> services</w:t>
      </w:r>
      <w:r w:rsidRPr="00617DF1">
        <w:rPr>
          <w:lang w:eastAsia="en-AU"/>
        </w:rPr>
        <w:t>, adoption and placement care services and specialist support services, aim</w:t>
      </w:r>
      <w:r>
        <w:rPr>
          <w:lang w:eastAsia="en-AU"/>
        </w:rPr>
        <w:t>s</w:t>
      </w:r>
      <w:r w:rsidRPr="00617DF1">
        <w:rPr>
          <w:lang w:eastAsia="en-AU"/>
        </w:rPr>
        <w:t xml:space="preserve"> to ensure the safety and wellbeing of adolescents and children at risk of harm, abuse and neglect. This output aims to make a positive difference for Victorians experiencing disadvantage by providing excellent community services to meet clients</w:t>
      </w:r>
      <w:r>
        <w:rPr>
          <w:lang w:eastAsia="en-AU"/>
        </w:rPr>
        <w:t>’</w:t>
      </w:r>
      <w:r w:rsidRPr="00617DF1">
        <w:rPr>
          <w:lang w:eastAsia="en-AU"/>
        </w:rPr>
        <w:t xml:space="preserve"> needs.</w:t>
      </w:r>
    </w:p>
    <w:tbl>
      <w:tblPr>
        <w:tblW w:w="7782" w:type="dxa"/>
        <w:tblInd w:w="29" w:type="dxa"/>
        <w:tblLayout w:type="fixed"/>
        <w:tblCellMar>
          <w:left w:w="43" w:type="dxa"/>
          <w:right w:w="43" w:type="dxa"/>
        </w:tblCellMar>
        <w:tblLook w:val="04A0" w:firstRow="1" w:lastRow="0" w:firstColumn="1" w:lastColumn="0" w:noHBand="0" w:noVBand="1"/>
      </w:tblPr>
      <w:tblGrid>
        <w:gridCol w:w="3154"/>
        <w:gridCol w:w="908"/>
        <w:gridCol w:w="907"/>
        <w:gridCol w:w="994"/>
        <w:gridCol w:w="907"/>
        <w:gridCol w:w="906"/>
        <w:gridCol w:w="6"/>
      </w:tblGrid>
      <w:tr w:rsidR="00B958B1" w:rsidRPr="00D32CA4" w:rsidTr="009F3B54">
        <w:trPr>
          <w:cantSplit/>
          <w:tblHeader/>
        </w:trPr>
        <w:tc>
          <w:tcPr>
            <w:tcW w:w="3154" w:type="dxa"/>
            <w:tcBorders>
              <w:top w:val="single" w:sz="4" w:space="0" w:color="auto"/>
              <w:left w:val="single" w:sz="4" w:space="0" w:color="auto"/>
              <w:bottom w:val="single" w:sz="4" w:space="0" w:color="auto"/>
              <w:right w:val="nil"/>
            </w:tcBorders>
            <w:shd w:val="clear" w:color="auto" w:fill="000000"/>
            <w:vAlign w:val="bottom"/>
          </w:tcPr>
          <w:p w:rsidR="00B958B1" w:rsidRPr="00D32CA4" w:rsidRDefault="00B958B1" w:rsidP="009F3B54">
            <w:pPr>
              <w:pStyle w:val="OGTabColLeft"/>
              <w:rPr>
                <w:i/>
              </w:rPr>
            </w:pPr>
            <w:r w:rsidRPr="00D32CA4">
              <w:t>Major Outputs/Deliverables</w:t>
            </w:r>
            <w:r w:rsidRPr="00D32CA4">
              <w:br/>
            </w:r>
            <w:r w:rsidRPr="0085011C">
              <w:rPr>
                <w:b w:val="0"/>
                <w:i/>
              </w:rPr>
              <w:t>Performance measures</w:t>
            </w:r>
          </w:p>
        </w:tc>
        <w:tc>
          <w:tcPr>
            <w:tcW w:w="908"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4"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12" w:type="dxa"/>
            <w:gridSpan w:val="2"/>
            <w:tcBorders>
              <w:top w:val="single" w:sz="4" w:space="0" w:color="auto"/>
              <w:left w:val="nil"/>
              <w:bottom w:val="single" w:sz="4" w:space="0" w:color="auto"/>
              <w:right w:val="single" w:sz="4" w:space="0" w:color="auto"/>
            </w:tcBorders>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617DF1" w:rsidTr="009F3B54">
        <w:trPr>
          <w:gridAfter w:val="1"/>
          <w:wAfter w:w="6" w:type="dxa"/>
          <w:cantSplit/>
        </w:trPr>
        <w:tc>
          <w:tcPr>
            <w:tcW w:w="7776" w:type="dxa"/>
            <w:gridSpan w:val="6"/>
            <w:tcBorders>
              <w:top w:val="nil"/>
              <w:left w:val="nil"/>
              <w:bottom w:val="nil"/>
              <w:right w:val="nil"/>
            </w:tcBorders>
            <w:shd w:val="clear" w:color="auto" w:fill="auto"/>
            <w:vAlign w:val="bottom"/>
            <w:hideMark/>
          </w:tcPr>
          <w:p w:rsidR="00B958B1" w:rsidRPr="00617DF1" w:rsidRDefault="00B958B1" w:rsidP="009F3B54">
            <w:pPr>
              <w:pStyle w:val="OGHeading2"/>
              <w:rPr>
                <w:lang w:eastAsia="en-AU"/>
              </w:rPr>
            </w:pPr>
            <w:r w:rsidRPr="00617DF1">
              <w:rPr>
                <w:lang w:eastAsia="en-AU"/>
              </w:rPr>
              <w:t>Child Protection and Family Services</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Text"/>
              <w:rPr>
                <w:lang w:eastAsia="en-AU"/>
              </w:rPr>
            </w:pPr>
            <w:r w:rsidRPr="00617DF1">
              <w:rPr>
                <w:lang w:eastAsia="en-AU"/>
              </w:rPr>
              <w:t>This output provides:</w:t>
            </w:r>
          </w:p>
          <w:p w:rsidR="00B958B1" w:rsidRDefault="00B958B1" w:rsidP="009F3B54">
            <w:pPr>
              <w:pStyle w:val="OGTabBullet"/>
            </w:pPr>
            <w:r>
              <w:t>c</w:t>
            </w:r>
            <w:r w:rsidRPr="00617DF1">
              <w:t>hild protection services to ensure the safety and wellbeing of children and young people at r</w:t>
            </w:r>
            <w:r>
              <w:t xml:space="preserve">isk of harm, abuse, and neglect; </w:t>
            </w:r>
          </w:p>
          <w:p w:rsidR="00B958B1" w:rsidRDefault="00B958B1" w:rsidP="009F3B54">
            <w:pPr>
              <w:pStyle w:val="OGTabBullet"/>
            </w:pPr>
            <w:r>
              <w:t>s</w:t>
            </w:r>
            <w:r w:rsidRPr="00617DF1">
              <w:t>pecialist support and placement services to ensure the safety and wellbeing of children and young people who require support to remain with their family or are placed in out</w:t>
            </w:r>
            <w:r w:rsidR="009F0F49">
              <w:noBreakHyphen/>
            </w:r>
            <w:r w:rsidRPr="00617DF1">
              <w:t>of</w:t>
            </w:r>
            <w:r w:rsidR="009F0F49">
              <w:noBreakHyphen/>
            </w:r>
            <w:r>
              <w:t>home care; and</w:t>
            </w:r>
          </w:p>
          <w:p w:rsidR="00B958B1" w:rsidRDefault="00B958B1" w:rsidP="009F3B54">
            <w:pPr>
              <w:pStyle w:val="OGTabBullet"/>
            </w:pPr>
            <w:r>
              <w:t>a</w:t>
            </w:r>
            <w:r w:rsidRPr="00617DF1">
              <w:t xml:space="preserve"> range of early intervention and support services to ensure the safety and wellbeing of children, young people, and families.</w:t>
            </w:r>
          </w:p>
          <w:p w:rsidR="00B958B1" w:rsidRDefault="00B958B1" w:rsidP="009F3B54">
            <w:pPr>
              <w:pStyle w:val="OGText"/>
              <w:rPr>
                <w:lang w:eastAsia="en-AU"/>
              </w:rPr>
            </w:pPr>
            <w:r w:rsidRPr="00617DF1">
              <w:rPr>
                <w:lang w:eastAsia="en-AU"/>
              </w:rPr>
              <w:t>This output supports the Department</w:t>
            </w:r>
            <w:r>
              <w:rPr>
                <w:lang w:eastAsia="en-AU"/>
              </w:rPr>
              <w:t>’</w:t>
            </w:r>
            <w:r w:rsidRPr="00617DF1">
              <w:rPr>
                <w:lang w:eastAsia="en-AU"/>
              </w:rPr>
              <w:t>s immediate support and capabilities and participation objectives.</w:t>
            </w:r>
          </w:p>
          <w:p w:rsidR="00B958B1" w:rsidRPr="00617DF1" w:rsidRDefault="00B958B1" w:rsidP="009F3B54">
            <w:pPr>
              <w:pStyle w:val="OGNotes"/>
            </w:pPr>
            <w:r w:rsidRPr="003A06B6">
              <w:t>This new output for 2013</w:t>
            </w:r>
            <w:r w:rsidR="009F0F49">
              <w:noBreakHyphen/>
            </w:r>
            <w:r w:rsidRPr="003A06B6">
              <w:t>14 consolidates the performance measures of the three discontinued 2012</w:t>
            </w:r>
            <w:r w:rsidR="009F0F49">
              <w:noBreakHyphen/>
            </w:r>
            <w:r w:rsidRPr="003A06B6">
              <w:t>13 outputs ‘Statutory Child Protection Services’, ‘Specialist Support and Placement Services’ and ‘Family and Community Services’.</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Quantity</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Daily average number of children in out</w:t>
            </w:r>
            <w:r w:rsidR="009F0F49">
              <w:rPr>
                <w:color w:val="000000"/>
                <w:lang w:eastAsia="en-AU"/>
              </w:rPr>
              <w:noBreakHyphen/>
            </w:r>
            <w:r w:rsidRPr="00617DF1">
              <w:rPr>
                <w:color w:val="000000"/>
                <w:lang w:eastAsia="en-AU"/>
              </w:rPr>
              <w:t>of</w:t>
            </w:r>
            <w:r w:rsidR="009F0F49">
              <w:rPr>
                <w:color w:val="000000"/>
                <w:lang w:eastAsia="en-AU"/>
              </w:rPr>
              <w:noBreakHyphen/>
            </w:r>
            <w:r w:rsidRPr="00617DF1">
              <w:rPr>
                <w:color w:val="000000"/>
                <w:lang w:eastAsia="en-AU"/>
              </w:rPr>
              <w:t>home care placements</w:t>
            </w:r>
          </w:p>
        </w:tc>
        <w:tc>
          <w:tcPr>
            <w:tcW w:w="908" w:type="dxa"/>
            <w:tcBorders>
              <w:top w:val="nil"/>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nil"/>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7</w:t>
            </w:r>
            <w:r>
              <w:rPr>
                <w:color w:val="000000"/>
                <w:lang w:eastAsia="en-AU"/>
              </w:rPr>
              <w:t> </w:t>
            </w:r>
            <w:r w:rsidRPr="00617DF1">
              <w:rPr>
                <w:color w:val="000000"/>
                <w:lang w:eastAsia="en-AU"/>
              </w:rPr>
              <w:t>200</w:t>
            </w:r>
          </w:p>
        </w:tc>
        <w:tc>
          <w:tcPr>
            <w:tcW w:w="994"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6</w:t>
            </w:r>
            <w:r>
              <w:rPr>
                <w:color w:val="000000"/>
                <w:lang w:eastAsia="en-AU"/>
              </w:rPr>
              <w:t> </w:t>
            </w:r>
            <w:r w:rsidRPr="00617DF1">
              <w:rPr>
                <w:color w:val="000000"/>
                <w:lang w:eastAsia="en-AU"/>
              </w:rPr>
              <w:t>900</w:t>
            </w:r>
          </w:p>
        </w:tc>
        <w:tc>
          <w:tcPr>
            <w:tcW w:w="907"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6</w:t>
            </w:r>
            <w:r>
              <w:rPr>
                <w:color w:val="000000"/>
                <w:lang w:eastAsia="en-AU"/>
              </w:rPr>
              <w:t> </w:t>
            </w:r>
            <w:r w:rsidRPr="00617DF1">
              <w:rPr>
                <w:color w:val="000000"/>
                <w:lang w:eastAsia="en-AU"/>
              </w:rPr>
              <w:t>500</w:t>
            </w:r>
          </w:p>
        </w:tc>
        <w:tc>
          <w:tcPr>
            <w:tcW w:w="906"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6</w:t>
            </w:r>
            <w:r>
              <w:rPr>
                <w:color w:val="000000"/>
                <w:lang w:eastAsia="en-AU"/>
              </w:rPr>
              <w:t> </w:t>
            </w:r>
            <w:r w:rsidRPr="00617DF1">
              <w:rPr>
                <w:color w:val="000000"/>
                <w:lang w:eastAsia="en-AU"/>
              </w:rPr>
              <w:t>434</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17DF1">
              <w:t>This performance measure is transferred directly from the Specialist Support and Placement Services output.</w:t>
            </w:r>
          </w:p>
          <w:p w:rsidR="00B958B1" w:rsidRDefault="00B958B1" w:rsidP="009F3B54">
            <w:pPr>
              <w:pStyle w:val="OGNotes"/>
            </w:pPr>
            <w:r w:rsidRPr="00617DF1">
              <w:t>The 2012</w:t>
            </w:r>
            <w:r w:rsidR="009F0F49">
              <w:noBreakHyphen/>
            </w:r>
            <w:r w:rsidRPr="00617DF1">
              <w:t>13 Expected Outcome is higher than the 2012</w:t>
            </w:r>
            <w:r w:rsidR="009F0F49">
              <w:noBreakHyphen/>
            </w:r>
            <w:r w:rsidRPr="00617DF1">
              <w:t>13 Target due to strong growth in kinship and permanent care placements and the impact of the increasing length of time that children remain in care.</w:t>
            </w:r>
          </w:p>
          <w:p w:rsidR="00B958B1" w:rsidRPr="00617DF1" w:rsidRDefault="00B958B1" w:rsidP="009F3B54">
            <w:pPr>
              <w:pStyle w:val="OGNotes"/>
              <w:rPr>
                <w:color w:val="000000"/>
              </w:rPr>
            </w:pPr>
            <w:r w:rsidRPr="00617DF1">
              <w:t>The higher 2013</w:t>
            </w:r>
            <w:r w:rsidR="009F0F49">
              <w:noBreakHyphen/>
            </w:r>
            <w:r w:rsidRPr="00617DF1">
              <w:t>14 Target reflects the latest forecasts for children in out</w:t>
            </w:r>
            <w:r w:rsidR="009F0F49">
              <w:noBreakHyphen/>
            </w:r>
            <w:r w:rsidRPr="00617DF1">
              <w:t>of</w:t>
            </w:r>
            <w:r w:rsidR="009F0F49">
              <w:noBreakHyphen/>
            </w:r>
            <w:r w:rsidRPr="00617DF1">
              <w:t>home care in 2013</w:t>
            </w:r>
            <w:r w:rsidR="009F0F49">
              <w:noBreakHyphen/>
            </w:r>
            <w:r w:rsidRPr="00617DF1">
              <w:t>14.</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Number of Child FIRST assessments and interventions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9</w:t>
            </w:r>
            <w:r>
              <w:rPr>
                <w:color w:val="000000"/>
                <w:lang w:eastAsia="en-AU"/>
              </w:rPr>
              <w:t> </w:t>
            </w:r>
            <w:r w:rsidRPr="00617DF1">
              <w:rPr>
                <w:color w:val="000000"/>
                <w:lang w:eastAsia="en-AU"/>
              </w:rPr>
              <w:t>870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w:t>
            </w:r>
            <w:r>
              <w:rPr>
                <w:color w:val="000000"/>
                <w:lang w:eastAsia="en-AU"/>
              </w:rPr>
              <w:t> </w:t>
            </w:r>
            <w:r w:rsidRPr="00617DF1">
              <w:rPr>
                <w:color w:val="000000"/>
                <w:lang w:eastAsia="en-AU"/>
              </w:rPr>
              <w:t>684</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w:t>
            </w:r>
            <w:r>
              <w:rPr>
                <w:color w:val="000000"/>
                <w:lang w:eastAsia="en-AU"/>
              </w:rPr>
              <w:t> </w:t>
            </w:r>
            <w:r w:rsidRPr="00617DF1">
              <w:rPr>
                <w:color w:val="000000"/>
                <w:lang w:eastAsia="en-AU"/>
              </w:rPr>
              <w:t>870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w:t>
            </w:r>
            <w:r>
              <w:rPr>
                <w:color w:val="000000"/>
                <w:lang w:eastAsia="en-AU"/>
              </w:rPr>
              <w:t> </w:t>
            </w:r>
            <w:r w:rsidRPr="00617DF1">
              <w:rPr>
                <w:color w:val="000000"/>
                <w:lang w:eastAsia="en-AU"/>
              </w:rPr>
              <w:t>709</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17DF1">
              <w:t>This performance measure is transferred directly from the Family and Community Services output.</w:t>
            </w:r>
          </w:p>
          <w:p w:rsidR="00B958B1" w:rsidRPr="00617DF1" w:rsidRDefault="00B958B1" w:rsidP="009F3B54">
            <w:pPr>
              <w:pStyle w:val="OGNotes"/>
              <w:rPr>
                <w:color w:val="000000"/>
              </w:rPr>
            </w:pPr>
            <w:r w:rsidRPr="00617DF1">
              <w:t>The 2012</w:t>
            </w:r>
            <w:r w:rsidR="009F0F49">
              <w:noBreakHyphen/>
            </w:r>
            <w:r w:rsidRPr="00617DF1">
              <w:t>13 Expected Outcome is higher than the 2012</w:t>
            </w:r>
            <w:r w:rsidR="009F0F49">
              <w:noBreakHyphen/>
            </w:r>
            <w:r w:rsidRPr="00617DF1">
              <w:t>13 Target due to increased demand for this service.</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Number of children in kinship care whose placements are managed by community service organisations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750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750</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750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nm</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Specialist Support and Placement Services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keepNext/>
              <w:rPr>
                <w:color w:val="000000"/>
                <w:lang w:eastAsia="en-AU"/>
              </w:rPr>
            </w:pPr>
            <w:r w:rsidRPr="00617DF1">
              <w:rPr>
                <w:color w:val="000000"/>
                <w:lang w:eastAsia="en-AU"/>
              </w:rPr>
              <w:t>Number of children receiving an intensive support service</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keepNext/>
              <w:rPr>
                <w:color w:val="000000"/>
                <w:lang w:eastAsia="en-AU"/>
              </w:rPr>
            </w:pPr>
            <w:r w:rsidRPr="00617DF1">
              <w:rPr>
                <w:color w:val="000000"/>
                <w:lang w:eastAsia="en-AU"/>
              </w:rPr>
              <w:t>number</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keepNext/>
              <w:rPr>
                <w:color w:val="000000"/>
                <w:lang w:eastAsia="en-AU"/>
              </w:rPr>
            </w:pPr>
            <w:r w:rsidRPr="00617DF1">
              <w:rPr>
                <w:color w:val="000000"/>
                <w:lang w:eastAsia="en-AU"/>
              </w:rPr>
              <w:t>900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900</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900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954</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Specialist Support and Placement Services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Number of family services cases provided to Aboriginal families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500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500</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500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800</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Family and Community Services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Reports to child protection services about the wellbeing and safety of children</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81</w:t>
            </w:r>
            <w:r>
              <w:rPr>
                <w:color w:val="000000"/>
                <w:lang w:eastAsia="en-AU"/>
              </w:rPr>
              <w:t> </w:t>
            </w:r>
            <w:r w:rsidRPr="00617DF1">
              <w:rPr>
                <w:color w:val="000000"/>
                <w:lang w:eastAsia="en-AU"/>
              </w:rPr>
              <w:t>000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73</w:t>
            </w:r>
            <w:r>
              <w:rPr>
                <w:color w:val="000000"/>
                <w:lang w:eastAsia="en-AU"/>
              </w:rPr>
              <w:t> </w:t>
            </w:r>
            <w:r w:rsidRPr="00617DF1">
              <w:rPr>
                <w:color w:val="000000"/>
                <w:lang w:eastAsia="en-AU"/>
              </w:rPr>
              <w:t>000</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70</w:t>
            </w:r>
            <w:r>
              <w:rPr>
                <w:color w:val="000000"/>
                <w:lang w:eastAsia="en-AU"/>
              </w:rPr>
              <w:t> </w:t>
            </w:r>
            <w:r w:rsidRPr="00617DF1">
              <w:rPr>
                <w:color w:val="000000"/>
                <w:lang w:eastAsia="en-AU"/>
              </w:rPr>
              <w:t>800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63</w:t>
            </w:r>
            <w:r>
              <w:rPr>
                <w:color w:val="000000"/>
                <w:lang w:eastAsia="en-AU"/>
              </w:rPr>
              <w:t> </w:t>
            </w:r>
            <w:r w:rsidRPr="00617DF1">
              <w:rPr>
                <w:color w:val="000000"/>
                <w:lang w:eastAsia="en-AU"/>
              </w:rPr>
              <w:t>830</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17DF1">
              <w:t>This performance measure is transferred directly from the Statutory Child Protection Services output.</w:t>
            </w:r>
          </w:p>
          <w:p w:rsidR="00B958B1" w:rsidRPr="00617DF1" w:rsidRDefault="00B958B1" w:rsidP="009F3B54">
            <w:pPr>
              <w:pStyle w:val="OGNotes"/>
              <w:rPr>
                <w:color w:val="000000"/>
              </w:rPr>
            </w:pPr>
            <w:r w:rsidRPr="00617DF1">
              <w:t>The higher 2013</w:t>
            </w:r>
            <w:r w:rsidR="009F0F49">
              <w:noBreakHyphen/>
            </w:r>
            <w:r w:rsidRPr="00617DF1">
              <w:t xml:space="preserve">14 Target reflects projected increases in demand which reflect </w:t>
            </w:r>
            <w:r>
              <w:t>changed</w:t>
            </w:r>
            <w:r w:rsidRPr="00617DF1">
              <w:t xml:space="preserve"> community awareness and reporting practices.</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Total number of family services cases provided</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26</w:t>
            </w:r>
            <w:r>
              <w:rPr>
                <w:color w:val="000000"/>
                <w:lang w:eastAsia="en-AU"/>
              </w:rPr>
              <w:t> </w:t>
            </w:r>
            <w:r w:rsidRPr="00617DF1">
              <w:rPr>
                <w:color w:val="000000"/>
                <w:lang w:eastAsia="en-AU"/>
              </w:rPr>
              <w:t>364</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26</w:t>
            </w:r>
            <w:r>
              <w:rPr>
                <w:color w:val="000000"/>
                <w:lang w:eastAsia="en-AU"/>
              </w:rPr>
              <w:t> </w:t>
            </w:r>
            <w:r w:rsidRPr="00617DF1">
              <w:rPr>
                <w:color w:val="000000"/>
                <w:lang w:eastAsia="en-AU"/>
              </w:rPr>
              <w:t>364</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26</w:t>
            </w:r>
            <w:r>
              <w:rPr>
                <w:color w:val="000000"/>
                <w:lang w:eastAsia="en-AU"/>
              </w:rPr>
              <w:t> </w:t>
            </w:r>
            <w:r w:rsidRPr="00617DF1">
              <w:rPr>
                <w:color w:val="000000"/>
                <w:lang w:eastAsia="en-AU"/>
              </w:rPr>
              <w:t>364</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28</w:t>
            </w:r>
            <w:r>
              <w:rPr>
                <w:color w:val="000000"/>
                <w:lang w:eastAsia="en-AU"/>
              </w:rPr>
              <w:t> </w:t>
            </w:r>
            <w:r w:rsidRPr="00617DF1">
              <w:rPr>
                <w:color w:val="000000"/>
                <w:lang w:eastAsia="en-AU"/>
              </w:rPr>
              <w:t>835</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Family and Community Services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Quality</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Children and young people in out</w:t>
            </w:r>
            <w:r w:rsidR="009F0F49">
              <w:rPr>
                <w:color w:val="000000"/>
                <w:lang w:eastAsia="en-AU"/>
              </w:rPr>
              <w:noBreakHyphen/>
            </w:r>
            <w:r w:rsidRPr="00617DF1">
              <w:rPr>
                <w:color w:val="000000"/>
                <w:lang w:eastAsia="en-AU"/>
              </w:rPr>
              <w:t>of</w:t>
            </w:r>
            <w:r w:rsidR="009F0F49">
              <w:rPr>
                <w:color w:val="000000"/>
                <w:lang w:eastAsia="en-AU"/>
              </w:rPr>
              <w:noBreakHyphen/>
            </w:r>
            <w:r w:rsidRPr="00617DF1">
              <w:rPr>
                <w:color w:val="000000"/>
                <w:lang w:eastAsia="en-AU"/>
              </w:rPr>
              <w:t>home care who have had two or less placements in the last 12 months (not including placements at home)</w:t>
            </w:r>
          </w:p>
        </w:tc>
        <w:tc>
          <w:tcPr>
            <w:tcW w:w="908" w:type="dxa"/>
            <w:tcBorders>
              <w:top w:val="nil"/>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nil"/>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86</w:t>
            </w:r>
          </w:p>
        </w:tc>
        <w:tc>
          <w:tcPr>
            <w:tcW w:w="994"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86</w:t>
            </w:r>
          </w:p>
        </w:tc>
        <w:tc>
          <w:tcPr>
            <w:tcW w:w="907"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86</w:t>
            </w:r>
          </w:p>
        </w:tc>
        <w:tc>
          <w:tcPr>
            <w:tcW w:w="906"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nm</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Specialist Support and Placement Services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Children and young people who were the</w:t>
            </w:r>
            <w:r>
              <w:rPr>
                <w:color w:val="000000"/>
                <w:lang w:eastAsia="en-AU"/>
              </w:rPr>
              <w:t xml:space="preserve"> </w:t>
            </w:r>
            <w:r w:rsidRPr="00617DF1">
              <w:rPr>
                <w:color w:val="000000"/>
                <w:lang w:eastAsia="en-AU"/>
              </w:rPr>
              <w:t>subject of a substantiated report within 12 months of the closure of a previous substantiated report</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15</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15</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15</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13.4</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Statutory Child Protection Services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BA36E8">
              <w:rPr>
                <w:color w:val="000000"/>
                <w:lang w:eastAsia="en-AU"/>
              </w:rPr>
              <w:t xml:space="preserve">Children and young people who were the subject of an investigation which led to a decision not to substantiate, who were subsequently the subject of a substantiation within </w:t>
            </w:r>
            <w:r>
              <w:rPr>
                <w:color w:val="000000"/>
                <w:lang w:eastAsia="en-AU"/>
              </w:rPr>
              <w:t>three</w:t>
            </w:r>
            <w:r w:rsidRPr="00BA36E8">
              <w:rPr>
                <w:color w:val="000000"/>
                <w:lang w:eastAsia="en-AU"/>
              </w:rPr>
              <w:t xml:space="preserve"> months of case closure</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5</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2</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5</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1.7</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17DF1">
              <w:t>This performance measure is transferred directly from the Statutory Child Protection Services output.</w:t>
            </w:r>
          </w:p>
          <w:p w:rsidR="00B958B1" w:rsidRPr="00617DF1" w:rsidRDefault="00B958B1" w:rsidP="009F3B54">
            <w:pPr>
              <w:pStyle w:val="OGNotes"/>
              <w:rPr>
                <w:color w:val="000000"/>
              </w:rPr>
            </w:pPr>
            <w:r w:rsidRPr="00617DF1">
              <w:t>The 2012</w:t>
            </w:r>
            <w:r w:rsidR="009F0F49">
              <w:noBreakHyphen/>
            </w:r>
            <w:r w:rsidRPr="00617DF1">
              <w:t>13 Expected Outcome is lower than the 2012</w:t>
            </w:r>
            <w:r w:rsidR="009F0F49">
              <w:noBreakHyphen/>
            </w:r>
            <w:r w:rsidRPr="00617DF1">
              <w:t>13 Target due to the impact of various reforms aimed at strengthening risk assessment. This is a positive outcome.</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keepNext/>
              <w:rPr>
                <w:color w:val="000000"/>
                <w:lang w:eastAsia="en-AU"/>
              </w:rPr>
            </w:pPr>
            <w:r w:rsidRPr="00617DF1">
              <w:rPr>
                <w:color w:val="000000"/>
                <w:lang w:eastAsia="en-AU"/>
              </w:rPr>
              <w:t>Organisations that have successfully completed a quality review (family and community services)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keepNext/>
              <w:rPr>
                <w:color w:val="000000"/>
                <w:lang w:eastAsia="en-AU"/>
              </w:rPr>
            </w:pPr>
            <w:r>
              <w:rPr>
                <w:color w:val="000000"/>
                <w:lang w:eastAsia="en-AU"/>
              </w:rPr>
              <w:t>per cent</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keepNext/>
              <w:rPr>
                <w:color w:val="000000"/>
                <w:lang w:eastAsia="en-AU"/>
              </w:rPr>
            </w:pPr>
            <w:r w:rsidRPr="00617DF1">
              <w:rPr>
                <w:color w:val="000000"/>
                <w:lang w:eastAsia="en-AU"/>
              </w:rPr>
              <w:t>95</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95</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95</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nm</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17DF1">
              <w:t>This performance measure is transferred directly from the Family and Community Services output.</w:t>
            </w:r>
          </w:p>
          <w:p w:rsidR="00B958B1" w:rsidRPr="00617DF1" w:rsidRDefault="00B958B1" w:rsidP="009F3B54">
            <w:pPr>
              <w:pStyle w:val="OGNotes"/>
              <w:rPr>
                <w:color w:val="000000"/>
              </w:rPr>
            </w:pPr>
            <w:r w:rsidRPr="00617DF1">
              <w:t>This performance measure renames the 2012</w:t>
            </w:r>
            <w:r w:rsidR="009F0F49">
              <w:noBreakHyphen/>
            </w:r>
            <w:r w:rsidRPr="00617DF1">
              <w:t xml:space="preserve">13 performance measure </w:t>
            </w:r>
            <w:r>
              <w:t>‘</w:t>
            </w:r>
            <w:r w:rsidRPr="00617DF1">
              <w:t>Organisations that have successfully completed a quality review</w:t>
            </w:r>
            <w:r>
              <w:t>’</w:t>
            </w:r>
            <w:r w:rsidRPr="00617DF1">
              <w:t xml:space="preserve"> from the Family and Community Services output. This new measure reports on the same activity as the previous measure </w:t>
            </w:r>
            <w:r>
              <w:t>but</w:t>
            </w:r>
            <w:r w:rsidRPr="00617DF1">
              <w:t xml:space="preserve"> has been amended for increased clarity.</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Organisations that have successfully completed a quality review (specialist support and placement services)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95</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95</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95</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100</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17DF1">
              <w:t>This performance measure is transferred directly from the Specialist Support and Placement Services output.</w:t>
            </w:r>
          </w:p>
          <w:p w:rsidR="00B958B1" w:rsidRPr="00617DF1" w:rsidRDefault="00B958B1" w:rsidP="009F3B54">
            <w:pPr>
              <w:pStyle w:val="OGNotes"/>
              <w:rPr>
                <w:color w:val="000000"/>
              </w:rPr>
            </w:pPr>
            <w:r w:rsidRPr="00617DF1">
              <w:t>This performance measure renames the 2012</w:t>
            </w:r>
            <w:r w:rsidR="009F0F49">
              <w:noBreakHyphen/>
            </w:r>
            <w:r w:rsidRPr="00617DF1">
              <w:t xml:space="preserve">13 performance measure </w:t>
            </w:r>
            <w:r>
              <w:t>‘</w:t>
            </w:r>
            <w:r w:rsidRPr="00617DF1">
              <w:t>Organisations that have successfully completed a quality review</w:t>
            </w:r>
            <w:r>
              <w:t>’</w:t>
            </w:r>
            <w:r w:rsidRPr="00617DF1">
              <w:t xml:space="preserve"> from the Specialist Support and Placement Services output. This new measure reports on the same activity as the previous measure </w:t>
            </w:r>
            <w:r>
              <w:t>but</w:t>
            </w:r>
            <w:r w:rsidRPr="00617DF1">
              <w:t xml:space="preserve"> has been amended for increased clarity.</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Proportion of Aboriginal children placed with relatives/kin, other Aboriginal carers or in Aboriginal residential care</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60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60</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60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nm</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Specialist Support and Placement Services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Proportion of placements that are home</w:t>
            </w:r>
            <w:r w:rsidR="009F0F49">
              <w:rPr>
                <w:color w:val="000000"/>
                <w:lang w:eastAsia="en-AU"/>
              </w:rPr>
              <w:noBreakHyphen/>
            </w:r>
            <w:r w:rsidRPr="00617DF1">
              <w:rPr>
                <w:color w:val="000000"/>
                <w:lang w:eastAsia="en-AU"/>
              </w:rPr>
              <w:t>based care</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90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90</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92.2</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Specialist Support and Placement Services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Timeliness</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nil"/>
              <w:right w:val="nil"/>
            </w:tcBorders>
            <w:shd w:val="clear" w:color="000000" w:fill="FFFFFF"/>
            <w:hideMark/>
          </w:tcPr>
          <w:p w:rsidR="00B958B1" w:rsidRPr="00617DF1" w:rsidRDefault="00B958B1" w:rsidP="009F3B54">
            <w:pPr>
              <w:pStyle w:val="OGTabText"/>
              <w:rPr>
                <w:color w:val="000000"/>
                <w:lang w:eastAsia="en-AU"/>
              </w:rPr>
            </w:pPr>
            <w:r>
              <w:rPr>
                <w:color w:val="000000"/>
                <w:lang w:eastAsia="en-AU"/>
              </w:rPr>
              <w:t>Percentage</w:t>
            </w:r>
            <w:r w:rsidRPr="00617DF1">
              <w:rPr>
                <w:color w:val="000000"/>
                <w:lang w:eastAsia="en-AU"/>
              </w:rPr>
              <w:t xml:space="preserve"> of child protection reports requiring a priority investigation visited within two</w:t>
            </w:r>
            <w:r>
              <w:rPr>
                <w:color w:val="000000"/>
                <w:lang w:eastAsia="en-AU"/>
              </w:rPr>
              <w:t> </w:t>
            </w:r>
            <w:r w:rsidRPr="00617DF1">
              <w:rPr>
                <w:color w:val="000000"/>
                <w:lang w:eastAsia="en-AU"/>
              </w:rPr>
              <w:t>days</w:t>
            </w:r>
          </w:p>
        </w:tc>
        <w:tc>
          <w:tcPr>
            <w:tcW w:w="908" w:type="dxa"/>
            <w:tcBorders>
              <w:top w:val="nil"/>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nil"/>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97</w:t>
            </w:r>
          </w:p>
        </w:tc>
        <w:tc>
          <w:tcPr>
            <w:tcW w:w="994"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97</w:t>
            </w:r>
          </w:p>
        </w:tc>
        <w:tc>
          <w:tcPr>
            <w:tcW w:w="907"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97</w:t>
            </w:r>
          </w:p>
        </w:tc>
        <w:tc>
          <w:tcPr>
            <w:tcW w:w="906"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93.4</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Statutory Child Protection Services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Sexual assault support services clients receiving an initial response within five</w:t>
            </w:r>
            <w:r>
              <w:rPr>
                <w:color w:val="000000"/>
                <w:lang w:eastAsia="en-AU"/>
              </w:rPr>
              <w:t> </w:t>
            </w:r>
            <w:r w:rsidRPr="00617DF1">
              <w:rPr>
                <w:color w:val="000000"/>
                <w:lang w:eastAsia="en-AU"/>
              </w:rPr>
              <w:t>working</w:t>
            </w:r>
            <w:r>
              <w:rPr>
                <w:color w:val="000000"/>
                <w:lang w:eastAsia="en-AU"/>
              </w:rPr>
              <w:t> </w:t>
            </w:r>
            <w:r w:rsidRPr="00617DF1">
              <w:rPr>
                <w:color w:val="000000"/>
                <w:lang w:eastAsia="en-AU"/>
              </w:rPr>
              <w:t>days of referral</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95</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98</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95</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98</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Family and Community Services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Cost</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Total output cost</w:t>
            </w:r>
          </w:p>
        </w:tc>
        <w:tc>
          <w:tcPr>
            <w:tcW w:w="908" w:type="dxa"/>
            <w:tcBorders>
              <w:top w:val="nil"/>
              <w:left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w:t>
            </w:r>
            <w:r>
              <w:rPr>
                <w:color w:val="000000"/>
                <w:lang w:eastAsia="en-AU"/>
              </w:rPr>
              <w:t> million</w:t>
            </w:r>
          </w:p>
        </w:tc>
        <w:tc>
          <w:tcPr>
            <w:tcW w:w="907" w:type="dxa"/>
            <w:tcBorders>
              <w:top w:val="nil"/>
              <w:left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795.3</w:t>
            </w:r>
          </w:p>
        </w:tc>
        <w:tc>
          <w:tcPr>
            <w:tcW w:w="994"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756.3</w:t>
            </w:r>
          </w:p>
        </w:tc>
        <w:tc>
          <w:tcPr>
            <w:tcW w:w="907"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739.2</w:t>
            </w:r>
          </w:p>
        </w:tc>
        <w:tc>
          <w:tcPr>
            <w:tcW w:w="906"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711.1</w:t>
            </w:r>
          </w:p>
        </w:tc>
      </w:tr>
      <w:tr w:rsidR="00B958B1" w:rsidRPr="00617DF1" w:rsidTr="009F3B54">
        <w:trPr>
          <w:gridAfter w:val="1"/>
          <w:wAfter w:w="6" w:type="dxa"/>
          <w:cantSplit/>
        </w:trPr>
        <w:tc>
          <w:tcPr>
            <w:tcW w:w="7776" w:type="dxa"/>
            <w:gridSpan w:val="6"/>
            <w:tcBorders>
              <w:top w:val="nil"/>
              <w:left w:val="nil"/>
              <w:bottom w:val="single" w:sz="12" w:space="0" w:color="auto"/>
              <w:right w:val="nil"/>
            </w:tcBorders>
            <w:shd w:val="clear" w:color="auto" w:fill="auto"/>
            <w:vAlign w:val="bottom"/>
            <w:hideMark/>
          </w:tcPr>
          <w:p w:rsidR="00B958B1" w:rsidRDefault="00B958B1" w:rsidP="009F3B54">
            <w:pPr>
              <w:pStyle w:val="OGNotes"/>
            </w:pPr>
            <w:r w:rsidRPr="00617DF1">
              <w:t>This performance measure is proposed to consolidate the 2012</w:t>
            </w:r>
            <w:r w:rsidR="009F0F49">
              <w:noBreakHyphen/>
            </w:r>
            <w:r w:rsidRPr="00617DF1">
              <w:t xml:space="preserve">13 performance measures </w:t>
            </w:r>
            <w:r>
              <w:t>‘</w:t>
            </w:r>
            <w:r w:rsidRPr="00617DF1">
              <w:t>Total output cost</w:t>
            </w:r>
            <w:r>
              <w:t xml:space="preserve">’ </w:t>
            </w:r>
            <w:r w:rsidRPr="00617DF1">
              <w:t>in Statutory Child Protection Services, Specialist Support and Placement Services and Family and Community Services outputs into a new measure for 2013</w:t>
            </w:r>
            <w:r w:rsidR="009F0F49">
              <w:noBreakHyphen/>
            </w:r>
            <w:r w:rsidRPr="00617DF1">
              <w:t xml:space="preserve">14 called </w:t>
            </w:r>
            <w:r>
              <w:t>‘</w:t>
            </w:r>
            <w:r w:rsidRPr="00617DF1">
              <w:t>Total output cost</w:t>
            </w:r>
            <w:r>
              <w:t>’</w:t>
            </w:r>
            <w:r w:rsidRPr="00617DF1">
              <w:t xml:space="preserve"> in the new Child Protection and Family Services output.</w:t>
            </w:r>
          </w:p>
          <w:p w:rsidR="00B958B1" w:rsidRPr="00617DF1" w:rsidRDefault="00B958B1" w:rsidP="009F3B54">
            <w:pPr>
              <w:pStyle w:val="OGNotes"/>
              <w:rPr>
                <w:color w:val="000000"/>
              </w:rPr>
            </w:pPr>
            <w:r w:rsidRPr="00617DF1">
              <w:t>The higher 2013</w:t>
            </w:r>
            <w:r w:rsidR="009F0F49">
              <w:noBreakHyphen/>
            </w:r>
            <w:r w:rsidRPr="00617DF1">
              <w:t xml:space="preserve">14 Target primarily reflects additional funding provided in the </w:t>
            </w:r>
            <w:r w:rsidRPr="00BA77E0">
              <w:rPr>
                <w:i w:val="0"/>
              </w:rPr>
              <w:t>2013</w:t>
            </w:r>
            <w:r w:rsidR="009F0F49">
              <w:rPr>
                <w:i w:val="0"/>
              </w:rPr>
              <w:noBreakHyphen/>
            </w:r>
            <w:r w:rsidRPr="00BA77E0">
              <w:rPr>
                <w:i w:val="0"/>
              </w:rPr>
              <w:t>14 Budget</w:t>
            </w:r>
            <w:r w:rsidRPr="00617DF1">
              <w:t>, the impact of the social and community services pay equity case, and the full year effect of initiative funding announced in previous years</w:t>
            </w:r>
            <w:r>
              <w:t>’</w:t>
            </w:r>
            <w:r w:rsidRPr="00617DF1">
              <w:t xml:space="preserve"> budgets.</w:t>
            </w:r>
          </w:p>
        </w:tc>
      </w:tr>
    </w:tbl>
    <w:p w:rsidR="00B958B1" w:rsidRDefault="00B958B1" w:rsidP="009F3B54">
      <w:pPr>
        <w:pStyle w:val="Source"/>
        <w:rPr>
          <w:lang w:eastAsia="en-AU"/>
        </w:rPr>
      </w:pPr>
      <w:r>
        <w:rPr>
          <w:lang w:eastAsia="en-AU"/>
        </w:rPr>
        <w:t>Source: Department of Human Services</w:t>
      </w:r>
    </w:p>
    <w:p w:rsidR="00B958B1" w:rsidRDefault="00B958B1" w:rsidP="009F3B54">
      <w:pPr>
        <w:pStyle w:val="Source"/>
        <w:rPr>
          <w:lang w:eastAsia="en-AU"/>
        </w:rPr>
      </w:pPr>
      <w:r>
        <w:rPr>
          <w:lang w:eastAsia="en-AU"/>
        </w:rPr>
        <w:fldChar w:fldCharType="begin"/>
      </w:r>
      <w:r>
        <w:instrText xml:space="preserve"> XE "</w:instrText>
      </w:r>
      <w:r w:rsidRPr="00D11E84">
        <w:rPr>
          <w:lang w:eastAsia="en-AU"/>
        </w:rPr>
        <w:instrText>Department of Human Services</w:instrText>
      </w:r>
      <w:r w:rsidRPr="00D11E84">
        <w:instrText>:Child Protection and Family Services</w:instrText>
      </w:r>
      <w:r>
        <w:instrText xml:space="preserve">" \r "BP3DHSChildProtecFamily" </w:instrText>
      </w:r>
      <w:r>
        <w:rPr>
          <w:lang w:eastAsia="en-AU"/>
        </w:rPr>
        <w:fldChar w:fldCharType="end"/>
      </w:r>
    </w:p>
    <w:bookmarkEnd w:id="114"/>
    <w:p w:rsidR="00B958B1" w:rsidRPr="00617DF1" w:rsidRDefault="00B958B1" w:rsidP="009F3B54">
      <w:pPr>
        <w:pStyle w:val="OGHeading1"/>
        <w:rPr>
          <w:lang w:eastAsia="en-AU"/>
        </w:rPr>
      </w:pPr>
      <w:r>
        <w:rPr>
          <w:lang w:eastAsia="en-AU"/>
        </w:rPr>
        <w:br w:type="page"/>
      </w:r>
      <w:bookmarkStart w:id="115" w:name="BP3DHSYouthSvces"/>
      <w:r w:rsidRPr="00617DF1">
        <w:rPr>
          <w:lang w:eastAsia="en-AU"/>
        </w:rPr>
        <w:t>Youth Services and Youth Justice</w:t>
      </w:r>
    </w:p>
    <w:p w:rsidR="00B958B1" w:rsidRPr="00617DF1" w:rsidRDefault="00B958B1" w:rsidP="009F3B54">
      <w:pPr>
        <w:pStyle w:val="OGText"/>
        <w:rPr>
          <w:lang w:eastAsia="en-AU"/>
        </w:rPr>
      </w:pPr>
      <w:r w:rsidRPr="00617DF1">
        <w:rPr>
          <w:lang w:eastAsia="en-AU"/>
        </w:rPr>
        <w:t>Youth Services and Youth Justice outputs, through the funding of a range of services including the provision of advice to courts, community</w:t>
      </w:r>
      <w:r w:rsidR="009F0F49">
        <w:rPr>
          <w:lang w:eastAsia="en-AU"/>
        </w:rPr>
        <w:noBreakHyphen/>
      </w:r>
      <w:r w:rsidRPr="00617DF1">
        <w:rPr>
          <w:lang w:eastAsia="en-AU"/>
        </w:rPr>
        <w:t>based and custodial supervision, and youth services, aim to make a positive difference for Victorians experiencing disadvantage by providing excellent community services to meet clients</w:t>
      </w:r>
      <w:r>
        <w:rPr>
          <w:lang w:eastAsia="en-AU"/>
        </w:rPr>
        <w:t>’</w:t>
      </w:r>
      <w:r w:rsidRPr="00617DF1">
        <w:rPr>
          <w:lang w:eastAsia="en-AU"/>
        </w:rPr>
        <w:t xml:space="preserve"> needs.</w:t>
      </w:r>
    </w:p>
    <w:tbl>
      <w:tblPr>
        <w:tblW w:w="7782" w:type="dxa"/>
        <w:tblInd w:w="29" w:type="dxa"/>
        <w:tblLayout w:type="fixed"/>
        <w:tblCellMar>
          <w:left w:w="43" w:type="dxa"/>
          <w:right w:w="43" w:type="dxa"/>
        </w:tblCellMar>
        <w:tblLook w:val="04A0" w:firstRow="1" w:lastRow="0" w:firstColumn="1" w:lastColumn="0" w:noHBand="0" w:noVBand="1"/>
      </w:tblPr>
      <w:tblGrid>
        <w:gridCol w:w="3154"/>
        <w:gridCol w:w="908"/>
        <w:gridCol w:w="907"/>
        <w:gridCol w:w="994"/>
        <w:gridCol w:w="907"/>
        <w:gridCol w:w="906"/>
        <w:gridCol w:w="6"/>
      </w:tblGrid>
      <w:tr w:rsidR="00B958B1" w:rsidRPr="00D32CA4" w:rsidTr="009F3B54">
        <w:trPr>
          <w:cantSplit/>
          <w:tblHeader/>
        </w:trPr>
        <w:tc>
          <w:tcPr>
            <w:tcW w:w="3154" w:type="dxa"/>
            <w:tcBorders>
              <w:top w:val="single" w:sz="4" w:space="0" w:color="auto"/>
              <w:left w:val="single" w:sz="4" w:space="0" w:color="auto"/>
              <w:bottom w:val="single" w:sz="4" w:space="0" w:color="auto"/>
              <w:right w:val="nil"/>
            </w:tcBorders>
            <w:shd w:val="clear" w:color="auto" w:fill="000000"/>
            <w:vAlign w:val="bottom"/>
          </w:tcPr>
          <w:p w:rsidR="00B958B1" w:rsidRPr="00D32CA4" w:rsidRDefault="00B958B1" w:rsidP="009F3B54">
            <w:pPr>
              <w:pStyle w:val="OGTabColLeft"/>
              <w:rPr>
                <w:i/>
              </w:rPr>
            </w:pPr>
            <w:r w:rsidRPr="00D32CA4">
              <w:t>Major Outputs/Deliverables</w:t>
            </w:r>
            <w:r w:rsidRPr="00D32CA4">
              <w:br/>
            </w:r>
            <w:r w:rsidRPr="0085011C">
              <w:rPr>
                <w:b w:val="0"/>
                <w:i/>
              </w:rPr>
              <w:t>Performance measures</w:t>
            </w:r>
          </w:p>
        </w:tc>
        <w:tc>
          <w:tcPr>
            <w:tcW w:w="908"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4"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12" w:type="dxa"/>
            <w:gridSpan w:val="2"/>
            <w:tcBorders>
              <w:top w:val="single" w:sz="4" w:space="0" w:color="auto"/>
              <w:left w:val="nil"/>
              <w:bottom w:val="single" w:sz="4" w:space="0" w:color="auto"/>
              <w:right w:val="single" w:sz="4" w:space="0" w:color="auto"/>
            </w:tcBorders>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617DF1" w:rsidTr="009F3B54">
        <w:trPr>
          <w:gridAfter w:val="1"/>
          <w:wAfter w:w="6" w:type="dxa"/>
          <w:cantSplit/>
        </w:trPr>
        <w:tc>
          <w:tcPr>
            <w:tcW w:w="7776" w:type="dxa"/>
            <w:gridSpan w:val="6"/>
            <w:tcBorders>
              <w:top w:val="nil"/>
              <w:left w:val="nil"/>
              <w:bottom w:val="nil"/>
              <w:right w:val="nil"/>
            </w:tcBorders>
            <w:shd w:val="clear" w:color="auto" w:fill="auto"/>
            <w:vAlign w:val="bottom"/>
            <w:hideMark/>
          </w:tcPr>
          <w:p w:rsidR="00B958B1" w:rsidRPr="00617DF1" w:rsidRDefault="00B958B1" w:rsidP="009F3B54">
            <w:pPr>
              <w:pStyle w:val="OGHeading2"/>
              <w:rPr>
                <w:lang w:eastAsia="en-AU"/>
              </w:rPr>
            </w:pPr>
            <w:r w:rsidRPr="00617DF1">
              <w:rPr>
                <w:lang w:eastAsia="en-AU"/>
              </w:rPr>
              <w:t>Youth Justice Custodial Services</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Text"/>
              <w:rPr>
                <w:lang w:eastAsia="en-AU"/>
              </w:rPr>
            </w:pPr>
            <w:r w:rsidRPr="00617DF1">
              <w:rPr>
                <w:lang w:eastAsia="en-AU"/>
              </w:rPr>
              <w:t>This output provides supervision and rehabilitation, through the provision of case management, health and education services and the establishment of structured community supports, to assist young people address offending behaviour, develop non</w:t>
            </w:r>
            <w:r w:rsidR="009F0F49">
              <w:rPr>
                <w:lang w:eastAsia="en-AU"/>
              </w:rPr>
              <w:noBreakHyphen/>
            </w:r>
            <w:r w:rsidRPr="00617DF1">
              <w:rPr>
                <w:lang w:eastAsia="en-AU"/>
              </w:rPr>
              <w:t>offending lifestyles and support the re</w:t>
            </w:r>
            <w:r w:rsidR="009F0F49">
              <w:rPr>
                <w:lang w:eastAsia="en-AU"/>
              </w:rPr>
              <w:noBreakHyphen/>
            </w:r>
            <w:r w:rsidRPr="00617DF1">
              <w:rPr>
                <w:lang w:eastAsia="en-AU"/>
              </w:rPr>
              <w:t>integration of the young person into the community at the completion of their sentence.</w:t>
            </w:r>
          </w:p>
          <w:p w:rsidR="00B958B1" w:rsidRPr="00617DF1" w:rsidRDefault="00B958B1" w:rsidP="009F3B54">
            <w:pPr>
              <w:pStyle w:val="OGText"/>
              <w:rPr>
                <w:lang w:eastAsia="en-AU"/>
              </w:rPr>
            </w:pPr>
            <w:r w:rsidRPr="00617DF1">
              <w:rPr>
                <w:lang w:eastAsia="en-AU"/>
              </w:rPr>
              <w:t>This output supports the Department</w:t>
            </w:r>
            <w:r>
              <w:rPr>
                <w:lang w:eastAsia="en-AU"/>
              </w:rPr>
              <w:t>’</w:t>
            </w:r>
            <w:r w:rsidRPr="00617DF1">
              <w:rPr>
                <w:lang w:eastAsia="en-AU"/>
              </w:rPr>
              <w:t>s immediate support objective and capabilities and participation objective.</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Quantity</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Annual daily average number of young people in custody: male (under 15 years) and female</w:t>
            </w:r>
          </w:p>
        </w:tc>
        <w:tc>
          <w:tcPr>
            <w:tcW w:w="908" w:type="dxa"/>
            <w:tcBorders>
              <w:top w:val="nil"/>
              <w:left w:val="nil"/>
              <w:bottom w:val="single" w:sz="6" w:space="0" w:color="auto"/>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nil"/>
              <w:left w:val="nil"/>
              <w:bottom w:val="single" w:sz="6" w:space="0" w:color="auto"/>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15</w:t>
            </w:r>
            <w:r w:rsidR="009F0F49">
              <w:rPr>
                <w:color w:val="000000"/>
                <w:lang w:eastAsia="en-AU"/>
              </w:rPr>
              <w:noBreakHyphen/>
            </w:r>
            <w:r w:rsidRPr="00617DF1">
              <w:rPr>
                <w:color w:val="000000"/>
                <w:lang w:eastAsia="en-AU"/>
              </w:rPr>
              <w:t>25</w:t>
            </w:r>
          </w:p>
        </w:tc>
        <w:tc>
          <w:tcPr>
            <w:tcW w:w="994"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15</w:t>
            </w:r>
          </w:p>
        </w:tc>
        <w:tc>
          <w:tcPr>
            <w:tcW w:w="907"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15</w:t>
            </w:r>
            <w:r w:rsidR="009F0F49">
              <w:rPr>
                <w:color w:val="000000"/>
                <w:lang w:eastAsia="en-AU"/>
              </w:rPr>
              <w:noBreakHyphen/>
            </w:r>
            <w:r w:rsidRPr="00617DF1">
              <w:rPr>
                <w:color w:val="000000"/>
                <w:lang w:eastAsia="en-AU"/>
              </w:rPr>
              <w:t>25</w:t>
            </w:r>
          </w:p>
        </w:tc>
        <w:tc>
          <w:tcPr>
            <w:tcW w:w="906"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14.6</w:t>
            </w:r>
          </w:p>
        </w:tc>
      </w:tr>
      <w:tr w:rsidR="00B958B1" w:rsidRPr="00617DF1"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Annual daily average number of young people in custody: males (15 years plus)</w:t>
            </w:r>
          </w:p>
        </w:tc>
        <w:tc>
          <w:tcPr>
            <w:tcW w:w="908" w:type="dxa"/>
            <w:tcBorders>
              <w:top w:val="single" w:sz="6" w:space="0" w:color="auto"/>
              <w:left w:val="nil"/>
              <w:bottom w:val="single" w:sz="6" w:space="0" w:color="auto"/>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140</w:t>
            </w:r>
            <w:r w:rsidR="009F0F49">
              <w:rPr>
                <w:color w:val="000000"/>
                <w:lang w:eastAsia="en-AU"/>
              </w:rPr>
              <w:noBreakHyphen/>
            </w:r>
            <w:r w:rsidRPr="00617DF1">
              <w:rPr>
                <w:color w:val="000000"/>
                <w:lang w:eastAsia="en-AU"/>
              </w:rPr>
              <w:t>190</w:t>
            </w:r>
          </w:p>
        </w:tc>
        <w:tc>
          <w:tcPr>
            <w:tcW w:w="994" w:type="dxa"/>
            <w:tcBorders>
              <w:top w:val="single" w:sz="6" w:space="0" w:color="auto"/>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153</w:t>
            </w:r>
          </w:p>
        </w:tc>
        <w:tc>
          <w:tcPr>
            <w:tcW w:w="907" w:type="dxa"/>
            <w:tcBorders>
              <w:top w:val="single" w:sz="6" w:space="0" w:color="auto"/>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140</w:t>
            </w:r>
            <w:r w:rsidR="009F0F49">
              <w:rPr>
                <w:color w:val="000000"/>
                <w:lang w:eastAsia="en-AU"/>
              </w:rPr>
              <w:noBreakHyphen/>
            </w:r>
            <w:r w:rsidRPr="00617DF1">
              <w:rPr>
                <w:color w:val="000000"/>
                <w:lang w:eastAsia="en-AU"/>
              </w:rPr>
              <w:t>190</w:t>
            </w:r>
          </w:p>
        </w:tc>
        <w:tc>
          <w:tcPr>
            <w:tcW w:w="906" w:type="dxa"/>
            <w:tcBorders>
              <w:top w:val="single" w:sz="6" w:space="0" w:color="auto"/>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158.7</w:t>
            </w:r>
          </w:p>
        </w:tc>
      </w:tr>
      <w:tr w:rsidR="00B958B1" w:rsidRPr="00617DF1"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Average daily custodial centre utilisation rate: males (15 years plus)</w:t>
            </w:r>
          </w:p>
        </w:tc>
        <w:tc>
          <w:tcPr>
            <w:tcW w:w="908" w:type="dxa"/>
            <w:tcBorders>
              <w:top w:val="single" w:sz="6" w:space="0" w:color="auto"/>
              <w:left w:val="nil"/>
              <w:bottom w:val="single" w:sz="6" w:space="0" w:color="auto"/>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90</w:t>
            </w:r>
            <w:r w:rsidR="009F0F49">
              <w:rPr>
                <w:color w:val="000000"/>
                <w:lang w:eastAsia="en-AU"/>
              </w:rPr>
              <w:noBreakHyphen/>
            </w:r>
            <w:r w:rsidRPr="00617DF1">
              <w:rPr>
                <w:color w:val="000000"/>
                <w:lang w:eastAsia="en-AU"/>
              </w:rPr>
              <w:t>95</w:t>
            </w:r>
          </w:p>
        </w:tc>
        <w:tc>
          <w:tcPr>
            <w:tcW w:w="994" w:type="dxa"/>
            <w:tcBorders>
              <w:top w:val="single" w:sz="6" w:space="0" w:color="auto"/>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90</w:t>
            </w:r>
          </w:p>
        </w:tc>
        <w:tc>
          <w:tcPr>
            <w:tcW w:w="907" w:type="dxa"/>
            <w:tcBorders>
              <w:top w:val="single" w:sz="6" w:space="0" w:color="auto"/>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90</w:t>
            </w:r>
            <w:r w:rsidR="009F0F49">
              <w:rPr>
                <w:color w:val="000000"/>
                <w:lang w:eastAsia="en-AU"/>
              </w:rPr>
              <w:noBreakHyphen/>
            </w:r>
            <w:r w:rsidRPr="00617DF1">
              <w:rPr>
                <w:color w:val="000000"/>
                <w:lang w:eastAsia="en-AU"/>
              </w:rPr>
              <w:t>95</w:t>
            </w:r>
          </w:p>
        </w:tc>
        <w:tc>
          <w:tcPr>
            <w:tcW w:w="906" w:type="dxa"/>
            <w:tcBorders>
              <w:top w:val="single" w:sz="6" w:space="0" w:color="auto"/>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89.7</w:t>
            </w:r>
          </w:p>
        </w:tc>
      </w:tr>
      <w:tr w:rsidR="00B958B1" w:rsidRPr="00617DF1"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Average daily custodial centre utilisation rate: males (under 15 years) and female</w:t>
            </w:r>
          </w:p>
        </w:tc>
        <w:tc>
          <w:tcPr>
            <w:tcW w:w="908" w:type="dxa"/>
            <w:tcBorders>
              <w:top w:val="single" w:sz="6" w:space="0" w:color="auto"/>
              <w:left w:val="nil"/>
              <w:bottom w:val="single" w:sz="6" w:space="0" w:color="auto"/>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40</w:t>
            </w:r>
            <w:r w:rsidR="009F0F49">
              <w:rPr>
                <w:color w:val="000000"/>
                <w:lang w:eastAsia="en-AU"/>
              </w:rPr>
              <w:noBreakHyphen/>
            </w:r>
            <w:r w:rsidRPr="00617DF1">
              <w:rPr>
                <w:color w:val="000000"/>
                <w:lang w:eastAsia="en-AU"/>
              </w:rPr>
              <w:t>65</w:t>
            </w:r>
          </w:p>
        </w:tc>
        <w:tc>
          <w:tcPr>
            <w:tcW w:w="994" w:type="dxa"/>
            <w:tcBorders>
              <w:top w:val="single" w:sz="6" w:space="0" w:color="auto"/>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50</w:t>
            </w:r>
          </w:p>
        </w:tc>
        <w:tc>
          <w:tcPr>
            <w:tcW w:w="907" w:type="dxa"/>
            <w:tcBorders>
              <w:top w:val="single" w:sz="6" w:space="0" w:color="auto"/>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40</w:t>
            </w:r>
            <w:r w:rsidR="009F0F49">
              <w:rPr>
                <w:color w:val="000000"/>
                <w:lang w:eastAsia="en-AU"/>
              </w:rPr>
              <w:noBreakHyphen/>
            </w:r>
            <w:r w:rsidRPr="00617DF1">
              <w:rPr>
                <w:color w:val="000000"/>
                <w:lang w:eastAsia="en-AU"/>
              </w:rPr>
              <w:t>65</w:t>
            </w:r>
          </w:p>
        </w:tc>
        <w:tc>
          <w:tcPr>
            <w:tcW w:w="906" w:type="dxa"/>
            <w:tcBorders>
              <w:top w:val="single" w:sz="6" w:space="0" w:color="auto"/>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37.4</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Quality</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Clients participating in community reintegration activities</w:t>
            </w:r>
          </w:p>
        </w:tc>
        <w:tc>
          <w:tcPr>
            <w:tcW w:w="908" w:type="dxa"/>
            <w:tcBorders>
              <w:top w:val="nil"/>
              <w:left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nil"/>
              <w:left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65</w:t>
            </w:r>
          </w:p>
        </w:tc>
        <w:tc>
          <w:tcPr>
            <w:tcW w:w="994"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68</w:t>
            </w:r>
          </w:p>
        </w:tc>
        <w:tc>
          <w:tcPr>
            <w:tcW w:w="907"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60</w:t>
            </w:r>
          </w:p>
        </w:tc>
        <w:tc>
          <w:tcPr>
            <w:tcW w:w="906"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71.3</w:t>
            </w:r>
          </w:p>
        </w:tc>
      </w:tr>
      <w:tr w:rsidR="00B958B1" w:rsidRPr="00915BF6" w:rsidTr="009F3B54">
        <w:trPr>
          <w:gridAfter w:val="1"/>
          <w:wAfter w:w="6" w:type="dxa"/>
          <w:cantSplit/>
        </w:trPr>
        <w:tc>
          <w:tcPr>
            <w:tcW w:w="7776" w:type="dxa"/>
            <w:gridSpan w:val="6"/>
            <w:tcBorders>
              <w:top w:val="nil"/>
              <w:left w:val="nil"/>
              <w:bottom w:val="single" w:sz="6" w:space="0" w:color="auto"/>
              <w:right w:val="nil"/>
            </w:tcBorders>
            <w:shd w:val="clear" w:color="000000" w:fill="FFFFFF"/>
          </w:tcPr>
          <w:p w:rsidR="00B958B1" w:rsidRDefault="00B958B1" w:rsidP="009F3B54">
            <w:pPr>
              <w:pStyle w:val="OGNotes"/>
            </w:pPr>
            <w:r>
              <w:t>The 2012</w:t>
            </w:r>
            <w:r w:rsidR="009F0F49">
              <w:noBreakHyphen/>
            </w:r>
            <w:r>
              <w:t>13 Expected Outcome is higher than the 2012</w:t>
            </w:r>
            <w:r w:rsidR="009F0F49">
              <w:noBreakHyphen/>
            </w:r>
            <w:r>
              <w:t xml:space="preserve">13 Target due to improved behaviour management approaches and a focus on community reintegration activities as a critical component of case management. </w:t>
            </w:r>
          </w:p>
          <w:p w:rsidR="00B958B1" w:rsidRPr="00915BF6" w:rsidRDefault="00B958B1" w:rsidP="009F3B54">
            <w:pPr>
              <w:pStyle w:val="OGNotes"/>
            </w:pPr>
            <w:r>
              <w:t>The higher 2013</w:t>
            </w:r>
            <w:r w:rsidR="009F0F49">
              <w:noBreakHyphen/>
            </w:r>
            <w:r>
              <w:t>14 Target reflects this improved performance.</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Timeliness</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Young people on custodial orders who have a client assessment and plan completed within six weeks of the commencement of the order</w:t>
            </w:r>
          </w:p>
        </w:tc>
        <w:tc>
          <w:tcPr>
            <w:tcW w:w="908" w:type="dxa"/>
            <w:tcBorders>
              <w:top w:val="nil"/>
              <w:left w:val="nil"/>
              <w:bottom w:val="single" w:sz="6" w:space="0" w:color="auto"/>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95</w:t>
            </w:r>
          </w:p>
        </w:tc>
        <w:tc>
          <w:tcPr>
            <w:tcW w:w="994"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95</w:t>
            </w:r>
          </w:p>
        </w:tc>
        <w:tc>
          <w:tcPr>
            <w:tcW w:w="907"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95</w:t>
            </w:r>
          </w:p>
        </w:tc>
        <w:tc>
          <w:tcPr>
            <w:tcW w:w="906"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93.3</w:t>
            </w:r>
          </w:p>
        </w:tc>
      </w:tr>
      <w:tr w:rsidR="00B958B1" w:rsidRPr="00617DF1"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Cost</w:t>
            </w:r>
          </w:p>
        </w:tc>
        <w:tc>
          <w:tcPr>
            <w:tcW w:w="908" w:type="dxa"/>
            <w:tcBorders>
              <w:top w:val="single" w:sz="6" w:space="0" w:color="auto"/>
              <w:left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Total output cost</w:t>
            </w:r>
          </w:p>
        </w:tc>
        <w:tc>
          <w:tcPr>
            <w:tcW w:w="908" w:type="dxa"/>
            <w:tcBorders>
              <w:top w:val="nil"/>
              <w:left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w:t>
            </w:r>
            <w:r>
              <w:rPr>
                <w:color w:val="000000"/>
                <w:lang w:eastAsia="en-AU"/>
              </w:rPr>
              <w:t> million</w:t>
            </w:r>
          </w:p>
        </w:tc>
        <w:tc>
          <w:tcPr>
            <w:tcW w:w="907" w:type="dxa"/>
            <w:tcBorders>
              <w:top w:val="nil"/>
              <w:left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67.6</w:t>
            </w:r>
          </w:p>
        </w:tc>
        <w:tc>
          <w:tcPr>
            <w:tcW w:w="994"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66.3</w:t>
            </w:r>
          </w:p>
        </w:tc>
        <w:tc>
          <w:tcPr>
            <w:tcW w:w="907"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64.5</w:t>
            </w:r>
          </w:p>
        </w:tc>
        <w:tc>
          <w:tcPr>
            <w:tcW w:w="906"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64</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000000" w:fill="FFFFFF"/>
          </w:tcPr>
          <w:p w:rsidR="00B958B1" w:rsidRPr="004312C9" w:rsidRDefault="00B958B1" w:rsidP="009F3B54">
            <w:pPr>
              <w:pStyle w:val="OGNotes"/>
            </w:pPr>
            <w:r>
              <w:t>The higher 2013</w:t>
            </w:r>
            <w:r w:rsidR="009F0F49">
              <w:noBreakHyphen/>
            </w:r>
            <w:r>
              <w:t xml:space="preserve">14 Target primarily reflects additional funding provided in the </w:t>
            </w:r>
            <w:r w:rsidRPr="00C03590">
              <w:rPr>
                <w:i w:val="0"/>
              </w:rPr>
              <w:t>2013</w:t>
            </w:r>
            <w:r w:rsidR="009F0F49">
              <w:rPr>
                <w:i w:val="0"/>
              </w:rPr>
              <w:noBreakHyphen/>
            </w:r>
            <w:r w:rsidRPr="00C03590">
              <w:rPr>
                <w:i w:val="0"/>
              </w:rPr>
              <w:t>14 Budget</w:t>
            </w:r>
            <w:r>
              <w:t xml:space="preserve">, and the full year effect of initiative funding announced in previous years’ budgets. </w:t>
            </w:r>
          </w:p>
        </w:tc>
      </w:tr>
      <w:tr w:rsidR="00B958B1" w:rsidRPr="00617DF1" w:rsidTr="009F3B54">
        <w:trPr>
          <w:gridAfter w:val="1"/>
          <w:wAfter w:w="6" w:type="dxa"/>
          <w:cantSplit/>
        </w:trPr>
        <w:tc>
          <w:tcPr>
            <w:tcW w:w="7776" w:type="dxa"/>
            <w:gridSpan w:val="6"/>
            <w:tcBorders>
              <w:top w:val="nil"/>
              <w:left w:val="nil"/>
              <w:bottom w:val="nil"/>
              <w:right w:val="nil"/>
            </w:tcBorders>
            <w:shd w:val="clear" w:color="auto" w:fill="auto"/>
            <w:vAlign w:val="bottom"/>
            <w:hideMark/>
          </w:tcPr>
          <w:p w:rsidR="00B958B1" w:rsidRPr="00617DF1" w:rsidRDefault="00B958B1" w:rsidP="009F3B54">
            <w:pPr>
              <w:pStyle w:val="OGHeading2"/>
              <w:rPr>
                <w:lang w:eastAsia="en-AU"/>
              </w:rPr>
            </w:pPr>
            <w:r w:rsidRPr="00617DF1">
              <w:rPr>
                <w:lang w:eastAsia="en-AU"/>
              </w:rPr>
              <w:t>Community</w:t>
            </w:r>
            <w:r w:rsidR="009F0F49">
              <w:rPr>
                <w:lang w:eastAsia="en-AU"/>
              </w:rPr>
              <w:noBreakHyphen/>
            </w:r>
            <w:r w:rsidRPr="00617DF1">
              <w:rPr>
                <w:lang w:eastAsia="en-AU"/>
              </w:rPr>
              <w:t>based Services</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Text"/>
              <w:rPr>
                <w:lang w:eastAsia="en-AU"/>
              </w:rPr>
            </w:pPr>
            <w:r w:rsidRPr="00617DF1">
              <w:rPr>
                <w:lang w:eastAsia="en-AU"/>
              </w:rPr>
              <w:t>This output provides community statutory supervision and support to young people subject to community</w:t>
            </w:r>
            <w:r w:rsidR="009F0F49">
              <w:rPr>
                <w:lang w:eastAsia="en-AU"/>
              </w:rPr>
              <w:noBreakHyphen/>
            </w:r>
            <w:r w:rsidRPr="00617DF1">
              <w:rPr>
                <w:lang w:eastAsia="en-AU"/>
              </w:rPr>
              <w:t>based dispositions in order to divert young people from the youth justice system and minimise the l</w:t>
            </w:r>
            <w:r>
              <w:rPr>
                <w:lang w:eastAsia="en-AU"/>
              </w:rPr>
              <w:t>ikelihood of further offending.</w:t>
            </w:r>
          </w:p>
          <w:p w:rsidR="00B958B1" w:rsidRPr="00617DF1" w:rsidRDefault="00B958B1" w:rsidP="009F3B54">
            <w:pPr>
              <w:pStyle w:val="OGText"/>
              <w:rPr>
                <w:lang w:eastAsia="en-AU"/>
              </w:rPr>
            </w:pPr>
            <w:r w:rsidRPr="00617DF1">
              <w:rPr>
                <w:lang w:eastAsia="en-AU"/>
              </w:rPr>
              <w:t>This output supports the Department</w:t>
            </w:r>
            <w:r>
              <w:rPr>
                <w:lang w:eastAsia="en-AU"/>
              </w:rPr>
              <w:t>’</w:t>
            </w:r>
            <w:r w:rsidRPr="00617DF1">
              <w:rPr>
                <w:lang w:eastAsia="en-AU"/>
              </w:rPr>
              <w:t>s immediate support objective and capabilities and participation objective.</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Quantity</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Average daily number of clients under community</w:t>
            </w:r>
            <w:r w:rsidR="009F0F49">
              <w:rPr>
                <w:color w:val="000000"/>
                <w:lang w:eastAsia="en-AU"/>
              </w:rPr>
              <w:noBreakHyphen/>
            </w:r>
            <w:r w:rsidRPr="00617DF1">
              <w:rPr>
                <w:color w:val="000000"/>
                <w:lang w:eastAsia="en-AU"/>
              </w:rPr>
              <w:t>based supervision</w:t>
            </w:r>
          </w:p>
        </w:tc>
        <w:tc>
          <w:tcPr>
            <w:tcW w:w="908" w:type="dxa"/>
            <w:tcBorders>
              <w:top w:val="nil"/>
              <w:left w:val="nil"/>
              <w:bottom w:val="single" w:sz="6" w:space="0" w:color="auto"/>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nil"/>
              <w:left w:val="nil"/>
              <w:bottom w:val="single" w:sz="6" w:space="0" w:color="auto"/>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625</w:t>
            </w:r>
          </w:p>
        </w:tc>
        <w:tc>
          <w:tcPr>
            <w:tcW w:w="994"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625</w:t>
            </w:r>
          </w:p>
        </w:tc>
        <w:tc>
          <w:tcPr>
            <w:tcW w:w="907"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625</w:t>
            </w:r>
          </w:p>
        </w:tc>
        <w:tc>
          <w:tcPr>
            <w:tcW w:w="906"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331</w:t>
            </w:r>
          </w:p>
        </w:tc>
      </w:tr>
      <w:tr w:rsidR="00B958B1" w:rsidRPr="00617DF1"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Proportion of youth justice clients under community</w:t>
            </w:r>
            <w:r w:rsidR="009F0F49">
              <w:rPr>
                <w:color w:val="000000"/>
                <w:lang w:eastAsia="en-AU"/>
              </w:rPr>
              <w:noBreakHyphen/>
            </w:r>
            <w:r w:rsidRPr="00617DF1">
              <w:rPr>
                <w:color w:val="000000"/>
                <w:lang w:eastAsia="en-AU"/>
              </w:rPr>
              <w:t>based supervision</w:t>
            </w:r>
          </w:p>
        </w:tc>
        <w:tc>
          <w:tcPr>
            <w:tcW w:w="908" w:type="dxa"/>
            <w:tcBorders>
              <w:top w:val="single" w:sz="6" w:space="0" w:color="auto"/>
              <w:left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88.5</w:t>
            </w:r>
          </w:p>
        </w:tc>
        <w:tc>
          <w:tcPr>
            <w:tcW w:w="994" w:type="dxa"/>
            <w:tcBorders>
              <w:top w:val="single" w:sz="6" w:space="0" w:color="auto"/>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87</w:t>
            </w:r>
          </w:p>
        </w:tc>
        <w:tc>
          <w:tcPr>
            <w:tcW w:w="907" w:type="dxa"/>
            <w:tcBorders>
              <w:top w:val="single" w:sz="6" w:space="0" w:color="auto"/>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85</w:t>
            </w:r>
          </w:p>
        </w:tc>
        <w:tc>
          <w:tcPr>
            <w:tcW w:w="906" w:type="dxa"/>
            <w:tcBorders>
              <w:top w:val="single" w:sz="6" w:space="0" w:color="auto"/>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88.5</w:t>
            </w:r>
          </w:p>
        </w:tc>
      </w:tr>
      <w:tr w:rsidR="00B958B1" w:rsidRPr="00617DF1" w:rsidTr="009F3B54">
        <w:trPr>
          <w:gridAfter w:val="1"/>
          <w:wAfter w:w="6" w:type="dxa"/>
          <w:cantSplit/>
        </w:trPr>
        <w:tc>
          <w:tcPr>
            <w:tcW w:w="7776" w:type="dxa"/>
            <w:gridSpan w:val="6"/>
            <w:tcBorders>
              <w:left w:val="nil"/>
              <w:bottom w:val="single" w:sz="6" w:space="0" w:color="auto"/>
            </w:tcBorders>
            <w:shd w:val="clear" w:color="000000" w:fill="FFFFFF"/>
          </w:tcPr>
          <w:p w:rsidR="00B958B1" w:rsidRPr="00C31778" w:rsidRDefault="00B958B1" w:rsidP="009F3B54">
            <w:pPr>
              <w:pStyle w:val="OGNotes"/>
            </w:pPr>
            <w:r w:rsidRPr="00BC00BF">
              <w:t>The higher 2013</w:t>
            </w:r>
            <w:r w:rsidR="009F0F49">
              <w:noBreakHyphen/>
            </w:r>
            <w:r w:rsidRPr="00BC00BF">
              <w:t>14 Target reflects the effect of recent improvements in performance, and policies to appropriately divert young people from custodial orders.</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Quality</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Community</w:t>
            </w:r>
            <w:r w:rsidR="009F0F49">
              <w:rPr>
                <w:color w:val="000000"/>
                <w:lang w:eastAsia="en-AU"/>
              </w:rPr>
              <w:noBreakHyphen/>
            </w:r>
            <w:r w:rsidRPr="00617DF1">
              <w:rPr>
                <w:color w:val="000000"/>
                <w:lang w:eastAsia="en-AU"/>
              </w:rPr>
              <w:t>based orders completed successfully</w:t>
            </w:r>
          </w:p>
        </w:tc>
        <w:tc>
          <w:tcPr>
            <w:tcW w:w="908" w:type="dxa"/>
            <w:tcBorders>
              <w:top w:val="nil"/>
              <w:left w:val="nil"/>
              <w:bottom w:val="single" w:sz="6" w:space="0" w:color="auto"/>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85</w:t>
            </w:r>
          </w:p>
        </w:tc>
        <w:tc>
          <w:tcPr>
            <w:tcW w:w="994"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88</w:t>
            </w:r>
          </w:p>
        </w:tc>
        <w:tc>
          <w:tcPr>
            <w:tcW w:w="907"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85</w:t>
            </w:r>
          </w:p>
        </w:tc>
        <w:tc>
          <w:tcPr>
            <w:tcW w:w="906"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88.7</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Timeliness</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Young people on supervised orders who have a client assessment and plan completed within six weeks of the commencement of the order</w:t>
            </w:r>
          </w:p>
        </w:tc>
        <w:tc>
          <w:tcPr>
            <w:tcW w:w="908" w:type="dxa"/>
            <w:tcBorders>
              <w:top w:val="nil"/>
              <w:left w:val="nil"/>
              <w:bottom w:val="single" w:sz="6" w:space="0" w:color="auto"/>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95</w:t>
            </w:r>
          </w:p>
        </w:tc>
        <w:tc>
          <w:tcPr>
            <w:tcW w:w="994"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96</w:t>
            </w:r>
          </w:p>
        </w:tc>
        <w:tc>
          <w:tcPr>
            <w:tcW w:w="907"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95</w:t>
            </w:r>
          </w:p>
        </w:tc>
        <w:tc>
          <w:tcPr>
            <w:tcW w:w="906"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94.5</w:t>
            </w:r>
          </w:p>
        </w:tc>
      </w:tr>
      <w:tr w:rsidR="00B958B1" w:rsidRPr="00617DF1"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Cost</w:t>
            </w:r>
          </w:p>
        </w:tc>
        <w:tc>
          <w:tcPr>
            <w:tcW w:w="908" w:type="dxa"/>
            <w:tcBorders>
              <w:top w:val="single" w:sz="6" w:space="0" w:color="auto"/>
              <w:left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Total output cost</w:t>
            </w:r>
          </w:p>
        </w:tc>
        <w:tc>
          <w:tcPr>
            <w:tcW w:w="908" w:type="dxa"/>
            <w:tcBorders>
              <w:top w:val="nil"/>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w:t>
            </w:r>
            <w:r>
              <w:rPr>
                <w:color w:val="000000"/>
                <w:lang w:eastAsia="en-AU"/>
              </w:rPr>
              <w:t> million</w:t>
            </w:r>
          </w:p>
        </w:tc>
        <w:tc>
          <w:tcPr>
            <w:tcW w:w="907" w:type="dxa"/>
            <w:tcBorders>
              <w:top w:val="nil"/>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68.7</w:t>
            </w:r>
          </w:p>
        </w:tc>
        <w:tc>
          <w:tcPr>
            <w:tcW w:w="994"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68.1</w:t>
            </w:r>
          </w:p>
        </w:tc>
        <w:tc>
          <w:tcPr>
            <w:tcW w:w="907"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66</w:t>
            </w:r>
          </w:p>
        </w:tc>
        <w:tc>
          <w:tcPr>
            <w:tcW w:w="906"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61.7</w:t>
            </w:r>
          </w:p>
        </w:tc>
      </w:tr>
      <w:tr w:rsidR="00B958B1" w:rsidRPr="00617DF1" w:rsidTr="009F3B54">
        <w:trPr>
          <w:gridAfter w:val="1"/>
          <w:wAfter w:w="6" w:type="dxa"/>
          <w:cantSplit/>
        </w:trPr>
        <w:tc>
          <w:tcPr>
            <w:tcW w:w="7776" w:type="dxa"/>
            <w:gridSpan w:val="6"/>
            <w:tcBorders>
              <w:top w:val="nil"/>
              <w:left w:val="nil"/>
              <w:bottom w:val="single" w:sz="12" w:space="0" w:color="auto"/>
              <w:right w:val="nil"/>
            </w:tcBorders>
            <w:shd w:val="clear" w:color="000000" w:fill="FFFFFF"/>
          </w:tcPr>
          <w:p w:rsidR="00B958B1" w:rsidRPr="00CC402A" w:rsidRDefault="00B958B1" w:rsidP="009F3B54">
            <w:pPr>
              <w:pStyle w:val="OGNotes"/>
            </w:pPr>
            <w:r w:rsidRPr="00CC402A">
              <w:t>The higher 2013</w:t>
            </w:r>
            <w:r w:rsidR="009F0F49">
              <w:noBreakHyphen/>
            </w:r>
            <w:r w:rsidRPr="00CC402A">
              <w:t xml:space="preserve">14 Target primarily reflects additional funding provided in the </w:t>
            </w:r>
            <w:r w:rsidRPr="00C03590">
              <w:rPr>
                <w:i w:val="0"/>
              </w:rPr>
              <w:t>2013</w:t>
            </w:r>
            <w:r w:rsidR="009F0F49">
              <w:rPr>
                <w:i w:val="0"/>
              </w:rPr>
              <w:noBreakHyphen/>
            </w:r>
            <w:r w:rsidRPr="00C03590">
              <w:rPr>
                <w:i w:val="0"/>
              </w:rPr>
              <w:t>14 Budget</w:t>
            </w:r>
            <w:r w:rsidRPr="00CC402A">
              <w:t>, and the full year effect of initiative funding announced in previous years’ budgets.</w:t>
            </w:r>
          </w:p>
        </w:tc>
      </w:tr>
    </w:tbl>
    <w:p w:rsidR="00B958B1" w:rsidRDefault="00B958B1" w:rsidP="009F3B54">
      <w:pPr>
        <w:pStyle w:val="Source"/>
        <w:rPr>
          <w:lang w:eastAsia="en-AU"/>
        </w:rPr>
      </w:pPr>
      <w:r>
        <w:rPr>
          <w:lang w:eastAsia="en-AU"/>
        </w:rPr>
        <w:t>Source: Department of Human Services</w:t>
      </w:r>
    </w:p>
    <w:p w:rsidR="00B958B1" w:rsidRDefault="00B958B1" w:rsidP="009F3B54">
      <w:pPr>
        <w:pStyle w:val="Source"/>
        <w:rPr>
          <w:lang w:eastAsia="en-AU"/>
        </w:rPr>
      </w:pPr>
      <w:r>
        <w:rPr>
          <w:lang w:eastAsia="en-AU"/>
        </w:rPr>
        <w:fldChar w:fldCharType="begin"/>
      </w:r>
      <w:r>
        <w:instrText xml:space="preserve"> XE "</w:instrText>
      </w:r>
      <w:r w:rsidRPr="00F151A5">
        <w:rPr>
          <w:lang w:eastAsia="en-AU"/>
        </w:rPr>
        <w:instrText>Department of Human Services</w:instrText>
      </w:r>
      <w:r w:rsidRPr="00F151A5">
        <w:instrText>:Youth Services and Youth Justice</w:instrText>
      </w:r>
      <w:r>
        <w:instrText xml:space="preserve">" \r "BP3DHSYouthSvces" </w:instrText>
      </w:r>
      <w:r>
        <w:rPr>
          <w:lang w:eastAsia="en-AU"/>
        </w:rPr>
        <w:fldChar w:fldCharType="end"/>
      </w:r>
    </w:p>
    <w:bookmarkEnd w:id="115"/>
    <w:p w:rsidR="00B958B1" w:rsidRPr="00617DF1" w:rsidRDefault="00B958B1" w:rsidP="009F3B54">
      <w:pPr>
        <w:pStyle w:val="OGHeading1"/>
        <w:rPr>
          <w:lang w:eastAsia="en-AU"/>
        </w:rPr>
      </w:pPr>
      <w:r>
        <w:rPr>
          <w:lang w:eastAsia="en-AU"/>
        </w:rPr>
        <w:br w:type="page"/>
      </w:r>
      <w:bookmarkStart w:id="116" w:name="BP3DHSConcessPensioners"/>
      <w:r w:rsidRPr="00617DF1">
        <w:rPr>
          <w:lang w:eastAsia="en-AU"/>
        </w:rPr>
        <w:t>Concessions to Pensioners and Beneficiaries</w:t>
      </w:r>
    </w:p>
    <w:p w:rsidR="00B958B1" w:rsidRPr="00617DF1" w:rsidRDefault="00B958B1" w:rsidP="009F3B54">
      <w:pPr>
        <w:pStyle w:val="OGText"/>
        <w:rPr>
          <w:lang w:eastAsia="en-AU"/>
        </w:rPr>
      </w:pPr>
      <w:r>
        <w:rPr>
          <w:lang w:eastAsia="en-AU"/>
        </w:rPr>
        <w:t xml:space="preserve">The </w:t>
      </w:r>
      <w:r w:rsidRPr="00617DF1">
        <w:rPr>
          <w:lang w:eastAsia="en-AU"/>
        </w:rPr>
        <w:t>Concessions to Pensioners and Beneficiaries output, through the development and coordination of the delivery of concessions and relief grants to eligible consumers and concession card holders, aim</w:t>
      </w:r>
      <w:r>
        <w:rPr>
          <w:lang w:eastAsia="en-AU"/>
        </w:rPr>
        <w:t>s</w:t>
      </w:r>
      <w:r w:rsidRPr="00617DF1">
        <w:rPr>
          <w:lang w:eastAsia="en-AU"/>
        </w:rPr>
        <w:t xml:space="preserve"> to make a positive difference for Victorians experiencing disadvantage by providing excellent community services to meet clients</w:t>
      </w:r>
      <w:r>
        <w:rPr>
          <w:lang w:eastAsia="en-AU"/>
        </w:rPr>
        <w:t>’</w:t>
      </w:r>
      <w:r w:rsidRPr="00617DF1">
        <w:rPr>
          <w:lang w:eastAsia="en-AU"/>
        </w:rPr>
        <w:t xml:space="preserve"> needs.</w:t>
      </w:r>
    </w:p>
    <w:tbl>
      <w:tblPr>
        <w:tblW w:w="7782" w:type="dxa"/>
        <w:tblInd w:w="29" w:type="dxa"/>
        <w:tblLayout w:type="fixed"/>
        <w:tblCellMar>
          <w:left w:w="43" w:type="dxa"/>
          <w:right w:w="43" w:type="dxa"/>
        </w:tblCellMar>
        <w:tblLook w:val="04A0" w:firstRow="1" w:lastRow="0" w:firstColumn="1" w:lastColumn="0" w:noHBand="0" w:noVBand="1"/>
      </w:tblPr>
      <w:tblGrid>
        <w:gridCol w:w="3154"/>
        <w:gridCol w:w="908"/>
        <w:gridCol w:w="907"/>
        <w:gridCol w:w="994"/>
        <w:gridCol w:w="907"/>
        <w:gridCol w:w="906"/>
        <w:gridCol w:w="6"/>
      </w:tblGrid>
      <w:tr w:rsidR="00B958B1" w:rsidRPr="00D32CA4" w:rsidTr="009F3B54">
        <w:trPr>
          <w:cantSplit/>
          <w:tblHeader/>
        </w:trPr>
        <w:tc>
          <w:tcPr>
            <w:tcW w:w="3154" w:type="dxa"/>
            <w:tcBorders>
              <w:top w:val="single" w:sz="4" w:space="0" w:color="auto"/>
              <w:left w:val="single" w:sz="4" w:space="0" w:color="auto"/>
              <w:bottom w:val="single" w:sz="4" w:space="0" w:color="auto"/>
              <w:right w:val="nil"/>
            </w:tcBorders>
            <w:shd w:val="clear" w:color="auto" w:fill="000000"/>
            <w:vAlign w:val="bottom"/>
          </w:tcPr>
          <w:p w:rsidR="00B958B1" w:rsidRPr="00D32CA4" w:rsidRDefault="00B958B1" w:rsidP="009F3B54">
            <w:pPr>
              <w:pStyle w:val="OGTabColLeft"/>
              <w:rPr>
                <w:i/>
              </w:rPr>
            </w:pPr>
            <w:r w:rsidRPr="00D32CA4">
              <w:t>Major Outputs/Deliverables</w:t>
            </w:r>
            <w:r w:rsidRPr="00D32CA4">
              <w:br/>
            </w:r>
            <w:r w:rsidRPr="0085011C">
              <w:rPr>
                <w:b w:val="0"/>
                <w:i/>
              </w:rPr>
              <w:t>Performance measures</w:t>
            </w:r>
          </w:p>
        </w:tc>
        <w:tc>
          <w:tcPr>
            <w:tcW w:w="908"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4"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12" w:type="dxa"/>
            <w:gridSpan w:val="2"/>
            <w:tcBorders>
              <w:top w:val="single" w:sz="4" w:space="0" w:color="auto"/>
              <w:left w:val="nil"/>
              <w:bottom w:val="single" w:sz="4" w:space="0" w:color="auto"/>
              <w:right w:val="single" w:sz="4" w:space="0" w:color="auto"/>
            </w:tcBorders>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617DF1" w:rsidTr="009F3B54">
        <w:trPr>
          <w:gridAfter w:val="1"/>
          <w:wAfter w:w="6" w:type="dxa"/>
          <w:cantSplit/>
        </w:trPr>
        <w:tc>
          <w:tcPr>
            <w:tcW w:w="7776" w:type="dxa"/>
            <w:gridSpan w:val="6"/>
            <w:tcBorders>
              <w:top w:val="nil"/>
              <w:left w:val="nil"/>
              <w:bottom w:val="nil"/>
              <w:right w:val="nil"/>
            </w:tcBorders>
            <w:shd w:val="clear" w:color="auto" w:fill="auto"/>
            <w:vAlign w:val="bottom"/>
            <w:hideMark/>
          </w:tcPr>
          <w:p w:rsidR="00B958B1" w:rsidRPr="00617DF1" w:rsidRDefault="00B958B1" w:rsidP="009F3B54">
            <w:pPr>
              <w:pStyle w:val="OGHeading2"/>
              <w:rPr>
                <w:lang w:eastAsia="en-AU"/>
              </w:rPr>
            </w:pPr>
            <w:r w:rsidRPr="00617DF1">
              <w:rPr>
                <w:lang w:eastAsia="en-AU"/>
              </w:rPr>
              <w:t>Concessions to Pensioners and Beneficiaries</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Text"/>
              <w:rPr>
                <w:lang w:eastAsia="en-AU"/>
              </w:rPr>
            </w:pPr>
            <w:r w:rsidRPr="00617DF1">
              <w:rPr>
                <w:lang w:eastAsia="en-AU"/>
              </w:rPr>
              <w:t>This output provides reductions in the price of energy, water, and municipal rates to eligible consumers and concession card holders</w:t>
            </w:r>
            <w:r>
              <w:rPr>
                <w:lang w:eastAsia="en-AU"/>
              </w:rPr>
              <w:t xml:space="preserve">. </w:t>
            </w:r>
            <w:r w:rsidRPr="00617DF1">
              <w:rPr>
                <w:lang w:eastAsia="en-AU"/>
              </w:rPr>
              <w:t>It also provides trustee services for people on a low income or those who are subject to an order by the Victorian Civil and Administrative Tribunal, and other social and community services, including the provision of emergency relief for individuals or families who are experiencing immediate and personal distress due to a financial or domestic crisis.</w:t>
            </w:r>
          </w:p>
          <w:p w:rsidR="00B958B1" w:rsidRPr="00617DF1" w:rsidRDefault="00B958B1" w:rsidP="009F3B54">
            <w:pPr>
              <w:pStyle w:val="OGText"/>
              <w:rPr>
                <w:lang w:eastAsia="en-AU"/>
              </w:rPr>
            </w:pPr>
            <w:r w:rsidRPr="00617DF1">
              <w:rPr>
                <w:lang w:eastAsia="en-AU"/>
              </w:rPr>
              <w:t>This output supports the Department</w:t>
            </w:r>
            <w:r>
              <w:rPr>
                <w:lang w:eastAsia="en-AU"/>
              </w:rPr>
              <w:t>’</w:t>
            </w:r>
            <w:r w:rsidRPr="00617DF1">
              <w:rPr>
                <w:lang w:eastAsia="en-AU"/>
              </w:rPr>
              <w:t>s quality of life objective.</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Quantity</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Households receiving mains electricity concessions</w:t>
            </w:r>
          </w:p>
        </w:tc>
        <w:tc>
          <w:tcPr>
            <w:tcW w:w="908" w:type="dxa"/>
            <w:tcBorders>
              <w:top w:val="nil"/>
              <w:left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nil"/>
              <w:left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889</w:t>
            </w:r>
            <w:r>
              <w:rPr>
                <w:color w:val="000000"/>
                <w:lang w:eastAsia="en-AU"/>
              </w:rPr>
              <w:t> </w:t>
            </w:r>
            <w:r w:rsidRPr="00617DF1">
              <w:rPr>
                <w:color w:val="000000"/>
                <w:lang w:eastAsia="en-AU"/>
              </w:rPr>
              <w:t>500</w:t>
            </w:r>
          </w:p>
        </w:tc>
        <w:tc>
          <w:tcPr>
            <w:tcW w:w="994"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876</w:t>
            </w:r>
            <w:r>
              <w:rPr>
                <w:color w:val="000000"/>
                <w:lang w:eastAsia="en-AU"/>
              </w:rPr>
              <w:t> </w:t>
            </w:r>
            <w:r w:rsidRPr="00617DF1">
              <w:rPr>
                <w:color w:val="000000"/>
                <w:lang w:eastAsia="en-AU"/>
              </w:rPr>
              <w:t>381</w:t>
            </w:r>
          </w:p>
        </w:tc>
        <w:tc>
          <w:tcPr>
            <w:tcW w:w="907"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879</w:t>
            </w:r>
            <w:r>
              <w:rPr>
                <w:color w:val="000000"/>
                <w:lang w:eastAsia="en-AU"/>
              </w:rPr>
              <w:t> </w:t>
            </w:r>
            <w:r w:rsidRPr="00617DF1">
              <w:rPr>
                <w:color w:val="000000"/>
                <w:lang w:eastAsia="en-AU"/>
              </w:rPr>
              <w:t>200</w:t>
            </w:r>
          </w:p>
        </w:tc>
        <w:tc>
          <w:tcPr>
            <w:tcW w:w="906"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852</w:t>
            </w:r>
            <w:r>
              <w:rPr>
                <w:color w:val="000000"/>
                <w:lang w:eastAsia="en-AU"/>
              </w:rPr>
              <w:t> </w:t>
            </w:r>
            <w:r w:rsidRPr="00617DF1">
              <w:rPr>
                <w:color w:val="000000"/>
                <w:lang w:eastAsia="en-AU"/>
              </w:rPr>
              <w:t>404</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000000" w:fill="FFFFFF"/>
          </w:tcPr>
          <w:p w:rsidR="00B958B1" w:rsidRPr="004869AB" w:rsidRDefault="00B958B1" w:rsidP="009F3B54">
            <w:pPr>
              <w:pStyle w:val="OGNotes"/>
            </w:pPr>
            <w:r>
              <w:t>The higher 2013</w:t>
            </w:r>
            <w:r w:rsidR="009F0F49">
              <w:noBreakHyphen/>
            </w:r>
            <w:r>
              <w:t>14 Target reflects an updated forecast in the number of eligible households.</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Households receiving mains gas concessions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590</w:t>
            </w:r>
            <w:r>
              <w:rPr>
                <w:color w:val="000000"/>
                <w:lang w:eastAsia="en-AU"/>
              </w:rPr>
              <w:t> </w:t>
            </w:r>
            <w:r w:rsidRPr="00617DF1">
              <w:rPr>
                <w:color w:val="000000"/>
                <w:lang w:eastAsia="en-AU"/>
              </w:rPr>
              <w:t>500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583</w:t>
            </w:r>
            <w:r>
              <w:rPr>
                <w:color w:val="000000"/>
                <w:lang w:eastAsia="en-AU"/>
              </w:rPr>
              <w:t> </w:t>
            </w:r>
            <w:r w:rsidRPr="00617DF1">
              <w:rPr>
                <w:color w:val="000000"/>
                <w:lang w:eastAsia="en-AU"/>
              </w:rPr>
              <w:t>646</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807</w:t>
            </w:r>
            <w:r>
              <w:rPr>
                <w:color w:val="000000"/>
                <w:lang w:eastAsia="en-AU"/>
              </w:rPr>
              <w:t> </w:t>
            </w:r>
            <w:r w:rsidRPr="00617DF1">
              <w:rPr>
                <w:color w:val="000000"/>
                <w:lang w:eastAsia="en-AU"/>
              </w:rPr>
              <w:t>000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558</w:t>
            </w:r>
            <w:r>
              <w:rPr>
                <w:color w:val="000000"/>
                <w:lang w:eastAsia="en-AU"/>
              </w:rPr>
              <w:t> </w:t>
            </w:r>
            <w:r w:rsidRPr="00617DF1">
              <w:rPr>
                <w:color w:val="000000"/>
                <w:lang w:eastAsia="en-AU"/>
              </w:rPr>
              <w:t>156</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t>The 2012</w:t>
            </w:r>
            <w:r w:rsidR="009F0F49">
              <w:noBreakHyphen/>
            </w:r>
            <w:r>
              <w:t>13 Expected Outcome is lower than the 2012</w:t>
            </w:r>
            <w:r w:rsidR="009F0F49">
              <w:noBreakHyphen/>
            </w:r>
            <w:r>
              <w:t xml:space="preserve">13 Target as the Department’s investigation of gas retailers’ data robustness, flagged in the </w:t>
            </w:r>
            <w:r w:rsidRPr="0067379F">
              <w:rPr>
                <w:i w:val="0"/>
              </w:rPr>
              <w:t>2012</w:t>
            </w:r>
            <w:r w:rsidR="009F0F49">
              <w:rPr>
                <w:i w:val="0"/>
              </w:rPr>
              <w:noBreakHyphen/>
            </w:r>
            <w:r w:rsidRPr="0067379F">
              <w:rPr>
                <w:i w:val="0"/>
              </w:rPr>
              <w:t>13 Budget</w:t>
            </w:r>
            <w:r>
              <w:t xml:space="preserve">, confirmed that the number of households receiving concessions was overstated. There has been no change to the eligibility criteria. </w:t>
            </w:r>
          </w:p>
          <w:p w:rsidR="00B958B1" w:rsidRPr="00617DF1" w:rsidRDefault="00B958B1" w:rsidP="009F3B54">
            <w:pPr>
              <w:pStyle w:val="OGNotes"/>
              <w:rPr>
                <w:color w:val="000000"/>
              </w:rPr>
            </w:pPr>
            <w:r w:rsidRPr="00617DF1">
              <w:t>The lower 2013</w:t>
            </w:r>
            <w:r w:rsidR="009F0F49">
              <w:noBreakHyphen/>
            </w:r>
            <w:r w:rsidRPr="00617DF1">
              <w:t xml:space="preserve">14 Target reflects this updated </w:t>
            </w:r>
            <w:r>
              <w:t>forecast in the number of eligible households based on the revised data</w:t>
            </w:r>
            <w:r w:rsidRPr="00617DF1">
              <w:t>.</w:t>
            </w:r>
          </w:p>
        </w:tc>
      </w:tr>
      <w:tr w:rsidR="00B958B1" w:rsidRPr="00617DF1"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Households receiving non</w:t>
            </w:r>
            <w:r w:rsidR="009F0F49">
              <w:rPr>
                <w:color w:val="000000"/>
                <w:lang w:eastAsia="en-AU"/>
              </w:rPr>
              <w:noBreakHyphen/>
            </w:r>
            <w:r w:rsidRPr="00617DF1">
              <w:rPr>
                <w:color w:val="000000"/>
                <w:lang w:eastAsia="en-AU"/>
              </w:rPr>
              <w:t>mains energy concessions</w:t>
            </w:r>
          </w:p>
        </w:tc>
        <w:tc>
          <w:tcPr>
            <w:tcW w:w="908" w:type="dxa"/>
            <w:tcBorders>
              <w:top w:val="single" w:sz="6" w:space="0" w:color="auto"/>
              <w:left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21</w:t>
            </w:r>
            <w:r>
              <w:rPr>
                <w:color w:val="000000"/>
                <w:lang w:eastAsia="en-AU"/>
              </w:rPr>
              <w:t> </w:t>
            </w:r>
            <w:r w:rsidRPr="00617DF1">
              <w:rPr>
                <w:color w:val="000000"/>
                <w:lang w:eastAsia="en-AU"/>
              </w:rPr>
              <w:t>600</w:t>
            </w:r>
          </w:p>
        </w:tc>
        <w:tc>
          <w:tcPr>
            <w:tcW w:w="994" w:type="dxa"/>
            <w:tcBorders>
              <w:top w:val="single" w:sz="6" w:space="0" w:color="auto"/>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20</w:t>
            </w:r>
            <w:r>
              <w:rPr>
                <w:color w:val="000000"/>
                <w:lang w:eastAsia="en-AU"/>
              </w:rPr>
              <w:t> </w:t>
            </w:r>
            <w:r w:rsidRPr="00617DF1">
              <w:rPr>
                <w:color w:val="000000"/>
                <w:lang w:eastAsia="en-AU"/>
              </w:rPr>
              <w:t>930</w:t>
            </w:r>
          </w:p>
        </w:tc>
        <w:tc>
          <w:tcPr>
            <w:tcW w:w="907" w:type="dxa"/>
            <w:tcBorders>
              <w:top w:val="single" w:sz="6" w:space="0" w:color="auto"/>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22</w:t>
            </w:r>
            <w:r>
              <w:rPr>
                <w:color w:val="000000"/>
                <w:lang w:eastAsia="en-AU"/>
              </w:rPr>
              <w:t> </w:t>
            </w:r>
            <w:r w:rsidRPr="00617DF1">
              <w:rPr>
                <w:color w:val="000000"/>
                <w:lang w:eastAsia="en-AU"/>
              </w:rPr>
              <w:t>000</w:t>
            </w:r>
          </w:p>
        </w:tc>
        <w:tc>
          <w:tcPr>
            <w:tcW w:w="906" w:type="dxa"/>
            <w:tcBorders>
              <w:top w:val="single" w:sz="6" w:space="0" w:color="auto"/>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23</w:t>
            </w:r>
            <w:r>
              <w:rPr>
                <w:color w:val="000000"/>
                <w:lang w:eastAsia="en-AU"/>
              </w:rPr>
              <w:t> </w:t>
            </w:r>
            <w:r w:rsidRPr="00617DF1">
              <w:rPr>
                <w:color w:val="000000"/>
                <w:lang w:eastAsia="en-AU"/>
              </w:rPr>
              <w:t>997</w:t>
            </w:r>
          </w:p>
        </w:tc>
      </w:tr>
      <w:tr w:rsidR="00B958B1" w:rsidRPr="00213667" w:rsidTr="009F3B54">
        <w:trPr>
          <w:gridAfter w:val="1"/>
          <w:wAfter w:w="6" w:type="dxa"/>
          <w:cantSplit/>
        </w:trPr>
        <w:tc>
          <w:tcPr>
            <w:tcW w:w="7776" w:type="dxa"/>
            <w:gridSpan w:val="6"/>
            <w:tcBorders>
              <w:left w:val="nil"/>
              <w:bottom w:val="single" w:sz="6" w:space="0" w:color="auto"/>
              <w:right w:val="nil"/>
            </w:tcBorders>
            <w:shd w:val="clear" w:color="000000" w:fill="FFFFFF"/>
          </w:tcPr>
          <w:p w:rsidR="00B958B1" w:rsidRDefault="00B958B1" w:rsidP="009F3B54">
            <w:pPr>
              <w:pStyle w:val="OGNotes"/>
            </w:pPr>
            <w:r>
              <w:t>The 2012</w:t>
            </w:r>
            <w:r w:rsidR="009F0F49">
              <w:noBreakHyphen/>
            </w:r>
            <w:r>
              <w:t>13 Expected Outcome is lower than the 2012</w:t>
            </w:r>
            <w:r w:rsidR="009F0F49">
              <w:noBreakHyphen/>
            </w:r>
            <w:r>
              <w:t>13 Target due to a change in the counting methodology.</w:t>
            </w:r>
          </w:p>
          <w:p w:rsidR="00B958B1" w:rsidRPr="00213667" w:rsidRDefault="00B958B1" w:rsidP="009F3B54">
            <w:pPr>
              <w:pStyle w:val="OGNotes"/>
            </w:pPr>
            <w:r>
              <w:t>The lower 2013</w:t>
            </w:r>
            <w:r w:rsidR="009F0F49">
              <w:noBreakHyphen/>
            </w:r>
            <w:r>
              <w:t xml:space="preserve">14 Target reflects an updated forecast in the number of eligible households. </w:t>
            </w:r>
          </w:p>
        </w:tc>
      </w:tr>
      <w:tr w:rsidR="00B958B1" w:rsidRPr="00617DF1"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Households receiving pensioner concessions for municipal rates and charges</w:t>
            </w:r>
          </w:p>
        </w:tc>
        <w:tc>
          <w:tcPr>
            <w:tcW w:w="908" w:type="dxa"/>
            <w:tcBorders>
              <w:top w:val="single" w:sz="6" w:space="0" w:color="auto"/>
              <w:left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427</w:t>
            </w:r>
            <w:r>
              <w:rPr>
                <w:color w:val="000000"/>
                <w:lang w:eastAsia="en-AU"/>
              </w:rPr>
              <w:t> </w:t>
            </w:r>
            <w:r w:rsidRPr="00617DF1">
              <w:rPr>
                <w:color w:val="000000"/>
                <w:lang w:eastAsia="en-AU"/>
              </w:rPr>
              <w:t>000</w:t>
            </w:r>
          </w:p>
        </w:tc>
        <w:tc>
          <w:tcPr>
            <w:tcW w:w="994" w:type="dxa"/>
            <w:tcBorders>
              <w:top w:val="single" w:sz="6" w:space="0" w:color="auto"/>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422</w:t>
            </w:r>
            <w:r>
              <w:rPr>
                <w:color w:val="000000"/>
                <w:lang w:eastAsia="en-AU"/>
              </w:rPr>
              <w:t> </w:t>
            </w:r>
            <w:r w:rsidRPr="00617DF1">
              <w:rPr>
                <w:color w:val="000000"/>
                <w:lang w:eastAsia="en-AU"/>
              </w:rPr>
              <w:t>874</w:t>
            </w:r>
          </w:p>
        </w:tc>
        <w:tc>
          <w:tcPr>
            <w:tcW w:w="907" w:type="dxa"/>
            <w:tcBorders>
              <w:top w:val="single" w:sz="6" w:space="0" w:color="auto"/>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434</w:t>
            </w:r>
            <w:r>
              <w:rPr>
                <w:color w:val="000000"/>
                <w:lang w:eastAsia="en-AU"/>
              </w:rPr>
              <w:t> </w:t>
            </w:r>
            <w:r w:rsidRPr="00617DF1">
              <w:rPr>
                <w:color w:val="000000"/>
                <w:lang w:eastAsia="en-AU"/>
              </w:rPr>
              <w:t>500</w:t>
            </w:r>
          </w:p>
        </w:tc>
        <w:tc>
          <w:tcPr>
            <w:tcW w:w="906" w:type="dxa"/>
            <w:tcBorders>
              <w:top w:val="single" w:sz="6" w:space="0" w:color="auto"/>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423</w:t>
            </w:r>
            <w:r>
              <w:rPr>
                <w:color w:val="000000"/>
                <w:lang w:eastAsia="en-AU"/>
              </w:rPr>
              <w:t> </w:t>
            </w:r>
            <w:r w:rsidRPr="00617DF1">
              <w:rPr>
                <w:color w:val="000000"/>
                <w:lang w:eastAsia="en-AU"/>
              </w:rPr>
              <w:t>327</w:t>
            </w:r>
          </w:p>
        </w:tc>
      </w:tr>
      <w:tr w:rsidR="00B958B1" w:rsidRPr="006C1F53" w:rsidTr="009F3B54">
        <w:trPr>
          <w:gridAfter w:val="1"/>
          <w:wAfter w:w="6" w:type="dxa"/>
          <w:cantSplit/>
        </w:trPr>
        <w:tc>
          <w:tcPr>
            <w:tcW w:w="7776" w:type="dxa"/>
            <w:gridSpan w:val="6"/>
            <w:tcBorders>
              <w:left w:val="nil"/>
              <w:bottom w:val="single" w:sz="6" w:space="0" w:color="auto"/>
              <w:right w:val="nil"/>
            </w:tcBorders>
            <w:shd w:val="clear" w:color="000000" w:fill="FFFFFF"/>
          </w:tcPr>
          <w:p w:rsidR="00B958B1" w:rsidRPr="006C1F53" w:rsidRDefault="00B958B1" w:rsidP="009F3B54">
            <w:pPr>
              <w:pStyle w:val="OGNotes"/>
            </w:pPr>
            <w:r>
              <w:t>The lower 2013</w:t>
            </w:r>
            <w:r w:rsidR="009F0F49">
              <w:noBreakHyphen/>
            </w:r>
            <w:r>
              <w:t xml:space="preserve">14 Target reflects an updated forecast in the number of eligible households. </w:t>
            </w:r>
          </w:p>
        </w:tc>
      </w:tr>
      <w:tr w:rsidR="00B958B1" w:rsidRPr="00617DF1"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Households receiving water and sewerage concessions</w:t>
            </w:r>
          </w:p>
        </w:tc>
        <w:tc>
          <w:tcPr>
            <w:tcW w:w="908" w:type="dxa"/>
            <w:tcBorders>
              <w:top w:val="single" w:sz="6" w:space="0" w:color="auto"/>
              <w:left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683</w:t>
            </w:r>
            <w:r>
              <w:rPr>
                <w:color w:val="000000"/>
                <w:lang w:eastAsia="en-AU"/>
              </w:rPr>
              <w:t> </w:t>
            </w:r>
            <w:r w:rsidRPr="00617DF1">
              <w:rPr>
                <w:color w:val="000000"/>
                <w:lang w:eastAsia="en-AU"/>
              </w:rPr>
              <w:t>500</w:t>
            </w:r>
          </w:p>
        </w:tc>
        <w:tc>
          <w:tcPr>
            <w:tcW w:w="994" w:type="dxa"/>
            <w:tcBorders>
              <w:top w:val="single" w:sz="6" w:space="0" w:color="auto"/>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676</w:t>
            </w:r>
            <w:r>
              <w:rPr>
                <w:color w:val="000000"/>
                <w:lang w:eastAsia="en-AU"/>
              </w:rPr>
              <w:t> </w:t>
            </w:r>
            <w:r w:rsidRPr="00617DF1">
              <w:rPr>
                <w:color w:val="000000"/>
                <w:lang w:eastAsia="en-AU"/>
              </w:rPr>
              <w:t>138</w:t>
            </w:r>
          </w:p>
        </w:tc>
        <w:tc>
          <w:tcPr>
            <w:tcW w:w="907" w:type="dxa"/>
            <w:tcBorders>
              <w:top w:val="single" w:sz="6" w:space="0" w:color="auto"/>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683</w:t>
            </w:r>
            <w:r>
              <w:rPr>
                <w:color w:val="000000"/>
                <w:lang w:eastAsia="en-AU"/>
              </w:rPr>
              <w:t> </w:t>
            </w:r>
            <w:r w:rsidRPr="00617DF1">
              <w:rPr>
                <w:color w:val="000000"/>
                <w:lang w:eastAsia="en-AU"/>
              </w:rPr>
              <w:t>700</w:t>
            </w:r>
          </w:p>
        </w:tc>
        <w:tc>
          <w:tcPr>
            <w:tcW w:w="906" w:type="dxa"/>
            <w:tcBorders>
              <w:top w:val="single" w:sz="6" w:space="0" w:color="auto"/>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669</w:t>
            </w:r>
            <w:r>
              <w:rPr>
                <w:color w:val="000000"/>
                <w:lang w:eastAsia="en-AU"/>
              </w:rPr>
              <w:t> </w:t>
            </w:r>
            <w:r w:rsidRPr="00617DF1">
              <w:rPr>
                <w:color w:val="000000"/>
                <w:lang w:eastAsia="en-AU"/>
              </w:rPr>
              <w:t>263</w:t>
            </w:r>
          </w:p>
        </w:tc>
      </w:tr>
      <w:tr w:rsidR="00B958B1" w:rsidRPr="00617DF1" w:rsidTr="009F3B54">
        <w:trPr>
          <w:gridAfter w:val="1"/>
          <w:wAfter w:w="6" w:type="dxa"/>
          <w:cantSplit/>
        </w:trPr>
        <w:tc>
          <w:tcPr>
            <w:tcW w:w="7776" w:type="dxa"/>
            <w:gridSpan w:val="6"/>
            <w:tcBorders>
              <w:left w:val="nil"/>
              <w:bottom w:val="single" w:sz="6" w:space="0" w:color="auto"/>
              <w:right w:val="nil"/>
            </w:tcBorders>
            <w:shd w:val="clear" w:color="000000" w:fill="FFFFFF"/>
          </w:tcPr>
          <w:p w:rsidR="00B958B1" w:rsidRPr="00143BE1" w:rsidRDefault="00B958B1" w:rsidP="009F3B54">
            <w:pPr>
              <w:pStyle w:val="OGNotes"/>
            </w:pPr>
            <w:r>
              <w:t>The lower 2013</w:t>
            </w:r>
            <w:r w:rsidR="009F0F49">
              <w:noBreakHyphen/>
            </w:r>
            <w:r>
              <w:t xml:space="preserve">14 Target reflects an updated forecast in the number of eligible households. </w:t>
            </w:r>
          </w:p>
        </w:tc>
      </w:tr>
      <w:tr w:rsidR="00B958B1" w:rsidRPr="00617DF1"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Number of clients receiving trustee services</w:t>
            </w:r>
          </w:p>
        </w:tc>
        <w:tc>
          <w:tcPr>
            <w:tcW w:w="908" w:type="dxa"/>
            <w:tcBorders>
              <w:top w:val="single" w:sz="6" w:space="0" w:color="auto"/>
              <w:left w:val="nil"/>
              <w:bottom w:val="single" w:sz="6" w:space="0" w:color="auto"/>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14</w:t>
            </w:r>
            <w:r>
              <w:rPr>
                <w:color w:val="000000"/>
                <w:lang w:eastAsia="en-AU"/>
              </w:rPr>
              <w:t> </w:t>
            </w:r>
            <w:r w:rsidRPr="00617DF1">
              <w:rPr>
                <w:color w:val="000000"/>
                <w:lang w:eastAsia="en-AU"/>
              </w:rPr>
              <w:t>600</w:t>
            </w:r>
          </w:p>
        </w:tc>
        <w:tc>
          <w:tcPr>
            <w:tcW w:w="994" w:type="dxa"/>
            <w:tcBorders>
              <w:top w:val="single" w:sz="6" w:space="0" w:color="auto"/>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14</w:t>
            </w:r>
            <w:r>
              <w:rPr>
                <w:color w:val="000000"/>
                <w:lang w:eastAsia="en-AU"/>
              </w:rPr>
              <w:t> </w:t>
            </w:r>
            <w:r w:rsidRPr="00617DF1">
              <w:rPr>
                <w:color w:val="000000"/>
                <w:lang w:eastAsia="en-AU"/>
              </w:rPr>
              <w:t>600</w:t>
            </w:r>
          </w:p>
        </w:tc>
        <w:tc>
          <w:tcPr>
            <w:tcW w:w="907" w:type="dxa"/>
            <w:tcBorders>
              <w:top w:val="single" w:sz="6" w:space="0" w:color="auto"/>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14</w:t>
            </w:r>
            <w:r>
              <w:rPr>
                <w:color w:val="000000"/>
                <w:lang w:eastAsia="en-AU"/>
              </w:rPr>
              <w:t> </w:t>
            </w:r>
            <w:r w:rsidRPr="00617DF1">
              <w:rPr>
                <w:color w:val="000000"/>
                <w:lang w:eastAsia="en-AU"/>
              </w:rPr>
              <w:t>600</w:t>
            </w:r>
          </w:p>
        </w:tc>
        <w:tc>
          <w:tcPr>
            <w:tcW w:w="906" w:type="dxa"/>
            <w:tcBorders>
              <w:top w:val="single" w:sz="6" w:space="0" w:color="auto"/>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14</w:t>
            </w:r>
            <w:r>
              <w:rPr>
                <w:color w:val="000000"/>
                <w:lang w:eastAsia="en-AU"/>
              </w:rPr>
              <w:t> </w:t>
            </w:r>
            <w:r w:rsidRPr="00617DF1">
              <w:rPr>
                <w:color w:val="000000"/>
                <w:lang w:eastAsia="en-AU"/>
              </w:rPr>
              <w:t>019</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Quality</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17DF1" w:rsidRDefault="00B958B1" w:rsidP="009F3B54">
            <w:pPr>
              <w:pStyle w:val="OGTabText"/>
              <w:rPr>
                <w:color w:val="000000"/>
                <w:lang w:eastAsia="en-AU"/>
              </w:rPr>
            </w:pPr>
            <w:r>
              <w:rPr>
                <w:color w:val="000000"/>
                <w:lang w:eastAsia="en-AU"/>
              </w:rPr>
              <w:t>Percentage</w:t>
            </w:r>
            <w:r w:rsidRPr="00617DF1">
              <w:rPr>
                <w:color w:val="000000"/>
                <w:lang w:eastAsia="en-AU"/>
              </w:rPr>
              <w:t xml:space="preserve"> of Community Service Agreement performance targets that have been achieved by State Trustees</w:t>
            </w:r>
          </w:p>
        </w:tc>
        <w:tc>
          <w:tcPr>
            <w:tcW w:w="908" w:type="dxa"/>
            <w:tcBorders>
              <w:top w:val="nil"/>
              <w:left w:val="nil"/>
              <w:bottom w:val="single" w:sz="6" w:space="0" w:color="auto"/>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90</w:t>
            </w:r>
          </w:p>
        </w:tc>
        <w:tc>
          <w:tcPr>
            <w:tcW w:w="994"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90</w:t>
            </w:r>
          </w:p>
        </w:tc>
        <w:tc>
          <w:tcPr>
            <w:tcW w:w="907"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90</w:t>
            </w:r>
          </w:p>
        </w:tc>
        <w:tc>
          <w:tcPr>
            <w:tcW w:w="906"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93.8</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Timeliness</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17DF1" w:rsidRDefault="00B958B1" w:rsidP="009F3B54">
            <w:pPr>
              <w:pStyle w:val="OGTabText"/>
              <w:rPr>
                <w:color w:val="000000"/>
                <w:lang w:eastAsia="en-AU"/>
              </w:rPr>
            </w:pPr>
            <w:r>
              <w:rPr>
                <w:color w:val="000000"/>
                <w:lang w:eastAsia="en-AU"/>
              </w:rPr>
              <w:t>Percentage</w:t>
            </w:r>
            <w:r w:rsidRPr="00617DF1">
              <w:rPr>
                <w:color w:val="000000"/>
                <w:lang w:eastAsia="en-AU"/>
              </w:rPr>
              <w:t xml:space="preserve"> of customer requests answered by State Trustees within the timelines set in the Community Service Agreement</w:t>
            </w:r>
          </w:p>
        </w:tc>
        <w:tc>
          <w:tcPr>
            <w:tcW w:w="908" w:type="dxa"/>
            <w:tcBorders>
              <w:top w:val="nil"/>
              <w:left w:val="nil"/>
              <w:bottom w:val="single" w:sz="6" w:space="0" w:color="auto"/>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90</w:t>
            </w:r>
          </w:p>
        </w:tc>
        <w:tc>
          <w:tcPr>
            <w:tcW w:w="994"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90</w:t>
            </w:r>
          </w:p>
        </w:tc>
        <w:tc>
          <w:tcPr>
            <w:tcW w:w="907"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90</w:t>
            </w:r>
          </w:p>
        </w:tc>
        <w:tc>
          <w:tcPr>
            <w:tcW w:w="906"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91.2</w:t>
            </w:r>
          </w:p>
        </w:tc>
      </w:tr>
      <w:tr w:rsidR="00B958B1" w:rsidRPr="00617DF1"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Cost</w:t>
            </w:r>
          </w:p>
        </w:tc>
        <w:tc>
          <w:tcPr>
            <w:tcW w:w="908" w:type="dxa"/>
            <w:tcBorders>
              <w:top w:val="single" w:sz="6" w:space="0" w:color="auto"/>
              <w:left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Total output cost</w:t>
            </w:r>
          </w:p>
        </w:tc>
        <w:tc>
          <w:tcPr>
            <w:tcW w:w="908" w:type="dxa"/>
            <w:tcBorders>
              <w:top w:val="nil"/>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w:t>
            </w:r>
            <w:r>
              <w:rPr>
                <w:color w:val="000000"/>
                <w:lang w:eastAsia="en-AU"/>
              </w:rPr>
              <w:t> million</w:t>
            </w:r>
          </w:p>
        </w:tc>
        <w:tc>
          <w:tcPr>
            <w:tcW w:w="907" w:type="dxa"/>
            <w:tcBorders>
              <w:top w:val="nil"/>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535.3</w:t>
            </w:r>
          </w:p>
        </w:tc>
        <w:tc>
          <w:tcPr>
            <w:tcW w:w="994"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515.9</w:t>
            </w:r>
          </w:p>
        </w:tc>
        <w:tc>
          <w:tcPr>
            <w:tcW w:w="907"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518.1</w:t>
            </w:r>
          </w:p>
        </w:tc>
        <w:tc>
          <w:tcPr>
            <w:tcW w:w="906"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488.8</w:t>
            </w:r>
          </w:p>
        </w:tc>
      </w:tr>
      <w:tr w:rsidR="00B958B1" w:rsidRPr="00617DF1" w:rsidTr="009F3B54">
        <w:trPr>
          <w:gridAfter w:val="1"/>
          <w:wAfter w:w="6" w:type="dxa"/>
          <w:cantSplit/>
        </w:trPr>
        <w:tc>
          <w:tcPr>
            <w:tcW w:w="7776" w:type="dxa"/>
            <w:gridSpan w:val="6"/>
            <w:tcBorders>
              <w:top w:val="nil"/>
              <w:left w:val="nil"/>
              <w:bottom w:val="single" w:sz="12" w:space="0" w:color="auto"/>
              <w:right w:val="nil"/>
            </w:tcBorders>
            <w:shd w:val="clear" w:color="000000" w:fill="FFFFFF"/>
          </w:tcPr>
          <w:p w:rsidR="00B958B1" w:rsidRPr="00250324" w:rsidRDefault="00B958B1" w:rsidP="009F3B54">
            <w:pPr>
              <w:pStyle w:val="OGNotes"/>
            </w:pPr>
            <w:r>
              <w:t>The higher 2013</w:t>
            </w:r>
            <w:r w:rsidR="009F0F49">
              <w:noBreakHyphen/>
            </w:r>
            <w:r>
              <w:t xml:space="preserve">14 Target </w:t>
            </w:r>
            <w:r w:rsidRPr="00250324">
              <w:t xml:space="preserve">primarily reflects additional funding provided in the </w:t>
            </w:r>
            <w:r w:rsidRPr="00C03590">
              <w:rPr>
                <w:i w:val="0"/>
              </w:rPr>
              <w:t>2013</w:t>
            </w:r>
            <w:r w:rsidR="009F0F49">
              <w:rPr>
                <w:i w:val="0"/>
              </w:rPr>
              <w:noBreakHyphen/>
            </w:r>
            <w:r w:rsidRPr="00C03590">
              <w:rPr>
                <w:i w:val="0"/>
              </w:rPr>
              <w:t>14 Budget</w:t>
            </w:r>
            <w:r w:rsidRPr="00250324">
              <w:t>, and the full year effect of initiative funding announced in previous years’ budgets.</w:t>
            </w:r>
          </w:p>
        </w:tc>
      </w:tr>
    </w:tbl>
    <w:p w:rsidR="00B958B1" w:rsidRDefault="00B958B1" w:rsidP="009F3B54">
      <w:pPr>
        <w:pStyle w:val="Source"/>
        <w:rPr>
          <w:lang w:eastAsia="en-AU"/>
        </w:rPr>
      </w:pPr>
      <w:r>
        <w:rPr>
          <w:lang w:eastAsia="en-AU"/>
        </w:rPr>
        <w:t xml:space="preserve">Source: Department of Human Services </w:t>
      </w:r>
    </w:p>
    <w:p w:rsidR="00B958B1" w:rsidRDefault="00B958B1" w:rsidP="009F3B54">
      <w:pPr>
        <w:pStyle w:val="Source"/>
        <w:rPr>
          <w:lang w:eastAsia="en-AU"/>
        </w:rPr>
      </w:pPr>
      <w:r>
        <w:rPr>
          <w:lang w:eastAsia="en-AU"/>
        </w:rPr>
        <w:fldChar w:fldCharType="begin"/>
      </w:r>
      <w:r>
        <w:instrText xml:space="preserve"> XE "</w:instrText>
      </w:r>
      <w:r w:rsidRPr="001D2EA6">
        <w:rPr>
          <w:lang w:eastAsia="en-AU"/>
        </w:rPr>
        <w:instrText>Department of Human Services</w:instrText>
      </w:r>
      <w:r w:rsidRPr="001D2EA6">
        <w:instrText>:Concessions to Pensioners and Beneficiaries</w:instrText>
      </w:r>
      <w:r>
        <w:instrText xml:space="preserve">" \r "BP3DHSConcessPensioners" </w:instrText>
      </w:r>
      <w:r>
        <w:rPr>
          <w:lang w:eastAsia="en-AU"/>
        </w:rPr>
        <w:fldChar w:fldCharType="end"/>
      </w:r>
    </w:p>
    <w:bookmarkEnd w:id="116"/>
    <w:p w:rsidR="00B958B1" w:rsidRPr="00617DF1" w:rsidRDefault="00B958B1" w:rsidP="009F3B54">
      <w:pPr>
        <w:pStyle w:val="OGHeading1"/>
        <w:rPr>
          <w:lang w:eastAsia="en-AU"/>
        </w:rPr>
      </w:pPr>
      <w:r>
        <w:rPr>
          <w:lang w:eastAsia="en-AU"/>
        </w:rPr>
        <w:br w:type="page"/>
      </w:r>
      <w:bookmarkStart w:id="117" w:name="BP3DHSHousingAss"/>
      <w:r w:rsidRPr="00617DF1">
        <w:rPr>
          <w:lang w:eastAsia="en-AU"/>
        </w:rPr>
        <w:t>Housing Assistance</w:t>
      </w:r>
    </w:p>
    <w:p w:rsidR="00B958B1" w:rsidRPr="00617DF1" w:rsidRDefault="00B958B1" w:rsidP="009F3B54">
      <w:pPr>
        <w:pStyle w:val="OGText"/>
        <w:rPr>
          <w:lang w:eastAsia="en-AU"/>
        </w:rPr>
      </w:pPr>
      <w:r>
        <w:rPr>
          <w:lang w:eastAsia="en-AU"/>
        </w:rPr>
        <w:t xml:space="preserve">The </w:t>
      </w:r>
      <w:r w:rsidRPr="00617DF1">
        <w:rPr>
          <w:lang w:eastAsia="en-AU"/>
        </w:rPr>
        <w:t>Housing Assistance output, through the provision of homelessness services, crisis and tran</w:t>
      </w:r>
      <w:r>
        <w:rPr>
          <w:lang w:eastAsia="en-AU"/>
        </w:rPr>
        <w:t>sitional accommodation and long</w:t>
      </w:r>
      <w:r w:rsidR="009F0F49">
        <w:rPr>
          <w:lang w:eastAsia="en-AU"/>
        </w:rPr>
        <w:noBreakHyphen/>
      </w:r>
      <w:r w:rsidRPr="00617DF1">
        <w:rPr>
          <w:lang w:eastAsia="en-AU"/>
        </w:rPr>
        <w:t>term adequate, affordable and accessible housing assistance, coordinated with support services where required, home renovation assistance and the management of the home loan portfolio, aim</w:t>
      </w:r>
      <w:r>
        <w:rPr>
          <w:lang w:eastAsia="en-AU"/>
        </w:rPr>
        <w:t>s</w:t>
      </w:r>
      <w:r w:rsidRPr="00617DF1">
        <w:rPr>
          <w:lang w:eastAsia="en-AU"/>
        </w:rPr>
        <w:t xml:space="preserve"> to make a positive difference for Victorians experiencing disa</w:t>
      </w:r>
      <w:r>
        <w:rPr>
          <w:lang w:eastAsia="en-AU"/>
        </w:rPr>
        <w:t xml:space="preserve">dvantage by providing excellent </w:t>
      </w:r>
      <w:r w:rsidRPr="00617DF1">
        <w:rPr>
          <w:lang w:eastAsia="en-AU"/>
        </w:rPr>
        <w:t>housing and community services to meet clients</w:t>
      </w:r>
      <w:r>
        <w:rPr>
          <w:lang w:eastAsia="en-AU"/>
        </w:rPr>
        <w:t>’</w:t>
      </w:r>
      <w:r w:rsidRPr="00617DF1">
        <w:rPr>
          <w:lang w:eastAsia="en-AU"/>
        </w:rPr>
        <w:t xml:space="preserve"> needs.</w:t>
      </w:r>
    </w:p>
    <w:tbl>
      <w:tblPr>
        <w:tblW w:w="7782" w:type="dxa"/>
        <w:tblInd w:w="29" w:type="dxa"/>
        <w:tblLayout w:type="fixed"/>
        <w:tblCellMar>
          <w:left w:w="43" w:type="dxa"/>
          <w:right w:w="43" w:type="dxa"/>
        </w:tblCellMar>
        <w:tblLook w:val="04A0" w:firstRow="1" w:lastRow="0" w:firstColumn="1" w:lastColumn="0" w:noHBand="0" w:noVBand="1"/>
      </w:tblPr>
      <w:tblGrid>
        <w:gridCol w:w="3154"/>
        <w:gridCol w:w="908"/>
        <w:gridCol w:w="907"/>
        <w:gridCol w:w="994"/>
        <w:gridCol w:w="907"/>
        <w:gridCol w:w="906"/>
        <w:gridCol w:w="6"/>
      </w:tblGrid>
      <w:tr w:rsidR="00B958B1" w:rsidRPr="00D32CA4" w:rsidTr="009F3B54">
        <w:trPr>
          <w:cantSplit/>
          <w:tblHeader/>
        </w:trPr>
        <w:tc>
          <w:tcPr>
            <w:tcW w:w="3154" w:type="dxa"/>
            <w:tcBorders>
              <w:top w:val="single" w:sz="4" w:space="0" w:color="auto"/>
              <w:left w:val="single" w:sz="4" w:space="0" w:color="auto"/>
              <w:bottom w:val="single" w:sz="4" w:space="0" w:color="auto"/>
              <w:right w:val="nil"/>
            </w:tcBorders>
            <w:shd w:val="clear" w:color="auto" w:fill="000000"/>
            <w:vAlign w:val="bottom"/>
          </w:tcPr>
          <w:p w:rsidR="00B958B1" w:rsidRPr="00D32CA4" w:rsidRDefault="00B958B1" w:rsidP="009F3B54">
            <w:pPr>
              <w:pStyle w:val="OGTabColLeft"/>
              <w:rPr>
                <w:i/>
              </w:rPr>
            </w:pPr>
            <w:r w:rsidRPr="00D32CA4">
              <w:t>Major Outputs/Deliverables</w:t>
            </w:r>
            <w:r w:rsidRPr="00D32CA4">
              <w:br/>
            </w:r>
            <w:r w:rsidRPr="0085011C">
              <w:rPr>
                <w:b w:val="0"/>
                <w:i/>
              </w:rPr>
              <w:t>Performance measures</w:t>
            </w:r>
          </w:p>
        </w:tc>
        <w:tc>
          <w:tcPr>
            <w:tcW w:w="908"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4"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12" w:type="dxa"/>
            <w:gridSpan w:val="2"/>
            <w:tcBorders>
              <w:top w:val="single" w:sz="4" w:space="0" w:color="auto"/>
              <w:left w:val="nil"/>
              <w:bottom w:val="single" w:sz="4" w:space="0" w:color="auto"/>
              <w:right w:val="single" w:sz="4" w:space="0" w:color="auto"/>
            </w:tcBorders>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617DF1" w:rsidTr="009F3B54">
        <w:trPr>
          <w:gridAfter w:val="1"/>
          <w:wAfter w:w="6" w:type="dxa"/>
          <w:cantSplit/>
        </w:trPr>
        <w:tc>
          <w:tcPr>
            <w:tcW w:w="7776" w:type="dxa"/>
            <w:gridSpan w:val="6"/>
            <w:tcBorders>
              <w:top w:val="nil"/>
              <w:left w:val="nil"/>
              <w:bottom w:val="nil"/>
              <w:right w:val="nil"/>
            </w:tcBorders>
            <w:shd w:val="clear" w:color="auto" w:fill="auto"/>
            <w:vAlign w:val="bottom"/>
            <w:hideMark/>
          </w:tcPr>
          <w:p w:rsidR="00B958B1" w:rsidRPr="00617DF1" w:rsidRDefault="00B958B1" w:rsidP="009F3B54">
            <w:pPr>
              <w:pStyle w:val="OGHeading2"/>
              <w:rPr>
                <w:lang w:eastAsia="en-AU"/>
              </w:rPr>
            </w:pPr>
            <w:r w:rsidRPr="00617DF1">
              <w:rPr>
                <w:lang w:eastAsia="en-AU"/>
              </w:rPr>
              <w:t>Housing Assistance</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Text"/>
              <w:rPr>
                <w:lang w:eastAsia="en-AU"/>
              </w:rPr>
            </w:pPr>
            <w:r w:rsidRPr="00617DF1">
              <w:rPr>
                <w:lang w:eastAsia="en-AU"/>
              </w:rPr>
              <w:t>This output provides:</w:t>
            </w:r>
          </w:p>
          <w:p w:rsidR="00B958B1" w:rsidRPr="003D5009" w:rsidRDefault="00B958B1" w:rsidP="009F3B54">
            <w:pPr>
              <w:pStyle w:val="OGTabBullet"/>
            </w:pPr>
            <w:r w:rsidRPr="003D5009">
              <w:t>housing assistance for low income families, older pe</w:t>
            </w:r>
            <w:r>
              <w:t>ople</w:t>
            </w:r>
            <w:r w:rsidRPr="003D5009">
              <w:t>, singles, youth, and other households. Responding to the needs of clients through the provision of appropriate accommodation, including short</w:t>
            </w:r>
            <w:r w:rsidR="009F0F49">
              <w:noBreakHyphen/>
            </w:r>
            <w:r w:rsidRPr="003D5009">
              <w:t>term and long</w:t>
            </w:r>
            <w:r w:rsidR="009F0F49">
              <w:noBreakHyphen/>
            </w:r>
            <w:r w:rsidRPr="003D5009">
              <w:t>term properties that assist in reducing and preventing homelessness; and</w:t>
            </w:r>
          </w:p>
          <w:p w:rsidR="00B958B1" w:rsidRPr="003D5009" w:rsidRDefault="00B958B1" w:rsidP="009F3B54">
            <w:pPr>
              <w:pStyle w:val="OGTabBullet"/>
            </w:pPr>
            <w:r w:rsidRPr="003D5009">
              <w:t>housing support services to people who are homeless or at risk of homelessness, in short</w:t>
            </w:r>
            <w:r w:rsidR="009F0F49">
              <w:noBreakHyphen/>
            </w:r>
            <w:r w:rsidRPr="003D5009">
              <w:t>term housing or crisis situations. Support will assist clients in accessing and maintaining tenancies in appropriate accommodation. Services provided will assist in the prevention and overall reduction of homelessness and decrease demand for social housing.</w:t>
            </w:r>
          </w:p>
          <w:p w:rsidR="00B958B1" w:rsidRDefault="00B958B1" w:rsidP="009F3B54">
            <w:pPr>
              <w:pStyle w:val="OGText"/>
              <w:rPr>
                <w:lang w:eastAsia="en-AU"/>
              </w:rPr>
            </w:pPr>
            <w:r w:rsidRPr="00617DF1">
              <w:rPr>
                <w:lang w:eastAsia="en-AU"/>
              </w:rPr>
              <w:t>This output supports the Department</w:t>
            </w:r>
            <w:r>
              <w:rPr>
                <w:lang w:eastAsia="en-AU"/>
              </w:rPr>
              <w:t>’</w:t>
            </w:r>
            <w:r w:rsidRPr="00617DF1">
              <w:rPr>
                <w:lang w:eastAsia="en-AU"/>
              </w:rPr>
              <w:t>s immediate support and quality of life objectives.</w:t>
            </w:r>
          </w:p>
          <w:p w:rsidR="00B958B1" w:rsidRPr="00617DF1" w:rsidRDefault="00B958B1" w:rsidP="009F3B54">
            <w:pPr>
              <w:pStyle w:val="OGNotes"/>
            </w:pPr>
            <w:r w:rsidRPr="006F5628">
              <w:t>This new output for 2013</w:t>
            </w:r>
            <w:r w:rsidR="009F0F49">
              <w:noBreakHyphen/>
            </w:r>
            <w:r w:rsidRPr="006F5628">
              <w:t>14 consolidates the performance measures of the two discontinued 2012</w:t>
            </w:r>
            <w:r w:rsidR="009F0F49">
              <w:noBreakHyphen/>
            </w:r>
            <w:r w:rsidRPr="006F5628">
              <w:t>13 outputs ‘Social Housing’ and ‘Housing Support and Homelessness Assistance’.</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Quantity</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Bond loans provided during year</w:t>
            </w:r>
          </w:p>
        </w:tc>
        <w:tc>
          <w:tcPr>
            <w:tcW w:w="908" w:type="dxa"/>
            <w:tcBorders>
              <w:top w:val="nil"/>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nil"/>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11</w:t>
            </w:r>
            <w:r>
              <w:rPr>
                <w:color w:val="000000"/>
                <w:lang w:eastAsia="en-AU"/>
              </w:rPr>
              <w:t> </w:t>
            </w:r>
            <w:r w:rsidRPr="00617DF1">
              <w:rPr>
                <w:color w:val="000000"/>
                <w:lang w:eastAsia="en-AU"/>
              </w:rPr>
              <w:t>900</w:t>
            </w:r>
          </w:p>
        </w:tc>
        <w:tc>
          <w:tcPr>
            <w:tcW w:w="994"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11</w:t>
            </w:r>
            <w:r>
              <w:rPr>
                <w:color w:val="000000"/>
                <w:lang w:eastAsia="en-AU"/>
              </w:rPr>
              <w:t> </w:t>
            </w:r>
            <w:r w:rsidRPr="00617DF1">
              <w:rPr>
                <w:color w:val="000000"/>
                <w:lang w:eastAsia="en-AU"/>
              </w:rPr>
              <w:t>900</w:t>
            </w:r>
          </w:p>
        </w:tc>
        <w:tc>
          <w:tcPr>
            <w:tcW w:w="907"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11</w:t>
            </w:r>
            <w:r>
              <w:rPr>
                <w:color w:val="000000"/>
                <w:lang w:eastAsia="en-AU"/>
              </w:rPr>
              <w:t> </w:t>
            </w:r>
            <w:r w:rsidRPr="00617DF1">
              <w:rPr>
                <w:color w:val="000000"/>
                <w:lang w:eastAsia="en-AU"/>
              </w:rPr>
              <w:t>300</w:t>
            </w:r>
          </w:p>
        </w:tc>
        <w:tc>
          <w:tcPr>
            <w:tcW w:w="906"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11</w:t>
            </w:r>
            <w:r>
              <w:rPr>
                <w:color w:val="000000"/>
                <w:lang w:eastAsia="en-AU"/>
              </w:rPr>
              <w:t> 747</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17DF1">
              <w:t>This performance measure is transferred directly from the Housing Support and Homelessness Assistance output.</w:t>
            </w:r>
          </w:p>
          <w:p w:rsidR="00B958B1" w:rsidRDefault="00B958B1" w:rsidP="009F3B54">
            <w:pPr>
              <w:pStyle w:val="OGNotes"/>
            </w:pPr>
            <w:r w:rsidRPr="00617DF1">
              <w:t>The 2012</w:t>
            </w:r>
            <w:r w:rsidR="009F0F49">
              <w:noBreakHyphen/>
            </w:r>
            <w:r w:rsidRPr="00617DF1">
              <w:t>13 Expected Outcome is higher than the 2012</w:t>
            </w:r>
            <w:r w:rsidR="009F0F49">
              <w:noBreakHyphen/>
            </w:r>
            <w:r>
              <w:t>13 Target due to increased</w:t>
            </w:r>
            <w:r w:rsidRPr="00617DF1">
              <w:t xml:space="preserve"> demand for bond loans.</w:t>
            </w:r>
          </w:p>
          <w:p w:rsidR="00B958B1" w:rsidRPr="00617DF1" w:rsidRDefault="00B958B1" w:rsidP="009F3B54">
            <w:pPr>
              <w:pStyle w:val="OGNotes"/>
              <w:rPr>
                <w:color w:val="000000"/>
              </w:rPr>
            </w:pPr>
            <w:r w:rsidRPr="00617DF1">
              <w:t>The higher 2013</w:t>
            </w:r>
            <w:r w:rsidR="009F0F49">
              <w:noBreakHyphen/>
            </w:r>
            <w:r w:rsidRPr="00617DF1">
              <w:t>14 Target reflects this increase in demand.</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 xml:space="preserve">Households assisted with housing establishment assistance during </w:t>
            </w:r>
            <w:r>
              <w:rPr>
                <w:color w:val="000000"/>
                <w:lang w:eastAsia="en-AU"/>
              </w:rPr>
              <w:t xml:space="preserve">the </w:t>
            </w:r>
            <w:r w:rsidRPr="00617DF1">
              <w:rPr>
                <w:color w:val="000000"/>
                <w:lang w:eastAsia="en-AU"/>
              </w:rPr>
              <w:t>year</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36</w:t>
            </w:r>
            <w:r>
              <w:rPr>
                <w:color w:val="000000"/>
                <w:lang w:eastAsia="en-AU"/>
              </w:rPr>
              <w:t> </w:t>
            </w:r>
            <w:r w:rsidRPr="00617DF1">
              <w:rPr>
                <w:color w:val="000000"/>
                <w:lang w:eastAsia="en-AU"/>
              </w:rPr>
              <w:t>000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36</w:t>
            </w:r>
            <w:r>
              <w:rPr>
                <w:color w:val="000000"/>
                <w:lang w:eastAsia="en-AU"/>
              </w:rPr>
              <w:t> </w:t>
            </w:r>
            <w:r w:rsidRPr="00617DF1">
              <w:rPr>
                <w:color w:val="000000"/>
                <w:lang w:eastAsia="en-AU"/>
              </w:rPr>
              <w:t>000</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36</w:t>
            </w:r>
            <w:r>
              <w:rPr>
                <w:color w:val="000000"/>
                <w:lang w:eastAsia="en-AU"/>
              </w:rPr>
              <w:t> </w:t>
            </w:r>
            <w:r w:rsidRPr="00617DF1">
              <w:rPr>
                <w:color w:val="000000"/>
                <w:lang w:eastAsia="en-AU"/>
              </w:rPr>
              <w:t>000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36</w:t>
            </w:r>
            <w:r>
              <w:rPr>
                <w:color w:val="000000"/>
                <w:lang w:eastAsia="en-AU"/>
              </w:rPr>
              <w:t> </w:t>
            </w:r>
            <w:r w:rsidRPr="00617DF1">
              <w:rPr>
                <w:color w:val="000000"/>
                <w:lang w:eastAsia="en-AU"/>
              </w:rPr>
              <w:t>000</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Housing Support and Homelessness Assistance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Number of clients assisted to address and prevent homelessness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106</w:t>
            </w:r>
            <w:r>
              <w:rPr>
                <w:color w:val="000000"/>
                <w:lang w:eastAsia="en-AU"/>
              </w:rPr>
              <w:t> </w:t>
            </w:r>
            <w:r w:rsidRPr="00617DF1">
              <w:rPr>
                <w:color w:val="000000"/>
                <w:lang w:eastAsia="en-AU"/>
              </w:rPr>
              <w:t>000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106</w:t>
            </w:r>
            <w:r>
              <w:rPr>
                <w:color w:val="000000"/>
                <w:lang w:eastAsia="en-AU"/>
              </w:rPr>
              <w:t> </w:t>
            </w:r>
            <w:r w:rsidRPr="00617DF1">
              <w:rPr>
                <w:color w:val="000000"/>
                <w:lang w:eastAsia="en-AU"/>
              </w:rPr>
              <w:t>000</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106</w:t>
            </w:r>
            <w:r>
              <w:rPr>
                <w:color w:val="000000"/>
                <w:lang w:eastAsia="en-AU"/>
              </w:rPr>
              <w:t> </w:t>
            </w:r>
            <w:r w:rsidRPr="00617DF1">
              <w:rPr>
                <w:color w:val="000000"/>
                <w:lang w:eastAsia="en-AU"/>
              </w:rPr>
              <w:t>000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nm</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Housing Support and Homelessness Assistance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keepNext/>
              <w:rPr>
                <w:color w:val="000000"/>
                <w:lang w:eastAsia="en-AU"/>
              </w:rPr>
            </w:pPr>
            <w:r w:rsidRPr="00617DF1">
              <w:rPr>
                <w:color w:val="000000"/>
                <w:lang w:eastAsia="en-AU"/>
              </w:rPr>
              <w:t>Number of households assisted with crisis/transitional accommodation</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keepNext/>
              <w:rPr>
                <w:color w:val="000000"/>
                <w:lang w:eastAsia="en-AU"/>
              </w:rPr>
            </w:pPr>
            <w:r w:rsidRPr="00617DF1">
              <w:rPr>
                <w:color w:val="000000"/>
                <w:lang w:eastAsia="en-AU"/>
              </w:rPr>
              <w:t>number</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keepNext/>
              <w:rPr>
                <w:color w:val="000000"/>
                <w:lang w:eastAsia="en-AU"/>
              </w:rPr>
            </w:pPr>
            <w:r w:rsidRPr="00617DF1">
              <w:rPr>
                <w:color w:val="000000"/>
                <w:lang w:eastAsia="en-AU"/>
              </w:rPr>
              <w:t>9</w:t>
            </w:r>
            <w:r>
              <w:rPr>
                <w:color w:val="000000"/>
                <w:lang w:eastAsia="en-AU"/>
              </w:rPr>
              <w:t> </w:t>
            </w:r>
            <w:r w:rsidRPr="00617DF1">
              <w:rPr>
                <w:color w:val="000000"/>
                <w:lang w:eastAsia="en-AU"/>
              </w:rPr>
              <w:t>400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9</w:t>
            </w:r>
            <w:r>
              <w:rPr>
                <w:color w:val="000000"/>
                <w:lang w:eastAsia="en-AU"/>
              </w:rPr>
              <w:t> </w:t>
            </w:r>
            <w:r w:rsidRPr="00617DF1">
              <w:rPr>
                <w:color w:val="000000"/>
                <w:lang w:eastAsia="en-AU"/>
              </w:rPr>
              <w:t>400</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9</w:t>
            </w:r>
            <w:r>
              <w:rPr>
                <w:color w:val="000000"/>
                <w:lang w:eastAsia="en-AU"/>
              </w:rPr>
              <w:t> </w:t>
            </w:r>
            <w:r w:rsidRPr="00617DF1">
              <w:rPr>
                <w:color w:val="000000"/>
                <w:lang w:eastAsia="en-AU"/>
              </w:rPr>
              <w:t>800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9</w:t>
            </w:r>
            <w:r>
              <w:rPr>
                <w:color w:val="000000"/>
                <w:lang w:eastAsia="en-AU"/>
              </w:rPr>
              <w:t> </w:t>
            </w:r>
            <w:r w:rsidRPr="00617DF1">
              <w:rPr>
                <w:color w:val="000000"/>
                <w:lang w:eastAsia="en-AU"/>
              </w:rPr>
              <w:t>152</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ind w:left="357" w:right="113"/>
            </w:pPr>
            <w:r w:rsidRPr="00617DF1">
              <w:t>This performance measure is transferred directly from the Social Housing output.</w:t>
            </w:r>
            <w:r>
              <w:t xml:space="preserve"> </w:t>
            </w:r>
          </w:p>
          <w:p w:rsidR="00B958B1" w:rsidRPr="0010066A" w:rsidRDefault="00B958B1" w:rsidP="009F3B54">
            <w:pPr>
              <w:pStyle w:val="OGNotes"/>
              <w:ind w:left="357" w:right="113"/>
            </w:pPr>
            <w:r w:rsidRPr="00CA3D1A">
              <w:t>The lower 2013</w:t>
            </w:r>
            <w:r w:rsidR="009F0F49">
              <w:noBreakHyphen/>
            </w:r>
            <w:r w:rsidRPr="00CA3D1A">
              <w:t>14 Target reflects lower turnover rates in transitional housing management (THM) properties. Lower turnover rates in THM are due to the lack of affordable options in the private rental market, together with low public housing exit rates.</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Number o</w:t>
            </w:r>
            <w:r>
              <w:rPr>
                <w:color w:val="000000"/>
                <w:lang w:eastAsia="en-AU"/>
              </w:rPr>
              <w:t>f households assisted with long</w:t>
            </w:r>
            <w:r w:rsidR="009F0F49">
              <w:rPr>
                <w:color w:val="000000"/>
                <w:lang w:eastAsia="en-AU"/>
              </w:rPr>
              <w:noBreakHyphen/>
            </w:r>
            <w:r w:rsidRPr="00617DF1">
              <w:rPr>
                <w:color w:val="000000"/>
                <w:lang w:eastAsia="en-AU"/>
              </w:rPr>
              <w:t>term social housing (public</w:t>
            </w:r>
            <w:r>
              <w:rPr>
                <w:color w:val="000000"/>
                <w:lang w:eastAsia="en-AU"/>
              </w:rPr>
              <w:t>, Indigenous and community long</w:t>
            </w:r>
            <w:r w:rsidR="009F0F49">
              <w:rPr>
                <w:color w:val="000000"/>
                <w:lang w:eastAsia="en-AU"/>
              </w:rPr>
              <w:noBreakHyphen/>
            </w:r>
            <w:r w:rsidRPr="00617DF1">
              <w:rPr>
                <w:color w:val="000000"/>
                <w:lang w:eastAsia="en-AU"/>
              </w:rPr>
              <w:t>term tenancies at end</w:t>
            </w:r>
            <w:r w:rsidR="009F0F49">
              <w:rPr>
                <w:color w:val="000000"/>
                <w:lang w:eastAsia="en-AU"/>
              </w:rPr>
              <w:noBreakHyphen/>
            </w:r>
            <w:r w:rsidRPr="00617DF1">
              <w:rPr>
                <w:color w:val="000000"/>
                <w:lang w:eastAsia="en-AU"/>
              </w:rPr>
              <w:t>of</w:t>
            </w:r>
            <w:r w:rsidR="009F0F49">
              <w:rPr>
                <w:color w:val="000000"/>
                <w:lang w:eastAsia="en-AU"/>
              </w:rPr>
              <w:noBreakHyphen/>
            </w:r>
            <w:r w:rsidRPr="00617DF1">
              <w:rPr>
                <w:color w:val="000000"/>
                <w:lang w:eastAsia="en-AU"/>
              </w:rPr>
              <w:t>year)</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77</w:t>
            </w:r>
            <w:r>
              <w:rPr>
                <w:color w:val="000000"/>
                <w:lang w:eastAsia="en-AU"/>
              </w:rPr>
              <w:t> </w:t>
            </w:r>
            <w:r w:rsidRPr="00617DF1">
              <w:rPr>
                <w:color w:val="000000"/>
                <w:lang w:eastAsia="en-AU"/>
              </w:rPr>
              <w:t>303</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77</w:t>
            </w:r>
            <w:r>
              <w:rPr>
                <w:color w:val="000000"/>
                <w:lang w:eastAsia="en-AU"/>
              </w:rPr>
              <w:t> </w:t>
            </w:r>
            <w:r w:rsidRPr="00617DF1">
              <w:rPr>
                <w:color w:val="000000"/>
                <w:lang w:eastAsia="en-AU"/>
              </w:rPr>
              <w:t>067</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77</w:t>
            </w:r>
            <w:r>
              <w:rPr>
                <w:color w:val="000000"/>
                <w:lang w:eastAsia="en-AU"/>
              </w:rPr>
              <w:t> </w:t>
            </w:r>
            <w:r w:rsidRPr="00617DF1">
              <w:rPr>
                <w:color w:val="000000"/>
                <w:lang w:eastAsia="en-AU"/>
              </w:rPr>
              <w:t>000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76</w:t>
            </w:r>
            <w:r>
              <w:rPr>
                <w:color w:val="000000"/>
                <w:lang w:eastAsia="en-AU"/>
              </w:rPr>
              <w:t> </w:t>
            </w:r>
            <w:r w:rsidRPr="00617DF1">
              <w:rPr>
                <w:color w:val="000000"/>
                <w:lang w:eastAsia="en-AU"/>
              </w:rPr>
              <w:t>707</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17DF1">
              <w:t>This performance measure is transferred directly from the Social Housing output.</w:t>
            </w:r>
          </w:p>
          <w:p w:rsidR="00B958B1" w:rsidRPr="00617DF1" w:rsidRDefault="00B958B1" w:rsidP="009F3B54">
            <w:pPr>
              <w:pStyle w:val="OGNotes"/>
              <w:rPr>
                <w:color w:val="000000"/>
              </w:rPr>
            </w:pPr>
            <w:r w:rsidRPr="00BF488D">
              <w:rPr>
                <w:color w:val="000000"/>
              </w:rPr>
              <w:t>The higher 2013</w:t>
            </w:r>
            <w:r w:rsidR="009F0F49">
              <w:rPr>
                <w:color w:val="000000"/>
              </w:rPr>
              <w:noBreakHyphen/>
            </w:r>
            <w:r w:rsidRPr="00BF488D">
              <w:rPr>
                <w:color w:val="000000"/>
              </w:rPr>
              <w:t>14 Target for households assist</w:t>
            </w:r>
            <w:r>
              <w:rPr>
                <w:color w:val="000000"/>
              </w:rPr>
              <w:t>ed reflects an increase in long</w:t>
            </w:r>
            <w:r w:rsidR="009F0F49">
              <w:rPr>
                <w:color w:val="000000"/>
              </w:rPr>
              <w:noBreakHyphen/>
            </w:r>
            <w:r w:rsidRPr="00BF488D">
              <w:rPr>
                <w:color w:val="000000"/>
              </w:rPr>
              <w:t>term social housing properties.</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Number of new households assisted to maintain or enter home ownership (including home renovation inspections as well as loans)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4</w:t>
            </w:r>
            <w:r>
              <w:rPr>
                <w:color w:val="000000"/>
                <w:lang w:eastAsia="en-AU"/>
              </w:rPr>
              <w:t> </w:t>
            </w:r>
            <w:r w:rsidRPr="00617DF1">
              <w:rPr>
                <w:color w:val="000000"/>
                <w:lang w:eastAsia="en-AU"/>
              </w:rPr>
              <w:t>300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4</w:t>
            </w:r>
            <w:r>
              <w:rPr>
                <w:color w:val="000000"/>
                <w:lang w:eastAsia="en-AU"/>
              </w:rPr>
              <w:t> </w:t>
            </w:r>
            <w:r w:rsidRPr="00617DF1">
              <w:rPr>
                <w:color w:val="000000"/>
                <w:lang w:eastAsia="en-AU"/>
              </w:rPr>
              <w:t>300</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4</w:t>
            </w:r>
            <w:r>
              <w:rPr>
                <w:color w:val="000000"/>
                <w:lang w:eastAsia="en-AU"/>
              </w:rPr>
              <w:t> </w:t>
            </w:r>
            <w:r w:rsidRPr="00617DF1">
              <w:rPr>
                <w:color w:val="000000"/>
                <w:lang w:eastAsia="en-AU"/>
              </w:rPr>
              <w:t>300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4</w:t>
            </w:r>
            <w:r>
              <w:rPr>
                <w:color w:val="000000"/>
                <w:lang w:eastAsia="en-AU"/>
              </w:rPr>
              <w:t> </w:t>
            </w:r>
            <w:r w:rsidRPr="00617DF1">
              <w:rPr>
                <w:color w:val="000000"/>
                <w:lang w:eastAsia="en-AU"/>
              </w:rPr>
              <w:t>078</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Housing Support and Homelessness Assistance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Number of public housing dwellings upgraded during year</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600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600</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600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nm</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pPr>
            <w:r w:rsidRPr="00617DF1">
              <w:t>This performance measure is transferred directly from the Social Housing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Total number of social housing dwellings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84</w:t>
            </w:r>
            <w:r>
              <w:rPr>
                <w:color w:val="000000"/>
                <w:lang w:eastAsia="en-AU"/>
              </w:rPr>
              <w:t> </w:t>
            </w:r>
            <w:r w:rsidRPr="00617DF1">
              <w:rPr>
                <w:color w:val="000000"/>
                <w:lang w:eastAsia="en-AU"/>
              </w:rPr>
              <w:t>351</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84</w:t>
            </w:r>
            <w:r>
              <w:rPr>
                <w:color w:val="000000"/>
                <w:lang w:eastAsia="en-AU"/>
              </w:rPr>
              <w:t> </w:t>
            </w:r>
            <w:r w:rsidRPr="00617DF1">
              <w:rPr>
                <w:color w:val="000000"/>
                <w:lang w:eastAsia="en-AU"/>
              </w:rPr>
              <w:t>156</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84</w:t>
            </w:r>
            <w:r>
              <w:rPr>
                <w:color w:val="000000"/>
                <w:lang w:eastAsia="en-AU"/>
              </w:rPr>
              <w:t> </w:t>
            </w:r>
            <w:r w:rsidRPr="00617DF1">
              <w:rPr>
                <w:color w:val="000000"/>
                <w:lang w:eastAsia="en-AU"/>
              </w:rPr>
              <w:t>600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83</w:t>
            </w:r>
            <w:r>
              <w:rPr>
                <w:color w:val="000000"/>
                <w:lang w:eastAsia="en-AU"/>
              </w:rPr>
              <w:t> </w:t>
            </w:r>
            <w:r w:rsidRPr="00617DF1">
              <w:rPr>
                <w:color w:val="000000"/>
                <w:lang w:eastAsia="en-AU"/>
              </w:rPr>
              <w:t>789</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17DF1">
              <w:t>This performance measure is transferred directly from the Social Housing output.</w:t>
            </w:r>
          </w:p>
          <w:p w:rsidR="00B958B1" w:rsidRPr="00CE793D" w:rsidRDefault="00B958B1" w:rsidP="009F3B54">
            <w:pPr>
              <w:pStyle w:val="OGNotes"/>
              <w:rPr>
                <w:color w:val="000000"/>
              </w:rPr>
            </w:pPr>
            <w:r w:rsidRPr="00CE793D">
              <w:rPr>
                <w:color w:val="000000"/>
              </w:rPr>
              <w:t>The 2012</w:t>
            </w:r>
            <w:r w:rsidR="009F0F49">
              <w:rPr>
                <w:color w:val="000000"/>
              </w:rPr>
              <w:noBreakHyphen/>
            </w:r>
            <w:r w:rsidRPr="00CE793D">
              <w:rPr>
                <w:color w:val="000000"/>
              </w:rPr>
              <w:t>1</w:t>
            </w:r>
            <w:r>
              <w:rPr>
                <w:color w:val="000000"/>
              </w:rPr>
              <w:t>3 Expected Outcome is lower than</w:t>
            </w:r>
            <w:r w:rsidRPr="00CE793D">
              <w:rPr>
                <w:color w:val="000000"/>
              </w:rPr>
              <w:t xml:space="preserve"> the 2012</w:t>
            </w:r>
            <w:r w:rsidR="009F0F49">
              <w:rPr>
                <w:color w:val="000000"/>
              </w:rPr>
              <w:noBreakHyphen/>
            </w:r>
            <w:r w:rsidRPr="00CE793D">
              <w:rPr>
                <w:color w:val="000000"/>
              </w:rPr>
              <w:t>13 Target due to a greater number of disposals of properties that we</w:t>
            </w:r>
            <w:r>
              <w:rPr>
                <w:color w:val="000000"/>
              </w:rPr>
              <w:t>re beyond their economic life</w:t>
            </w:r>
            <w:r w:rsidRPr="00CE793D">
              <w:rPr>
                <w:color w:val="000000"/>
              </w:rPr>
              <w:t>.</w:t>
            </w:r>
          </w:p>
          <w:p w:rsidR="00B958B1" w:rsidRPr="00617DF1" w:rsidRDefault="00B958B1" w:rsidP="009F3B54">
            <w:pPr>
              <w:pStyle w:val="OGNotes"/>
              <w:rPr>
                <w:color w:val="000000"/>
              </w:rPr>
            </w:pPr>
            <w:r w:rsidRPr="00CE793D">
              <w:rPr>
                <w:color w:val="000000"/>
              </w:rPr>
              <w:t xml:space="preserve">The </w:t>
            </w:r>
            <w:r>
              <w:rPr>
                <w:color w:val="000000"/>
              </w:rPr>
              <w:t xml:space="preserve">lower </w:t>
            </w:r>
            <w:r w:rsidRPr="00CE793D">
              <w:rPr>
                <w:color w:val="000000"/>
              </w:rPr>
              <w:t>2013</w:t>
            </w:r>
            <w:r w:rsidR="009F0F49">
              <w:rPr>
                <w:color w:val="000000"/>
              </w:rPr>
              <w:noBreakHyphen/>
            </w:r>
            <w:r w:rsidRPr="00CE793D">
              <w:rPr>
                <w:color w:val="000000"/>
              </w:rPr>
              <w:t>14 Target reflects the forecast number of dwellings available.</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Total social housing dwellings acquired during the year</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710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150</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150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2</w:t>
            </w:r>
            <w:r>
              <w:rPr>
                <w:color w:val="000000"/>
                <w:lang w:eastAsia="en-AU"/>
              </w:rPr>
              <w:t> </w:t>
            </w:r>
            <w:r w:rsidRPr="00617DF1">
              <w:rPr>
                <w:color w:val="000000"/>
                <w:lang w:eastAsia="en-AU"/>
              </w:rPr>
              <w:t>066</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17DF1">
              <w:t>This performance measure is transferred directly from the Social Housing output.</w:t>
            </w:r>
          </w:p>
          <w:p w:rsidR="00B958B1" w:rsidRPr="00617DF1" w:rsidRDefault="00B958B1" w:rsidP="009F3B54">
            <w:pPr>
              <w:pStyle w:val="OGNotes"/>
              <w:rPr>
                <w:color w:val="000000"/>
              </w:rPr>
            </w:pPr>
            <w:r w:rsidRPr="00617DF1">
              <w:t>The lower 2013</w:t>
            </w:r>
            <w:r w:rsidR="009F0F49">
              <w:noBreakHyphen/>
            </w:r>
            <w:r w:rsidRPr="00617DF1">
              <w:t xml:space="preserve">14 Target reflects the impact of the </w:t>
            </w:r>
            <w:r>
              <w:t>completion</w:t>
            </w:r>
            <w:r w:rsidRPr="00617DF1">
              <w:t xml:space="preserve"> of Commonwealth funding under the Nation Building and Jobs Plan and Housing Affordability Fund.</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Quality</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nil"/>
              <w:right w:val="nil"/>
            </w:tcBorders>
            <w:shd w:val="clear" w:color="000000" w:fill="FFFFFF"/>
            <w:hideMark/>
          </w:tcPr>
          <w:p w:rsidR="00B958B1" w:rsidRPr="00617DF1" w:rsidRDefault="00B958B1" w:rsidP="009F3B54">
            <w:pPr>
              <w:pStyle w:val="OGTabText"/>
              <w:rPr>
                <w:color w:val="000000"/>
                <w:lang w:eastAsia="en-AU"/>
              </w:rPr>
            </w:pPr>
            <w:r>
              <w:rPr>
                <w:color w:val="000000"/>
                <w:lang w:eastAsia="en-AU"/>
              </w:rPr>
              <w:t>Percentage</w:t>
            </w:r>
            <w:r w:rsidRPr="00617DF1">
              <w:rPr>
                <w:color w:val="000000"/>
                <w:lang w:eastAsia="en-AU"/>
              </w:rPr>
              <w:t xml:space="preserve"> of clients with case plans in homelessness support programs with some, most or all of their case plan goals achieved</w:t>
            </w:r>
          </w:p>
        </w:tc>
        <w:tc>
          <w:tcPr>
            <w:tcW w:w="908" w:type="dxa"/>
            <w:tcBorders>
              <w:top w:val="nil"/>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nil"/>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85</w:t>
            </w:r>
          </w:p>
        </w:tc>
        <w:tc>
          <w:tcPr>
            <w:tcW w:w="994"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85</w:t>
            </w:r>
          </w:p>
        </w:tc>
        <w:tc>
          <w:tcPr>
            <w:tcW w:w="907"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85</w:t>
            </w:r>
          </w:p>
        </w:tc>
        <w:tc>
          <w:tcPr>
            <w:tcW w:w="906"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85</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Housing Support and Homelessness Assistance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Pr>
                <w:color w:val="000000"/>
                <w:lang w:eastAsia="en-AU"/>
              </w:rPr>
              <w:t>Percentage</w:t>
            </w:r>
            <w:r w:rsidRPr="00617DF1">
              <w:rPr>
                <w:color w:val="000000"/>
                <w:lang w:eastAsia="en-AU"/>
              </w:rPr>
              <w:t xml:space="preserve"> of neighbourhood renewal projects that have achieved active resident participation in governance structures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100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100</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100</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Housing Support and Homelessness Assistance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Timeliness</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Average waiting time</w:t>
            </w:r>
            <w:r>
              <w:rPr>
                <w:color w:val="000000"/>
                <w:lang w:eastAsia="en-AU"/>
              </w:rPr>
              <w:t xml:space="preserve"> for public rental housing for </w:t>
            </w:r>
            <w:r w:rsidRPr="00617DF1">
              <w:rPr>
                <w:color w:val="000000"/>
                <w:lang w:eastAsia="en-AU"/>
              </w:rPr>
              <w:t>clients who have received early housing allocation</w:t>
            </w:r>
          </w:p>
        </w:tc>
        <w:tc>
          <w:tcPr>
            <w:tcW w:w="908" w:type="dxa"/>
            <w:tcBorders>
              <w:top w:val="nil"/>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months</w:t>
            </w:r>
          </w:p>
        </w:tc>
        <w:tc>
          <w:tcPr>
            <w:tcW w:w="907" w:type="dxa"/>
            <w:tcBorders>
              <w:top w:val="nil"/>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10.5</w:t>
            </w:r>
          </w:p>
        </w:tc>
        <w:tc>
          <w:tcPr>
            <w:tcW w:w="994"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10.5</w:t>
            </w:r>
          </w:p>
        </w:tc>
        <w:tc>
          <w:tcPr>
            <w:tcW w:w="907"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10.5</w:t>
            </w:r>
          </w:p>
        </w:tc>
        <w:tc>
          <w:tcPr>
            <w:tcW w:w="906"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10.7</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is transferred directly from the Social Housing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lang w:eastAsia="en-AU"/>
              </w:rPr>
            </w:pPr>
            <w:r w:rsidRPr="00617DF1">
              <w:rPr>
                <w:lang w:eastAsia="en-AU"/>
              </w:rPr>
              <w:t>Proportion of homelessness support episodes where an accommodation need was unable to be either provided or referred</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12</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12</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12</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12</w:t>
            </w:r>
          </w:p>
        </w:tc>
      </w:tr>
      <w:tr w:rsidR="00B958B1" w:rsidRPr="006D3D79"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D3D79" w:rsidRDefault="00B958B1" w:rsidP="009F3B54">
            <w:pPr>
              <w:pStyle w:val="OGNotes"/>
            </w:pPr>
            <w:r w:rsidRPr="006D3D79">
              <w:t>This performance measure is transferred directly from the Housing Support and Homelessness Assistance output.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Cost</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Total output cost</w:t>
            </w:r>
          </w:p>
        </w:tc>
        <w:tc>
          <w:tcPr>
            <w:tcW w:w="908" w:type="dxa"/>
            <w:tcBorders>
              <w:top w:val="nil"/>
              <w:left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w:t>
            </w:r>
            <w:r>
              <w:rPr>
                <w:color w:val="000000"/>
                <w:lang w:eastAsia="en-AU"/>
              </w:rPr>
              <w:t> million</w:t>
            </w:r>
          </w:p>
        </w:tc>
        <w:tc>
          <w:tcPr>
            <w:tcW w:w="907" w:type="dxa"/>
            <w:tcBorders>
              <w:top w:val="nil"/>
              <w:left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387</w:t>
            </w:r>
            <w:r>
              <w:rPr>
                <w:color w:val="000000"/>
                <w:lang w:eastAsia="en-AU"/>
              </w:rPr>
              <w:t>.0</w:t>
            </w:r>
          </w:p>
        </w:tc>
        <w:tc>
          <w:tcPr>
            <w:tcW w:w="994"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414.3</w:t>
            </w:r>
          </w:p>
        </w:tc>
        <w:tc>
          <w:tcPr>
            <w:tcW w:w="907"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400.1</w:t>
            </w:r>
          </w:p>
        </w:tc>
        <w:tc>
          <w:tcPr>
            <w:tcW w:w="906"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407.4</w:t>
            </w:r>
          </w:p>
        </w:tc>
      </w:tr>
      <w:tr w:rsidR="00B958B1" w:rsidRPr="00617DF1" w:rsidTr="009F3B54">
        <w:trPr>
          <w:gridAfter w:val="1"/>
          <w:wAfter w:w="6" w:type="dxa"/>
          <w:cantSplit/>
        </w:trPr>
        <w:tc>
          <w:tcPr>
            <w:tcW w:w="7776" w:type="dxa"/>
            <w:gridSpan w:val="6"/>
            <w:tcBorders>
              <w:top w:val="nil"/>
              <w:left w:val="nil"/>
              <w:bottom w:val="single" w:sz="12" w:space="0" w:color="auto"/>
              <w:right w:val="nil"/>
            </w:tcBorders>
            <w:shd w:val="clear" w:color="auto" w:fill="auto"/>
            <w:vAlign w:val="bottom"/>
            <w:hideMark/>
          </w:tcPr>
          <w:p w:rsidR="00B958B1" w:rsidRDefault="00B958B1" w:rsidP="009F3B54">
            <w:pPr>
              <w:pStyle w:val="OGNotes"/>
            </w:pPr>
            <w:r w:rsidRPr="00617DF1">
              <w:t>This performance measure is proposed to consolidate the 2012</w:t>
            </w:r>
            <w:r w:rsidR="009F0F49">
              <w:noBreakHyphen/>
            </w:r>
            <w:r w:rsidRPr="00617DF1">
              <w:t xml:space="preserve">13 performance measures </w:t>
            </w:r>
            <w:r>
              <w:t>‘</w:t>
            </w:r>
            <w:r w:rsidRPr="00617DF1">
              <w:t>Total output cost</w:t>
            </w:r>
            <w:r>
              <w:t>’</w:t>
            </w:r>
            <w:r w:rsidRPr="00617DF1">
              <w:t xml:space="preserve"> within Social Housing and Housing Support and Homelessness Assistance outputs into a new measure for 2013</w:t>
            </w:r>
            <w:r w:rsidR="009F0F49">
              <w:noBreakHyphen/>
            </w:r>
            <w:r w:rsidRPr="00617DF1">
              <w:t xml:space="preserve">14 called </w:t>
            </w:r>
            <w:r>
              <w:t>‘</w:t>
            </w:r>
            <w:r w:rsidRPr="00617DF1">
              <w:t>Total output cost</w:t>
            </w:r>
            <w:r>
              <w:t>’</w:t>
            </w:r>
            <w:r w:rsidRPr="00617DF1">
              <w:t xml:space="preserve"> within the new Housing Assistance output.</w:t>
            </w:r>
          </w:p>
          <w:p w:rsidR="00B958B1" w:rsidRPr="0055465C" w:rsidRDefault="00B958B1" w:rsidP="009F3B54">
            <w:pPr>
              <w:pStyle w:val="OGNotes"/>
            </w:pPr>
            <w:r w:rsidRPr="003D6D28">
              <w:t>The 2013</w:t>
            </w:r>
            <w:r w:rsidR="009F0F49">
              <w:noBreakHyphen/>
            </w:r>
            <w:r w:rsidRPr="003D6D28">
              <w:t>14 Budget reduction primarily reflects completion of fixed</w:t>
            </w:r>
            <w:r w:rsidR="009F0F49">
              <w:noBreakHyphen/>
            </w:r>
            <w:r w:rsidRPr="003D6D28">
              <w:t>term initiatives and the exclusion of the 2013</w:t>
            </w:r>
            <w:r w:rsidR="009F0F49">
              <w:noBreakHyphen/>
            </w:r>
            <w:r w:rsidRPr="003D6D28">
              <w:t>14 Transitional National Partnership Agreement on Homelessness Commonwealth funding of $22.14</w:t>
            </w:r>
            <w:r>
              <w:t> million</w:t>
            </w:r>
            <w:r w:rsidRPr="003D6D28">
              <w:t xml:space="preserve"> which is subject to finalisation of the Implementation Plan.</w:t>
            </w:r>
          </w:p>
        </w:tc>
      </w:tr>
    </w:tbl>
    <w:p w:rsidR="00B958B1" w:rsidRDefault="00B958B1" w:rsidP="009F3B54">
      <w:pPr>
        <w:pStyle w:val="Source"/>
        <w:rPr>
          <w:lang w:eastAsia="en-AU"/>
        </w:rPr>
      </w:pPr>
      <w:r>
        <w:rPr>
          <w:lang w:eastAsia="en-AU"/>
        </w:rPr>
        <w:t>Source: Department of Human Services</w:t>
      </w:r>
    </w:p>
    <w:p w:rsidR="00B958B1" w:rsidRDefault="00B958B1" w:rsidP="009F3B54">
      <w:pPr>
        <w:pStyle w:val="Source"/>
        <w:rPr>
          <w:lang w:eastAsia="en-AU"/>
        </w:rPr>
      </w:pPr>
      <w:r>
        <w:rPr>
          <w:lang w:eastAsia="en-AU"/>
        </w:rPr>
        <w:fldChar w:fldCharType="begin"/>
      </w:r>
      <w:r>
        <w:instrText xml:space="preserve"> XE "</w:instrText>
      </w:r>
      <w:r w:rsidRPr="001251BC">
        <w:rPr>
          <w:lang w:eastAsia="en-AU"/>
        </w:rPr>
        <w:instrText>Department of Human Services</w:instrText>
      </w:r>
      <w:r w:rsidRPr="001251BC">
        <w:instrText>:Housing Assistance</w:instrText>
      </w:r>
      <w:r>
        <w:instrText xml:space="preserve">" \r "BP3DHSHousingAss" </w:instrText>
      </w:r>
      <w:r>
        <w:rPr>
          <w:lang w:eastAsia="en-AU"/>
        </w:rPr>
        <w:fldChar w:fldCharType="end"/>
      </w:r>
    </w:p>
    <w:bookmarkEnd w:id="117"/>
    <w:p w:rsidR="00B958B1" w:rsidRPr="00617DF1" w:rsidRDefault="00B958B1" w:rsidP="009F3B54">
      <w:pPr>
        <w:pStyle w:val="OGHeading1"/>
        <w:rPr>
          <w:lang w:eastAsia="en-AU"/>
        </w:rPr>
      </w:pPr>
      <w:r>
        <w:rPr>
          <w:lang w:eastAsia="en-AU"/>
        </w:rPr>
        <w:br w:type="page"/>
      </w:r>
      <w:bookmarkStart w:id="118" w:name="BP3DHSEmpowerIndivid"/>
      <w:r w:rsidRPr="00617DF1">
        <w:rPr>
          <w:lang w:eastAsia="en-AU"/>
        </w:rPr>
        <w:t>Empowering Individuals and Communities</w:t>
      </w:r>
    </w:p>
    <w:p w:rsidR="00B958B1" w:rsidRDefault="00B958B1" w:rsidP="009F3B54">
      <w:pPr>
        <w:pStyle w:val="OGText"/>
        <w:rPr>
          <w:color w:val="000000"/>
          <w:lang w:eastAsia="en-AU"/>
        </w:rPr>
      </w:pPr>
      <w:r>
        <w:rPr>
          <w:color w:val="000000"/>
          <w:lang w:eastAsia="en-AU"/>
        </w:rPr>
        <w:t>Empowering Individuals and C</w:t>
      </w:r>
      <w:r w:rsidRPr="00617DF1">
        <w:rPr>
          <w:color w:val="000000"/>
          <w:lang w:eastAsia="en-AU"/>
        </w:rPr>
        <w:t xml:space="preserve">ommunities is delivered through funded programs that support </w:t>
      </w:r>
      <w:r w:rsidRPr="00581B99">
        <w:t>community participation including Neighbourhood Houses, Men</w:t>
      </w:r>
      <w:r>
        <w:t>’</w:t>
      </w:r>
      <w:r w:rsidRPr="00581B99">
        <w:t>s Sheds, community support projects and programs for youth, women and people with a disability. Leadership is delivered for whole of government policy on youth, women and disability that will create an environment that encourages equity and improves outcomes in all aspects of life for youth</w:t>
      </w:r>
      <w:r w:rsidRPr="00617DF1">
        <w:rPr>
          <w:color w:val="000000"/>
          <w:lang w:eastAsia="en-AU"/>
        </w:rPr>
        <w:t>, women and people with a disability.</w:t>
      </w:r>
    </w:p>
    <w:p w:rsidR="00B958B1" w:rsidRPr="003F7C45" w:rsidRDefault="00B958B1" w:rsidP="009F3B54">
      <w:pPr>
        <w:pStyle w:val="OGNotes"/>
      </w:pPr>
      <w:r w:rsidRPr="00581B99">
        <w:t xml:space="preserve">The output description has been revised to reflect </w:t>
      </w:r>
      <w:r>
        <w:t xml:space="preserve">the completion of community renewal activities and the </w:t>
      </w:r>
      <w:r w:rsidRPr="00581B99">
        <w:t>addition</w:t>
      </w:r>
      <w:r>
        <w:t xml:space="preserve"> of</w:t>
      </w:r>
      <w:r w:rsidRPr="00581B99">
        <w:t xml:space="preserve"> elements following machinery</w:t>
      </w:r>
      <w:r>
        <w:t xml:space="preserve"> </w:t>
      </w:r>
      <w:r w:rsidRPr="00581B99">
        <w:t>of</w:t>
      </w:r>
      <w:r>
        <w:t xml:space="preserve"> </w:t>
      </w:r>
      <w:r w:rsidRPr="00581B99">
        <w:t>government changes that resulted in the transfer of community support projects into the Department.</w:t>
      </w:r>
    </w:p>
    <w:tbl>
      <w:tblPr>
        <w:tblW w:w="7782" w:type="dxa"/>
        <w:tblInd w:w="29" w:type="dxa"/>
        <w:tblLayout w:type="fixed"/>
        <w:tblCellMar>
          <w:left w:w="43" w:type="dxa"/>
          <w:right w:w="43" w:type="dxa"/>
        </w:tblCellMar>
        <w:tblLook w:val="04A0" w:firstRow="1" w:lastRow="0" w:firstColumn="1" w:lastColumn="0" w:noHBand="0" w:noVBand="1"/>
      </w:tblPr>
      <w:tblGrid>
        <w:gridCol w:w="3154"/>
        <w:gridCol w:w="908"/>
        <w:gridCol w:w="907"/>
        <w:gridCol w:w="994"/>
        <w:gridCol w:w="907"/>
        <w:gridCol w:w="906"/>
        <w:gridCol w:w="6"/>
      </w:tblGrid>
      <w:tr w:rsidR="00B958B1" w:rsidRPr="00D32CA4" w:rsidTr="009F3B54">
        <w:trPr>
          <w:cantSplit/>
          <w:tblHeader/>
        </w:trPr>
        <w:tc>
          <w:tcPr>
            <w:tcW w:w="3154" w:type="dxa"/>
            <w:tcBorders>
              <w:top w:val="single" w:sz="4" w:space="0" w:color="auto"/>
              <w:left w:val="single" w:sz="4" w:space="0" w:color="auto"/>
              <w:bottom w:val="single" w:sz="4" w:space="0" w:color="auto"/>
              <w:right w:val="nil"/>
            </w:tcBorders>
            <w:shd w:val="clear" w:color="auto" w:fill="000000"/>
            <w:vAlign w:val="bottom"/>
          </w:tcPr>
          <w:p w:rsidR="00B958B1" w:rsidRPr="00D32CA4" w:rsidRDefault="00B958B1" w:rsidP="009F3B54">
            <w:pPr>
              <w:pStyle w:val="OGTabColLeft"/>
              <w:rPr>
                <w:i/>
              </w:rPr>
            </w:pPr>
            <w:r w:rsidRPr="00D32CA4">
              <w:t>Major Outputs/Deliverables</w:t>
            </w:r>
            <w:r w:rsidRPr="00D32CA4">
              <w:br/>
            </w:r>
            <w:r w:rsidRPr="0085011C">
              <w:rPr>
                <w:b w:val="0"/>
                <w:i/>
              </w:rPr>
              <w:t>Performance measures</w:t>
            </w:r>
          </w:p>
        </w:tc>
        <w:tc>
          <w:tcPr>
            <w:tcW w:w="908"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4"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12" w:type="dxa"/>
            <w:gridSpan w:val="2"/>
            <w:tcBorders>
              <w:top w:val="single" w:sz="4" w:space="0" w:color="auto"/>
              <w:left w:val="nil"/>
              <w:bottom w:val="single" w:sz="4" w:space="0" w:color="auto"/>
              <w:right w:val="single" w:sz="4" w:space="0" w:color="auto"/>
            </w:tcBorders>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617DF1" w:rsidTr="009F3B54">
        <w:trPr>
          <w:gridAfter w:val="1"/>
          <w:wAfter w:w="6" w:type="dxa"/>
          <w:cantSplit/>
        </w:trPr>
        <w:tc>
          <w:tcPr>
            <w:tcW w:w="7776" w:type="dxa"/>
            <w:gridSpan w:val="6"/>
            <w:tcBorders>
              <w:top w:val="nil"/>
              <w:left w:val="nil"/>
              <w:bottom w:val="nil"/>
              <w:right w:val="nil"/>
            </w:tcBorders>
            <w:shd w:val="clear" w:color="auto" w:fill="auto"/>
            <w:vAlign w:val="bottom"/>
            <w:hideMark/>
          </w:tcPr>
          <w:p w:rsidR="00B958B1" w:rsidRPr="00617DF1" w:rsidRDefault="00B958B1" w:rsidP="009F3B54">
            <w:pPr>
              <w:pStyle w:val="OGHeading2"/>
              <w:rPr>
                <w:lang w:eastAsia="en-AU"/>
              </w:rPr>
            </w:pPr>
            <w:r w:rsidRPr="00617DF1">
              <w:rPr>
                <w:lang w:eastAsia="en-AU"/>
              </w:rPr>
              <w:t>Office for Disability</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Text"/>
              <w:rPr>
                <w:lang w:eastAsia="en-AU"/>
              </w:rPr>
            </w:pPr>
            <w:r>
              <w:rPr>
                <w:lang w:eastAsia="en-AU"/>
              </w:rPr>
              <w:t xml:space="preserve">The </w:t>
            </w:r>
            <w:r w:rsidRPr="00617DF1">
              <w:rPr>
                <w:lang w:eastAsia="en-AU"/>
              </w:rPr>
              <w:t>Office for Disability leads and coordinates whole of government policy, disability action planning and funding</w:t>
            </w:r>
            <w:r>
              <w:rPr>
                <w:lang w:eastAsia="en-AU"/>
              </w:rPr>
              <w:t>,</w:t>
            </w:r>
            <w:r w:rsidRPr="00617DF1">
              <w:rPr>
                <w:lang w:eastAsia="en-AU"/>
              </w:rPr>
              <w:t xml:space="preserve"> and support to disability advocacy and self advocacy organisations</w:t>
            </w:r>
            <w:r>
              <w:rPr>
                <w:lang w:eastAsia="en-AU"/>
              </w:rPr>
              <w:t>,</w:t>
            </w:r>
            <w:r w:rsidRPr="00617DF1">
              <w:rPr>
                <w:lang w:eastAsia="en-AU"/>
              </w:rPr>
              <w:t xml:space="preserve"> so that people with a disability </w:t>
            </w:r>
            <w:r>
              <w:rPr>
                <w:lang w:eastAsia="en-AU"/>
              </w:rPr>
              <w:t>experience reduced disadvantage</w:t>
            </w:r>
            <w:r w:rsidRPr="00617DF1">
              <w:rPr>
                <w:lang w:eastAsia="en-AU"/>
              </w:rPr>
              <w:t xml:space="preserve"> can ful</w:t>
            </w:r>
            <w:r>
              <w:rPr>
                <w:lang w:eastAsia="en-AU"/>
              </w:rPr>
              <w:t>ly participate in the community,</w:t>
            </w:r>
            <w:r w:rsidRPr="00617DF1">
              <w:rPr>
                <w:lang w:eastAsia="en-AU"/>
              </w:rPr>
              <w:t xml:space="preserve"> and have their rights upheld. </w:t>
            </w:r>
          </w:p>
          <w:p w:rsidR="00B958B1" w:rsidRPr="00617DF1" w:rsidRDefault="00B958B1" w:rsidP="009F3B54">
            <w:pPr>
              <w:pStyle w:val="OGText"/>
              <w:rPr>
                <w:lang w:eastAsia="en-AU"/>
              </w:rPr>
            </w:pPr>
            <w:r w:rsidRPr="00617DF1">
              <w:rPr>
                <w:lang w:eastAsia="en-AU"/>
              </w:rPr>
              <w:t>This output supports the Department</w:t>
            </w:r>
            <w:r>
              <w:rPr>
                <w:lang w:eastAsia="en-AU"/>
              </w:rPr>
              <w:t>’</w:t>
            </w:r>
            <w:r w:rsidRPr="00617DF1">
              <w:rPr>
                <w:lang w:eastAsia="en-AU"/>
              </w:rPr>
              <w:t>s capabilities and participation objective.</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Quantity</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Number of Disability Advocacy clients</w:t>
            </w:r>
          </w:p>
        </w:tc>
        <w:tc>
          <w:tcPr>
            <w:tcW w:w="908" w:type="dxa"/>
            <w:tcBorders>
              <w:top w:val="nil"/>
              <w:left w:val="nil"/>
              <w:bottom w:val="single" w:sz="6" w:space="0" w:color="auto"/>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nil"/>
              <w:left w:val="nil"/>
              <w:bottom w:val="single" w:sz="6" w:space="0" w:color="auto"/>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700</w:t>
            </w:r>
          </w:p>
        </w:tc>
        <w:tc>
          <w:tcPr>
            <w:tcW w:w="994"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720</w:t>
            </w:r>
          </w:p>
        </w:tc>
        <w:tc>
          <w:tcPr>
            <w:tcW w:w="907"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700</w:t>
            </w:r>
          </w:p>
        </w:tc>
        <w:tc>
          <w:tcPr>
            <w:tcW w:w="906"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870</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pPr>
            <w:r w:rsidRPr="00617DF1">
              <w:t>Quality</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Client satisfaction with advice provided</w:t>
            </w:r>
          </w:p>
        </w:tc>
        <w:tc>
          <w:tcPr>
            <w:tcW w:w="908" w:type="dxa"/>
            <w:tcBorders>
              <w:top w:val="nil"/>
              <w:left w:val="nil"/>
              <w:bottom w:val="single" w:sz="6" w:space="0" w:color="auto"/>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100</w:t>
            </w:r>
          </w:p>
        </w:tc>
        <w:tc>
          <w:tcPr>
            <w:tcW w:w="994"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100</w:t>
            </w:r>
          </w:p>
        </w:tc>
        <w:tc>
          <w:tcPr>
            <w:tcW w:w="907"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100</w:t>
            </w:r>
          </w:p>
        </w:tc>
        <w:tc>
          <w:tcPr>
            <w:tcW w:w="906"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100</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Timeliness</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Office for Disability projects delivered within agreed timeframes</w:t>
            </w:r>
          </w:p>
        </w:tc>
        <w:tc>
          <w:tcPr>
            <w:tcW w:w="908" w:type="dxa"/>
            <w:tcBorders>
              <w:top w:val="nil"/>
              <w:left w:val="nil"/>
              <w:bottom w:val="single" w:sz="6" w:space="0" w:color="auto"/>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90</w:t>
            </w:r>
          </w:p>
        </w:tc>
        <w:tc>
          <w:tcPr>
            <w:tcW w:w="994"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90</w:t>
            </w:r>
          </w:p>
        </w:tc>
        <w:tc>
          <w:tcPr>
            <w:tcW w:w="907"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90</w:t>
            </w:r>
          </w:p>
        </w:tc>
        <w:tc>
          <w:tcPr>
            <w:tcW w:w="906"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100</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Cost</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Total output cost</w:t>
            </w:r>
          </w:p>
        </w:tc>
        <w:tc>
          <w:tcPr>
            <w:tcW w:w="908" w:type="dxa"/>
            <w:tcBorders>
              <w:top w:val="nil"/>
              <w:left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w:t>
            </w:r>
            <w:r>
              <w:rPr>
                <w:color w:val="000000"/>
                <w:lang w:eastAsia="en-AU"/>
              </w:rPr>
              <w:t> million</w:t>
            </w:r>
          </w:p>
        </w:tc>
        <w:tc>
          <w:tcPr>
            <w:tcW w:w="907" w:type="dxa"/>
            <w:tcBorders>
              <w:top w:val="nil"/>
              <w:left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5</w:t>
            </w:r>
            <w:r>
              <w:rPr>
                <w:color w:val="000000"/>
                <w:lang w:eastAsia="en-AU"/>
              </w:rPr>
              <w:t>.0</w:t>
            </w:r>
          </w:p>
        </w:tc>
        <w:tc>
          <w:tcPr>
            <w:tcW w:w="994"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5.1</w:t>
            </w:r>
          </w:p>
        </w:tc>
        <w:tc>
          <w:tcPr>
            <w:tcW w:w="907"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4.8</w:t>
            </w:r>
          </w:p>
        </w:tc>
        <w:tc>
          <w:tcPr>
            <w:tcW w:w="906"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5.4</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617DF1">
              <w:t>The 2012</w:t>
            </w:r>
            <w:r w:rsidR="009F0F49">
              <w:noBreakHyphen/>
            </w:r>
            <w:r w:rsidRPr="00617DF1">
              <w:t>13 Expected Outcome is higher than the 2012</w:t>
            </w:r>
            <w:r w:rsidR="009F0F49">
              <w:noBreakHyphen/>
            </w:r>
            <w:r w:rsidRPr="00617DF1">
              <w:t>13 Target due to the impact of the social and co</w:t>
            </w:r>
            <w:r>
              <w:t>mmunity services pay equity case</w:t>
            </w:r>
            <w:r w:rsidRPr="00617DF1">
              <w:t>.</w:t>
            </w:r>
          </w:p>
          <w:p w:rsidR="00B958B1" w:rsidRPr="00617DF1" w:rsidRDefault="00B958B1" w:rsidP="009F3B54">
            <w:pPr>
              <w:pStyle w:val="OGNotes"/>
              <w:rPr>
                <w:color w:val="000000"/>
              </w:rPr>
            </w:pPr>
            <w:r>
              <w:t>The higher 2013</w:t>
            </w:r>
            <w:r w:rsidR="009F0F49">
              <w:noBreakHyphen/>
            </w:r>
            <w:r>
              <w:t xml:space="preserve">14 Target primarily reflects additional funding provided in the </w:t>
            </w:r>
            <w:r w:rsidRPr="00CF59F3">
              <w:rPr>
                <w:i w:val="0"/>
              </w:rPr>
              <w:t>2013</w:t>
            </w:r>
            <w:r w:rsidR="009F0F49">
              <w:rPr>
                <w:i w:val="0"/>
              </w:rPr>
              <w:noBreakHyphen/>
            </w:r>
            <w:r w:rsidRPr="00CF59F3">
              <w:rPr>
                <w:i w:val="0"/>
              </w:rPr>
              <w:t>14 Budget</w:t>
            </w:r>
            <w:r>
              <w:t xml:space="preserve">, and the full year effect of initiative funding announced in previous years’ budgets. </w:t>
            </w:r>
          </w:p>
        </w:tc>
      </w:tr>
      <w:tr w:rsidR="00B958B1" w:rsidRPr="00617DF1" w:rsidTr="009F3B54">
        <w:trPr>
          <w:gridAfter w:val="1"/>
          <w:wAfter w:w="6" w:type="dxa"/>
          <w:cantSplit/>
        </w:trPr>
        <w:tc>
          <w:tcPr>
            <w:tcW w:w="7776" w:type="dxa"/>
            <w:gridSpan w:val="6"/>
            <w:tcBorders>
              <w:top w:val="single" w:sz="6" w:space="0" w:color="auto"/>
              <w:left w:val="nil"/>
              <w:bottom w:val="nil"/>
              <w:right w:val="nil"/>
            </w:tcBorders>
            <w:shd w:val="clear" w:color="auto" w:fill="auto"/>
            <w:vAlign w:val="bottom"/>
            <w:hideMark/>
          </w:tcPr>
          <w:p w:rsidR="00B958B1" w:rsidRPr="00617DF1" w:rsidRDefault="00B958B1" w:rsidP="009F3B54">
            <w:pPr>
              <w:pStyle w:val="OGHeading2"/>
              <w:rPr>
                <w:lang w:eastAsia="en-AU"/>
              </w:rPr>
            </w:pPr>
            <w:r w:rsidRPr="00CF59F3">
              <w:rPr>
                <w:lang w:eastAsia="en-AU"/>
              </w:rPr>
              <w:t xml:space="preserve">Office of </w:t>
            </w:r>
            <w:r w:rsidRPr="00617DF1">
              <w:rPr>
                <w:lang w:eastAsia="en-AU"/>
              </w:rPr>
              <w:t>Women</w:t>
            </w:r>
            <w:r>
              <w:rPr>
                <w:lang w:eastAsia="en-AU"/>
              </w:rPr>
              <w:t>’</w:t>
            </w:r>
            <w:r w:rsidRPr="00617DF1">
              <w:rPr>
                <w:lang w:eastAsia="en-AU"/>
              </w:rPr>
              <w:t>s Affairs</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Text"/>
              <w:rPr>
                <w:lang w:eastAsia="en-AU"/>
              </w:rPr>
            </w:pPr>
            <w:r w:rsidRPr="00CF59F3">
              <w:rPr>
                <w:lang w:eastAsia="en-AU"/>
              </w:rPr>
              <w:t xml:space="preserve">Office of </w:t>
            </w:r>
            <w:r w:rsidRPr="00617DF1">
              <w:rPr>
                <w:lang w:eastAsia="en-AU"/>
              </w:rPr>
              <w:t>Women</w:t>
            </w:r>
            <w:r>
              <w:rPr>
                <w:lang w:eastAsia="en-AU"/>
              </w:rPr>
              <w:t>’</w:t>
            </w:r>
            <w:r w:rsidRPr="00617DF1">
              <w:rPr>
                <w:lang w:eastAsia="en-AU"/>
              </w:rPr>
              <w:t>s Affairs leads and coordinates whole of government policy, engages with women from diverse backgrounds</w:t>
            </w:r>
            <w:r>
              <w:rPr>
                <w:lang w:eastAsia="en-AU"/>
              </w:rPr>
              <w:t>,</w:t>
            </w:r>
            <w:r w:rsidRPr="00617DF1">
              <w:rPr>
                <w:lang w:eastAsia="en-AU"/>
              </w:rPr>
              <w:t xml:space="preserve"> and delivers initiatives to improve the lives of Victorian women and support their economic, social, and civic participation. </w:t>
            </w:r>
          </w:p>
          <w:p w:rsidR="00B958B1" w:rsidRDefault="00B958B1" w:rsidP="009F3B54">
            <w:pPr>
              <w:pStyle w:val="OGText"/>
              <w:rPr>
                <w:lang w:eastAsia="en-AU"/>
              </w:rPr>
            </w:pPr>
            <w:r w:rsidRPr="00617DF1">
              <w:rPr>
                <w:lang w:eastAsia="en-AU"/>
              </w:rPr>
              <w:t>This output supports the Department</w:t>
            </w:r>
            <w:r>
              <w:rPr>
                <w:lang w:eastAsia="en-AU"/>
              </w:rPr>
              <w:t>’</w:t>
            </w:r>
            <w:r w:rsidRPr="00617DF1">
              <w:rPr>
                <w:lang w:eastAsia="en-AU"/>
              </w:rPr>
              <w:t>s capabilities and participation objective.</w:t>
            </w:r>
          </w:p>
          <w:p w:rsidR="00B958B1" w:rsidRPr="00617DF1" w:rsidRDefault="00B958B1" w:rsidP="009F3B54">
            <w:pPr>
              <w:pStyle w:val="OGNotes"/>
            </w:pPr>
            <w:r w:rsidRPr="00D651E9">
              <w:t>This output renames the 2012</w:t>
            </w:r>
            <w:r w:rsidR="009F0F49">
              <w:noBreakHyphen/>
            </w:r>
            <w:r w:rsidRPr="00D651E9">
              <w:t>13 output ‘Women’s Policy’. This output reports on the same activities as the previous output</w:t>
            </w:r>
            <w:r>
              <w:t>,</w:t>
            </w:r>
            <w:r w:rsidRPr="00D651E9">
              <w:t xml:space="preserve"> </w:t>
            </w:r>
            <w:r>
              <w:t>but</w:t>
            </w:r>
            <w:r w:rsidRPr="00D651E9">
              <w:t xml:space="preserve"> has been amended for increased clarity.</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Quantity</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Number of women engaged with the Office of Women</w:t>
            </w:r>
            <w:r>
              <w:rPr>
                <w:color w:val="000000"/>
                <w:lang w:eastAsia="en-AU"/>
              </w:rPr>
              <w:t>’</w:t>
            </w:r>
            <w:r w:rsidRPr="00617DF1">
              <w:rPr>
                <w:color w:val="000000"/>
                <w:lang w:eastAsia="en-AU"/>
              </w:rPr>
              <w:t>s Affairs through delivery of funded projects and targeted meetings as part of program delivery and policy development</w:t>
            </w:r>
          </w:p>
        </w:tc>
        <w:tc>
          <w:tcPr>
            <w:tcW w:w="908" w:type="dxa"/>
            <w:tcBorders>
              <w:top w:val="nil"/>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nil"/>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800</w:t>
            </w:r>
          </w:p>
        </w:tc>
        <w:tc>
          <w:tcPr>
            <w:tcW w:w="994"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800</w:t>
            </w:r>
          </w:p>
        </w:tc>
        <w:tc>
          <w:tcPr>
            <w:tcW w:w="907"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800</w:t>
            </w:r>
          </w:p>
        </w:tc>
        <w:tc>
          <w:tcPr>
            <w:tcW w:w="906"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091</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renames the 2012</w:t>
            </w:r>
            <w:r w:rsidR="009F0F49">
              <w:noBreakHyphen/>
            </w:r>
            <w:r w:rsidRPr="00617DF1">
              <w:t xml:space="preserve">13 performance measure </w:t>
            </w:r>
            <w:r>
              <w:t>‘</w:t>
            </w:r>
            <w:r w:rsidRPr="00617DF1">
              <w:t>Number of women engaged with the Office of Women</w:t>
            </w:r>
            <w:r>
              <w:t>’</w:t>
            </w:r>
            <w:r w:rsidRPr="00617DF1">
              <w:t>s Policy through delivery of funded projects and targeted meetings as part of program delivery and policy development</w:t>
            </w:r>
            <w:r>
              <w:t>’</w:t>
            </w:r>
            <w:r w:rsidRPr="00617DF1">
              <w:t xml:space="preserve">. The new measure reports on the same activity as the previous measure </w:t>
            </w:r>
            <w:r>
              <w:t>but</w:t>
            </w:r>
            <w:r w:rsidRPr="00617DF1">
              <w:t xml:space="preserve"> has been amended to reflect the output name change.</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Number of women participating in funded programs, projects and events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625</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134</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625</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725</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C40895" w:rsidRDefault="00B958B1" w:rsidP="009F3B54">
            <w:pPr>
              <w:pStyle w:val="OGNotes"/>
            </w:pPr>
            <w:r w:rsidRPr="00C40895">
              <w:t>The 2012</w:t>
            </w:r>
            <w:r w:rsidR="009F0F49">
              <w:noBreakHyphen/>
            </w:r>
            <w:r w:rsidRPr="00C40895">
              <w:t>13 Expected Outcome is higher than the 2012</w:t>
            </w:r>
            <w:r w:rsidR="009F0F49">
              <w:noBreakHyphen/>
            </w:r>
            <w:r w:rsidRPr="00C40895">
              <w:t>13 Target due to one</w:t>
            </w:r>
            <w:r w:rsidR="009F0F49">
              <w:noBreakHyphen/>
            </w:r>
            <w:r w:rsidRPr="00C40895">
              <w:t xml:space="preserve">off participation in the Think Women for Local Government program and in consultation activities relating to </w:t>
            </w:r>
            <w:r>
              <w:t xml:space="preserve">the </w:t>
            </w:r>
            <w:r w:rsidRPr="00C40895">
              <w:t>development and implementation of the Action Plan to Prevent Violence Against Women in 2012</w:t>
            </w:r>
            <w:r w:rsidR="009F0F49">
              <w:noBreakHyphen/>
            </w:r>
            <w:r w:rsidRPr="00C40895">
              <w:t>13</w:t>
            </w:r>
            <w:r>
              <w: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Quality</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nil"/>
              <w:right w:val="nil"/>
            </w:tcBorders>
            <w:shd w:val="clear" w:color="000000" w:fill="FFFFFF"/>
            <w:hideMark/>
          </w:tcPr>
          <w:p w:rsidR="00B958B1" w:rsidRPr="00617DF1" w:rsidRDefault="00B958B1" w:rsidP="009F3B54">
            <w:pPr>
              <w:pStyle w:val="OGTabText"/>
              <w:rPr>
                <w:color w:val="000000"/>
                <w:lang w:eastAsia="en-AU"/>
              </w:rPr>
            </w:pPr>
            <w:r w:rsidRPr="003430C4">
              <w:rPr>
                <w:color w:val="000000"/>
                <w:lang w:eastAsia="en-AU"/>
              </w:rPr>
              <w:t>Funded projects (any project or activity funded from the Office of Women</w:t>
            </w:r>
            <w:r>
              <w:rPr>
                <w:color w:val="000000"/>
                <w:lang w:eastAsia="en-AU"/>
              </w:rPr>
              <w:t>’</w:t>
            </w:r>
            <w:r w:rsidRPr="003430C4">
              <w:rPr>
                <w:color w:val="000000"/>
                <w:lang w:eastAsia="en-AU"/>
              </w:rPr>
              <w:t>s Affairs budget, including programs funded by Office of Women</w:t>
            </w:r>
            <w:r>
              <w:rPr>
                <w:color w:val="000000"/>
                <w:lang w:eastAsia="en-AU"/>
              </w:rPr>
              <w:t>’</w:t>
            </w:r>
            <w:r w:rsidRPr="003430C4">
              <w:rPr>
                <w:color w:val="000000"/>
                <w:lang w:eastAsia="en-AU"/>
              </w:rPr>
              <w:t>s Affairs but delivered in partnership with another agency or service) meet agreed project objectives</w:t>
            </w:r>
          </w:p>
        </w:tc>
        <w:tc>
          <w:tcPr>
            <w:tcW w:w="908" w:type="dxa"/>
            <w:tcBorders>
              <w:top w:val="nil"/>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nil"/>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90</w:t>
            </w:r>
          </w:p>
        </w:tc>
        <w:tc>
          <w:tcPr>
            <w:tcW w:w="994"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90</w:t>
            </w:r>
          </w:p>
        </w:tc>
        <w:tc>
          <w:tcPr>
            <w:tcW w:w="907"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90</w:t>
            </w:r>
          </w:p>
        </w:tc>
        <w:tc>
          <w:tcPr>
            <w:tcW w:w="906"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90</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renames the 2012</w:t>
            </w:r>
            <w:r w:rsidR="009F0F49">
              <w:noBreakHyphen/>
            </w:r>
            <w:r w:rsidRPr="00617DF1">
              <w:t xml:space="preserve">13 performance measure </w:t>
            </w:r>
            <w:r>
              <w:t>‘</w:t>
            </w:r>
            <w:r w:rsidRPr="00617DF1">
              <w:t>Funded projects (any project or activity funded from the Office of Women</w:t>
            </w:r>
            <w:r>
              <w:t>’</w:t>
            </w:r>
            <w:r w:rsidRPr="00617DF1">
              <w:t>s Policy budget, including programs funded by Office of Women</w:t>
            </w:r>
            <w:r>
              <w:t>’</w:t>
            </w:r>
            <w:r w:rsidRPr="00617DF1">
              <w:t>s Policy but delivered in partnership with another agency or service) meet agreed project objectives</w:t>
            </w:r>
            <w:r>
              <w:t>’</w:t>
            </w:r>
            <w:r w:rsidRPr="00617DF1">
              <w:t>. The new measure reports on the same activity as the previous measure</w:t>
            </w:r>
            <w:r>
              <w:t>,</w:t>
            </w:r>
            <w:r w:rsidRPr="00617DF1">
              <w:t xml:space="preserve"> </w:t>
            </w:r>
            <w:r>
              <w:t>but</w:t>
            </w:r>
            <w:r w:rsidRPr="00617DF1">
              <w:t xml:space="preserve"> has been amended to reflect the output name change.</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Participant satisfaction with Office of Women</w:t>
            </w:r>
            <w:r>
              <w:rPr>
                <w:color w:val="000000"/>
                <w:lang w:eastAsia="en-AU"/>
              </w:rPr>
              <w:t>’</w:t>
            </w:r>
            <w:r w:rsidRPr="00617DF1">
              <w:rPr>
                <w:color w:val="000000"/>
                <w:lang w:eastAsia="en-AU"/>
              </w:rPr>
              <w:t>s Affairs funded programs, projects and events</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85</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85</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85</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85</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renames the 2012</w:t>
            </w:r>
            <w:r w:rsidR="009F0F49">
              <w:noBreakHyphen/>
            </w:r>
            <w:r w:rsidRPr="00617DF1">
              <w:t xml:space="preserve">13 performance measure </w:t>
            </w:r>
            <w:r>
              <w:t>‘</w:t>
            </w:r>
            <w:r w:rsidRPr="00617DF1">
              <w:t>Participant satisfaction with Office of Women</w:t>
            </w:r>
            <w:r>
              <w:t>’</w:t>
            </w:r>
            <w:r w:rsidRPr="00617DF1">
              <w:t>s Policy funded programs, projects and events</w:t>
            </w:r>
            <w:r>
              <w:t>’</w:t>
            </w:r>
            <w:r w:rsidRPr="00617DF1">
              <w:t>. The new measure reports on the same activity as the previous measure</w:t>
            </w:r>
            <w:r>
              <w:t>, but</w:t>
            </w:r>
            <w:r w:rsidRPr="00617DF1">
              <w:t xml:space="preserve"> has been amended to reflect the output name change.</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Timeliness</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Office of Women</w:t>
            </w:r>
            <w:r>
              <w:rPr>
                <w:color w:val="000000"/>
                <w:lang w:eastAsia="en-AU"/>
              </w:rPr>
              <w:t>’</w:t>
            </w:r>
            <w:r w:rsidRPr="00617DF1">
              <w:rPr>
                <w:color w:val="000000"/>
                <w:lang w:eastAsia="en-AU"/>
              </w:rPr>
              <w:t xml:space="preserve">s Affairs </w:t>
            </w:r>
            <w:r>
              <w:rPr>
                <w:color w:val="000000"/>
                <w:lang w:eastAsia="en-AU"/>
              </w:rPr>
              <w:t>p</w:t>
            </w:r>
            <w:r w:rsidRPr="00617DF1">
              <w:rPr>
                <w:color w:val="000000"/>
                <w:lang w:eastAsia="en-AU"/>
              </w:rPr>
              <w:t>rojects delivered within agreed timeframes</w:t>
            </w:r>
          </w:p>
        </w:tc>
        <w:tc>
          <w:tcPr>
            <w:tcW w:w="908" w:type="dxa"/>
            <w:tcBorders>
              <w:top w:val="nil"/>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nil"/>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90</w:t>
            </w:r>
          </w:p>
        </w:tc>
        <w:tc>
          <w:tcPr>
            <w:tcW w:w="994"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90</w:t>
            </w:r>
          </w:p>
        </w:tc>
        <w:tc>
          <w:tcPr>
            <w:tcW w:w="907"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90</w:t>
            </w:r>
          </w:p>
        </w:tc>
        <w:tc>
          <w:tcPr>
            <w:tcW w:w="906"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90</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renames the 2012</w:t>
            </w:r>
            <w:r w:rsidR="009F0F49">
              <w:noBreakHyphen/>
            </w:r>
            <w:r w:rsidRPr="00617DF1">
              <w:t xml:space="preserve">13 performance measure </w:t>
            </w:r>
            <w:r>
              <w:t>‘</w:t>
            </w:r>
            <w:r w:rsidRPr="00617DF1">
              <w:t>Office of Women</w:t>
            </w:r>
            <w:r>
              <w:t>’</w:t>
            </w:r>
            <w:r w:rsidRPr="00617DF1">
              <w:t>s Policy Projects delivered within agreed timeframes</w:t>
            </w:r>
            <w:r>
              <w:t>’</w:t>
            </w:r>
            <w:r w:rsidRPr="00617DF1">
              <w:t>. The new measure reports on the same activity as the previous measure</w:t>
            </w:r>
            <w:r>
              <w:t>, but</w:t>
            </w:r>
            <w:r w:rsidRPr="00617DF1">
              <w:t xml:space="preserve"> has been amended to reflect the output name change.</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Cost</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Total output cost</w:t>
            </w:r>
          </w:p>
        </w:tc>
        <w:tc>
          <w:tcPr>
            <w:tcW w:w="908" w:type="dxa"/>
            <w:tcBorders>
              <w:top w:val="nil"/>
              <w:left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w:t>
            </w:r>
            <w:r>
              <w:rPr>
                <w:color w:val="000000"/>
                <w:lang w:eastAsia="en-AU"/>
              </w:rPr>
              <w:t> million</w:t>
            </w:r>
          </w:p>
        </w:tc>
        <w:tc>
          <w:tcPr>
            <w:tcW w:w="907" w:type="dxa"/>
            <w:tcBorders>
              <w:top w:val="nil"/>
              <w:left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7.1</w:t>
            </w:r>
          </w:p>
        </w:tc>
        <w:tc>
          <w:tcPr>
            <w:tcW w:w="994"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8.3</w:t>
            </w:r>
          </w:p>
        </w:tc>
        <w:tc>
          <w:tcPr>
            <w:tcW w:w="907"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8.5</w:t>
            </w:r>
          </w:p>
        </w:tc>
        <w:tc>
          <w:tcPr>
            <w:tcW w:w="906"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5.2</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The lower 2013</w:t>
            </w:r>
            <w:r w:rsidR="009F0F49">
              <w:noBreakHyphen/>
            </w:r>
            <w:r w:rsidRPr="00617DF1">
              <w:t xml:space="preserve">14 Target primarily </w:t>
            </w:r>
            <w:r>
              <w:t>reflects the completion of fixed</w:t>
            </w:r>
            <w:r w:rsidR="009F0F49">
              <w:noBreakHyphen/>
            </w:r>
            <w:r w:rsidRPr="00617DF1">
              <w:t>term budget initiatives.</w:t>
            </w:r>
          </w:p>
        </w:tc>
      </w:tr>
      <w:tr w:rsidR="00B958B1" w:rsidRPr="00617DF1" w:rsidTr="009F3B54">
        <w:trPr>
          <w:gridAfter w:val="1"/>
          <w:wAfter w:w="6" w:type="dxa"/>
          <w:cantSplit/>
        </w:trPr>
        <w:tc>
          <w:tcPr>
            <w:tcW w:w="7776" w:type="dxa"/>
            <w:gridSpan w:val="6"/>
            <w:tcBorders>
              <w:top w:val="single" w:sz="6" w:space="0" w:color="auto"/>
              <w:left w:val="nil"/>
              <w:bottom w:val="nil"/>
              <w:right w:val="nil"/>
            </w:tcBorders>
            <w:shd w:val="clear" w:color="auto" w:fill="auto"/>
            <w:vAlign w:val="bottom"/>
            <w:hideMark/>
          </w:tcPr>
          <w:p w:rsidR="00B958B1" w:rsidRPr="00617DF1" w:rsidRDefault="00B958B1" w:rsidP="009F3B54">
            <w:pPr>
              <w:pStyle w:val="OGHeading2"/>
              <w:rPr>
                <w:lang w:eastAsia="en-AU"/>
              </w:rPr>
            </w:pPr>
            <w:r w:rsidRPr="00617DF1">
              <w:rPr>
                <w:lang w:eastAsia="en-AU"/>
              </w:rPr>
              <w:t>Community Participation</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Text"/>
              <w:rPr>
                <w:lang w:eastAsia="en-AU"/>
              </w:rPr>
            </w:pPr>
            <w:r w:rsidRPr="00617DF1">
              <w:rPr>
                <w:lang w:eastAsia="en-AU"/>
              </w:rPr>
              <w:t>Community Participation programs include the Neighbourhood House Coordination Program, Men</w:t>
            </w:r>
            <w:r>
              <w:rPr>
                <w:lang w:eastAsia="en-AU"/>
              </w:rPr>
              <w:t>’</w:t>
            </w:r>
            <w:r w:rsidRPr="00617DF1">
              <w:rPr>
                <w:lang w:eastAsia="en-AU"/>
              </w:rPr>
              <w:t>s Sheds, Community Support and Community Finance initiatives</w:t>
            </w:r>
            <w:r>
              <w:rPr>
                <w:lang w:eastAsia="en-AU"/>
              </w:rPr>
              <w:t xml:space="preserve">. </w:t>
            </w:r>
            <w:r w:rsidRPr="00617DF1">
              <w:rPr>
                <w:lang w:eastAsia="en-AU"/>
              </w:rPr>
              <w:t>These programs support the social and economic participation of Victorian communities, particularly vulnerable populations.</w:t>
            </w:r>
          </w:p>
          <w:p w:rsidR="00B958B1" w:rsidRDefault="00B958B1" w:rsidP="009F3B54">
            <w:pPr>
              <w:pStyle w:val="OGText"/>
              <w:rPr>
                <w:lang w:eastAsia="en-AU"/>
              </w:rPr>
            </w:pPr>
            <w:r w:rsidRPr="00617DF1">
              <w:rPr>
                <w:lang w:eastAsia="en-AU"/>
              </w:rPr>
              <w:t>This output supports the Department</w:t>
            </w:r>
            <w:r>
              <w:rPr>
                <w:lang w:eastAsia="en-AU"/>
              </w:rPr>
              <w:t>’</w:t>
            </w:r>
            <w:r w:rsidRPr="00617DF1">
              <w:rPr>
                <w:lang w:eastAsia="en-AU"/>
              </w:rPr>
              <w:t>s capabilities and participation objective.</w:t>
            </w:r>
          </w:p>
          <w:p w:rsidR="00B958B1" w:rsidRPr="00617DF1" w:rsidRDefault="00B958B1" w:rsidP="009F3B54">
            <w:pPr>
              <w:pStyle w:val="OGNotes"/>
            </w:pPr>
            <w:r w:rsidRPr="00D651E9">
              <w:t xml:space="preserve">The output description has been revised to reflect the completion of community renewal activities and the addition </w:t>
            </w:r>
            <w:r>
              <w:t xml:space="preserve">of elements following machinery </w:t>
            </w:r>
            <w:r w:rsidRPr="00D651E9">
              <w:t>of</w:t>
            </w:r>
            <w:r>
              <w:t xml:space="preserve"> </w:t>
            </w:r>
            <w:r w:rsidRPr="00D651E9">
              <w:t>government changes that resulted in the transfer of community support projects into the Department.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Quantity</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Hours of coordination funding provided to Neighbourhood Houses</w:t>
            </w:r>
          </w:p>
        </w:tc>
        <w:tc>
          <w:tcPr>
            <w:tcW w:w="908" w:type="dxa"/>
            <w:tcBorders>
              <w:top w:val="nil"/>
              <w:left w:val="nil"/>
              <w:bottom w:val="single" w:sz="6" w:space="0" w:color="auto"/>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 (000)</w:t>
            </w:r>
          </w:p>
        </w:tc>
        <w:tc>
          <w:tcPr>
            <w:tcW w:w="907" w:type="dxa"/>
            <w:tcBorders>
              <w:top w:val="nil"/>
              <w:left w:val="nil"/>
              <w:bottom w:val="single" w:sz="6" w:space="0" w:color="auto"/>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465</w:t>
            </w:r>
          </w:p>
        </w:tc>
        <w:tc>
          <w:tcPr>
            <w:tcW w:w="994"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465</w:t>
            </w:r>
          </w:p>
        </w:tc>
        <w:tc>
          <w:tcPr>
            <w:tcW w:w="907"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465</w:t>
            </w:r>
          </w:p>
        </w:tc>
        <w:tc>
          <w:tcPr>
            <w:tcW w:w="906"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465</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Quality</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Strategy implementation actions within agreed performance targets: Community Organisations</w:t>
            </w:r>
          </w:p>
        </w:tc>
        <w:tc>
          <w:tcPr>
            <w:tcW w:w="908" w:type="dxa"/>
            <w:tcBorders>
              <w:top w:val="nil"/>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nil"/>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100</w:t>
            </w:r>
          </w:p>
        </w:tc>
        <w:tc>
          <w:tcPr>
            <w:tcW w:w="994"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100</w:t>
            </w:r>
          </w:p>
        </w:tc>
        <w:tc>
          <w:tcPr>
            <w:tcW w:w="907"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100</w:t>
            </w:r>
          </w:p>
        </w:tc>
        <w:tc>
          <w:tcPr>
            <w:tcW w:w="906"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100</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has been introduced as a result of machinery</w:t>
            </w:r>
            <w:r>
              <w:t xml:space="preserve"> </w:t>
            </w:r>
            <w:r w:rsidRPr="00617DF1">
              <w:t>of</w:t>
            </w:r>
            <w:r>
              <w:t xml:space="preserve"> </w:t>
            </w:r>
            <w:r w:rsidRPr="00617DF1">
              <w:t>government changes that resulted in the transfer of the Office of the Community Sector function into the department.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Strategy implementation actions within agreed performance targets: Volunteering</w:t>
            </w:r>
          </w:p>
        </w:tc>
        <w:tc>
          <w:tcPr>
            <w:tcW w:w="908" w:type="dxa"/>
            <w:tcBorders>
              <w:top w:val="single" w:sz="6" w:space="0" w:color="auto"/>
              <w:left w:val="nil"/>
              <w:bottom w:val="nil"/>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100</w:t>
            </w:r>
          </w:p>
        </w:tc>
        <w:tc>
          <w:tcPr>
            <w:tcW w:w="994"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100</w:t>
            </w:r>
          </w:p>
        </w:tc>
        <w:tc>
          <w:tcPr>
            <w:tcW w:w="907"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100</w:t>
            </w:r>
          </w:p>
        </w:tc>
        <w:tc>
          <w:tcPr>
            <w:tcW w:w="906" w:type="dxa"/>
            <w:tcBorders>
              <w:top w:val="single" w:sz="6" w:space="0" w:color="auto"/>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100</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This performance measure has been introduced as a result of machinery</w:t>
            </w:r>
            <w:r>
              <w:t xml:space="preserve"> </w:t>
            </w:r>
            <w:r w:rsidRPr="00617DF1">
              <w:t>of</w:t>
            </w:r>
            <w:r>
              <w:t xml:space="preserve"> </w:t>
            </w:r>
            <w:r w:rsidRPr="00617DF1">
              <w:t>government changes that resulted in the transfer of the Office of the Community Sector function into the department.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Timeliness</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Grants acquitted within the timeframe specified in the terms and conditions of the funding agreement</w:t>
            </w:r>
          </w:p>
        </w:tc>
        <w:tc>
          <w:tcPr>
            <w:tcW w:w="908" w:type="dxa"/>
            <w:tcBorders>
              <w:top w:val="nil"/>
              <w:left w:val="nil"/>
              <w:bottom w:val="single" w:sz="6" w:space="0" w:color="auto"/>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17DF1" w:rsidRDefault="00B958B1" w:rsidP="009F3B54">
            <w:pPr>
              <w:pStyle w:val="OGTableofFigures"/>
              <w:rPr>
                <w:color w:val="000000"/>
                <w:lang w:eastAsia="en-AU"/>
              </w:rPr>
            </w:pPr>
            <w:r>
              <w:rPr>
                <w:color w:val="000000"/>
                <w:lang w:eastAsia="en-AU"/>
              </w:rPr>
              <w:t>&gt;</w:t>
            </w:r>
            <w:r w:rsidRPr="00617DF1">
              <w:rPr>
                <w:color w:val="000000"/>
                <w:lang w:eastAsia="en-AU"/>
              </w:rPr>
              <w:t>90</w:t>
            </w:r>
          </w:p>
        </w:tc>
        <w:tc>
          <w:tcPr>
            <w:tcW w:w="994"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90</w:t>
            </w:r>
          </w:p>
        </w:tc>
        <w:tc>
          <w:tcPr>
            <w:tcW w:w="907"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&gt;90</w:t>
            </w:r>
          </w:p>
        </w:tc>
        <w:tc>
          <w:tcPr>
            <w:tcW w:w="906"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90</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Cost</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keepNext/>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keepNext/>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keepNext/>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keepNext/>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keepNext/>
              <w:rPr>
                <w:color w:val="000000"/>
                <w:lang w:eastAsia="en-AU"/>
              </w:rPr>
            </w:pPr>
          </w:p>
        </w:tc>
      </w:tr>
      <w:tr w:rsidR="00B958B1" w:rsidRPr="00617DF1" w:rsidTr="009F3B54">
        <w:trPr>
          <w:gridAfter w:val="1"/>
          <w:wAfter w:w="6" w:type="dxa"/>
          <w:cantSplit/>
        </w:trPr>
        <w:tc>
          <w:tcPr>
            <w:tcW w:w="3154" w:type="dxa"/>
            <w:tcBorders>
              <w:top w:val="nil"/>
              <w:left w:val="nil"/>
              <w:right w:val="nil"/>
            </w:tcBorders>
            <w:shd w:val="clear" w:color="000000" w:fill="FFFFFF"/>
            <w:hideMark/>
          </w:tcPr>
          <w:p w:rsidR="00B958B1" w:rsidRPr="00617DF1" w:rsidRDefault="00B958B1" w:rsidP="009F3B54">
            <w:pPr>
              <w:pStyle w:val="OGTabText"/>
              <w:keepNext/>
              <w:rPr>
                <w:color w:val="000000"/>
                <w:lang w:eastAsia="en-AU"/>
              </w:rPr>
            </w:pPr>
            <w:r w:rsidRPr="00617DF1">
              <w:rPr>
                <w:color w:val="000000"/>
                <w:lang w:eastAsia="en-AU"/>
              </w:rPr>
              <w:t>Total output cost</w:t>
            </w:r>
          </w:p>
        </w:tc>
        <w:tc>
          <w:tcPr>
            <w:tcW w:w="908" w:type="dxa"/>
            <w:tcBorders>
              <w:top w:val="nil"/>
              <w:left w:val="nil"/>
              <w:right w:val="nil"/>
            </w:tcBorders>
            <w:shd w:val="clear" w:color="000000" w:fill="FFFFFF"/>
            <w:hideMark/>
          </w:tcPr>
          <w:p w:rsidR="00B958B1" w:rsidRPr="00617DF1" w:rsidRDefault="00B958B1" w:rsidP="009F3B54">
            <w:pPr>
              <w:pStyle w:val="OGUoM"/>
              <w:keepNext/>
              <w:rPr>
                <w:color w:val="000000"/>
                <w:lang w:eastAsia="en-AU"/>
              </w:rPr>
            </w:pPr>
            <w:r w:rsidRPr="00617DF1">
              <w:rPr>
                <w:color w:val="000000"/>
                <w:lang w:eastAsia="en-AU"/>
              </w:rPr>
              <w:t>$</w:t>
            </w:r>
            <w:r>
              <w:rPr>
                <w:color w:val="000000"/>
                <w:lang w:eastAsia="en-AU"/>
              </w:rPr>
              <w:t> million</w:t>
            </w:r>
          </w:p>
        </w:tc>
        <w:tc>
          <w:tcPr>
            <w:tcW w:w="907" w:type="dxa"/>
            <w:tcBorders>
              <w:top w:val="nil"/>
              <w:left w:val="nil"/>
              <w:right w:val="nil"/>
            </w:tcBorders>
            <w:shd w:val="clear" w:color="auto" w:fill="D9D9D9"/>
            <w:hideMark/>
          </w:tcPr>
          <w:p w:rsidR="00B958B1" w:rsidRPr="00617DF1" w:rsidRDefault="00B958B1" w:rsidP="009F3B54">
            <w:pPr>
              <w:pStyle w:val="OGTableofFigures"/>
              <w:keepNext/>
              <w:rPr>
                <w:color w:val="000000"/>
                <w:lang w:eastAsia="en-AU"/>
              </w:rPr>
            </w:pPr>
            <w:r w:rsidRPr="00617DF1">
              <w:rPr>
                <w:color w:val="000000"/>
                <w:lang w:eastAsia="en-AU"/>
              </w:rPr>
              <w:t>40.9</w:t>
            </w:r>
          </w:p>
        </w:tc>
        <w:tc>
          <w:tcPr>
            <w:tcW w:w="994" w:type="dxa"/>
            <w:tcBorders>
              <w:top w:val="nil"/>
              <w:left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28.1</w:t>
            </w:r>
          </w:p>
        </w:tc>
        <w:tc>
          <w:tcPr>
            <w:tcW w:w="907" w:type="dxa"/>
            <w:tcBorders>
              <w:top w:val="nil"/>
              <w:left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27.5</w:t>
            </w:r>
          </w:p>
        </w:tc>
        <w:tc>
          <w:tcPr>
            <w:tcW w:w="906" w:type="dxa"/>
            <w:tcBorders>
              <w:top w:val="nil"/>
              <w:left w:val="nil"/>
              <w:right w:val="nil"/>
            </w:tcBorders>
            <w:shd w:val="clear" w:color="000000" w:fill="FFFFFF"/>
            <w:hideMark/>
          </w:tcPr>
          <w:p w:rsidR="00B958B1" w:rsidRPr="00617DF1" w:rsidRDefault="00B958B1" w:rsidP="009F3B54">
            <w:pPr>
              <w:pStyle w:val="OGTableofFigures"/>
              <w:keepNext/>
              <w:rPr>
                <w:color w:val="000000"/>
                <w:lang w:eastAsia="en-AU"/>
              </w:rPr>
            </w:pPr>
            <w:r w:rsidRPr="00617DF1">
              <w:rPr>
                <w:color w:val="000000"/>
                <w:lang w:eastAsia="en-AU"/>
              </w:rPr>
              <w:t>27</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17DF1" w:rsidRDefault="00B958B1" w:rsidP="009F3B54">
            <w:pPr>
              <w:pStyle w:val="OGNotes"/>
              <w:rPr>
                <w:color w:val="000000"/>
              </w:rPr>
            </w:pPr>
            <w:r w:rsidRPr="00617DF1">
              <w:t>The higher 2013</w:t>
            </w:r>
            <w:r w:rsidR="009F0F49">
              <w:noBreakHyphen/>
            </w:r>
            <w:r w:rsidRPr="00617DF1">
              <w:t>14 Target primarily reflects the machinery of government transfer of functions of the Office for the Community Sector, from the Department of Planning and Community Development to the Department of Human Services, and additional funding for the impact of the social and community services pay equity case.</w:t>
            </w:r>
          </w:p>
        </w:tc>
      </w:tr>
      <w:tr w:rsidR="00B958B1" w:rsidRPr="00617DF1" w:rsidTr="009F3B54">
        <w:trPr>
          <w:gridAfter w:val="1"/>
          <w:wAfter w:w="6" w:type="dxa"/>
          <w:cantSplit/>
        </w:trPr>
        <w:tc>
          <w:tcPr>
            <w:tcW w:w="7776" w:type="dxa"/>
            <w:gridSpan w:val="6"/>
            <w:tcBorders>
              <w:top w:val="single" w:sz="6" w:space="0" w:color="auto"/>
              <w:left w:val="nil"/>
              <w:bottom w:val="nil"/>
              <w:right w:val="nil"/>
            </w:tcBorders>
            <w:shd w:val="clear" w:color="auto" w:fill="auto"/>
            <w:vAlign w:val="bottom"/>
            <w:hideMark/>
          </w:tcPr>
          <w:p w:rsidR="00B958B1" w:rsidRPr="00617DF1" w:rsidRDefault="00B958B1" w:rsidP="009F3B54">
            <w:pPr>
              <w:pStyle w:val="OGHeading2"/>
              <w:rPr>
                <w:color w:val="000000"/>
                <w:lang w:eastAsia="en-AU"/>
              </w:rPr>
            </w:pPr>
            <w:r w:rsidRPr="00617DF1">
              <w:rPr>
                <w:lang w:eastAsia="en-AU"/>
              </w:rPr>
              <w:t>Youth Affairs</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Text"/>
              <w:rPr>
                <w:lang w:eastAsia="en-AU"/>
              </w:rPr>
            </w:pPr>
            <w:r w:rsidRPr="00617DF1">
              <w:rPr>
                <w:lang w:eastAsia="en-AU"/>
              </w:rPr>
              <w:t>Youth Affairs leads and coordinates whole of government policy advice and delivers targeted programs for young people aged between 12 and 25 to confidently pa</w:t>
            </w:r>
            <w:r>
              <w:rPr>
                <w:lang w:eastAsia="en-AU"/>
              </w:rPr>
              <w:t>rticipate in their communities.</w:t>
            </w:r>
          </w:p>
          <w:p w:rsidR="00B958B1" w:rsidRPr="00617DF1" w:rsidRDefault="00B958B1" w:rsidP="009F3B54">
            <w:pPr>
              <w:pStyle w:val="OGText"/>
              <w:rPr>
                <w:color w:val="000000"/>
                <w:lang w:eastAsia="en-AU"/>
              </w:rPr>
            </w:pPr>
            <w:r w:rsidRPr="00617DF1">
              <w:rPr>
                <w:lang w:eastAsia="en-AU"/>
              </w:rPr>
              <w:t>This output supports the Department</w:t>
            </w:r>
            <w:r>
              <w:rPr>
                <w:lang w:eastAsia="en-AU"/>
              </w:rPr>
              <w:t>’</w:t>
            </w:r>
            <w:r w:rsidRPr="00617DF1">
              <w:rPr>
                <w:lang w:eastAsia="en-AU"/>
              </w:rPr>
              <w:t>s capabilities and participation objective.</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Quantity</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Participation by young people in programs that provide opportunities to be involved in social and economic life in their communities</w:t>
            </w:r>
          </w:p>
        </w:tc>
        <w:tc>
          <w:tcPr>
            <w:tcW w:w="908" w:type="dxa"/>
            <w:tcBorders>
              <w:top w:val="nil"/>
              <w:left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nil"/>
              <w:left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200</w:t>
            </w:r>
            <w:r>
              <w:rPr>
                <w:color w:val="000000"/>
                <w:lang w:eastAsia="en-AU"/>
              </w:rPr>
              <w:t> </w:t>
            </w:r>
            <w:r w:rsidRPr="00617DF1">
              <w:rPr>
                <w:color w:val="000000"/>
                <w:lang w:eastAsia="en-AU"/>
              </w:rPr>
              <w:t>000</w:t>
            </w:r>
          </w:p>
        </w:tc>
        <w:tc>
          <w:tcPr>
            <w:tcW w:w="994"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194</w:t>
            </w:r>
            <w:r>
              <w:rPr>
                <w:color w:val="000000"/>
                <w:lang w:eastAsia="en-AU"/>
              </w:rPr>
              <w:t> </w:t>
            </w:r>
            <w:r w:rsidRPr="00617DF1">
              <w:rPr>
                <w:color w:val="000000"/>
                <w:lang w:eastAsia="en-AU"/>
              </w:rPr>
              <w:t>680</w:t>
            </w:r>
          </w:p>
        </w:tc>
        <w:tc>
          <w:tcPr>
            <w:tcW w:w="907"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194</w:t>
            </w:r>
            <w:r>
              <w:rPr>
                <w:color w:val="000000"/>
                <w:lang w:eastAsia="en-AU"/>
              </w:rPr>
              <w:t> </w:t>
            </w:r>
            <w:r w:rsidRPr="00617DF1">
              <w:rPr>
                <w:color w:val="000000"/>
                <w:lang w:eastAsia="en-AU"/>
              </w:rPr>
              <w:t>680</w:t>
            </w:r>
          </w:p>
        </w:tc>
        <w:tc>
          <w:tcPr>
            <w:tcW w:w="906" w:type="dxa"/>
            <w:tcBorders>
              <w:top w:val="nil"/>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220</w:t>
            </w:r>
            <w:r>
              <w:rPr>
                <w:color w:val="000000"/>
                <w:lang w:eastAsia="en-AU"/>
              </w:rPr>
              <w:t> </w:t>
            </w:r>
            <w:r w:rsidRPr="00617DF1">
              <w:rPr>
                <w:color w:val="000000"/>
                <w:lang w:eastAsia="en-AU"/>
              </w:rPr>
              <w:t>284</w:t>
            </w:r>
          </w:p>
        </w:tc>
      </w:tr>
      <w:tr w:rsidR="00B958B1" w:rsidRPr="00617DF1" w:rsidTr="009F3B54">
        <w:trPr>
          <w:gridAfter w:val="1"/>
          <w:wAfter w:w="6" w:type="dxa"/>
          <w:cantSplit/>
        </w:trPr>
        <w:tc>
          <w:tcPr>
            <w:tcW w:w="7776" w:type="dxa"/>
            <w:gridSpan w:val="6"/>
            <w:tcBorders>
              <w:top w:val="nil"/>
              <w:left w:val="nil"/>
              <w:bottom w:val="single" w:sz="6" w:space="0" w:color="auto"/>
              <w:right w:val="nil"/>
            </w:tcBorders>
            <w:shd w:val="clear" w:color="000000" w:fill="FFFFFF"/>
          </w:tcPr>
          <w:p w:rsidR="00B958B1" w:rsidRPr="00632030" w:rsidRDefault="00B958B1" w:rsidP="009F3B54">
            <w:pPr>
              <w:pStyle w:val="OGNotes"/>
            </w:pPr>
            <w:r w:rsidRPr="00632030">
              <w:t>The higher 2013</w:t>
            </w:r>
            <w:r w:rsidR="009F0F49">
              <w:noBreakHyphen/>
            </w:r>
            <w:r w:rsidRPr="00632030">
              <w:t>14 Target reflects additional funding provided in the 2013</w:t>
            </w:r>
            <w:r w:rsidR="009F0F49">
              <w:noBreakHyphen/>
            </w:r>
            <w:r w:rsidRPr="00632030">
              <w:t>14 Budget.</w:t>
            </w:r>
          </w:p>
        </w:tc>
      </w:tr>
      <w:tr w:rsidR="00B958B1" w:rsidRPr="00617DF1"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Participation by young people in programs that support young people to be involved in decision making in their community</w:t>
            </w:r>
          </w:p>
        </w:tc>
        <w:tc>
          <w:tcPr>
            <w:tcW w:w="908" w:type="dxa"/>
            <w:tcBorders>
              <w:top w:val="single" w:sz="6" w:space="0" w:color="auto"/>
              <w:left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number</w:t>
            </w:r>
          </w:p>
        </w:tc>
        <w:tc>
          <w:tcPr>
            <w:tcW w:w="907" w:type="dxa"/>
            <w:tcBorders>
              <w:top w:val="single" w:sz="6" w:space="0" w:color="auto"/>
              <w:left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775</w:t>
            </w:r>
          </w:p>
        </w:tc>
        <w:tc>
          <w:tcPr>
            <w:tcW w:w="994" w:type="dxa"/>
            <w:tcBorders>
              <w:top w:val="single" w:sz="6" w:space="0" w:color="auto"/>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703</w:t>
            </w:r>
          </w:p>
        </w:tc>
        <w:tc>
          <w:tcPr>
            <w:tcW w:w="907" w:type="dxa"/>
            <w:tcBorders>
              <w:top w:val="single" w:sz="6" w:space="0" w:color="auto"/>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w:t>
            </w:r>
            <w:r>
              <w:rPr>
                <w:color w:val="000000"/>
                <w:lang w:eastAsia="en-AU"/>
              </w:rPr>
              <w:t> </w:t>
            </w:r>
            <w:r w:rsidRPr="00617DF1">
              <w:rPr>
                <w:color w:val="000000"/>
                <w:lang w:eastAsia="en-AU"/>
              </w:rPr>
              <w:t>703</w:t>
            </w:r>
          </w:p>
        </w:tc>
        <w:tc>
          <w:tcPr>
            <w:tcW w:w="906" w:type="dxa"/>
            <w:tcBorders>
              <w:top w:val="single" w:sz="6" w:space="0" w:color="auto"/>
              <w:left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2</w:t>
            </w:r>
            <w:r>
              <w:rPr>
                <w:color w:val="000000"/>
                <w:lang w:eastAsia="en-AU"/>
              </w:rPr>
              <w:t> </w:t>
            </w:r>
            <w:r w:rsidRPr="00617DF1">
              <w:rPr>
                <w:color w:val="000000"/>
                <w:lang w:eastAsia="en-AU"/>
              </w:rPr>
              <w:t>050</w:t>
            </w:r>
          </w:p>
        </w:tc>
      </w:tr>
      <w:tr w:rsidR="00B958B1" w:rsidRPr="00617DF1" w:rsidTr="009F3B54">
        <w:trPr>
          <w:gridAfter w:val="1"/>
          <w:wAfter w:w="6" w:type="dxa"/>
          <w:cantSplit/>
        </w:trPr>
        <w:tc>
          <w:tcPr>
            <w:tcW w:w="7776" w:type="dxa"/>
            <w:gridSpan w:val="6"/>
            <w:tcBorders>
              <w:left w:val="nil"/>
              <w:bottom w:val="single" w:sz="6" w:space="0" w:color="auto"/>
              <w:right w:val="nil"/>
            </w:tcBorders>
            <w:shd w:val="clear" w:color="000000" w:fill="FFFFFF"/>
          </w:tcPr>
          <w:p w:rsidR="00B958B1" w:rsidRPr="00632030" w:rsidRDefault="00B958B1" w:rsidP="009F3B54">
            <w:pPr>
              <w:pStyle w:val="OGNotes"/>
            </w:pPr>
            <w:r w:rsidRPr="00632030">
              <w:t>The higher 2013</w:t>
            </w:r>
            <w:r w:rsidR="009F0F49">
              <w:noBreakHyphen/>
            </w:r>
            <w:r w:rsidRPr="00632030">
              <w:t>14 Target reflects additional funding provided in the 2013</w:t>
            </w:r>
            <w:r w:rsidR="009F0F49">
              <w:noBreakHyphen/>
            </w:r>
            <w:r w:rsidRPr="00632030">
              <w:t>14 Budget.</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Quality</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Participants reporting development of transferrable skills that support education, training and vocational opportunities</w:t>
            </w:r>
          </w:p>
        </w:tc>
        <w:tc>
          <w:tcPr>
            <w:tcW w:w="908" w:type="dxa"/>
            <w:tcBorders>
              <w:top w:val="nil"/>
              <w:left w:val="nil"/>
              <w:bottom w:val="single" w:sz="6" w:space="0" w:color="auto"/>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75</w:t>
            </w:r>
          </w:p>
        </w:tc>
        <w:tc>
          <w:tcPr>
            <w:tcW w:w="994"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75</w:t>
            </w:r>
          </w:p>
        </w:tc>
        <w:tc>
          <w:tcPr>
            <w:tcW w:w="907"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75</w:t>
            </w:r>
          </w:p>
        </w:tc>
        <w:tc>
          <w:tcPr>
            <w:tcW w:w="906"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94</w:t>
            </w:r>
          </w:p>
        </w:tc>
      </w:tr>
      <w:tr w:rsidR="00B958B1" w:rsidRPr="00617DF1"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Timeliness</w:t>
            </w:r>
          </w:p>
        </w:tc>
        <w:tc>
          <w:tcPr>
            <w:tcW w:w="908" w:type="dxa"/>
            <w:tcBorders>
              <w:top w:val="single" w:sz="6" w:space="0" w:color="auto"/>
              <w:left w:val="nil"/>
              <w:bottom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bottom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bottom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17DF1" w:rsidRDefault="00B958B1" w:rsidP="009F3B54">
            <w:pPr>
              <w:pStyle w:val="OGTabText"/>
              <w:rPr>
                <w:color w:val="000000"/>
                <w:lang w:eastAsia="en-AU"/>
              </w:rPr>
            </w:pPr>
            <w:r>
              <w:rPr>
                <w:color w:val="000000"/>
                <w:lang w:eastAsia="en-AU"/>
              </w:rPr>
              <w:t>Percentage</w:t>
            </w:r>
            <w:r w:rsidRPr="00617DF1">
              <w:rPr>
                <w:color w:val="000000"/>
                <w:lang w:eastAsia="en-AU"/>
              </w:rPr>
              <w:t xml:space="preserve"> of programs delivered within agreed timeframes</w:t>
            </w:r>
          </w:p>
        </w:tc>
        <w:tc>
          <w:tcPr>
            <w:tcW w:w="908" w:type="dxa"/>
            <w:tcBorders>
              <w:top w:val="nil"/>
              <w:left w:val="nil"/>
              <w:bottom w:val="single" w:sz="6" w:space="0" w:color="auto"/>
              <w:right w:val="nil"/>
            </w:tcBorders>
            <w:shd w:val="clear" w:color="000000" w:fill="FFFFFF"/>
            <w:hideMark/>
          </w:tcPr>
          <w:p w:rsidR="00B958B1" w:rsidRPr="00617DF1"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90</w:t>
            </w:r>
          </w:p>
        </w:tc>
        <w:tc>
          <w:tcPr>
            <w:tcW w:w="994"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90</w:t>
            </w:r>
          </w:p>
        </w:tc>
        <w:tc>
          <w:tcPr>
            <w:tcW w:w="907"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90</w:t>
            </w:r>
          </w:p>
        </w:tc>
        <w:tc>
          <w:tcPr>
            <w:tcW w:w="906" w:type="dxa"/>
            <w:tcBorders>
              <w:top w:val="nil"/>
              <w:left w:val="nil"/>
              <w:bottom w:val="single" w:sz="6" w:space="0" w:color="auto"/>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99</w:t>
            </w:r>
          </w:p>
        </w:tc>
      </w:tr>
      <w:tr w:rsidR="00B958B1" w:rsidRPr="00617DF1"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617DF1" w:rsidRDefault="00B958B1" w:rsidP="009F3B54">
            <w:pPr>
              <w:pStyle w:val="OGTabHead"/>
              <w:rPr>
                <w:lang w:eastAsia="en-AU"/>
              </w:rPr>
            </w:pPr>
            <w:r w:rsidRPr="00617DF1">
              <w:rPr>
                <w:lang w:eastAsia="en-AU"/>
              </w:rPr>
              <w:t>Cost</w:t>
            </w:r>
          </w:p>
        </w:tc>
        <w:tc>
          <w:tcPr>
            <w:tcW w:w="908" w:type="dxa"/>
            <w:tcBorders>
              <w:top w:val="single" w:sz="6" w:space="0" w:color="auto"/>
              <w:left w:val="nil"/>
              <w:right w:val="nil"/>
            </w:tcBorders>
            <w:shd w:val="clear" w:color="auto" w:fill="auto"/>
            <w:noWrap/>
            <w:hideMark/>
          </w:tcPr>
          <w:p w:rsidR="00B958B1" w:rsidRPr="00617DF1" w:rsidRDefault="00B958B1" w:rsidP="009F3B54">
            <w:pPr>
              <w:pStyle w:val="OGUoM"/>
              <w:rPr>
                <w:color w:val="000000"/>
                <w:lang w:eastAsia="en-AU"/>
              </w:rPr>
            </w:pPr>
          </w:p>
        </w:tc>
        <w:tc>
          <w:tcPr>
            <w:tcW w:w="907" w:type="dxa"/>
            <w:tcBorders>
              <w:top w:val="single" w:sz="6" w:space="0" w:color="auto"/>
              <w:left w:val="nil"/>
              <w:right w:val="nil"/>
            </w:tcBorders>
            <w:shd w:val="clear" w:color="auto" w:fill="D9D9D9"/>
            <w:noWrap/>
            <w:hideMark/>
          </w:tcPr>
          <w:p w:rsidR="00B958B1" w:rsidRPr="00617DF1" w:rsidRDefault="00B958B1" w:rsidP="009F3B54">
            <w:pPr>
              <w:pStyle w:val="OGTableofFigures"/>
              <w:rPr>
                <w:color w:val="000000"/>
                <w:lang w:eastAsia="en-AU"/>
              </w:rPr>
            </w:pPr>
          </w:p>
        </w:tc>
        <w:tc>
          <w:tcPr>
            <w:tcW w:w="994" w:type="dxa"/>
            <w:tcBorders>
              <w:top w:val="single" w:sz="6" w:space="0" w:color="auto"/>
              <w:left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7" w:type="dxa"/>
            <w:tcBorders>
              <w:top w:val="single" w:sz="6" w:space="0" w:color="auto"/>
              <w:left w:val="nil"/>
              <w:right w:val="nil"/>
            </w:tcBorders>
            <w:shd w:val="clear" w:color="auto" w:fill="auto"/>
            <w:noWrap/>
            <w:hideMark/>
          </w:tcPr>
          <w:p w:rsidR="00B958B1" w:rsidRPr="00617DF1" w:rsidRDefault="00B958B1" w:rsidP="009F3B54">
            <w:pPr>
              <w:pStyle w:val="OGTableofFigures"/>
              <w:rPr>
                <w:color w:val="000000"/>
                <w:lang w:eastAsia="en-AU"/>
              </w:rPr>
            </w:pPr>
          </w:p>
        </w:tc>
        <w:tc>
          <w:tcPr>
            <w:tcW w:w="906" w:type="dxa"/>
            <w:tcBorders>
              <w:top w:val="single" w:sz="6" w:space="0" w:color="auto"/>
              <w:left w:val="nil"/>
              <w:right w:val="nil"/>
            </w:tcBorders>
            <w:shd w:val="clear" w:color="auto" w:fill="auto"/>
            <w:noWrap/>
            <w:hideMark/>
          </w:tcPr>
          <w:p w:rsidR="00B958B1" w:rsidRPr="00617DF1" w:rsidRDefault="00B958B1" w:rsidP="009F3B54">
            <w:pPr>
              <w:pStyle w:val="OGTableofFigures"/>
              <w:rPr>
                <w:color w:val="000000"/>
                <w:lang w:eastAsia="en-AU"/>
              </w:rPr>
            </w:pPr>
          </w:p>
        </w:tc>
      </w:tr>
      <w:tr w:rsidR="00B958B1" w:rsidRPr="00617DF1" w:rsidTr="009F3B54">
        <w:trPr>
          <w:gridAfter w:val="1"/>
          <w:wAfter w:w="6" w:type="dxa"/>
          <w:cantSplit/>
        </w:trPr>
        <w:tc>
          <w:tcPr>
            <w:tcW w:w="3154" w:type="dxa"/>
            <w:tcBorders>
              <w:top w:val="nil"/>
              <w:left w:val="nil"/>
              <w:bottom w:val="nil"/>
              <w:right w:val="nil"/>
            </w:tcBorders>
            <w:shd w:val="clear" w:color="000000" w:fill="FFFFFF"/>
            <w:hideMark/>
          </w:tcPr>
          <w:p w:rsidR="00B958B1" w:rsidRPr="00617DF1" w:rsidRDefault="00B958B1" w:rsidP="009F3B54">
            <w:pPr>
              <w:pStyle w:val="OGTabText"/>
              <w:rPr>
                <w:color w:val="000000"/>
                <w:lang w:eastAsia="en-AU"/>
              </w:rPr>
            </w:pPr>
            <w:r w:rsidRPr="00617DF1">
              <w:rPr>
                <w:color w:val="000000"/>
                <w:lang w:eastAsia="en-AU"/>
              </w:rPr>
              <w:t>Total output cost</w:t>
            </w:r>
          </w:p>
        </w:tc>
        <w:tc>
          <w:tcPr>
            <w:tcW w:w="908" w:type="dxa"/>
            <w:tcBorders>
              <w:top w:val="nil"/>
              <w:left w:val="nil"/>
              <w:bottom w:val="nil"/>
              <w:right w:val="nil"/>
            </w:tcBorders>
            <w:shd w:val="clear" w:color="000000" w:fill="FFFFFF"/>
            <w:hideMark/>
          </w:tcPr>
          <w:p w:rsidR="00B958B1" w:rsidRPr="00617DF1" w:rsidRDefault="00B958B1" w:rsidP="009F3B54">
            <w:pPr>
              <w:pStyle w:val="OGUoM"/>
              <w:rPr>
                <w:color w:val="000000"/>
                <w:lang w:eastAsia="en-AU"/>
              </w:rPr>
            </w:pPr>
            <w:r w:rsidRPr="00617DF1">
              <w:rPr>
                <w:color w:val="000000"/>
                <w:lang w:eastAsia="en-AU"/>
              </w:rPr>
              <w:t>$</w:t>
            </w:r>
            <w:r>
              <w:rPr>
                <w:color w:val="000000"/>
                <w:lang w:eastAsia="en-AU"/>
              </w:rPr>
              <w:t> million</w:t>
            </w:r>
          </w:p>
        </w:tc>
        <w:tc>
          <w:tcPr>
            <w:tcW w:w="907" w:type="dxa"/>
            <w:tcBorders>
              <w:top w:val="nil"/>
              <w:left w:val="nil"/>
              <w:bottom w:val="nil"/>
              <w:right w:val="nil"/>
            </w:tcBorders>
            <w:shd w:val="clear" w:color="auto" w:fill="D9D9D9"/>
            <w:hideMark/>
          </w:tcPr>
          <w:p w:rsidR="00B958B1" w:rsidRPr="00617DF1" w:rsidRDefault="00B958B1" w:rsidP="009F3B54">
            <w:pPr>
              <w:pStyle w:val="OGTableofFigures"/>
              <w:rPr>
                <w:color w:val="000000"/>
                <w:lang w:eastAsia="en-AU"/>
              </w:rPr>
            </w:pPr>
            <w:r w:rsidRPr="00617DF1">
              <w:rPr>
                <w:color w:val="000000"/>
                <w:lang w:eastAsia="en-AU"/>
              </w:rPr>
              <w:t>17</w:t>
            </w:r>
            <w:r>
              <w:rPr>
                <w:color w:val="000000"/>
                <w:lang w:eastAsia="en-AU"/>
              </w:rPr>
              <w:t>.0</w:t>
            </w:r>
          </w:p>
        </w:tc>
        <w:tc>
          <w:tcPr>
            <w:tcW w:w="994"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16.5</w:t>
            </w:r>
          </w:p>
        </w:tc>
        <w:tc>
          <w:tcPr>
            <w:tcW w:w="907"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16.3</w:t>
            </w:r>
          </w:p>
        </w:tc>
        <w:tc>
          <w:tcPr>
            <w:tcW w:w="906" w:type="dxa"/>
            <w:tcBorders>
              <w:top w:val="nil"/>
              <w:left w:val="nil"/>
              <w:bottom w:val="nil"/>
              <w:right w:val="nil"/>
            </w:tcBorders>
            <w:shd w:val="clear" w:color="000000" w:fill="FFFFFF"/>
            <w:hideMark/>
          </w:tcPr>
          <w:p w:rsidR="00B958B1" w:rsidRPr="00617DF1" w:rsidRDefault="00B958B1" w:rsidP="009F3B54">
            <w:pPr>
              <w:pStyle w:val="OGTableofFigures"/>
              <w:rPr>
                <w:color w:val="000000"/>
                <w:lang w:eastAsia="en-AU"/>
              </w:rPr>
            </w:pPr>
            <w:r w:rsidRPr="00617DF1">
              <w:rPr>
                <w:color w:val="000000"/>
                <w:lang w:eastAsia="en-AU"/>
              </w:rPr>
              <w:t>18.4</w:t>
            </w:r>
          </w:p>
        </w:tc>
      </w:tr>
      <w:tr w:rsidR="00B958B1" w:rsidRPr="00617DF1" w:rsidTr="009F3B54">
        <w:trPr>
          <w:gridAfter w:val="1"/>
          <w:wAfter w:w="6" w:type="dxa"/>
          <w:cantSplit/>
        </w:trPr>
        <w:tc>
          <w:tcPr>
            <w:tcW w:w="7776" w:type="dxa"/>
            <w:gridSpan w:val="6"/>
            <w:tcBorders>
              <w:top w:val="nil"/>
              <w:left w:val="nil"/>
              <w:bottom w:val="single" w:sz="12" w:space="0" w:color="auto"/>
              <w:right w:val="nil"/>
            </w:tcBorders>
            <w:shd w:val="clear" w:color="000000" w:fill="FFFFFF"/>
          </w:tcPr>
          <w:p w:rsidR="00B958B1" w:rsidRPr="00150A09" w:rsidRDefault="00B958B1" w:rsidP="009F3B54">
            <w:pPr>
              <w:pStyle w:val="OGNotes"/>
            </w:pPr>
            <w:r w:rsidRPr="00150A09">
              <w:t>The higher 2013</w:t>
            </w:r>
            <w:r w:rsidR="009F0F49">
              <w:noBreakHyphen/>
            </w:r>
            <w:r w:rsidRPr="00150A09">
              <w:t xml:space="preserve">14 Target primarily reflects additional funding provided in the </w:t>
            </w:r>
            <w:r w:rsidRPr="00CF59F3">
              <w:rPr>
                <w:i w:val="0"/>
              </w:rPr>
              <w:t>2013</w:t>
            </w:r>
            <w:r w:rsidR="009F0F49">
              <w:rPr>
                <w:i w:val="0"/>
              </w:rPr>
              <w:noBreakHyphen/>
            </w:r>
            <w:r w:rsidRPr="00CF59F3">
              <w:rPr>
                <w:i w:val="0"/>
              </w:rPr>
              <w:t>14 Budget</w:t>
            </w:r>
            <w:r w:rsidRPr="00150A09">
              <w:t>, and the full year effect of initiative funding announced in previous years’ budgets.</w:t>
            </w:r>
          </w:p>
        </w:tc>
      </w:tr>
    </w:tbl>
    <w:p w:rsidR="00B958B1" w:rsidRDefault="00B958B1" w:rsidP="009F3B54">
      <w:pPr>
        <w:pStyle w:val="Source"/>
        <w:rPr>
          <w:lang w:eastAsia="en-AU"/>
        </w:rPr>
      </w:pPr>
      <w:r>
        <w:rPr>
          <w:lang w:eastAsia="en-AU"/>
        </w:rPr>
        <w:t xml:space="preserve">Source: Department of Human Services </w:t>
      </w:r>
    </w:p>
    <w:p w:rsidR="00B958B1" w:rsidRDefault="00B958B1" w:rsidP="009F3B54">
      <w:pPr>
        <w:pStyle w:val="Source"/>
        <w:rPr>
          <w:lang w:eastAsia="en-AU"/>
        </w:rPr>
      </w:pPr>
      <w:r>
        <w:rPr>
          <w:lang w:eastAsia="en-AU"/>
        </w:rPr>
        <w:fldChar w:fldCharType="begin"/>
      </w:r>
      <w:r>
        <w:instrText xml:space="preserve"> XE "</w:instrText>
      </w:r>
      <w:r w:rsidRPr="00D2124D">
        <w:rPr>
          <w:lang w:eastAsia="en-AU"/>
        </w:rPr>
        <w:instrText>Department of Human Services</w:instrText>
      </w:r>
      <w:r w:rsidRPr="00D2124D">
        <w:instrText>:Empowering Individuals and Communities</w:instrText>
      </w:r>
      <w:r>
        <w:instrText xml:space="preserve">" \r "BP3DHSEmpowerIndivid" </w:instrText>
      </w:r>
      <w:r>
        <w:rPr>
          <w:lang w:eastAsia="en-AU"/>
        </w:rPr>
        <w:fldChar w:fldCharType="end"/>
      </w:r>
      <w:bookmarkEnd w:id="118"/>
    </w:p>
    <w:p w:rsidR="00B958B1" w:rsidRDefault="00B958B1" w:rsidP="009F3B54"/>
    <w:p w:rsidR="00B958B1" w:rsidRDefault="00B958B1" w:rsidP="00497606"/>
    <w:p w:rsidR="00B958B1" w:rsidRDefault="00B958B1" w:rsidP="00C45CC5">
      <w:pPr>
        <w:sectPr w:rsidR="00B958B1" w:rsidSect="00737C77">
          <w:footerReference w:type="even" r:id="rId25"/>
          <w:footerReference w:type="default" r:id="rId26"/>
          <w:pgSz w:w="9979" w:h="14181" w:code="34"/>
          <w:pgMar w:top="1138" w:right="1138" w:bottom="1138" w:left="1138" w:header="720" w:footer="720" w:gutter="0"/>
          <w:cols w:space="708"/>
          <w:docGrid w:linePitch="360"/>
        </w:sectPr>
      </w:pPr>
    </w:p>
    <w:p w:rsidR="00B958B1" w:rsidRPr="00A475B8" w:rsidRDefault="00B958B1" w:rsidP="009F3B54">
      <w:pPr>
        <w:pStyle w:val="Heading1"/>
      </w:pPr>
      <w:bookmarkStart w:id="119" w:name="_Toc355362284"/>
      <w:r>
        <w:t xml:space="preserve">Department </w:t>
      </w:r>
      <w:r w:rsidRPr="00376BA6">
        <w:t>of</w:t>
      </w:r>
      <w:r w:rsidRPr="00A475B8">
        <w:t xml:space="preserve"> Justice</w:t>
      </w:r>
      <w:bookmarkEnd w:id="119"/>
    </w:p>
    <w:p w:rsidR="00B958B1" w:rsidRDefault="00B958B1" w:rsidP="009F3B54">
      <w:pPr>
        <w:pStyle w:val="Heading2"/>
      </w:pPr>
      <w:r>
        <w:t>Ministerial portfolios</w:t>
      </w:r>
    </w:p>
    <w:p w:rsidR="00B958B1" w:rsidRDefault="00B958B1" w:rsidP="009F3B54">
      <w:r>
        <w:t>The Department supports the ministerial portfolios of the Attorney</w:t>
      </w:r>
      <w:r w:rsidR="009F0F49">
        <w:noBreakHyphen/>
      </w:r>
      <w:r>
        <w:t>General, Police and Emergency Services, Bushfire Response, Crime Prevention, Corrections, Consumer Affairs, Liquor and Gaming Regulation, and Racing.</w:t>
      </w:r>
    </w:p>
    <w:p w:rsidR="00B958B1" w:rsidRDefault="00B958B1" w:rsidP="009F3B54">
      <w:pPr>
        <w:pStyle w:val="Heading2"/>
      </w:pPr>
      <w:r>
        <w:t>Departmental mission statement</w:t>
      </w:r>
    </w:p>
    <w:p w:rsidR="00B958B1" w:rsidRDefault="00B958B1" w:rsidP="009F3B54">
      <w:r>
        <w:t xml:space="preserve">The Department of Justice provides policy and organisational management focus for the </w:t>
      </w:r>
      <w:r w:rsidRPr="007E7925">
        <w:t xml:space="preserve">vision of a safe, just, innovative and thriving </w:t>
      </w:r>
      <w:smartTag w:uri="urn:schemas-microsoft-com:office:smarttags" w:element="place">
        <w:smartTag w:uri="urn:schemas-microsoft-com:office:smarttags" w:element="State">
          <w:r w:rsidRPr="007E7925">
            <w:t>Victoria</w:t>
          </w:r>
        </w:smartTag>
      </w:smartTag>
      <w:r w:rsidRPr="007E7925">
        <w:t xml:space="preserve">, where the rule of law is upheld and rights and responsibilities </w:t>
      </w:r>
      <w:r>
        <w:t xml:space="preserve">are </w:t>
      </w:r>
      <w:r w:rsidRPr="007E7925">
        <w:t>respected.</w:t>
      </w:r>
    </w:p>
    <w:p w:rsidR="00B958B1" w:rsidRDefault="00B958B1" w:rsidP="009F3B54">
      <w:pPr>
        <w:pStyle w:val="Heading2"/>
      </w:pPr>
      <w:r>
        <w:t>Departmental objectives, indicators and outputs</w:t>
      </w:r>
    </w:p>
    <w:p w:rsidR="00B958B1" w:rsidRDefault="00B958B1" w:rsidP="009F3B54">
      <w:r>
        <w:t>The Department of Justice’s objectives, indicators and linked outputs are:</w:t>
      </w:r>
    </w:p>
    <w:tbl>
      <w:tblPr>
        <w:tblStyle w:val="TableGrid"/>
        <w:tblW w:w="7776" w:type="dxa"/>
        <w:tblInd w:w="29" w:type="dxa"/>
        <w:tblBorders>
          <w:insideH w:val="single" w:sz="6" w:space="0" w:color="auto"/>
        </w:tblBorders>
        <w:tblLayout w:type="fixed"/>
        <w:tblCellMar>
          <w:left w:w="43" w:type="dxa"/>
          <w:right w:w="43" w:type="dxa"/>
        </w:tblCellMar>
        <w:tblLook w:val="04A0" w:firstRow="1" w:lastRow="0" w:firstColumn="1" w:lastColumn="0" w:noHBand="0" w:noVBand="1"/>
      </w:tblPr>
      <w:tblGrid>
        <w:gridCol w:w="2592"/>
        <w:gridCol w:w="2592"/>
        <w:gridCol w:w="2592"/>
      </w:tblGrid>
      <w:tr w:rsidR="00B958B1" w:rsidTr="009F3B54">
        <w:trPr>
          <w:cantSplit/>
          <w:tblHeader/>
        </w:trPr>
        <w:tc>
          <w:tcPr>
            <w:tcW w:w="2592" w:type="dxa"/>
            <w:shd w:val="clear" w:color="auto" w:fill="000000"/>
          </w:tcPr>
          <w:p w:rsidR="00B958B1" w:rsidRDefault="00B958B1" w:rsidP="009F3B54">
            <w:pPr>
              <w:pStyle w:val="TabletextheadingLeft0"/>
            </w:pPr>
            <w:r w:rsidRPr="00BD7EAF">
              <w:rPr>
                <w:highlight w:val="black"/>
                <w:lang w:eastAsia="en-AU"/>
              </w:rPr>
              <w:t>Departmental objectives</w:t>
            </w:r>
          </w:p>
        </w:tc>
        <w:tc>
          <w:tcPr>
            <w:tcW w:w="2592" w:type="dxa"/>
            <w:shd w:val="clear" w:color="auto" w:fill="000000"/>
          </w:tcPr>
          <w:p w:rsidR="00B958B1" w:rsidRDefault="00B958B1" w:rsidP="009F3B54">
            <w:pPr>
              <w:pStyle w:val="TabletextheadingLeft0"/>
            </w:pPr>
            <w:r w:rsidRPr="00BD7EAF">
              <w:rPr>
                <w:highlight w:val="black"/>
                <w:lang w:eastAsia="en-AU"/>
              </w:rPr>
              <w:t>Indicator</w:t>
            </w:r>
            <w:r>
              <w:rPr>
                <w:highlight w:val="black"/>
                <w:lang w:eastAsia="en-AU"/>
              </w:rPr>
              <w:t>s</w:t>
            </w:r>
          </w:p>
        </w:tc>
        <w:tc>
          <w:tcPr>
            <w:tcW w:w="2592" w:type="dxa"/>
            <w:shd w:val="clear" w:color="auto" w:fill="000000"/>
          </w:tcPr>
          <w:p w:rsidR="00B958B1" w:rsidRDefault="00B958B1" w:rsidP="009F3B54">
            <w:pPr>
              <w:pStyle w:val="TabletextheadingLeft0"/>
            </w:pPr>
            <w:r>
              <w:rPr>
                <w:highlight w:val="black"/>
                <w:lang w:eastAsia="en-AU"/>
              </w:rPr>
              <w:t>Outputs</w:t>
            </w:r>
          </w:p>
        </w:tc>
      </w:tr>
      <w:tr w:rsidR="00B958B1" w:rsidTr="009F3B54">
        <w:trPr>
          <w:cantSplit/>
        </w:trPr>
        <w:tc>
          <w:tcPr>
            <w:tcW w:w="2592" w:type="dxa"/>
          </w:tcPr>
          <w:p w:rsidR="00B958B1" w:rsidRPr="00270442" w:rsidRDefault="00B958B1" w:rsidP="009F3B54">
            <w:pPr>
              <w:pStyle w:val="Tabletextnoindent"/>
            </w:pPr>
            <w:r w:rsidRPr="00270442">
              <w:t>Improving community safety through policing, law enforcement and prevention activities.</w:t>
            </w:r>
          </w:p>
        </w:tc>
        <w:tc>
          <w:tcPr>
            <w:tcW w:w="2592" w:type="dxa"/>
          </w:tcPr>
          <w:p w:rsidR="00B958B1" w:rsidRPr="00270442" w:rsidRDefault="00B958B1" w:rsidP="009F3B54">
            <w:pPr>
              <w:pStyle w:val="Tabletextnoindent"/>
            </w:pPr>
            <w:r w:rsidRPr="00270442">
              <w:t>Community feelings of safety during the day</w:t>
            </w:r>
          </w:p>
          <w:p w:rsidR="00B958B1" w:rsidRPr="00270442" w:rsidRDefault="00B958B1" w:rsidP="009F3B54">
            <w:pPr>
              <w:pStyle w:val="Tabletextnoindent"/>
            </w:pPr>
            <w:r w:rsidRPr="00270442">
              <w:t>Community feelings of safety during the night</w:t>
            </w:r>
          </w:p>
          <w:p w:rsidR="00B958B1" w:rsidRPr="00270442" w:rsidRDefault="00B958B1" w:rsidP="009F3B54">
            <w:pPr>
              <w:pStyle w:val="Tabletextnoindent"/>
            </w:pPr>
            <w:r>
              <w:t>Road deaths (rate per 100 </w:t>
            </w:r>
            <w:r w:rsidRPr="00270442">
              <w:t>000 registered vehicles)</w:t>
            </w:r>
          </w:p>
        </w:tc>
        <w:tc>
          <w:tcPr>
            <w:tcW w:w="2592" w:type="dxa"/>
          </w:tcPr>
          <w:p w:rsidR="00B958B1" w:rsidRPr="00270442" w:rsidRDefault="00B958B1" w:rsidP="009F3B54">
            <w:pPr>
              <w:pStyle w:val="Tabletextnoindent"/>
            </w:pPr>
            <w:r w:rsidRPr="00270442">
              <w:t>Policing Services</w:t>
            </w:r>
          </w:p>
          <w:p w:rsidR="00B958B1" w:rsidRPr="00270442" w:rsidRDefault="00B958B1" w:rsidP="009F3B54">
            <w:pPr>
              <w:pStyle w:val="Tabletextnoindent"/>
            </w:pPr>
            <w:r w:rsidRPr="00270442">
              <w:t>Infringement and Orders Management</w:t>
            </w:r>
          </w:p>
          <w:p w:rsidR="00B958B1" w:rsidRPr="00270442" w:rsidRDefault="00B958B1" w:rsidP="009F3B54">
            <w:pPr>
              <w:pStyle w:val="Tabletextnoindent"/>
            </w:pPr>
            <w:r w:rsidRPr="00270442">
              <w:t>Enhancing Community Safety</w:t>
            </w:r>
          </w:p>
        </w:tc>
      </w:tr>
      <w:tr w:rsidR="00B958B1" w:rsidTr="009F3B54">
        <w:trPr>
          <w:cantSplit/>
        </w:trPr>
        <w:tc>
          <w:tcPr>
            <w:tcW w:w="2592" w:type="dxa"/>
            <w:tcBorders>
              <w:bottom w:val="single" w:sz="6" w:space="0" w:color="auto"/>
            </w:tcBorders>
          </w:tcPr>
          <w:p w:rsidR="00B958B1" w:rsidRPr="00270442" w:rsidRDefault="00B958B1" w:rsidP="009F3B54">
            <w:pPr>
              <w:pStyle w:val="Tabletextnoindent"/>
            </w:pPr>
            <w:r w:rsidRPr="00270442">
              <w:t>Improving the efficiency of court processes.</w:t>
            </w:r>
          </w:p>
        </w:tc>
        <w:tc>
          <w:tcPr>
            <w:tcW w:w="2592" w:type="dxa"/>
            <w:tcBorders>
              <w:bottom w:val="single" w:sz="6" w:space="0" w:color="auto"/>
            </w:tcBorders>
          </w:tcPr>
          <w:p w:rsidR="00B958B1" w:rsidRPr="00270442" w:rsidRDefault="00B958B1" w:rsidP="009F3B54">
            <w:pPr>
              <w:pStyle w:val="Tabletextnoindent"/>
            </w:pPr>
            <w:r w:rsidRPr="00270442">
              <w:t>Efficient clearance of criminal caseload (finalisations/lodgements)</w:t>
            </w:r>
          </w:p>
          <w:p w:rsidR="00B958B1" w:rsidRPr="00270442" w:rsidRDefault="00B958B1" w:rsidP="009F3B54">
            <w:pPr>
              <w:pStyle w:val="Tabletextnoindent"/>
            </w:pPr>
            <w:r w:rsidRPr="00270442">
              <w:t>Efficient clearance of civil caseload (finalisations/lodgements)</w:t>
            </w:r>
          </w:p>
        </w:tc>
        <w:tc>
          <w:tcPr>
            <w:tcW w:w="2592" w:type="dxa"/>
            <w:tcBorders>
              <w:bottom w:val="single" w:sz="6" w:space="0" w:color="auto"/>
            </w:tcBorders>
          </w:tcPr>
          <w:p w:rsidR="00B958B1" w:rsidRPr="00270442" w:rsidRDefault="00B958B1" w:rsidP="009F3B54">
            <w:pPr>
              <w:pStyle w:val="Tabletextnoindent"/>
            </w:pPr>
            <w:r w:rsidRPr="006B757A">
              <w:t>Court Services</w:t>
            </w:r>
          </w:p>
        </w:tc>
      </w:tr>
      <w:tr w:rsidR="00B958B1" w:rsidTr="009F3B54">
        <w:trPr>
          <w:cantSplit/>
        </w:trPr>
        <w:tc>
          <w:tcPr>
            <w:tcW w:w="2592" w:type="dxa"/>
            <w:tcBorders>
              <w:top w:val="single" w:sz="6" w:space="0" w:color="auto"/>
              <w:bottom w:val="single" w:sz="6" w:space="0" w:color="auto"/>
            </w:tcBorders>
          </w:tcPr>
          <w:p w:rsidR="00B958B1" w:rsidRPr="00270442" w:rsidRDefault="00B958B1" w:rsidP="009F3B54">
            <w:pPr>
              <w:pStyle w:val="Tabletextnoindent"/>
            </w:pPr>
            <w:r w:rsidRPr="00270442">
              <w:t>Supporting the rule of law.</w:t>
            </w:r>
          </w:p>
        </w:tc>
        <w:tc>
          <w:tcPr>
            <w:tcW w:w="2592" w:type="dxa"/>
            <w:tcBorders>
              <w:top w:val="single" w:sz="6" w:space="0" w:color="auto"/>
              <w:bottom w:val="single" w:sz="6" w:space="0" w:color="auto"/>
            </w:tcBorders>
          </w:tcPr>
          <w:p w:rsidR="00B958B1" w:rsidRPr="00270442" w:rsidRDefault="00B958B1" w:rsidP="009F3B54">
            <w:pPr>
              <w:pStyle w:val="Tabletextnoindent"/>
            </w:pPr>
            <w:r w:rsidRPr="00270442">
              <w:t xml:space="preserve">Total </w:t>
            </w:r>
            <w:r>
              <w:t>f</w:t>
            </w:r>
            <w:r w:rsidRPr="00270442">
              <w:t>inalisations (</w:t>
            </w:r>
            <w:r>
              <w:t>n</w:t>
            </w:r>
            <w:r w:rsidRPr="00270442">
              <w:t xml:space="preserve">ational </w:t>
            </w:r>
            <w:r>
              <w:t>r</w:t>
            </w:r>
            <w:r w:rsidRPr="00270442">
              <w:t>anking)</w:t>
            </w:r>
          </w:p>
          <w:p w:rsidR="00B958B1" w:rsidRPr="00270442" w:rsidRDefault="00B958B1" w:rsidP="009F3B54">
            <w:pPr>
              <w:pStyle w:val="Tabletextnoindent"/>
            </w:pPr>
            <w:r w:rsidRPr="00270442">
              <w:t>Law reform projects completed</w:t>
            </w:r>
          </w:p>
        </w:tc>
        <w:tc>
          <w:tcPr>
            <w:tcW w:w="2592" w:type="dxa"/>
            <w:tcBorders>
              <w:top w:val="single" w:sz="6" w:space="0" w:color="auto"/>
              <w:bottom w:val="single" w:sz="6" w:space="0" w:color="auto"/>
            </w:tcBorders>
          </w:tcPr>
          <w:p w:rsidR="00B958B1" w:rsidRPr="00270442" w:rsidRDefault="00B958B1" w:rsidP="009F3B54">
            <w:pPr>
              <w:pStyle w:val="Tabletextnoindent"/>
            </w:pPr>
            <w:r w:rsidRPr="00270442">
              <w:t>Access to Justice and Support Services</w:t>
            </w:r>
          </w:p>
          <w:p w:rsidR="00B958B1" w:rsidRPr="00270442" w:rsidRDefault="00B958B1" w:rsidP="009F3B54">
            <w:pPr>
              <w:pStyle w:val="Tabletextnoindent"/>
            </w:pPr>
            <w:r w:rsidRPr="00270442">
              <w:t>Public Prosecutions</w:t>
            </w:r>
          </w:p>
        </w:tc>
      </w:tr>
      <w:tr w:rsidR="00B958B1" w:rsidTr="009F3B54">
        <w:trPr>
          <w:cantSplit/>
        </w:trPr>
        <w:tc>
          <w:tcPr>
            <w:tcW w:w="2592" w:type="dxa"/>
            <w:tcBorders>
              <w:top w:val="single" w:sz="6" w:space="0" w:color="auto"/>
              <w:bottom w:val="single" w:sz="6" w:space="0" w:color="auto"/>
            </w:tcBorders>
          </w:tcPr>
          <w:p w:rsidR="00B958B1" w:rsidRPr="00270442" w:rsidRDefault="00B958B1" w:rsidP="009F3B54">
            <w:pPr>
              <w:pStyle w:val="Tabletextnoindent"/>
            </w:pPr>
            <w:r w:rsidRPr="00270442">
              <w:t>Protecting individual rights and encouraging community participation.</w:t>
            </w:r>
          </w:p>
        </w:tc>
        <w:tc>
          <w:tcPr>
            <w:tcW w:w="2592" w:type="dxa"/>
            <w:tcBorders>
              <w:top w:val="single" w:sz="6" w:space="0" w:color="auto"/>
              <w:bottom w:val="single" w:sz="6" w:space="0" w:color="auto"/>
            </w:tcBorders>
          </w:tcPr>
          <w:p w:rsidR="00B958B1" w:rsidRPr="00270442" w:rsidRDefault="00B958B1" w:rsidP="009F3B54">
            <w:pPr>
              <w:pStyle w:val="Tabletextnoindent"/>
            </w:pPr>
            <w:r w:rsidRPr="00270442">
              <w:t xml:space="preserve">Percentage of complaints finalised within 12 months (Privacy </w:t>
            </w:r>
            <w:r w:rsidRPr="006B757A">
              <w:t>and Victorian Equal Opportunity and Human Rights Commission)</w:t>
            </w:r>
          </w:p>
          <w:p w:rsidR="00B958B1" w:rsidRPr="00270442" w:rsidRDefault="00B958B1" w:rsidP="009F3B54">
            <w:pPr>
              <w:pStyle w:val="Tabletextnoindent"/>
            </w:pPr>
            <w:r w:rsidRPr="00270442">
              <w:t>Accuracy of the births, deaths and marriages register</w:t>
            </w:r>
          </w:p>
          <w:p w:rsidR="00B958B1" w:rsidRPr="00270442" w:rsidRDefault="00B958B1" w:rsidP="009F3B54">
            <w:pPr>
              <w:pStyle w:val="Tabletextnoindent"/>
            </w:pPr>
            <w:r w:rsidRPr="00270442">
              <w:t>Proportion of voters enrolled out of total eligible</w:t>
            </w:r>
          </w:p>
        </w:tc>
        <w:tc>
          <w:tcPr>
            <w:tcW w:w="2592" w:type="dxa"/>
            <w:tcBorders>
              <w:top w:val="single" w:sz="6" w:space="0" w:color="auto"/>
              <w:bottom w:val="single" w:sz="6" w:space="0" w:color="auto"/>
            </w:tcBorders>
          </w:tcPr>
          <w:p w:rsidR="00B958B1" w:rsidRPr="00270442" w:rsidRDefault="00B958B1" w:rsidP="009F3B54">
            <w:pPr>
              <w:pStyle w:val="Tabletextnoindent"/>
            </w:pPr>
            <w:r w:rsidRPr="00270442">
              <w:t>Protecting Community Rights</w:t>
            </w:r>
          </w:p>
          <w:p w:rsidR="00B958B1" w:rsidRPr="00270442" w:rsidRDefault="00B958B1" w:rsidP="009F3B54">
            <w:pPr>
              <w:pStyle w:val="Tabletextnoindent"/>
            </w:pPr>
            <w:r w:rsidRPr="00270442">
              <w:t>Privacy Regulation</w:t>
            </w:r>
          </w:p>
          <w:p w:rsidR="00B958B1" w:rsidRPr="00270442" w:rsidRDefault="00B958B1" w:rsidP="009F3B54">
            <w:pPr>
              <w:pStyle w:val="Tabletextnoindent"/>
            </w:pPr>
            <w:r w:rsidRPr="00270442">
              <w:t>State Electoral Roll and Elections</w:t>
            </w:r>
          </w:p>
        </w:tc>
      </w:tr>
      <w:tr w:rsidR="00B958B1" w:rsidTr="009F3B54">
        <w:trPr>
          <w:cantSplit/>
        </w:trPr>
        <w:tc>
          <w:tcPr>
            <w:tcW w:w="2592" w:type="dxa"/>
            <w:tcBorders>
              <w:top w:val="single" w:sz="6" w:space="0" w:color="auto"/>
            </w:tcBorders>
            <w:vAlign w:val="center"/>
          </w:tcPr>
          <w:p w:rsidR="00B958B1" w:rsidRPr="00270442" w:rsidRDefault="00B958B1" w:rsidP="009F3B54">
            <w:pPr>
              <w:pStyle w:val="Tabletextnoindent"/>
            </w:pPr>
            <w:r w:rsidRPr="00270442">
              <w:t>Promoting community safety through effective management of prisoners and offenders and provision of opportunities for rehabilitation and reparation.</w:t>
            </w:r>
          </w:p>
        </w:tc>
        <w:tc>
          <w:tcPr>
            <w:tcW w:w="2592" w:type="dxa"/>
            <w:tcBorders>
              <w:top w:val="single" w:sz="6" w:space="0" w:color="auto"/>
            </w:tcBorders>
            <w:vAlign w:val="center"/>
          </w:tcPr>
          <w:p w:rsidR="00B958B1" w:rsidRPr="00270442" w:rsidRDefault="00B958B1" w:rsidP="009F3B54">
            <w:pPr>
              <w:pStyle w:val="Tabletextnoindent"/>
            </w:pPr>
            <w:r w:rsidRPr="00270442">
              <w:t>Escapes from secure perimeter, corrective facilities</w:t>
            </w:r>
          </w:p>
          <w:p w:rsidR="00B958B1" w:rsidRPr="00270442" w:rsidRDefault="00B958B1" w:rsidP="009F3B54">
            <w:pPr>
              <w:pStyle w:val="Tabletextnoindent"/>
            </w:pPr>
            <w:r w:rsidRPr="00270442">
              <w:t>Percentage of community corrections orders completed</w:t>
            </w:r>
          </w:p>
        </w:tc>
        <w:tc>
          <w:tcPr>
            <w:tcW w:w="2592" w:type="dxa"/>
            <w:tcBorders>
              <w:top w:val="single" w:sz="6" w:space="0" w:color="auto"/>
            </w:tcBorders>
            <w:vAlign w:val="center"/>
          </w:tcPr>
          <w:p w:rsidR="00B958B1" w:rsidRPr="00270442" w:rsidRDefault="00B958B1" w:rsidP="009F3B54">
            <w:pPr>
              <w:pStyle w:val="Tabletextnoindent"/>
            </w:pPr>
            <w:r w:rsidRPr="00270442">
              <w:t>Prisoner Supervision and Support</w:t>
            </w:r>
          </w:p>
          <w:p w:rsidR="00B958B1" w:rsidRPr="00270442" w:rsidRDefault="00B958B1" w:rsidP="009F3B54">
            <w:pPr>
              <w:pStyle w:val="Tabletextnoindent"/>
            </w:pPr>
            <w:r w:rsidRPr="00270442">
              <w:t>Community Based Offender Supervision</w:t>
            </w:r>
          </w:p>
        </w:tc>
      </w:tr>
      <w:tr w:rsidR="00B958B1" w:rsidTr="009F3B54">
        <w:trPr>
          <w:cantSplit/>
        </w:trPr>
        <w:tc>
          <w:tcPr>
            <w:tcW w:w="2592" w:type="dxa"/>
          </w:tcPr>
          <w:p w:rsidR="00B958B1" w:rsidRPr="00270442" w:rsidRDefault="00B958B1" w:rsidP="009F3B54">
            <w:pPr>
              <w:pStyle w:val="Tabletextnoindent"/>
            </w:pPr>
            <w:r w:rsidRPr="00270442">
              <w:t>Minimising injury and property loss through a coordinated and integrated emergency response.</w:t>
            </w:r>
          </w:p>
        </w:tc>
        <w:tc>
          <w:tcPr>
            <w:tcW w:w="2592" w:type="dxa"/>
            <w:vAlign w:val="center"/>
          </w:tcPr>
          <w:p w:rsidR="00B958B1" w:rsidRPr="00270442" w:rsidRDefault="00B958B1" w:rsidP="009F3B54">
            <w:pPr>
              <w:pStyle w:val="Tabletextnoindent"/>
            </w:pPr>
            <w:r w:rsidRPr="00270442">
              <w:t>Property loss from structure fire (</w:t>
            </w:r>
            <w:r>
              <w:t>c</w:t>
            </w:r>
            <w:r w:rsidRPr="00270442">
              <w:t xml:space="preserve">urrent </w:t>
            </w:r>
            <w:r>
              <w:t>y</w:t>
            </w:r>
            <w:r w:rsidRPr="00270442">
              <w:t xml:space="preserve">ear </w:t>
            </w:r>
            <w:r>
              <w:t>dollars</w:t>
            </w:r>
            <w:r w:rsidRPr="00270442">
              <w:t xml:space="preserve"> per person)</w:t>
            </w:r>
          </w:p>
          <w:p w:rsidR="00B958B1" w:rsidRPr="00270442" w:rsidRDefault="00B958B1" w:rsidP="009F3B54">
            <w:pPr>
              <w:pStyle w:val="Tabletextnoindent"/>
            </w:pPr>
            <w:r w:rsidRPr="00270442">
              <w:t>Rate of deaths from emergency events (per</w:t>
            </w:r>
            <w:r>
              <w:t> million</w:t>
            </w:r>
            <w:r w:rsidRPr="00270442">
              <w:t xml:space="preserve"> people)</w:t>
            </w:r>
          </w:p>
        </w:tc>
        <w:tc>
          <w:tcPr>
            <w:tcW w:w="2592" w:type="dxa"/>
          </w:tcPr>
          <w:p w:rsidR="00B958B1" w:rsidRPr="00270442" w:rsidRDefault="00B958B1" w:rsidP="009F3B54">
            <w:pPr>
              <w:pStyle w:val="Tabletextnoindent"/>
            </w:pPr>
            <w:r w:rsidRPr="00270442">
              <w:t xml:space="preserve">Emergency Management Capability </w:t>
            </w:r>
          </w:p>
        </w:tc>
      </w:tr>
      <w:tr w:rsidR="00B958B1" w:rsidTr="009F3B54">
        <w:trPr>
          <w:cantSplit/>
        </w:trPr>
        <w:tc>
          <w:tcPr>
            <w:tcW w:w="2592" w:type="dxa"/>
            <w:tcBorders>
              <w:bottom w:val="single" w:sz="6" w:space="0" w:color="auto"/>
            </w:tcBorders>
          </w:tcPr>
          <w:p w:rsidR="00B958B1" w:rsidRPr="00270442" w:rsidRDefault="00B958B1" w:rsidP="009F3B54">
            <w:pPr>
              <w:pStyle w:val="Tabletextnoindent"/>
            </w:pPr>
            <w:r w:rsidRPr="00270442">
              <w:t>Promoting responsible industry behaviour and an informed community through effective regulation, education, monitoring and enforcement.</w:t>
            </w:r>
          </w:p>
        </w:tc>
        <w:tc>
          <w:tcPr>
            <w:tcW w:w="2592" w:type="dxa"/>
            <w:tcBorders>
              <w:bottom w:val="single" w:sz="6" w:space="0" w:color="auto"/>
            </w:tcBorders>
            <w:vAlign w:val="center"/>
          </w:tcPr>
          <w:p w:rsidR="00B958B1" w:rsidRPr="00270442" w:rsidRDefault="00B958B1" w:rsidP="009F3B54">
            <w:pPr>
              <w:pStyle w:val="Tabletextnoindent"/>
            </w:pPr>
            <w:r w:rsidRPr="00270442">
              <w:t>Percentage of licensed venues with rating that is greater than three stars</w:t>
            </w:r>
          </w:p>
          <w:p w:rsidR="00B958B1" w:rsidRPr="00270442" w:rsidRDefault="00B958B1" w:rsidP="009F3B54">
            <w:pPr>
              <w:pStyle w:val="Tabletextnoindent"/>
            </w:pPr>
            <w:r w:rsidRPr="00270442">
              <w:t>Responsive Gamblers Help services</w:t>
            </w:r>
          </w:p>
          <w:p w:rsidR="00B958B1" w:rsidRPr="00270442" w:rsidRDefault="00B958B1" w:rsidP="009F3B54">
            <w:pPr>
              <w:pStyle w:val="Tabletextnoindent"/>
            </w:pPr>
            <w:r w:rsidRPr="00270442">
              <w:t>Wagering turnover on Victorian racing as a proportion of the national market</w:t>
            </w:r>
          </w:p>
          <w:p w:rsidR="00B958B1" w:rsidRPr="00270442" w:rsidRDefault="00B958B1" w:rsidP="009F3B54">
            <w:pPr>
              <w:pStyle w:val="Tabletextnoindent"/>
            </w:pPr>
            <w:r w:rsidRPr="00270442">
              <w:t>Supporting informed and responsible consumers and traders</w:t>
            </w:r>
          </w:p>
        </w:tc>
        <w:tc>
          <w:tcPr>
            <w:tcW w:w="2592" w:type="dxa"/>
            <w:tcBorders>
              <w:bottom w:val="single" w:sz="6" w:space="0" w:color="auto"/>
            </w:tcBorders>
          </w:tcPr>
          <w:p w:rsidR="00B958B1" w:rsidRPr="00270442" w:rsidRDefault="00B958B1" w:rsidP="009F3B54">
            <w:pPr>
              <w:pStyle w:val="Tabletextnoindent"/>
            </w:pPr>
            <w:r w:rsidRPr="00270442">
              <w:t xml:space="preserve">Gambling and Liquor Regulation and Racing Industry Development </w:t>
            </w:r>
          </w:p>
          <w:p w:rsidR="00B958B1" w:rsidRPr="00270442" w:rsidRDefault="00B958B1" w:rsidP="009F3B54">
            <w:pPr>
              <w:pStyle w:val="Tabletextnoindent"/>
            </w:pPr>
            <w:r w:rsidRPr="00270442">
              <w:t>Promoting and Protecting Consumer Interests</w:t>
            </w:r>
          </w:p>
        </w:tc>
      </w:tr>
      <w:tr w:rsidR="00B958B1" w:rsidTr="009F3B54">
        <w:trPr>
          <w:cantSplit/>
        </w:trPr>
        <w:tc>
          <w:tcPr>
            <w:tcW w:w="2592" w:type="dxa"/>
            <w:tcBorders>
              <w:top w:val="single" w:sz="6" w:space="0" w:color="auto"/>
              <w:bottom w:val="single" w:sz="12" w:space="0" w:color="auto"/>
            </w:tcBorders>
          </w:tcPr>
          <w:p w:rsidR="00B958B1" w:rsidRPr="00270442" w:rsidRDefault="00B958B1" w:rsidP="009F3B54">
            <w:pPr>
              <w:pStyle w:val="Tabletextnoindent"/>
            </w:pPr>
            <w:r w:rsidRPr="00270442">
              <w:t>Promoting and monitoring integrity in the public sector.</w:t>
            </w:r>
          </w:p>
        </w:tc>
        <w:tc>
          <w:tcPr>
            <w:tcW w:w="2592" w:type="dxa"/>
            <w:tcBorders>
              <w:top w:val="single" w:sz="6" w:space="0" w:color="auto"/>
              <w:bottom w:val="single" w:sz="12" w:space="0" w:color="auto"/>
            </w:tcBorders>
          </w:tcPr>
          <w:p w:rsidR="00B958B1" w:rsidRPr="00270442" w:rsidRDefault="00B958B1" w:rsidP="009F3B54">
            <w:pPr>
              <w:pStyle w:val="Tabletextnoindent"/>
            </w:pPr>
            <w:r w:rsidRPr="00270442">
              <w:t>Anti</w:t>
            </w:r>
            <w:r w:rsidR="009F0F49">
              <w:noBreakHyphen/>
            </w:r>
            <w:r w:rsidRPr="00270442">
              <w:t>corruption and Freedom of Information (FOI) education activities (FOI and IBAC)</w:t>
            </w:r>
          </w:p>
        </w:tc>
        <w:tc>
          <w:tcPr>
            <w:tcW w:w="2592" w:type="dxa"/>
            <w:tcBorders>
              <w:top w:val="single" w:sz="6" w:space="0" w:color="auto"/>
              <w:bottom w:val="single" w:sz="12" w:space="0" w:color="auto"/>
            </w:tcBorders>
            <w:vAlign w:val="center"/>
          </w:tcPr>
          <w:p w:rsidR="00B958B1" w:rsidRPr="00270442" w:rsidRDefault="00B958B1" w:rsidP="009F3B54">
            <w:pPr>
              <w:pStyle w:val="Tabletextnoindent"/>
            </w:pPr>
            <w:r w:rsidRPr="00270442">
              <w:t>Anti</w:t>
            </w:r>
            <w:r w:rsidR="009F0F49">
              <w:noBreakHyphen/>
            </w:r>
            <w:r w:rsidRPr="00270442">
              <w:t>corruption and Public Sector Integrity</w:t>
            </w:r>
          </w:p>
          <w:p w:rsidR="00B958B1" w:rsidRPr="00270442" w:rsidRDefault="00B958B1" w:rsidP="009F3B54">
            <w:pPr>
              <w:pStyle w:val="Tabletextnoindent"/>
            </w:pPr>
            <w:r w:rsidRPr="00270442">
              <w:t>Freedom of Information Commissioner</w:t>
            </w:r>
          </w:p>
        </w:tc>
      </w:tr>
    </w:tbl>
    <w:p w:rsidR="00B958B1" w:rsidRDefault="00B958B1" w:rsidP="009F3B54">
      <w:pPr>
        <w:pStyle w:val="Source"/>
      </w:pPr>
      <w:r>
        <w:t>Source: Department of Justice</w:t>
      </w:r>
    </w:p>
    <w:p w:rsidR="00B958B1" w:rsidRPr="0071040D" w:rsidRDefault="00B958B1" w:rsidP="009F3B54">
      <w:pPr>
        <w:pStyle w:val="Source"/>
      </w:pPr>
    </w:p>
    <w:p w:rsidR="00B958B1" w:rsidRDefault="00B958B1" w:rsidP="009F3B54">
      <w:pPr>
        <w:pStyle w:val="Heading2"/>
      </w:pPr>
      <w:r>
        <w:br w:type="page"/>
        <w:t xml:space="preserve">Changes to the output structure </w:t>
      </w:r>
    </w:p>
    <w:p w:rsidR="00B958B1" w:rsidRDefault="00B958B1" w:rsidP="009F3B54">
      <w:pPr>
        <w:autoSpaceDE w:val="0"/>
        <w:autoSpaceDN w:val="0"/>
        <w:adjustRightInd w:val="0"/>
        <w:spacing w:after="0"/>
        <w:rPr>
          <w:rFonts w:cs="Garamond"/>
          <w:szCs w:val="22"/>
          <w:lang w:eastAsia="en-AU"/>
        </w:rPr>
      </w:pPr>
      <w:r>
        <w:rPr>
          <w:rFonts w:cs="Garamond"/>
          <w:szCs w:val="22"/>
          <w:lang w:eastAsia="en-AU"/>
        </w:rPr>
        <w:t>The Department of Justice has taken a number of steps towards improving the quality of its objectives and outputs to better reflect its service delivery ambitions. The Department has comprehensively reviewed its output structure and proposed a new set of departmental objectives while strengthening links to associated departmental outputs.</w:t>
      </w:r>
    </w:p>
    <w:p w:rsidR="00B958B1" w:rsidRDefault="00B958B1" w:rsidP="009F3B54">
      <w:pPr>
        <w:spacing w:before="120"/>
      </w:pPr>
      <w:r w:rsidRPr="001A1C91">
        <w:t xml:space="preserve">The Department has made changes to its output structure for </w:t>
      </w:r>
      <w:r>
        <w:t>2013</w:t>
      </w:r>
      <w:r w:rsidR="009F0F49">
        <w:noBreakHyphen/>
      </w:r>
      <w:r>
        <w:t>14</w:t>
      </w:r>
      <w:r w:rsidRPr="001A1C91">
        <w:t>, as shown in the table below</w:t>
      </w:r>
      <w:r>
        <w:t>.</w:t>
      </w:r>
      <w:r w:rsidRPr="001A1C91">
        <w:t xml:space="preserve"> </w:t>
      </w:r>
    </w:p>
    <w:tbl>
      <w:tblPr>
        <w:tblStyle w:val="TableGrid"/>
        <w:tblW w:w="7776" w:type="dxa"/>
        <w:tblInd w:w="29" w:type="dxa"/>
        <w:tblLayout w:type="fixed"/>
        <w:tblCellMar>
          <w:left w:w="43" w:type="dxa"/>
          <w:right w:w="43" w:type="dxa"/>
        </w:tblCellMar>
        <w:tblLook w:val="04A0" w:firstRow="1" w:lastRow="0" w:firstColumn="1" w:lastColumn="0" w:noHBand="0" w:noVBand="1"/>
      </w:tblPr>
      <w:tblGrid>
        <w:gridCol w:w="2592"/>
        <w:gridCol w:w="2592"/>
        <w:gridCol w:w="2592"/>
      </w:tblGrid>
      <w:tr w:rsidR="00B958B1" w:rsidTr="00175147">
        <w:trPr>
          <w:cantSplit/>
        </w:trPr>
        <w:tc>
          <w:tcPr>
            <w:tcW w:w="2592" w:type="dxa"/>
            <w:tcBorders>
              <w:top w:val="single" w:sz="6" w:space="0" w:color="auto"/>
              <w:left w:val="single" w:sz="6" w:space="0" w:color="auto"/>
              <w:bottom w:val="single" w:sz="6" w:space="0" w:color="auto"/>
            </w:tcBorders>
            <w:shd w:val="clear" w:color="auto" w:fill="000000"/>
          </w:tcPr>
          <w:p w:rsidR="00B958B1" w:rsidRDefault="00B958B1" w:rsidP="009F3B54">
            <w:pPr>
              <w:pStyle w:val="TabletextheadingLeft0"/>
            </w:pPr>
            <w:r>
              <w:t>2012</w:t>
            </w:r>
            <w:r w:rsidR="009F0F49">
              <w:noBreakHyphen/>
            </w:r>
            <w:r>
              <w:t>13</w:t>
            </w:r>
            <w:r w:rsidRPr="006561E4">
              <w:t xml:space="preserve"> outputs</w:t>
            </w:r>
          </w:p>
        </w:tc>
        <w:tc>
          <w:tcPr>
            <w:tcW w:w="2592" w:type="dxa"/>
            <w:tcBorders>
              <w:top w:val="single" w:sz="6" w:space="0" w:color="auto"/>
              <w:bottom w:val="single" w:sz="6" w:space="0" w:color="auto"/>
            </w:tcBorders>
            <w:shd w:val="clear" w:color="auto" w:fill="000000"/>
          </w:tcPr>
          <w:p w:rsidR="00B958B1" w:rsidRDefault="00B958B1" w:rsidP="009F3B54">
            <w:pPr>
              <w:pStyle w:val="TabletextheadingLeft0"/>
            </w:pPr>
            <w:r w:rsidRPr="006561E4">
              <w:t>Reason</w:t>
            </w:r>
          </w:p>
        </w:tc>
        <w:tc>
          <w:tcPr>
            <w:tcW w:w="2592" w:type="dxa"/>
            <w:tcBorders>
              <w:top w:val="single" w:sz="6" w:space="0" w:color="auto"/>
              <w:bottom w:val="single" w:sz="6" w:space="0" w:color="auto"/>
              <w:right w:val="single" w:sz="6" w:space="0" w:color="auto"/>
            </w:tcBorders>
            <w:shd w:val="clear" w:color="auto" w:fill="000000"/>
          </w:tcPr>
          <w:p w:rsidR="00B958B1" w:rsidRDefault="00B958B1" w:rsidP="009F3B54">
            <w:pPr>
              <w:pStyle w:val="TabletextheadingLeft0"/>
            </w:pPr>
            <w:r>
              <w:t>2013</w:t>
            </w:r>
            <w:r w:rsidR="009F0F49">
              <w:noBreakHyphen/>
            </w:r>
            <w:r w:rsidRPr="006561E4">
              <w:t>1</w:t>
            </w:r>
            <w:r>
              <w:t>4</w:t>
            </w:r>
            <w:r w:rsidRPr="006561E4">
              <w:t xml:space="preserve"> outputs</w:t>
            </w:r>
          </w:p>
        </w:tc>
      </w:tr>
      <w:tr w:rsidR="00B958B1" w:rsidTr="00175147">
        <w:trPr>
          <w:cantSplit/>
        </w:trPr>
        <w:tc>
          <w:tcPr>
            <w:tcW w:w="2592" w:type="dxa"/>
            <w:tcBorders>
              <w:top w:val="single" w:sz="6" w:space="0" w:color="auto"/>
            </w:tcBorders>
          </w:tcPr>
          <w:p w:rsidR="00B958B1" w:rsidRPr="00C773D9" w:rsidRDefault="00B958B1" w:rsidP="009F3B54">
            <w:pPr>
              <w:pStyle w:val="Tabletext"/>
              <w:ind w:left="0" w:firstLine="0"/>
            </w:pPr>
            <w:r>
              <w:t>Community Safety and Crime Prevention</w:t>
            </w:r>
          </w:p>
        </w:tc>
        <w:tc>
          <w:tcPr>
            <w:tcW w:w="2592" w:type="dxa"/>
            <w:tcBorders>
              <w:top w:val="single" w:sz="6" w:space="0" w:color="auto"/>
            </w:tcBorders>
          </w:tcPr>
          <w:p w:rsidR="00B958B1" w:rsidRPr="00C773D9" w:rsidRDefault="00B958B1" w:rsidP="009F3B54">
            <w:pPr>
              <w:autoSpaceDE w:val="0"/>
              <w:autoSpaceDN w:val="0"/>
              <w:adjustRightInd w:val="0"/>
              <w:spacing w:after="0"/>
              <w:rPr>
                <w:rFonts w:ascii="Calibri" w:hAnsi="Calibri" w:cs="Calibri"/>
                <w:sz w:val="20"/>
                <w:lang w:eastAsia="en-AU"/>
              </w:rPr>
            </w:pPr>
            <w:r w:rsidRPr="00C773D9">
              <w:rPr>
                <w:rFonts w:ascii="Calibri" w:hAnsi="Calibri" w:cs="Calibri"/>
                <w:sz w:val="20"/>
                <w:lang w:eastAsia="en-AU"/>
              </w:rPr>
              <w:t>The output structure has been</w:t>
            </w:r>
          </w:p>
          <w:p w:rsidR="00B958B1" w:rsidRPr="00C773D9" w:rsidRDefault="00B958B1" w:rsidP="009F3B54">
            <w:pPr>
              <w:pStyle w:val="Tabletext"/>
              <w:ind w:left="0" w:firstLine="0"/>
            </w:pPr>
            <w:r w:rsidRPr="00C773D9">
              <w:rPr>
                <w:rFonts w:cs="Calibri"/>
                <w:lang w:eastAsia="en-AU"/>
              </w:rPr>
              <w:t xml:space="preserve">updated to better reflect </w:t>
            </w:r>
            <w:r>
              <w:t>service delivery and departmental objectives.</w:t>
            </w:r>
          </w:p>
        </w:tc>
        <w:tc>
          <w:tcPr>
            <w:tcW w:w="2592" w:type="dxa"/>
            <w:tcBorders>
              <w:top w:val="single" w:sz="6" w:space="0" w:color="auto"/>
            </w:tcBorders>
          </w:tcPr>
          <w:p w:rsidR="00B958B1" w:rsidRPr="00C773D9" w:rsidRDefault="00B958B1" w:rsidP="009F3B54">
            <w:pPr>
              <w:pStyle w:val="Tabletext"/>
              <w:ind w:left="0" w:firstLine="0"/>
            </w:pPr>
            <w:r>
              <w:t>Enhancing Community Safety</w:t>
            </w:r>
          </w:p>
        </w:tc>
      </w:tr>
      <w:tr w:rsidR="00B958B1" w:rsidTr="009F3B54">
        <w:trPr>
          <w:cantSplit/>
        </w:trPr>
        <w:tc>
          <w:tcPr>
            <w:tcW w:w="2592" w:type="dxa"/>
            <w:shd w:val="clear" w:color="auto" w:fill="D9D9D9" w:themeFill="background1" w:themeFillShade="D9"/>
          </w:tcPr>
          <w:p w:rsidR="00B958B1" w:rsidRPr="002719BD" w:rsidRDefault="00B958B1" w:rsidP="009F3B54">
            <w:pPr>
              <w:pStyle w:val="Tabletext"/>
              <w:ind w:left="0" w:firstLine="0"/>
            </w:pPr>
            <w:r w:rsidRPr="002719BD">
              <w:t>Court Matters and Dispute Resolution</w:t>
            </w:r>
          </w:p>
        </w:tc>
        <w:tc>
          <w:tcPr>
            <w:tcW w:w="2592" w:type="dxa"/>
            <w:shd w:val="clear" w:color="auto" w:fill="D9D9D9" w:themeFill="background1" w:themeFillShade="D9"/>
          </w:tcPr>
          <w:p w:rsidR="00B958B1" w:rsidRPr="006B757A" w:rsidRDefault="00B958B1" w:rsidP="009F3B54">
            <w:pPr>
              <w:pStyle w:val="Tabletext"/>
              <w:ind w:left="0" w:firstLine="0"/>
            </w:pPr>
            <w:r w:rsidRPr="006B757A">
              <w:t>The title of this output has been changed to better reflect the role of supporting the judicial functions of the courts.</w:t>
            </w:r>
          </w:p>
        </w:tc>
        <w:tc>
          <w:tcPr>
            <w:tcW w:w="2592" w:type="dxa"/>
            <w:shd w:val="clear" w:color="auto" w:fill="D9D9D9" w:themeFill="background1" w:themeFillShade="D9"/>
          </w:tcPr>
          <w:p w:rsidR="00B958B1" w:rsidRPr="002D59E6" w:rsidRDefault="00B958B1" w:rsidP="009F3B54">
            <w:pPr>
              <w:pStyle w:val="Tabletext"/>
              <w:ind w:left="0" w:firstLine="0"/>
            </w:pPr>
            <w:r w:rsidRPr="006B757A">
              <w:t>Court Services</w:t>
            </w:r>
          </w:p>
          <w:p w:rsidR="00B958B1" w:rsidRPr="002719BD" w:rsidRDefault="00B958B1" w:rsidP="009F3B54">
            <w:pPr>
              <w:pStyle w:val="Tabletext"/>
              <w:ind w:left="0" w:firstLine="0"/>
            </w:pPr>
          </w:p>
        </w:tc>
      </w:tr>
      <w:tr w:rsidR="00B958B1" w:rsidTr="009F3B54">
        <w:trPr>
          <w:cantSplit/>
        </w:trPr>
        <w:tc>
          <w:tcPr>
            <w:tcW w:w="2592" w:type="dxa"/>
          </w:tcPr>
          <w:p w:rsidR="00B958B1" w:rsidRDefault="00B958B1" w:rsidP="009F3B54">
            <w:pPr>
              <w:pStyle w:val="Tabletext"/>
              <w:ind w:left="0" w:firstLine="0"/>
            </w:pPr>
            <w:r>
              <w:t>Legal Policy, Advice and Law Reform</w:t>
            </w:r>
          </w:p>
          <w:p w:rsidR="00B958B1" w:rsidRPr="00C773D9" w:rsidRDefault="00B958B1" w:rsidP="009F3B54">
            <w:pPr>
              <w:pStyle w:val="Tabletext"/>
              <w:ind w:left="0" w:firstLine="0"/>
            </w:pPr>
            <w:r>
              <w:t>Supporting the Judicial Process</w:t>
            </w:r>
          </w:p>
        </w:tc>
        <w:tc>
          <w:tcPr>
            <w:tcW w:w="2592" w:type="dxa"/>
          </w:tcPr>
          <w:p w:rsidR="00B958B1" w:rsidRPr="006B757A" w:rsidRDefault="00B958B1" w:rsidP="009F3B54">
            <w:pPr>
              <w:autoSpaceDE w:val="0"/>
              <w:autoSpaceDN w:val="0"/>
              <w:adjustRightInd w:val="0"/>
              <w:spacing w:after="0"/>
              <w:rPr>
                <w:rFonts w:ascii="Calibri" w:hAnsi="Calibri" w:cs="Calibri"/>
                <w:sz w:val="20"/>
                <w:lang w:eastAsia="en-AU"/>
              </w:rPr>
            </w:pPr>
            <w:r w:rsidRPr="006B757A">
              <w:rPr>
                <w:rFonts w:ascii="Calibri" w:hAnsi="Calibri" w:cs="Calibri"/>
                <w:sz w:val="20"/>
                <w:lang w:eastAsia="en-AU"/>
              </w:rPr>
              <w:t>The output structure has been</w:t>
            </w:r>
          </w:p>
          <w:p w:rsidR="00B958B1" w:rsidRPr="006B757A" w:rsidRDefault="00B958B1" w:rsidP="009F3B54">
            <w:pPr>
              <w:pStyle w:val="Tabletext"/>
              <w:ind w:left="0" w:firstLine="0"/>
            </w:pPr>
            <w:r w:rsidRPr="006B757A">
              <w:rPr>
                <w:rFonts w:cs="Calibri"/>
                <w:lang w:eastAsia="en-AU"/>
              </w:rPr>
              <w:t xml:space="preserve">updated to better reflect </w:t>
            </w:r>
            <w:r w:rsidRPr="006B757A">
              <w:t>service delivery and departmental objectives.</w:t>
            </w:r>
          </w:p>
        </w:tc>
        <w:tc>
          <w:tcPr>
            <w:tcW w:w="2592" w:type="dxa"/>
          </w:tcPr>
          <w:p w:rsidR="00B958B1" w:rsidRPr="00C773D9" w:rsidRDefault="00B958B1" w:rsidP="009F3B54">
            <w:pPr>
              <w:pStyle w:val="Tabletext"/>
              <w:ind w:left="0" w:firstLine="0"/>
            </w:pPr>
            <w:r>
              <w:t>Access to Justice and Support Services</w:t>
            </w:r>
          </w:p>
        </w:tc>
      </w:tr>
      <w:tr w:rsidR="00B958B1" w:rsidTr="009F3B54">
        <w:trPr>
          <w:cantSplit/>
        </w:trPr>
        <w:tc>
          <w:tcPr>
            <w:tcW w:w="2592" w:type="dxa"/>
            <w:tcBorders>
              <w:bottom w:val="single" w:sz="12" w:space="0" w:color="auto"/>
            </w:tcBorders>
            <w:shd w:val="clear" w:color="auto" w:fill="D9D9D9" w:themeFill="background1" w:themeFillShade="D9"/>
          </w:tcPr>
          <w:p w:rsidR="00B958B1" w:rsidRDefault="00B958B1" w:rsidP="009F3B54">
            <w:pPr>
              <w:pStyle w:val="Tabletext"/>
              <w:ind w:left="0" w:firstLine="0"/>
            </w:pPr>
            <w:r>
              <w:t>na</w:t>
            </w:r>
          </w:p>
        </w:tc>
        <w:tc>
          <w:tcPr>
            <w:tcW w:w="2592" w:type="dxa"/>
            <w:tcBorders>
              <w:bottom w:val="single" w:sz="12" w:space="0" w:color="auto"/>
            </w:tcBorders>
            <w:shd w:val="clear" w:color="auto" w:fill="D9D9D9" w:themeFill="background1" w:themeFillShade="D9"/>
          </w:tcPr>
          <w:p w:rsidR="00B958B1" w:rsidRPr="006B757A" w:rsidRDefault="00B958B1" w:rsidP="009F3B54">
            <w:pPr>
              <w:autoSpaceDE w:val="0"/>
              <w:autoSpaceDN w:val="0"/>
              <w:adjustRightInd w:val="0"/>
              <w:spacing w:after="0"/>
              <w:jc w:val="left"/>
              <w:rPr>
                <w:rFonts w:ascii="Calibri" w:hAnsi="Calibri" w:cs="Calibri"/>
                <w:sz w:val="20"/>
                <w:lang w:eastAsia="en-AU"/>
              </w:rPr>
            </w:pPr>
            <w:r w:rsidRPr="006B757A">
              <w:rPr>
                <w:rFonts w:ascii="Calibri" w:hAnsi="Calibri" w:cs="Calibri"/>
                <w:sz w:val="20"/>
                <w:lang w:eastAsia="en-AU"/>
              </w:rPr>
              <w:t>Creation of a new output to reflect the establishment of the Freedom of Information (FOI) Commissioner.</w:t>
            </w:r>
          </w:p>
        </w:tc>
        <w:tc>
          <w:tcPr>
            <w:tcW w:w="2592" w:type="dxa"/>
            <w:tcBorders>
              <w:bottom w:val="single" w:sz="12" w:space="0" w:color="auto"/>
            </w:tcBorders>
            <w:shd w:val="clear" w:color="auto" w:fill="D9D9D9" w:themeFill="background1" w:themeFillShade="D9"/>
          </w:tcPr>
          <w:p w:rsidR="00B958B1" w:rsidRDefault="00B958B1" w:rsidP="009F3B54">
            <w:pPr>
              <w:pStyle w:val="Tabletext"/>
              <w:ind w:left="0" w:firstLine="0"/>
            </w:pPr>
            <w:r>
              <w:t>Freedom of Information Commissioner</w:t>
            </w:r>
          </w:p>
        </w:tc>
      </w:tr>
    </w:tbl>
    <w:p w:rsidR="00B958B1" w:rsidRDefault="00B958B1" w:rsidP="009F3B54">
      <w:pPr>
        <w:pStyle w:val="Source"/>
      </w:pPr>
      <w:r>
        <w:t>Source: Department of Justice</w:t>
      </w:r>
    </w:p>
    <w:p w:rsidR="00B958B1" w:rsidRPr="00046C51" w:rsidRDefault="00B958B1" w:rsidP="009F3B54">
      <w:pPr>
        <w:pStyle w:val="Notes"/>
      </w:pPr>
    </w:p>
    <w:p w:rsidR="00B958B1" w:rsidRDefault="00B958B1" w:rsidP="009F3B54">
      <w:pPr>
        <w:rPr>
          <w:szCs w:val="22"/>
        </w:rPr>
      </w:pPr>
      <w:r>
        <w:rPr>
          <w:szCs w:val="22"/>
        </w:rPr>
        <w:br w:type="page"/>
        <w:t xml:space="preserve">The following table summarises the Department’s total output cost. </w:t>
      </w:r>
    </w:p>
    <w:p w:rsidR="00B958B1" w:rsidRPr="00306423" w:rsidRDefault="00B958B1" w:rsidP="009F3B54">
      <w:pPr>
        <w:pStyle w:val="Tableheading"/>
      </w:pPr>
      <w:r w:rsidRPr="00306423">
        <w:t xml:space="preserve">Table </w:t>
      </w:r>
      <w:r>
        <w:t>2.14</w:t>
      </w:r>
      <w:r w:rsidRPr="00306423">
        <w:t>:</w:t>
      </w:r>
      <w:r w:rsidRPr="00306423">
        <w:tab/>
        <w:t>Output summary</w:t>
      </w:r>
    </w:p>
    <w:p w:rsidR="00B958B1" w:rsidRDefault="00B958B1" w:rsidP="009F3B54">
      <w:pPr>
        <w:pStyle w:val="million"/>
        <w:rPr>
          <w:lang w:eastAsia="en-AU"/>
        </w:rPr>
      </w:pPr>
      <w:r w:rsidRPr="00645EE7">
        <w:rPr>
          <w:lang w:eastAsia="en-AU"/>
        </w:rPr>
        <w:t>($</w:t>
      </w:r>
      <w:r>
        <w:rPr>
          <w:lang w:eastAsia="en-AU"/>
        </w:rPr>
        <w:t> million)</w:t>
      </w:r>
    </w:p>
    <w:tbl>
      <w:tblPr>
        <w:tblW w:w="7776" w:type="dxa"/>
        <w:tblInd w:w="29" w:type="dxa"/>
        <w:tblLayout w:type="fixed"/>
        <w:tblCellMar>
          <w:left w:w="43" w:type="dxa"/>
          <w:right w:w="43" w:type="dxa"/>
        </w:tblCellMar>
        <w:tblLook w:val="0000" w:firstRow="0" w:lastRow="0" w:firstColumn="0" w:lastColumn="0" w:noHBand="0" w:noVBand="0"/>
      </w:tblPr>
      <w:tblGrid>
        <w:gridCol w:w="4244"/>
        <w:gridCol w:w="225"/>
        <w:gridCol w:w="615"/>
        <w:gridCol w:w="840"/>
        <w:gridCol w:w="813"/>
        <w:gridCol w:w="1039"/>
      </w:tblGrid>
      <w:tr w:rsidR="00E04EE0" w:rsidRPr="00E6639D" w:rsidTr="00CA194E">
        <w:tc>
          <w:tcPr>
            <w:tcW w:w="4244" w:type="dxa"/>
            <w:tcBorders>
              <w:top w:val="single" w:sz="6" w:space="0" w:color="auto"/>
              <w:left w:val="single" w:sz="6" w:space="0" w:color="auto"/>
              <w:bottom w:val="nil"/>
              <w:right w:val="nil"/>
            </w:tcBorders>
            <w:shd w:val="clear" w:color="auto" w:fill="000000"/>
          </w:tcPr>
          <w:p w:rsidR="00E04EE0" w:rsidRPr="00E6639D" w:rsidRDefault="00E04EE0" w:rsidP="00CA194E">
            <w:pPr>
              <w:pStyle w:val="Tabletext"/>
              <w:rPr>
                <w:lang w:eastAsia="en-AU"/>
              </w:rPr>
            </w:pPr>
            <w:r w:rsidRPr="00E6639D">
              <w:rPr>
                <w:lang w:eastAsia="en-AU"/>
              </w:rPr>
              <w:t xml:space="preserve">  </w:t>
            </w:r>
          </w:p>
        </w:tc>
        <w:tc>
          <w:tcPr>
            <w:tcW w:w="840" w:type="dxa"/>
            <w:gridSpan w:val="2"/>
            <w:tcBorders>
              <w:top w:val="single" w:sz="6" w:space="0" w:color="auto"/>
              <w:left w:val="nil"/>
              <w:bottom w:val="nil"/>
              <w:right w:val="nil"/>
            </w:tcBorders>
            <w:shd w:val="clear" w:color="auto" w:fill="000000"/>
          </w:tcPr>
          <w:p w:rsidR="00E04EE0" w:rsidRPr="00E6639D" w:rsidRDefault="00E04EE0" w:rsidP="00CA194E">
            <w:pPr>
              <w:pStyle w:val="Tabletextheading"/>
              <w:rPr>
                <w:lang w:eastAsia="en-AU"/>
              </w:rPr>
            </w:pPr>
            <w:r w:rsidRPr="00E6639D">
              <w:rPr>
                <w:lang w:eastAsia="en-AU"/>
              </w:rPr>
              <w:t>2012-13</w:t>
            </w:r>
          </w:p>
        </w:tc>
        <w:tc>
          <w:tcPr>
            <w:tcW w:w="840" w:type="dxa"/>
            <w:tcBorders>
              <w:top w:val="single" w:sz="6" w:space="0" w:color="auto"/>
              <w:left w:val="nil"/>
              <w:bottom w:val="nil"/>
              <w:right w:val="nil"/>
            </w:tcBorders>
            <w:shd w:val="clear" w:color="auto" w:fill="000000"/>
          </w:tcPr>
          <w:p w:rsidR="00E04EE0" w:rsidRPr="00E6639D" w:rsidRDefault="00E04EE0" w:rsidP="00CA194E">
            <w:pPr>
              <w:pStyle w:val="Tabletextheading"/>
              <w:rPr>
                <w:lang w:eastAsia="en-AU"/>
              </w:rPr>
            </w:pPr>
            <w:r w:rsidRPr="00E6639D">
              <w:rPr>
                <w:lang w:eastAsia="en-AU"/>
              </w:rPr>
              <w:t>2012-13</w:t>
            </w:r>
          </w:p>
        </w:tc>
        <w:tc>
          <w:tcPr>
            <w:tcW w:w="813" w:type="dxa"/>
            <w:tcBorders>
              <w:top w:val="single" w:sz="6" w:space="0" w:color="auto"/>
              <w:left w:val="nil"/>
              <w:bottom w:val="nil"/>
              <w:right w:val="nil"/>
            </w:tcBorders>
            <w:shd w:val="clear" w:color="auto" w:fill="000000"/>
          </w:tcPr>
          <w:p w:rsidR="00E04EE0" w:rsidRPr="00E6639D" w:rsidRDefault="00E04EE0" w:rsidP="00CA194E">
            <w:pPr>
              <w:pStyle w:val="Tabletextheading"/>
              <w:rPr>
                <w:lang w:eastAsia="en-AU"/>
              </w:rPr>
            </w:pPr>
            <w:r w:rsidRPr="00E6639D">
              <w:rPr>
                <w:lang w:eastAsia="en-AU"/>
              </w:rPr>
              <w:t>2013-14</w:t>
            </w:r>
          </w:p>
        </w:tc>
        <w:tc>
          <w:tcPr>
            <w:tcW w:w="1039" w:type="dxa"/>
            <w:tcBorders>
              <w:top w:val="single" w:sz="6" w:space="0" w:color="auto"/>
              <w:left w:val="nil"/>
              <w:bottom w:val="nil"/>
              <w:right w:val="single" w:sz="6" w:space="0" w:color="auto"/>
            </w:tcBorders>
            <w:shd w:val="clear" w:color="auto" w:fill="000000"/>
          </w:tcPr>
          <w:p w:rsidR="00E04EE0" w:rsidRPr="00E6639D" w:rsidRDefault="00E04EE0" w:rsidP="00CA194E">
            <w:pPr>
              <w:pStyle w:val="Tabletextheading"/>
              <w:rPr>
                <w:vertAlign w:val="superscript"/>
                <w:lang w:eastAsia="en-AU"/>
              </w:rPr>
            </w:pPr>
            <w:r w:rsidRPr="00E6639D">
              <w:rPr>
                <w:lang w:eastAsia="en-AU"/>
              </w:rPr>
              <w:t xml:space="preserve">Variation </w:t>
            </w:r>
            <w:r w:rsidRPr="00E6639D">
              <w:rPr>
                <w:vertAlign w:val="superscript"/>
                <w:lang w:eastAsia="en-AU"/>
              </w:rPr>
              <w:t>(a)</w:t>
            </w:r>
          </w:p>
        </w:tc>
      </w:tr>
      <w:tr w:rsidR="00E04EE0" w:rsidRPr="00E6639D" w:rsidTr="00CA194E">
        <w:tc>
          <w:tcPr>
            <w:tcW w:w="4244" w:type="dxa"/>
            <w:tcBorders>
              <w:top w:val="nil"/>
              <w:left w:val="single" w:sz="6" w:space="0" w:color="auto"/>
              <w:bottom w:val="single" w:sz="6" w:space="0" w:color="auto"/>
              <w:right w:val="nil"/>
            </w:tcBorders>
            <w:shd w:val="clear" w:color="auto" w:fill="000000"/>
          </w:tcPr>
          <w:p w:rsidR="00E04EE0" w:rsidRPr="00E6639D" w:rsidRDefault="00E04EE0" w:rsidP="00CA194E">
            <w:pPr>
              <w:pStyle w:val="Tabletext"/>
              <w:rPr>
                <w:lang w:eastAsia="en-AU"/>
              </w:rPr>
            </w:pPr>
            <w:r w:rsidRPr="00E6639D">
              <w:rPr>
                <w:lang w:eastAsia="en-AU"/>
              </w:rPr>
              <w:t xml:space="preserve">  </w:t>
            </w:r>
          </w:p>
        </w:tc>
        <w:tc>
          <w:tcPr>
            <w:tcW w:w="840" w:type="dxa"/>
            <w:gridSpan w:val="2"/>
            <w:tcBorders>
              <w:top w:val="nil"/>
              <w:left w:val="nil"/>
              <w:bottom w:val="single" w:sz="6" w:space="0" w:color="auto"/>
              <w:right w:val="nil"/>
            </w:tcBorders>
            <w:shd w:val="clear" w:color="auto" w:fill="000000"/>
          </w:tcPr>
          <w:p w:rsidR="00E04EE0" w:rsidRPr="00E6639D" w:rsidRDefault="00E04EE0" w:rsidP="00CA194E">
            <w:pPr>
              <w:pStyle w:val="Tabletextheading"/>
              <w:rPr>
                <w:lang w:eastAsia="en-AU"/>
              </w:rPr>
            </w:pPr>
            <w:r w:rsidRPr="00E6639D">
              <w:rPr>
                <w:lang w:eastAsia="en-AU"/>
              </w:rPr>
              <w:t>Budget</w:t>
            </w:r>
          </w:p>
        </w:tc>
        <w:tc>
          <w:tcPr>
            <w:tcW w:w="840" w:type="dxa"/>
            <w:tcBorders>
              <w:top w:val="nil"/>
              <w:left w:val="nil"/>
              <w:bottom w:val="single" w:sz="6" w:space="0" w:color="auto"/>
              <w:right w:val="nil"/>
            </w:tcBorders>
            <w:shd w:val="clear" w:color="auto" w:fill="000000"/>
          </w:tcPr>
          <w:p w:rsidR="00E04EE0" w:rsidRPr="00E6639D" w:rsidRDefault="00E04EE0" w:rsidP="00CA194E">
            <w:pPr>
              <w:pStyle w:val="Tabletextheading"/>
              <w:rPr>
                <w:lang w:eastAsia="en-AU"/>
              </w:rPr>
            </w:pPr>
            <w:r w:rsidRPr="00E6639D">
              <w:rPr>
                <w:lang w:eastAsia="en-AU"/>
              </w:rPr>
              <w:t>Revised</w:t>
            </w:r>
          </w:p>
        </w:tc>
        <w:tc>
          <w:tcPr>
            <w:tcW w:w="813" w:type="dxa"/>
            <w:tcBorders>
              <w:top w:val="nil"/>
              <w:left w:val="nil"/>
              <w:bottom w:val="single" w:sz="6" w:space="0" w:color="auto"/>
              <w:right w:val="nil"/>
            </w:tcBorders>
            <w:shd w:val="clear" w:color="auto" w:fill="000000"/>
          </w:tcPr>
          <w:p w:rsidR="00E04EE0" w:rsidRPr="00E6639D" w:rsidRDefault="00E04EE0" w:rsidP="00CA194E">
            <w:pPr>
              <w:pStyle w:val="Tabletextheading"/>
              <w:rPr>
                <w:lang w:eastAsia="en-AU"/>
              </w:rPr>
            </w:pPr>
            <w:r w:rsidRPr="00E6639D">
              <w:rPr>
                <w:lang w:eastAsia="en-AU"/>
              </w:rPr>
              <w:t>Budget</w:t>
            </w:r>
          </w:p>
        </w:tc>
        <w:tc>
          <w:tcPr>
            <w:tcW w:w="1039" w:type="dxa"/>
            <w:tcBorders>
              <w:top w:val="nil"/>
              <w:left w:val="nil"/>
              <w:bottom w:val="single" w:sz="6" w:space="0" w:color="auto"/>
              <w:right w:val="single" w:sz="6" w:space="0" w:color="auto"/>
            </w:tcBorders>
            <w:shd w:val="clear" w:color="auto" w:fill="000000"/>
          </w:tcPr>
          <w:p w:rsidR="00E04EE0" w:rsidRPr="00E6639D" w:rsidRDefault="00E04EE0" w:rsidP="00CA194E">
            <w:pPr>
              <w:pStyle w:val="Tabletextheading"/>
              <w:rPr>
                <w:lang w:eastAsia="en-AU"/>
              </w:rPr>
            </w:pPr>
            <w:r w:rsidRPr="00E6639D">
              <w:rPr>
                <w:lang w:eastAsia="en-AU"/>
              </w:rPr>
              <w:t>%</w:t>
            </w:r>
          </w:p>
        </w:tc>
      </w:tr>
      <w:tr w:rsidR="00E04EE0" w:rsidRPr="00E6639D" w:rsidTr="00CA194E">
        <w:tc>
          <w:tcPr>
            <w:tcW w:w="4244" w:type="dxa"/>
            <w:tcBorders>
              <w:top w:val="single" w:sz="6" w:space="0" w:color="auto"/>
              <w:left w:val="nil"/>
              <w:bottom w:val="nil"/>
              <w:right w:val="nil"/>
            </w:tcBorders>
          </w:tcPr>
          <w:p w:rsidR="00E04EE0" w:rsidRPr="00E6639D" w:rsidRDefault="00E04EE0" w:rsidP="00CA194E">
            <w:pPr>
              <w:pStyle w:val="Tabletext"/>
              <w:rPr>
                <w:rFonts w:ascii="Arial" w:hAnsi="Arial" w:cs="Arial"/>
                <w:color w:val="000000"/>
                <w:vertAlign w:val="superscript"/>
                <w:lang w:eastAsia="en-AU"/>
              </w:rPr>
            </w:pPr>
            <w:r w:rsidRPr="00E6639D">
              <w:rPr>
                <w:color w:val="000000"/>
                <w:szCs w:val="22"/>
                <w:lang w:eastAsia="en-AU"/>
              </w:rPr>
              <w:t>Policing</w:t>
            </w:r>
            <w:r w:rsidRPr="00E6639D">
              <w:rPr>
                <w:rFonts w:ascii="Arial" w:hAnsi="Arial" w:cs="Arial"/>
                <w:color w:val="000000"/>
                <w:vertAlign w:val="superscript"/>
                <w:lang w:eastAsia="en-AU"/>
              </w:rPr>
              <w:t xml:space="preserve"> (b)</w:t>
            </w:r>
          </w:p>
        </w:tc>
        <w:tc>
          <w:tcPr>
            <w:tcW w:w="840" w:type="dxa"/>
            <w:gridSpan w:val="2"/>
            <w:tcBorders>
              <w:top w:val="single" w:sz="6" w:space="0" w:color="auto"/>
              <w:left w:val="nil"/>
              <w:bottom w:val="nil"/>
              <w:right w:val="nil"/>
            </w:tcBorders>
          </w:tcPr>
          <w:p w:rsidR="00E04EE0" w:rsidRPr="00E6639D" w:rsidRDefault="00E04EE0" w:rsidP="00CA194E">
            <w:pPr>
              <w:pStyle w:val="TableofFigures"/>
              <w:rPr>
                <w:rFonts w:cs="Calibri"/>
                <w:color w:val="000000"/>
                <w:szCs w:val="22"/>
                <w:lang w:eastAsia="en-AU"/>
              </w:rPr>
            </w:pPr>
            <w:r w:rsidRPr="00E6639D">
              <w:rPr>
                <w:color w:val="000000"/>
                <w:szCs w:val="22"/>
                <w:lang w:eastAsia="en-AU"/>
              </w:rPr>
              <w:t xml:space="preserve">2 </w:t>
            </w:r>
            <w:r w:rsidRPr="00E6639D">
              <w:rPr>
                <w:rFonts w:cs="Calibri"/>
                <w:color w:val="000000"/>
                <w:szCs w:val="22"/>
                <w:lang w:eastAsia="en-AU"/>
              </w:rPr>
              <w:t>107.6</w:t>
            </w:r>
          </w:p>
        </w:tc>
        <w:tc>
          <w:tcPr>
            <w:tcW w:w="840" w:type="dxa"/>
            <w:tcBorders>
              <w:top w:val="single" w:sz="6" w:space="0" w:color="auto"/>
              <w:left w:val="nil"/>
              <w:bottom w:val="nil"/>
              <w:right w:val="nil"/>
            </w:tcBorders>
          </w:tcPr>
          <w:p w:rsidR="00E04EE0" w:rsidRPr="00E6639D" w:rsidRDefault="00E04EE0" w:rsidP="00CA194E">
            <w:pPr>
              <w:pStyle w:val="TableofFigures"/>
              <w:rPr>
                <w:rFonts w:cs="Calibri"/>
                <w:color w:val="000000"/>
                <w:szCs w:val="22"/>
                <w:lang w:eastAsia="en-AU"/>
              </w:rPr>
            </w:pPr>
            <w:r w:rsidRPr="00E6639D">
              <w:rPr>
                <w:color w:val="000000"/>
                <w:szCs w:val="22"/>
                <w:lang w:eastAsia="en-AU"/>
              </w:rPr>
              <w:t xml:space="preserve">2 </w:t>
            </w:r>
            <w:r w:rsidRPr="00E6639D">
              <w:rPr>
                <w:rFonts w:cs="Calibri"/>
                <w:color w:val="000000"/>
                <w:szCs w:val="22"/>
                <w:lang w:eastAsia="en-AU"/>
              </w:rPr>
              <w:t>120.0</w:t>
            </w:r>
          </w:p>
        </w:tc>
        <w:tc>
          <w:tcPr>
            <w:tcW w:w="813" w:type="dxa"/>
            <w:tcBorders>
              <w:top w:val="single" w:sz="6" w:space="0" w:color="auto"/>
              <w:left w:val="nil"/>
              <w:bottom w:val="nil"/>
              <w:right w:val="nil"/>
            </w:tcBorders>
          </w:tcPr>
          <w:p w:rsidR="00E04EE0" w:rsidRPr="00E6639D" w:rsidRDefault="00E04EE0" w:rsidP="00CA194E">
            <w:pPr>
              <w:pStyle w:val="TableofFigures"/>
              <w:rPr>
                <w:rFonts w:cs="Calibri"/>
                <w:color w:val="000000"/>
                <w:szCs w:val="22"/>
                <w:lang w:eastAsia="en-AU"/>
              </w:rPr>
            </w:pPr>
            <w:r w:rsidRPr="00E6639D">
              <w:rPr>
                <w:color w:val="000000"/>
                <w:szCs w:val="22"/>
                <w:lang w:eastAsia="en-AU"/>
              </w:rPr>
              <w:t xml:space="preserve">2 </w:t>
            </w:r>
            <w:r w:rsidRPr="00E6639D">
              <w:rPr>
                <w:rFonts w:cs="Calibri"/>
                <w:color w:val="000000"/>
                <w:szCs w:val="22"/>
                <w:lang w:eastAsia="en-AU"/>
              </w:rPr>
              <w:t>282.7</w:t>
            </w:r>
          </w:p>
        </w:tc>
        <w:tc>
          <w:tcPr>
            <w:tcW w:w="1039" w:type="dxa"/>
            <w:tcBorders>
              <w:top w:val="single" w:sz="6" w:space="0" w:color="auto"/>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8.3</w:t>
            </w:r>
          </w:p>
        </w:tc>
      </w:tr>
      <w:tr w:rsidR="00E04EE0" w:rsidRPr="00E6639D" w:rsidTr="00CA194E">
        <w:tc>
          <w:tcPr>
            <w:tcW w:w="4244" w:type="dxa"/>
            <w:tcBorders>
              <w:top w:val="nil"/>
              <w:left w:val="nil"/>
              <w:bottom w:val="nil"/>
              <w:right w:val="nil"/>
            </w:tcBorders>
          </w:tcPr>
          <w:p w:rsidR="00E04EE0" w:rsidRPr="00E6639D" w:rsidRDefault="00E04EE0" w:rsidP="00CA194E">
            <w:pPr>
              <w:pStyle w:val="Tabletext"/>
              <w:rPr>
                <w:rFonts w:ascii="Arial" w:hAnsi="Arial" w:cs="Arial"/>
                <w:color w:val="000000"/>
                <w:vertAlign w:val="superscript"/>
                <w:lang w:eastAsia="en-AU"/>
              </w:rPr>
            </w:pPr>
            <w:r w:rsidRPr="00E6639D">
              <w:rPr>
                <w:color w:val="000000"/>
                <w:szCs w:val="22"/>
                <w:lang w:eastAsia="en-AU"/>
              </w:rPr>
              <w:t xml:space="preserve">Infringements and Enhancing Community Safety </w:t>
            </w:r>
            <w:r w:rsidRPr="00E6639D">
              <w:rPr>
                <w:rFonts w:ascii="Arial" w:hAnsi="Arial" w:cs="Arial"/>
                <w:color w:val="000000"/>
                <w:vertAlign w:val="superscript"/>
                <w:lang w:eastAsia="en-AU"/>
              </w:rPr>
              <w:t>(c)</w:t>
            </w:r>
          </w:p>
        </w:tc>
        <w:tc>
          <w:tcPr>
            <w:tcW w:w="840" w:type="dxa"/>
            <w:gridSpan w:val="2"/>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259.9</w:t>
            </w:r>
          </w:p>
        </w:tc>
        <w:tc>
          <w:tcPr>
            <w:tcW w:w="840" w:type="dxa"/>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234.7</w:t>
            </w:r>
          </w:p>
        </w:tc>
        <w:tc>
          <w:tcPr>
            <w:tcW w:w="813" w:type="dxa"/>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252.7</w:t>
            </w:r>
          </w:p>
        </w:tc>
        <w:tc>
          <w:tcPr>
            <w:tcW w:w="1039" w:type="dxa"/>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-2.8</w:t>
            </w:r>
          </w:p>
        </w:tc>
      </w:tr>
      <w:tr w:rsidR="00E04EE0" w:rsidRPr="00E6639D" w:rsidTr="00CA194E">
        <w:tc>
          <w:tcPr>
            <w:tcW w:w="4244" w:type="dxa"/>
            <w:tcBorders>
              <w:top w:val="nil"/>
              <w:left w:val="nil"/>
              <w:bottom w:val="nil"/>
              <w:right w:val="nil"/>
            </w:tcBorders>
          </w:tcPr>
          <w:p w:rsidR="00E04EE0" w:rsidRPr="00E6639D" w:rsidRDefault="00E04EE0" w:rsidP="00CA194E">
            <w:pPr>
              <w:pStyle w:val="Tabletext"/>
              <w:rPr>
                <w:rFonts w:ascii="Arial" w:hAnsi="Arial" w:cs="Arial"/>
                <w:color w:val="000000"/>
                <w:vertAlign w:val="superscript"/>
                <w:lang w:eastAsia="en-AU"/>
              </w:rPr>
            </w:pPr>
            <w:r w:rsidRPr="00E6639D">
              <w:rPr>
                <w:color w:val="000000"/>
                <w:szCs w:val="22"/>
                <w:lang w:eastAsia="en-AU"/>
              </w:rPr>
              <w:t xml:space="preserve">Court Services </w:t>
            </w:r>
            <w:r w:rsidRPr="00E6639D">
              <w:rPr>
                <w:rFonts w:ascii="Arial" w:hAnsi="Arial" w:cs="Arial"/>
                <w:color w:val="000000"/>
                <w:vertAlign w:val="superscript"/>
                <w:lang w:eastAsia="en-AU"/>
              </w:rPr>
              <w:t>(d)</w:t>
            </w:r>
          </w:p>
        </w:tc>
        <w:tc>
          <w:tcPr>
            <w:tcW w:w="840" w:type="dxa"/>
            <w:gridSpan w:val="2"/>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424.7</w:t>
            </w:r>
          </w:p>
        </w:tc>
        <w:tc>
          <w:tcPr>
            <w:tcW w:w="840" w:type="dxa"/>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419.7</w:t>
            </w:r>
          </w:p>
        </w:tc>
        <w:tc>
          <w:tcPr>
            <w:tcW w:w="813" w:type="dxa"/>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448.9</w:t>
            </w:r>
          </w:p>
        </w:tc>
        <w:tc>
          <w:tcPr>
            <w:tcW w:w="1039" w:type="dxa"/>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5.7</w:t>
            </w:r>
          </w:p>
        </w:tc>
      </w:tr>
      <w:tr w:rsidR="00E04EE0" w:rsidRPr="00E6639D" w:rsidTr="00CA194E">
        <w:tc>
          <w:tcPr>
            <w:tcW w:w="4244" w:type="dxa"/>
            <w:tcBorders>
              <w:top w:val="nil"/>
              <w:left w:val="nil"/>
              <w:bottom w:val="nil"/>
              <w:right w:val="nil"/>
            </w:tcBorders>
          </w:tcPr>
          <w:p w:rsidR="00E04EE0" w:rsidRPr="00E6639D" w:rsidRDefault="00E04EE0" w:rsidP="00CA194E">
            <w:pPr>
              <w:pStyle w:val="Tabletext"/>
              <w:rPr>
                <w:rFonts w:ascii="Arial" w:hAnsi="Arial" w:cs="Arial"/>
                <w:color w:val="000000"/>
                <w:vertAlign w:val="superscript"/>
                <w:lang w:eastAsia="en-AU"/>
              </w:rPr>
            </w:pPr>
            <w:r w:rsidRPr="00E6639D">
              <w:rPr>
                <w:color w:val="000000"/>
                <w:szCs w:val="22"/>
                <w:lang w:eastAsia="en-AU"/>
              </w:rPr>
              <w:t>Supporting Legal Processes and Law Reform</w:t>
            </w:r>
            <w:r w:rsidRPr="00E6639D">
              <w:rPr>
                <w:rFonts w:ascii="Arial" w:hAnsi="Arial" w:cs="Arial"/>
                <w:color w:val="000000"/>
                <w:vertAlign w:val="superscript"/>
                <w:lang w:eastAsia="en-AU"/>
              </w:rPr>
              <w:t xml:space="preserve"> (e)</w:t>
            </w:r>
          </w:p>
        </w:tc>
        <w:tc>
          <w:tcPr>
            <w:tcW w:w="840" w:type="dxa"/>
            <w:gridSpan w:val="2"/>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296.2</w:t>
            </w:r>
          </w:p>
        </w:tc>
        <w:tc>
          <w:tcPr>
            <w:tcW w:w="840" w:type="dxa"/>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317.2</w:t>
            </w:r>
          </w:p>
        </w:tc>
        <w:tc>
          <w:tcPr>
            <w:tcW w:w="813" w:type="dxa"/>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329.7</w:t>
            </w:r>
          </w:p>
        </w:tc>
        <w:tc>
          <w:tcPr>
            <w:tcW w:w="1039" w:type="dxa"/>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11.3</w:t>
            </w:r>
          </w:p>
        </w:tc>
      </w:tr>
      <w:tr w:rsidR="00E04EE0" w:rsidRPr="00E6639D" w:rsidTr="00CA194E">
        <w:tc>
          <w:tcPr>
            <w:tcW w:w="4244" w:type="dxa"/>
            <w:tcBorders>
              <w:top w:val="nil"/>
              <w:left w:val="nil"/>
              <w:bottom w:val="nil"/>
              <w:right w:val="nil"/>
            </w:tcBorders>
          </w:tcPr>
          <w:p w:rsidR="00E04EE0" w:rsidRPr="00E6639D" w:rsidRDefault="00E04EE0" w:rsidP="00CA194E">
            <w:pPr>
              <w:pStyle w:val="Tabletext"/>
              <w:rPr>
                <w:rFonts w:ascii="Arial" w:hAnsi="Arial" w:cs="Arial"/>
                <w:color w:val="000000"/>
                <w:vertAlign w:val="superscript"/>
                <w:lang w:eastAsia="en-AU"/>
              </w:rPr>
            </w:pPr>
            <w:r w:rsidRPr="00E6639D">
              <w:rPr>
                <w:color w:val="000000"/>
                <w:szCs w:val="22"/>
                <w:lang w:eastAsia="en-AU"/>
              </w:rPr>
              <w:t>Personal Identity, Individual Rights and Participation in Civic Life</w:t>
            </w:r>
            <w:r w:rsidRPr="00E6639D">
              <w:rPr>
                <w:rFonts w:ascii="Arial" w:hAnsi="Arial" w:cs="Arial"/>
                <w:color w:val="000000"/>
                <w:vertAlign w:val="superscript"/>
                <w:lang w:eastAsia="en-AU"/>
              </w:rPr>
              <w:t xml:space="preserve"> (f)</w:t>
            </w:r>
          </w:p>
        </w:tc>
        <w:tc>
          <w:tcPr>
            <w:tcW w:w="840" w:type="dxa"/>
            <w:gridSpan w:val="2"/>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82.6</w:t>
            </w:r>
          </w:p>
        </w:tc>
        <w:tc>
          <w:tcPr>
            <w:tcW w:w="840" w:type="dxa"/>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85.4</w:t>
            </w:r>
          </w:p>
        </w:tc>
        <w:tc>
          <w:tcPr>
            <w:tcW w:w="813" w:type="dxa"/>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65.6</w:t>
            </w:r>
          </w:p>
        </w:tc>
        <w:tc>
          <w:tcPr>
            <w:tcW w:w="1039" w:type="dxa"/>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-20.6</w:t>
            </w:r>
          </w:p>
        </w:tc>
      </w:tr>
      <w:tr w:rsidR="00E04EE0" w:rsidRPr="00E6639D" w:rsidTr="00CA194E">
        <w:tc>
          <w:tcPr>
            <w:tcW w:w="4244" w:type="dxa"/>
            <w:tcBorders>
              <w:top w:val="nil"/>
              <w:left w:val="nil"/>
              <w:bottom w:val="nil"/>
              <w:right w:val="nil"/>
            </w:tcBorders>
          </w:tcPr>
          <w:p w:rsidR="00E04EE0" w:rsidRPr="00E6639D" w:rsidRDefault="00E04EE0" w:rsidP="00CA194E">
            <w:pPr>
              <w:pStyle w:val="Tabletext"/>
              <w:rPr>
                <w:rFonts w:ascii="Arial" w:hAnsi="Arial" w:cs="Arial"/>
                <w:color w:val="000000"/>
                <w:vertAlign w:val="superscript"/>
                <w:lang w:eastAsia="en-AU"/>
              </w:rPr>
            </w:pPr>
            <w:r w:rsidRPr="00E6639D">
              <w:rPr>
                <w:color w:val="000000"/>
                <w:szCs w:val="22"/>
                <w:lang w:eastAsia="en-AU"/>
              </w:rPr>
              <w:t>Enforcing and Managing Correctional Orders</w:t>
            </w:r>
            <w:r w:rsidRPr="00E6639D">
              <w:rPr>
                <w:rFonts w:ascii="Arial" w:hAnsi="Arial" w:cs="Arial"/>
                <w:color w:val="000000"/>
                <w:vertAlign w:val="superscript"/>
                <w:lang w:eastAsia="en-AU"/>
              </w:rPr>
              <w:t xml:space="preserve"> (g)</w:t>
            </w:r>
          </w:p>
        </w:tc>
        <w:tc>
          <w:tcPr>
            <w:tcW w:w="840" w:type="dxa"/>
            <w:gridSpan w:val="2"/>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814.3</w:t>
            </w:r>
          </w:p>
        </w:tc>
        <w:tc>
          <w:tcPr>
            <w:tcW w:w="840" w:type="dxa"/>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826.4</w:t>
            </w:r>
          </w:p>
        </w:tc>
        <w:tc>
          <w:tcPr>
            <w:tcW w:w="813" w:type="dxa"/>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887.1</w:t>
            </w:r>
          </w:p>
        </w:tc>
        <w:tc>
          <w:tcPr>
            <w:tcW w:w="1039" w:type="dxa"/>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8.9</w:t>
            </w:r>
          </w:p>
        </w:tc>
      </w:tr>
      <w:tr w:rsidR="00E04EE0" w:rsidRPr="00E6639D" w:rsidTr="00CA194E">
        <w:tc>
          <w:tcPr>
            <w:tcW w:w="4469" w:type="dxa"/>
            <w:gridSpan w:val="2"/>
            <w:tcBorders>
              <w:top w:val="nil"/>
              <w:left w:val="nil"/>
              <w:bottom w:val="nil"/>
              <w:right w:val="nil"/>
            </w:tcBorders>
          </w:tcPr>
          <w:p w:rsidR="00E04EE0" w:rsidRPr="00E6639D" w:rsidRDefault="00E04EE0" w:rsidP="00CA194E">
            <w:pPr>
              <w:pStyle w:val="Tabletext"/>
              <w:rPr>
                <w:rFonts w:ascii="Arial" w:hAnsi="Arial" w:cs="Arial"/>
                <w:color w:val="000000"/>
                <w:vertAlign w:val="superscript"/>
                <w:lang w:eastAsia="en-AU"/>
              </w:rPr>
            </w:pPr>
            <w:r w:rsidRPr="00E6639D">
              <w:rPr>
                <w:color w:val="000000"/>
                <w:szCs w:val="22"/>
                <w:lang w:eastAsia="en-AU"/>
              </w:rPr>
              <w:t>Supporting the State's Fire and Emergency Services</w:t>
            </w:r>
            <w:r w:rsidRPr="00E6639D">
              <w:rPr>
                <w:rFonts w:ascii="Arial" w:hAnsi="Arial" w:cs="Arial"/>
                <w:color w:val="000000"/>
                <w:vertAlign w:val="superscript"/>
                <w:lang w:eastAsia="en-AU"/>
              </w:rPr>
              <w:t xml:space="preserve"> (h)</w:t>
            </w:r>
          </w:p>
        </w:tc>
        <w:tc>
          <w:tcPr>
            <w:tcW w:w="615" w:type="dxa"/>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296.8</w:t>
            </w:r>
          </w:p>
        </w:tc>
        <w:tc>
          <w:tcPr>
            <w:tcW w:w="840" w:type="dxa"/>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265.2</w:t>
            </w:r>
          </w:p>
        </w:tc>
        <w:tc>
          <w:tcPr>
            <w:tcW w:w="813" w:type="dxa"/>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871.3</w:t>
            </w:r>
          </w:p>
        </w:tc>
        <w:tc>
          <w:tcPr>
            <w:tcW w:w="1039" w:type="dxa"/>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193.6</w:t>
            </w:r>
          </w:p>
        </w:tc>
      </w:tr>
      <w:tr w:rsidR="00E04EE0" w:rsidRPr="00E6639D" w:rsidTr="00CA194E">
        <w:tc>
          <w:tcPr>
            <w:tcW w:w="4244" w:type="dxa"/>
            <w:tcBorders>
              <w:top w:val="nil"/>
              <w:left w:val="nil"/>
              <w:bottom w:val="nil"/>
              <w:right w:val="nil"/>
            </w:tcBorders>
          </w:tcPr>
          <w:p w:rsidR="00E04EE0" w:rsidRPr="00E6639D" w:rsidRDefault="00E04EE0" w:rsidP="00CA194E">
            <w:pPr>
              <w:pStyle w:val="Tabletext"/>
              <w:rPr>
                <w:rFonts w:ascii="Arial" w:hAnsi="Arial" w:cs="Arial"/>
                <w:color w:val="000000"/>
                <w:vertAlign w:val="superscript"/>
                <w:lang w:eastAsia="en-AU"/>
              </w:rPr>
            </w:pPr>
            <w:r w:rsidRPr="00E6639D">
              <w:rPr>
                <w:color w:val="000000"/>
                <w:szCs w:val="22"/>
                <w:lang w:eastAsia="en-AU"/>
              </w:rPr>
              <w:t>Industry Regulation and Support</w:t>
            </w:r>
            <w:r w:rsidRPr="00E6639D">
              <w:rPr>
                <w:rFonts w:ascii="Arial" w:hAnsi="Arial" w:cs="Arial"/>
                <w:color w:val="000000"/>
                <w:vertAlign w:val="superscript"/>
                <w:lang w:eastAsia="en-AU"/>
              </w:rPr>
              <w:t xml:space="preserve"> (i)</w:t>
            </w:r>
          </w:p>
        </w:tc>
        <w:tc>
          <w:tcPr>
            <w:tcW w:w="840" w:type="dxa"/>
            <w:gridSpan w:val="2"/>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218.9</w:t>
            </w:r>
          </w:p>
        </w:tc>
        <w:tc>
          <w:tcPr>
            <w:tcW w:w="840" w:type="dxa"/>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206.8</w:t>
            </w:r>
          </w:p>
        </w:tc>
        <w:tc>
          <w:tcPr>
            <w:tcW w:w="813" w:type="dxa"/>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197.1</w:t>
            </w:r>
          </w:p>
        </w:tc>
        <w:tc>
          <w:tcPr>
            <w:tcW w:w="1039" w:type="dxa"/>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-10.0</w:t>
            </w:r>
          </w:p>
        </w:tc>
      </w:tr>
      <w:tr w:rsidR="00E04EE0" w:rsidRPr="00E6639D" w:rsidTr="00CA194E">
        <w:tc>
          <w:tcPr>
            <w:tcW w:w="4244" w:type="dxa"/>
            <w:tcBorders>
              <w:top w:val="nil"/>
              <w:left w:val="nil"/>
              <w:bottom w:val="single" w:sz="6" w:space="0" w:color="auto"/>
              <w:right w:val="nil"/>
            </w:tcBorders>
          </w:tcPr>
          <w:p w:rsidR="00E04EE0" w:rsidRPr="00E6639D" w:rsidRDefault="00E04EE0" w:rsidP="00CA194E">
            <w:pPr>
              <w:pStyle w:val="Tabletext"/>
              <w:rPr>
                <w:rFonts w:ascii="Arial" w:hAnsi="Arial" w:cs="Arial"/>
                <w:color w:val="000000"/>
                <w:vertAlign w:val="superscript"/>
                <w:lang w:eastAsia="en-AU"/>
              </w:rPr>
            </w:pPr>
            <w:r w:rsidRPr="00E6639D">
              <w:rPr>
                <w:color w:val="000000"/>
                <w:szCs w:val="22"/>
                <w:lang w:eastAsia="en-AU"/>
              </w:rPr>
              <w:t>Public Sector Integrity</w:t>
            </w:r>
            <w:r w:rsidRPr="00E6639D">
              <w:rPr>
                <w:rFonts w:ascii="Arial" w:hAnsi="Arial" w:cs="Arial"/>
                <w:color w:val="000000"/>
                <w:vertAlign w:val="superscript"/>
                <w:lang w:eastAsia="en-AU"/>
              </w:rPr>
              <w:t xml:space="preserve"> (j)</w:t>
            </w:r>
          </w:p>
        </w:tc>
        <w:tc>
          <w:tcPr>
            <w:tcW w:w="840" w:type="dxa"/>
            <w:gridSpan w:val="2"/>
            <w:tcBorders>
              <w:top w:val="nil"/>
              <w:left w:val="nil"/>
              <w:bottom w:val="single" w:sz="6" w:space="0" w:color="auto"/>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34.0</w:t>
            </w:r>
          </w:p>
        </w:tc>
        <w:tc>
          <w:tcPr>
            <w:tcW w:w="840" w:type="dxa"/>
            <w:tcBorders>
              <w:top w:val="nil"/>
              <w:left w:val="nil"/>
              <w:bottom w:val="single" w:sz="6" w:space="0" w:color="auto"/>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35.1</w:t>
            </w:r>
          </w:p>
        </w:tc>
        <w:tc>
          <w:tcPr>
            <w:tcW w:w="813" w:type="dxa"/>
            <w:tcBorders>
              <w:top w:val="nil"/>
              <w:left w:val="nil"/>
              <w:bottom w:val="single" w:sz="6" w:space="0" w:color="auto"/>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 xml:space="preserve"> 52.3</w:t>
            </w:r>
          </w:p>
        </w:tc>
        <w:tc>
          <w:tcPr>
            <w:tcW w:w="1039" w:type="dxa"/>
            <w:tcBorders>
              <w:top w:val="nil"/>
              <w:left w:val="nil"/>
              <w:bottom w:val="nil"/>
              <w:right w:val="nil"/>
            </w:tcBorders>
          </w:tcPr>
          <w:p w:rsidR="00E04EE0" w:rsidRPr="00E6639D" w:rsidRDefault="00E04EE0" w:rsidP="00CA194E">
            <w:pPr>
              <w:pStyle w:val="TableofFigures"/>
              <w:rPr>
                <w:color w:val="000000"/>
                <w:szCs w:val="22"/>
                <w:lang w:eastAsia="en-AU"/>
              </w:rPr>
            </w:pPr>
            <w:r w:rsidRPr="00E6639D">
              <w:rPr>
                <w:color w:val="000000"/>
                <w:szCs w:val="22"/>
                <w:lang w:eastAsia="en-AU"/>
              </w:rPr>
              <w:t>53.7</w:t>
            </w:r>
          </w:p>
        </w:tc>
      </w:tr>
      <w:tr w:rsidR="00E04EE0" w:rsidRPr="00E6639D" w:rsidTr="00CA194E">
        <w:tc>
          <w:tcPr>
            <w:tcW w:w="4244" w:type="dxa"/>
            <w:tcBorders>
              <w:top w:val="single" w:sz="6" w:space="0" w:color="auto"/>
              <w:left w:val="nil"/>
              <w:bottom w:val="single" w:sz="12" w:space="0" w:color="auto"/>
              <w:right w:val="nil"/>
            </w:tcBorders>
          </w:tcPr>
          <w:p w:rsidR="00E04EE0" w:rsidRPr="00E6639D" w:rsidRDefault="00E04EE0" w:rsidP="00CA194E">
            <w:pPr>
              <w:pStyle w:val="Tabletext"/>
              <w:rPr>
                <w:b/>
                <w:bCs/>
                <w:color w:val="000000"/>
                <w:lang w:eastAsia="en-AU"/>
              </w:rPr>
            </w:pPr>
            <w:r w:rsidRPr="00E6639D">
              <w:rPr>
                <w:b/>
                <w:bCs/>
                <w:color w:val="000000"/>
                <w:lang w:eastAsia="en-AU"/>
              </w:rPr>
              <w:t>Total</w:t>
            </w:r>
          </w:p>
        </w:tc>
        <w:tc>
          <w:tcPr>
            <w:tcW w:w="840" w:type="dxa"/>
            <w:gridSpan w:val="2"/>
            <w:tcBorders>
              <w:top w:val="single" w:sz="6" w:space="0" w:color="auto"/>
              <w:left w:val="nil"/>
              <w:bottom w:val="single" w:sz="12" w:space="0" w:color="auto"/>
              <w:right w:val="nil"/>
            </w:tcBorders>
          </w:tcPr>
          <w:p w:rsidR="00E04EE0" w:rsidRPr="00E6639D" w:rsidRDefault="00E04EE0" w:rsidP="00CA194E">
            <w:pPr>
              <w:pStyle w:val="TableofFigures"/>
              <w:rPr>
                <w:rFonts w:cs="Calibri"/>
                <w:b/>
                <w:bCs/>
                <w:color w:val="000000"/>
                <w:szCs w:val="22"/>
                <w:lang w:eastAsia="en-AU"/>
              </w:rPr>
            </w:pPr>
            <w:r w:rsidRPr="00E6639D">
              <w:rPr>
                <w:b/>
                <w:bCs/>
                <w:color w:val="000000"/>
                <w:szCs w:val="22"/>
                <w:lang w:eastAsia="en-AU"/>
              </w:rPr>
              <w:t xml:space="preserve">4 </w:t>
            </w:r>
            <w:r w:rsidRPr="00E6639D">
              <w:rPr>
                <w:rFonts w:cs="Calibri"/>
                <w:b/>
                <w:bCs/>
                <w:color w:val="000000"/>
                <w:szCs w:val="22"/>
                <w:lang w:eastAsia="en-AU"/>
              </w:rPr>
              <w:t>535.1</w:t>
            </w:r>
          </w:p>
        </w:tc>
        <w:tc>
          <w:tcPr>
            <w:tcW w:w="840" w:type="dxa"/>
            <w:tcBorders>
              <w:top w:val="single" w:sz="6" w:space="0" w:color="auto"/>
              <w:left w:val="nil"/>
              <w:bottom w:val="single" w:sz="12" w:space="0" w:color="auto"/>
              <w:right w:val="nil"/>
            </w:tcBorders>
          </w:tcPr>
          <w:p w:rsidR="00E04EE0" w:rsidRPr="00E6639D" w:rsidRDefault="00E04EE0" w:rsidP="00CA194E">
            <w:pPr>
              <w:pStyle w:val="TableofFigures"/>
              <w:rPr>
                <w:rFonts w:cs="Calibri"/>
                <w:b/>
                <w:bCs/>
                <w:color w:val="000000"/>
                <w:szCs w:val="22"/>
                <w:lang w:eastAsia="en-AU"/>
              </w:rPr>
            </w:pPr>
            <w:r w:rsidRPr="00E6639D">
              <w:rPr>
                <w:b/>
                <w:bCs/>
                <w:color w:val="000000"/>
                <w:szCs w:val="22"/>
                <w:lang w:eastAsia="en-AU"/>
              </w:rPr>
              <w:t xml:space="preserve">4 </w:t>
            </w:r>
            <w:r w:rsidRPr="00E6639D">
              <w:rPr>
                <w:rFonts w:cs="Calibri"/>
                <w:b/>
                <w:bCs/>
                <w:color w:val="000000"/>
                <w:szCs w:val="22"/>
                <w:lang w:eastAsia="en-AU"/>
              </w:rPr>
              <w:t>510.5</w:t>
            </w:r>
          </w:p>
        </w:tc>
        <w:tc>
          <w:tcPr>
            <w:tcW w:w="813" w:type="dxa"/>
            <w:tcBorders>
              <w:top w:val="single" w:sz="6" w:space="0" w:color="auto"/>
              <w:left w:val="nil"/>
              <w:bottom w:val="single" w:sz="12" w:space="0" w:color="auto"/>
              <w:right w:val="nil"/>
            </w:tcBorders>
          </w:tcPr>
          <w:p w:rsidR="00E04EE0" w:rsidRPr="00E6639D" w:rsidRDefault="00E04EE0" w:rsidP="00CA194E">
            <w:pPr>
              <w:pStyle w:val="TableofFigures"/>
              <w:rPr>
                <w:rFonts w:cs="Calibri"/>
                <w:b/>
                <w:bCs/>
                <w:color w:val="000000"/>
                <w:szCs w:val="22"/>
                <w:lang w:eastAsia="en-AU"/>
              </w:rPr>
            </w:pPr>
            <w:r w:rsidRPr="00E6639D">
              <w:rPr>
                <w:b/>
                <w:bCs/>
                <w:color w:val="000000"/>
                <w:szCs w:val="22"/>
                <w:lang w:eastAsia="en-AU"/>
              </w:rPr>
              <w:t xml:space="preserve">5 </w:t>
            </w:r>
            <w:r w:rsidRPr="00E6639D">
              <w:rPr>
                <w:rFonts w:cs="Calibri"/>
                <w:b/>
                <w:bCs/>
                <w:color w:val="000000"/>
                <w:szCs w:val="22"/>
                <w:lang w:eastAsia="en-AU"/>
              </w:rPr>
              <w:t>387.5</w:t>
            </w:r>
          </w:p>
        </w:tc>
        <w:tc>
          <w:tcPr>
            <w:tcW w:w="1039" w:type="dxa"/>
            <w:tcBorders>
              <w:top w:val="single" w:sz="6" w:space="0" w:color="auto"/>
              <w:left w:val="nil"/>
              <w:bottom w:val="single" w:sz="12" w:space="0" w:color="auto"/>
              <w:right w:val="nil"/>
            </w:tcBorders>
          </w:tcPr>
          <w:p w:rsidR="00E04EE0" w:rsidRPr="00E6639D" w:rsidRDefault="00E04EE0" w:rsidP="00CA194E">
            <w:pPr>
              <w:pStyle w:val="TableofFigures"/>
              <w:rPr>
                <w:b/>
                <w:bCs/>
                <w:color w:val="000000"/>
                <w:szCs w:val="22"/>
                <w:lang w:eastAsia="en-AU"/>
              </w:rPr>
            </w:pPr>
            <w:r w:rsidRPr="00E6639D">
              <w:rPr>
                <w:b/>
                <w:bCs/>
                <w:color w:val="000000"/>
                <w:szCs w:val="22"/>
                <w:lang w:eastAsia="en-AU"/>
              </w:rPr>
              <w:t>18.8</w:t>
            </w:r>
          </w:p>
        </w:tc>
      </w:tr>
    </w:tbl>
    <w:p w:rsidR="00B958B1" w:rsidRDefault="00B958B1" w:rsidP="009F3B54">
      <w:pPr>
        <w:pStyle w:val="Source"/>
      </w:pPr>
      <w:r>
        <w:t>Source: Department of Justice</w:t>
      </w:r>
    </w:p>
    <w:p w:rsidR="00B958B1" w:rsidRDefault="00B958B1" w:rsidP="009F3B54">
      <w:pPr>
        <w:pStyle w:val="Notes"/>
      </w:pPr>
      <w:r>
        <w:fldChar w:fldCharType="begin"/>
      </w:r>
      <w:r>
        <w:instrText xml:space="preserve"> XE "</w:instrText>
      </w:r>
      <w:r w:rsidRPr="00F8668A">
        <w:instrText>Department of Justice:Output summary</w:instrText>
      </w:r>
      <w:r>
        <w:instrText xml:space="preserve">" </w:instrText>
      </w:r>
      <w:r>
        <w:fldChar w:fldCharType="end"/>
      </w:r>
      <w:r>
        <w:t>Notes:</w:t>
      </w:r>
    </w:p>
    <w:p w:rsidR="00B958B1" w:rsidRDefault="00B958B1" w:rsidP="009F3B54">
      <w:pPr>
        <w:pStyle w:val="Notes"/>
      </w:pPr>
      <w:r>
        <w:t>(a)</w:t>
      </w:r>
      <w:r>
        <w:tab/>
        <w:t>Variation between 2012</w:t>
      </w:r>
      <w:r w:rsidR="009F0F49">
        <w:noBreakHyphen/>
      </w:r>
      <w:r>
        <w:t>13 budget and 2013</w:t>
      </w:r>
      <w:r w:rsidR="009F0F49">
        <w:noBreakHyphen/>
      </w:r>
      <w:r>
        <w:t>14 budget.</w:t>
      </w:r>
    </w:p>
    <w:p w:rsidR="00B958B1" w:rsidRPr="00A90AEA" w:rsidRDefault="00B958B1" w:rsidP="009F3B54">
      <w:pPr>
        <w:pStyle w:val="Notes"/>
        <w:rPr>
          <w:color w:val="000000"/>
        </w:rPr>
      </w:pPr>
      <w:r w:rsidRPr="00A90AEA">
        <w:rPr>
          <w:color w:val="000000"/>
        </w:rPr>
        <w:t xml:space="preserve">(b) </w:t>
      </w:r>
      <w:r>
        <w:rPr>
          <w:color w:val="000000"/>
        </w:rPr>
        <w:tab/>
      </w:r>
      <w:r w:rsidRPr="00A90AEA">
        <w:rPr>
          <w:color w:val="000000"/>
        </w:rPr>
        <w:t xml:space="preserve">The </w:t>
      </w:r>
      <w:r w:rsidRPr="000622A3">
        <w:rPr>
          <w:i w:val="0"/>
          <w:color w:val="000000"/>
        </w:rPr>
        <w:t>2013</w:t>
      </w:r>
      <w:r w:rsidR="009F0F49">
        <w:rPr>
          <w:i w:val="0"/>
          <w:color w:val="000000"/>
        </w:rPr>
        <w:noBreakHyphen/>
      </w:r>
      <w:r w:rsidRPr="000622A3">
        <w:rPr>
          <w:i w:val="0"/>
          <w:color w:val="000000"/>
        </w:rPr>
        <w:t>14 Budget</w:t>
      </w:r>
      <w:r w:rsidRPr="00A90AEA">
        <w:rPr>
          <w:color w:val="000000"/>
        </w:rPr>
        <w:t xml:space="preserve"> includes incremental funding for the 940 Protective Service</w:t>
      </w:r>
      <w:r>
        <w:rPr>
          <w:color w:val="000000"/>
        </w:rPr>
        <w:t>s</w:t>
      </w:r>
      <w:r w:rsidRPr="00A90AEA">
        <w:rPr>
          <w:color w:val="000000"/>
        </w:rPr>
        <w:t xml:space="preserve"> Officers and 1</w:t>
      </w:r>
      <w:r>
        <w:rPr>
          <w:color w:val="000000"/>
        </w:rPr>
        <w:t> </w:t>
      </w:r>
      <w:r w:rsidRPr="00A90AEA">
        <w:rPr>
          <w:color w:val="000000"/>
        </w:rPr>
        <w:t>700 new frontline police.</w:t>
      </w:r>
    </w:p>
    <w:p w:rsidR="00B958B1" w:rsidRDefault="00B958B1" w:rsidP="009F3B54">
      <w:pPr>
        <w:pStyle w:val="Notes"/>
        <w:rPr>
          <w:color w:val="000000"/>
        </w:rPr>
      </w:pPr>
      <w:r w:rsidRPr="00A90AEA">
        <w:rPr>
          <w:color w:val="000000"/>
        </w:rPr>
        <w:t xml:space="preserve">(c) </w:t>
      </w:r>
      <w:r>
        <w:rPr>
          <w:color w:val="000000"/>
        </w:rPr>
        <w:tab/>
      </w:r>
      <w:r w:rsidRPr="00A90AEA">
        <w:rPr>
          <w:color w:val="000000"/>
        </w:rPr>
        <w:t xml:space="preserve">The </w:t>
      </w:r>
      <w:r w:rsidRPr="000622A3">
        <w:rPr>
          <w:i w:val="0"/>
          <w:color w:val="000000"/>
        </w:rPr>
        <w:t>2013</w:t>
      </w:r>
      <w:r w:rsidR="009F0F49">
        <w:rPr>
          <w:i w:val="0"/>
          <w:color w:val="000000"/>
        </w:rPr>
        <w:noBreakHyphen/>
      </w:r>
      <w:r w:rsidRPr="000622A3">
        <w:rPr>
          <w:i w:val="0"/>
          <w:color w:val="000000"/>
        </w:rPr>
        <w:t>14 Budget</w:t>
      </w:r>
      <w:r w:rsidRPr="00A90AEA">
        <w:rPr>
          <w:color w:val="000000"/>
        </w:rPr>
        <w:t xml:space="preserve"> </w:t>
      </w:r>
      <w:r>
        <w:rPr>
          <w:color w:val="000000"/>
        </w:rPr>
        <w:t xml:space="preserve">reflects variations in </w:t>
      </w:r>
      <w:r w:rsidRPr="00A90AEA">
        <w:rPr>
          <w:color w:val="000000"/>
        </w:rPr>
        <w:t xml:space="preserve">carryover </w:t>
      </w:r>
      <w:r>
        <w:rPr>
          <w:color w:val="000000"/>
        </w:rPr>
        <w:t xml:space="preserve">of funding. </w:t>
      </w:r>
    </w:p>
    <w:p w:rsidR="00B958B1" w:rsidRPr="00A90AEA" w:rsidRDefault="00B958B1" w:rsidP="009F3B54">
      <w:pPr>
        <w:pStyle w:val="Notes"/>
        <w:rPr>
          <w:color w:val="000000"/>
        </w:rPr>
      </w:pPr>
      <w:r w:rsidRPr="00A90AEA">
        <w:rPr>
          <w:color w:val="000000"/>
        </w:rPr>
        <w:t xml:space="preserve">(d) </w:t>
      </w:r>
      <w:r>
        <w:rPr>
          <w:color w:val="000000"/>
        </w:rPr>
        <w:tab/>
      </w:r>
      <w:r w:rsidRPr="00A90AEA">
        <w:rPr>
          <w:color w:val="000000"/>
        </w:rPr>
        <w:t xml:space="preserve">The </w:t>
      </w:r>
      <w:r w:rsidRPr="000622A3">
        <w:rPr>
          <w:i w:val="0"/>
          <w:color w:val="000000"/>
        </w:rPr>
        <w:t>2013</w:t>
      </w:r>
      <w:r w:rsidR="009F0F49">
        <w:rPr>
          <w:i w:val="0"/>
          <w:color w:val="000000"/>
        </w:rPr>
        <w:noBreakHyphen/>
      </w:r>
      <w:r w:rsidRPr="000622A3">
        <w:rPr>
          <w:i w:val="0"/>
          <w:color w:val="000000"/>
        </w:rPr>
        <w:t>14 Budget</w:t>
      </w:r>
      <w:r w:rsidRPr="00A90AEA">
        <w:rPr>
          <w:color w:val="000000"/>
        </w:rPr>
        <w:t xml:space="preserve"> </w:t>
      </w:r>
      <w:r>
        <w:rPr>
          <w:color w:val="000000"/>
        </w:rPr>
        <w:t>reflects</w:t>
      </w:r>
      <w:r w:rsidRPr="00A90AEA">
        <w:rPr>
          <w:color w:val="000000"/>
        </w:rPr>
        <w:t xml:space="preserve"> new funding to support </w:t>
      </w:r>
      <w:r>
        <w:rPr>
          <w:color w:val="000000"/>
        </w:rPr>
        <w:t>c</w:t>
      </w:r>
      <w:r w:rsidRPr="00A90AEA">
        <w:rPr>
          <w:color w:val="000000"/>
        </w:rPr>
        <w:t>ourts</w:t>
      </w:r>
      <w:r>
        <w:rPr>
          <w:color w:val="000000"/>
        </w:rPr>
        <w:t xml:space="preserve"> and</w:t>
      </w:r>
      <w:r w:rsidRPr="00A90AEA">
        <w:rPr>
          <w:color w:val="000000"/>
        </w:rPr>
        <w:t xml:space="preserve"> the full year impact of the review of court fees.</w:t>
      </w:r>
    </w:p>
    <w:p w:rsidR="00B958B1" w:rsidRDefault="00B958B1" w:rsidP="009F3B54">
      <w:pPr>
        <w:pStyle w:val="Notes"/>
        <w:rPr>
          <w:color w:val="000000"/>
        </w:rPr>
      </w:pPr>
      <w:r w:rsidRPr="00A90AEA">
        <w:rPr>
          <w:color w:val="000000"/>
        </w:rPr>
        <w:t xml:space="preserve">(e) </w:t>
      </w:r>
      <w:r>
        <w:rPr>
          <w:color w:val="000000"/>
        </w:rPr>
        <w:tab/>
      </w:r>
      <w:r w:rsidRPr="00A90AEA">
        <w:rPr>
          <w:color w:val="000000"/>
        </w:rPr>
        <w:t xml:space="preserve">The </w:t>
      </w:r>
      <w:r w:rsidRPr="000622A3">
        <w:rPr>
          <w:i w:val="0"/>
          <w:color w:val="000000"/>
        </w:rPr>
        <w:t>2013</w:t>
      </w:r>
      <w:r w:rsidR="009F0F49">
        <w:rPr>
          <w:i w:val="0"/>
          <w:color w:val="000000"/>
        </w:rPr>
        <w:noBreakHyphen/>
      </w:r>
      <w:r w:rsidRPr="000622A3">
        <w:rPr>
          <w:i w:val="0"/>
          <w:color w:val="000000"/>
        </w:rPr>
        <w:t>14 Budget</w:t>
      </w:r>
      <w:r w:rsidRPr="00A90AEA">
        <w:rPr>
          <w:color w:val="000000"/>
        </w:rPr>
        <w:t xml:space="preserve"> includes new funding to </w:t>
      </w:r>
      <w:r>
        <w:rPr>
          <w:color w:val="000000"/>
        </w:rPr>
        <w:t>improve Victims Support Services</w:t>
      </w:r>
      <w:r w:rsidRPr="00A90AEA">
        <w:rPr>
          <w:color w:val="000000"/>
        </w:rPr>
        <w:t>, establish a Crime Statistics Agency and support Victoria Legal Aid.</w:t>
      </w:r>
    </w:p>
    <w:p w:rsidR="00B958B1" w:rsidRPr="00A90AEA" w:rsidRDefault="00B958B1" w:rsidP="009F3B54">
      <w:pPr>
        <w:pStyle w:val="Notes"/>
        <w:rPr>
          <w:color w:val="000000"/>
        </w:rPr>
      </w:pPr>
      <w:r w:rsidRPr="00A90AEA">
        <w:rPr>
          <w:color w:val="000000"/>
        </w:rPr>
        <w:t xml:space="preserve">(f) </w:t>
      </w:r>
      <w:r>
        <w:rPr>
          <w:color w:val="000000"/>
        </w:rPr>
        <w:tab/>
      </w:r>
      <w:r w:rsidRPr="00A90AEA">
        <w:rPr>
          <w:color w:val="000000"/>
        </w:rPr>
        <w:t xml:space="preserve">The </w:t>
      </w:r>
      <w:r w:rsidRPr="000622A3">
        <w:rPr>
          <w:i w:val="0"/>
          <w:color w:val="000000"/>
        </w:rPr>
        <w:t>2012</w:t>
      </w:r>
      <w:r w:rsidR="009F0F49">
        <w:rPr>
          <w:i w:val="0"/>
          <w:color w:val="000000"/>
        </w:rPr>
        <w:noBreakHyphen/>
      </w:r>
      <w:r w:rsidRPr="000622A3">
        <w:rPr>
          <w:i w:val="0"/>
          <w:color w:val="000000"/>
        </w:rPr>
        <w:t>13 Budget</w:t>
      </w:r>
      <w:r w:rsidRPr="00A90AEA">
        <w:rPr>
          <w:color w:val="000000"/>
        </w:rPr>
        <w:t xml:space="preserve"> included one off funding for 2012</w:t>
      </w:r>
      <w:r>
        <w:rPr>
          <w:color w:val="000000"/>
        </w:rPr>
        <w:t xml:space="preserve"> local government elections.</w:t>
      </w:r>
    </w:p>
    <w:p w:rsidR="00B958B1" w:rsidRPr="00A90AEA" w:rsidRDefault="00B958B1" w:rsidP="009F3B54">
      <w:pPr>
        <w:pStyle w:val="Notes"/>
        <w:rPr>
          <w:color w:val="000000"/>
        </w:rPr>
      </w:pPr>
      <w:r w:rsidRPr="00A90AEA">
        <w:rPr>
          <w:color w:val="000000"/>
        </w:rPr>
        <w:t xml:space="preserve">(g) </w:t>
      </w:r>
      <w:r>
        <w:rPr>
          <w:color w:val="000000"/>
        </w:rPr>
        <w:tab/>
      </w:r>
      <w:r w:rsidRPr="00A90AEA">
        <w:rPr>
          <w:color w:val="000000"/>
        </w:rPr>
        <w:t xml:space="preserve">The </w:t>
      </w:r>
      <w:r w:rsidRPr="000622A3">
        <w:rPr>
          <w:i w:val="0"/>
          <w:color w:val="000000"/>
        </w:rPr>
        <w:t>2013</w:t>
      </w:r>
      <w:r w:rsidR="009F0F49">
        <w:rPr>
          <w:i w:val="0"/>
          <w:color w:val="000000"/>
        </w:rPr>
        <w:noBreakHyphen/>
      </w:r>
      <w:r w:rsidRPr="000622A3">
        <w:rPr>
          <w:i w:val="0"/>
          <w:color w:val="000000"/>
        </w:rPr>
        <w:t xml:space="preserve">14 Budget </w:t>
      </w:r>
      <w:r w:rsidRPr="00A90AEA">
        <w:rPr>
          <w:color w:val="000000"/>
        </w:rPr>
        <w:t>includes incremental funding for</w:t>
      </w:r>
      <w:r>
        <w:rPr>
          <w:color w:val="000000"/>
        </w:rPr>
        <w:t xml:space="preserve"> prison expansion initiatives.</w:t>
      </w:r>
    </w:p>
    <w:p w:rsidR="00B958B1" w:rsidRPr="00A90AEA" w:rsidRDefault="00B958B1" w:rsidP="009F3B54">
      <w:pPr>
        <w:pStyle w:val="Notes"/>
        <w:rPr>
          <w:color w:val="000000"/>
        </w:rPr>
      </w:pPr>
      <w:r w:rsidRPr="00A90AEA">
        <w:rPr>
          <w:color w:val="000000"/>
        </w:rPr>
        <w:t xml:space="preserve">(h) </w:t>
      </w:r>
      <w:r>
        <w:rPr>
          <w:color w:val="000000"/>
        </w:rPr>
        <w:tab/>
      </w:r>
      <w:r w:rsidRPr="00A90AEA">
        <w:rPr>
          <w:color w:val="000000"/>
        </w:rPr>
        <w:t xml:space="preserve">The </w:t>
      </w:r>
      <w:r w:rsidRPr="000622A3">
        <w:rPr>
          <w:i w:val="0"/>
          <w:color w:val="000000"/>
        </w:rPr>
        <w:t>2013</w:t>
      </w:r>
      <w:r w:rsidR="009F0F49">
        <w:rPr>
          <w:i w:val="0"/>
          <w:color w:val="000000"/>
        </w:rPr>
        <w:noBreakHyphen/>
      </w:r>
      <w:r w:rsidRPr="000622A3">
        <w:rPr>
          <w:i w:val="0"/>
          <w:color w:val="000000"/>
        </w:rPr>
        <w:t>14 Budget</w:t>
      </w:r>
      <w:r w:rsidRPr="00A90AEA">
        <w:rPr>
          <w:color w:val="000000"/>
        </w:rPr>
        <w:t xml:space="preserve"> includes funding </w:t>
      </w:r>
      <w:r>
        <w:rPr>
          <w:color w:val="000000"/>
        </w:rPr>
        <w:t xml:space="preserve">for </w:t>
      </w:r>
      <w:r w:rsidRPr="00A90AEA">
        <w:rPr>
          <w:color w:val="000000"/>
        </w:rPr>
        <w:t>the</w:t>
      </w:r>
      <w:r>
        <w:rPr>
          <w:color w:val="000000"/>
        </w:rPr>
        <w:t xml:space="preserve"> Fire Services Property Levy which was previously funded directly to fire agencies from the insurance industry.</w:t>
      </w:r>
    </w:p>
    <w:p w:rsidR="00B958B1" w:rsidRPr="00E36B8F" w:rsidRDefault="00B958B1" w:rsidP="009F3B54">
      <w:pPr>
        <w:pStyle w:val="Notes"/>
        <w:rPr>
          <w:color w:val="000000"/>
        </w:rPr>
      </w:pPr>
      <w:r w:rsidRPr="00A90AEA">
        <w:rPr>
          <w:color w:val="000000"/>
        </w:rPr>
        <w:t xml:space="preserve">(i) </w:t>
      </w:r>
      <w:r>
        <w:rPr>
          <w:color w:val="000000"/>
        </w:rPr>
        <w:tab/>
      </w:r>
      <w:r w:rsidRPr="00A90AEA">
        <w:rPr>
          <w:color w:val="000000"/>
        </w:rPr>
        <w:t>The 2013</w:t>
      </w:r>
      <w:r w:rsidR="009F0F49">
        <w:rPr>
          <w:color w:val="000000"/>
        </w:rPr>
        <w:noBreakHyphen/>
      </w:r>
      <w:r w:rsidRPr="00A90AEA">
        <w:rPr>
          <w:color w:val="000000"/>
        </w:rPr>
        <w:t xml:space="preserve">14 Budget includes new funding for the Fire Services Levy Monitor which is more than offset by </w:t>
      </w:r>
      <w:r>
        <w:rPr>
          <w:color w:val="000000"/>
        </w:rPr>
        <w:t>an adjustment of the timing of anticipated grant payments.</w:t>
      </w:r>
    </w:p>
    <w:p w:rsidR="00B958B1" w:rsidRPr="00A475B8" w:rsidRDefault="00B958B1" w:rsidP="009F3B54">
      <w:pPr>
        <w:pStyle w:val="Notes"/>
        <w:rPr>
          <w:color w:val="000000" w:themeColor="text1"/>
        </w:rPr>
      </w:pPr>
      <w:r w:rsidRPr="00A90AEA">
        <w:rPr>
          <w:color w:val="000000"/>
        </w:rPr>
        <w:t>(j)</w:t>
      </w:r>
      <w:r>
        <w:rPr>
          <w:color w:val="000000"/>
        </w:rPr>
        <w:tab/>
      </w:r>
      <w:r w:rsidRPr="00A90AEA">
        <w:rPr>
          <w:color w:val="000000"/>
        </w:rPr>
        <w:t xml:space="preserve">The </w:t>
      </w:r>
      <w:r w:rsidRPr="000622A3">
        <w:rPr>
          <w:i w:val="0"/>
          <w:color w:val="000000"/>
        </w:rPr>
        <w:t>2013</w:t>
      </w:r>
      <w:r w:rsidR="009F0F49">
        <w:rPr>
          <w:i w:val="0"/>
          <w:color w:val="000000"/>
        </w:rPr>
        <w:noBreakHyphen/>
      </w:r>
      <w:r w:rsidRPr="000622A3">
        <w:rPr>
          <w:i w:val="0"/>
          <w:color w:val="000000"/>
        </w:rPr>
        <w:t>14 Budget</w:t>
      </w:r>
      <w:r w:rsidRPr="00A90AEA">
        <w:rPr>
          <w:color w:val="000000"/>
        </w:rPr>
        <w:t xml:space="preserve"> includes incremental funding for Victorian </w:t>
      </w:r>
      <w:r>
        <w:rPr>
          <w:color w:val="000000"/>
        </w:rPr>
        <w:t>i</w:t>
      </w:r>
      <w:r w:rsidRPr="00A90AEA">
        <w:rPr>
          <w:color w:val="000000"/>
        </w:rPr>
        <w:t>ntegrity systems reforms which had a phased start up during 2012</w:t>
      </w:r>
      <w:r w:rsidR="009F0F49">
        <w:rPr>
          <w:color w:val="000000"/>
        </w:rPr>
        <w:noBreakHyphen/>
      </w:r>
      <w:r w:rsidRPr="00A90AEA">
        <w:rPr>
          <w:color w:val="000000"/>
        </w:rPr>
        <w:t>13.</w:t>
      </w:r>
      <w:r w:rsidRPr="00A90AEA">
        <w:rPr>
          <w:color w:val="000000"/>
        </w:rPr>
        <w:tab/>
      </w:r>
    </w:p>
    <w:p w:rsidR="00B958B1" w:rsidRDefault="00B958B1" w:rsidP="009F3B54">
      <w:pPr>
        <w:pStyle w:val="Tableheading"/>
        <w:rPr>
          <w:kern w:val="28"/>
          <w:sz w:val="26"/>
          <w:szCs w:val="22"/>
        </w:rPr>
      </w:pPr>
      <w:r>
        <w:rPr>
          <w:lang w:eastAsia="en-AU"/>
        </w:rPr>
        <w:br w:type="page"/>
      </w:r>
      <w:r w:rsidRPr="00237A45">
        <w:rPr>
          <w:kern w:val="28"/>
          <w:sz w:val="26"/>
          <w:szCs w:val="22"/>
        </w:rPr>
        <w:t>Amounts available</w:t>
      </w:r>
    </w:p>
    <w:p w:rsidR="00B958B1" w:rsidRPr="00237A45" w:rsidRDefault="00B958B1" w:rsidP="009F3B54">
      <w:pPr>
        <w:rPr>
          <w:lang w:eastAsia="en-AU"/>
        </w:rPr>
      </w:pPr>
      <w:r w:rsidRPr="00237A45">
        <w:rPr>
          <w:lang w:eastAsia="en-AU"/>
        </w:rPr>
        <w:t>The following tables detail the amounts available to the Department from Parliamentary authority and income generated through transactions.</w:t>
      </w:r>
    </w:p>
    <w:p w:rsidR="00B958B1" w:rsidRPr="00237A45" w:rsidRDefault="00B958B1" w:rsidP="009F3B54">
      <w:pPr>
        <w:rPr>
          <w:lang w:eastAsia="en-AU"/>
        </w:rPr>
      </w:pPr>
      <w:r w:rsidRPr="00237A45">
        <w:rPr>
          <w:lang w:eastAsia="en-AU"/>
        </w:rPr>
        <w:t>T</w:t>
      </w:r>
      <w:r>
        <w:rPr>
          <w:lang w:eastAsia="en-AU"/>
        </w:rPr>
        <w:t>able 2.15</w:t>
      </w:r>
      <w:r w:rsidRPr="00237A45">
        <w:rPr>
          <w:lang w:eastAsia="en-AU"/>
        </w:rPr>
        <w:t xml:space="preserve"> outlines the Department’s income</w:t>
      </w:r>
      <w:r>
        <w:rPr>
          <w:lang w:eastAsia="en-AU"/>
        </w:rPr>
        <w:t xml:space="preserve"> from transactions and Table 2.16</w:t>
      </w:r>
      <w:r w:rsidRPr="00237A45">
        <w:rPr>
          <w:lang w:eastAsia="en-AU"/>
        </w:rPr>
        <w:t xml:space="preserve"> summarises the sources of Parliamentary authority available to the Department to fund the provision of outputs, additions to the net asset base and payments made on behalf of the State.</w:t>
      </w:r>
    </w:p>
    <w:p w:rsidR="00B958B1" w:rsidRPr="00306423" w:rsidRDefault="00B958B1" w:rsidP="009F3B54">
      <w:pPr>
        <w:pStyle w:val="Tableheading"/>
        <w:rPr>
          <w:lang w:eastAsia="en-AU"/>
        </w:rPr>
      </w:pPr>
      <w:r>
        <w:rPr>
          <w:lang w:eastAsia="en-AU"/>
        </w:rPr>
        <w:t>Table 2.15:</w:t>
      </w:r>
      <w:r>
        <w:rPr>
          <w:lang w:eastAsia="en-AU"/>
        </w:rPr>
        <w:tab/>
      </w:r>
      <w:r w:rsidRPr="00306423">
        <w:rPr>
          <w:lang w:eastAsia="en-AU"/>
        </w:rPr>
        <w:t>Income from transactions</w:t>
      </w:r>
    </w:p>
    <w:p w:rsidR="00B958B1" w:rsidRPr="00F56C69" w:rsidRDefault="00B958B1" w:rsidP="009F3B54">
      <w:pPr>
        <w:pStyle w:val="million"/>
        <w:rPr>
          <w:rFonts w:ascii="Garamond" w:hAnsi="Garamond"/>
          <w:sz w:val="22"/>
        </w:rPr>
      </w:pPr>
      <w:r w:rsidRPr="00645EE7">
        <w:rPr>
          <w:lang w:eastAsia="en-AU"/>
        </w:rPr>
        <w:t>($</w:t>
      </w:r>
      <w:r>
        <w:rPr>
          <w:lang w:eastAsia="en-AU"/>
        </w:rPr>
        <w:t> million</w:t>
      </w:r>
      <w:r w:rsidRPr="009C79C6">
        <w:rPr>
          <w:lang w:eastAsia="en-AU"/>
        </w:rPr>
        <w:t>)</w:t>
      </w:r>
    </w:p>
    <w:tbl>
      <w:tblPr>
        <w:tblW w:w="7776" w:type="dxa"/>
        <w:tblInd w:w="29" w:type="dxa"/>
        <w:tblLayout w:type="fixed"/>
        <w:tblCellMar>
          <w:left w:w="43" w:type="dxa"/>
          <w:right w:w="43" w:type="dxa"/>
        </w:tblCellMar>
        <w:tblLook w:val="0000" w:firstRow="0" w:lastRow="0" w:firstColumn="0" w:lastColumn="0" w:noHBand="0" w:noVBand="0"/>
      </w:tblPr>
      <w:tblGrid>
        <w:gridCol w:w="4244"/>
        <w:gridCol w:w="883"/>
        <w:gridCol w:w="883"/>
        <w:gridCol w:w="883"/>
        <w:gridCol w:w="883"/>
      </w:tblGrid>
      <w:tr w:rsidR="00B958B1" w:rsidRPr="00F56C69" w:rsidTr="009F3B54">
        <w:tc>
          <w:tcPr>
            <w:tcW w:w="4244" w:type="dxa"/>
            <w:tcBorders>
              <w:top w:val="single" w:sz="6" w:space="0" w:color="auto"/>
              <w:left w:val="single" w:sz="6" w:space="0" w:color="auto"/>
              <w:bottom w:val="nil"/>
              <w:right w:val="nil"/>
            </w:tcBorders>
            <w:shd w:val="clear" w:color="auto" w:fill="000000"/>
          </w:tcPr>
          <w:p w:rsidR="00B958B1" w:rsidRPr="00F56C69" w:rsidRDefault="00B958B1" w:rsidP="009F3B54">
            <w:pPr>
              <w:pStyle w:val="Tabletext"/>
              <w:rPr>
                <w:lang w:eastAsia="en-AU"/>
              </w:rPr>
            </w:pPr>
            <w:r w:rsidRPr="00F56C69">
              <w:rPr>
                <w:lang w:eastAsia="en-AU"/>
              </w:rPr>
              <w:t xml:space="preserve"> </w:t>
            </w:r>
          </w:p>
        </w:tc>
        <w:tc>
          <w:tcPr>
            <w:tcW w:w="883" w:type="dxa"/>
            <w:tcBorders>
              <w:top w:val="single" w:sz="6" w:space="0" w:color="auto"/>
              <w:left w:val="nil"/>
              <w:bottom w:val="nil"/>
              <w:right w:val="nil"/>
            </w:tcBorders>
            <w:shd w:val="clear" w:color="auto" w:fill="000000"/>
          </w:tcPr>
          <w:p w:rsidR="00B958B1" w:rsidRPr="00F56C69" w:rsidRDefault="00B958B1" w:rsidP="009F3B54">
            <w:pPr>
              <w:pStyle w:val="Tabletextheading"/>
              <w:rPr>
                <w:lang w:eastAsia="en-AU"/>
              </w:rPr>
            </w:pPr>
            <w:r w:rsidRPr="00F56C69">
              <w:rPr>
                <w:lang w:eastAsia="en-AU"/>
              </w:rPr>
              <w:t>2011</w:t>
            </w:r>
            <w:r w:rsidR="009F0F49">
              <w:rPr>
                <w:lang w:eastAsia="en-AU"/>
              </w:rPr>
              <w:noBreakHyphen/>
            </w:r>
            <w:r w:rsidRPr="00F56C69">
              <w:rPr>
                <w:lang w:eastAsia="en-AU"/>
              </w:rPr>
              <w:t>12</w:t>
            </w:r>
          </w:p>
        </w:tc>
        <w:tc>
          <w:tcPr>
            <w:tcW w:w="883" w:type="dxa"/>
            <w:tcBorders>
              <w:top w:val="single" w:sz="6" w:space="0" w:color="auto"/>
              <w:left w:val="nil"/>
              <w:bottom w:val="nil"/>
              <w:right w:val="nil"/>
            </w:tcBorders>
            <w:shd w:val="clear" w:color="auto" w:fill="000000"/>
          </w:tcPr>
          <w:p w:rsidR="00B958B1" w:rsidRPr="00F56C69" w:rsidRDefault="00B958B1" w:rsidP="009F3B54">
            <w:pPr>
              <w:pStyle w:val="Tabletextheading"/>
              <w:rPr>
                <w:lang w:eastAsia="en-AU"/>
              </w:rPr>
            </w:pPr>
            <w:r w:rsidRPr="00F56C69">
              <w:rPr>
                <w:lang w:eastAsia="en-AU"/>
              </w:rPr>
              <w:t>2012</w:t>
            </w:r>
            <w:r w:rsidR="009F0F49">
              <w:rPr>
                <w:lang w:eastAsia="en-AU"/>
              </w:rPr>
              <w:noBreakHyphen/>
            </w:r>
            <w:r w:rsidRPr="00F56C69">
              <w:rPr>
                <w:lang w:eastAsia="en-AU"/>
              </w:rPr>
              <w:t>13</w:t>
            </w:r>
          </w:p>
        </w:tc>
        <w:tc>
          <w:tcPr>
            <w:tcW w:w="883" w:type="dxa"/>
            <w:tcBorders>
              <w:top w:val="single" w:sz="6" w:space="0" w:color="auto"/>
              <w:left w:val="nil"/>
              <w:bottom w:val="nil"/>
              <w:right w:val="nil"/>
            </w:tcBorders>
            <w:shd w:val="clear" w:color="auto" w:fill="000000"/>
          </w:tcPr>
          <w:p w:rsidR="00B958B1" w:rsidRPr="00F56C69" w:rsidRDefault="00B958B1" w:rsidP="009F3B54">
            <w:pPr>
              <w:pStyle w:val="Tabletextheading"/>
              <w:rPr>
                <w:lang w:eastAsia="en-AU"/>
              </w:rPr>
            </w:pPr>
            <w:r w:rsidRPr="00F56C69">
              <w:rPr>
                <w:lang w:eastAsia="en-AU"/>
              </w:rPr>
              <w:t>2012</w:t>
            </w:r>
            <w:r w:rsidR="009F0F49">
              <w:rPr>
                <w:lang w:eastAsia="en-AU"/>
              </w:rPr>
              <w:noBreakHyphen/>
            </w:r>
            <w:r w:rsidRPr="00F56C69">
              <w:rPr>
                <w:lang w:eastAsia="en-AU"/>
              </w:rPr>
              <w:t>13</w:t>
            </w:r>
          </w:p>
        </w:tc>
        <w:tc>
          <w:tcPr>
            <w:tcW w:w="883" w:type="dxa"/>
            <w:tcBorders>
              <w:top w:val="single" w:sz="6" w:space="0" w:color="auto"/>
              <w:left w:val="nil"/>
              <w:bottom w:val="nil"/>
              <w:right w:val="single" w:sz="6" w:space="0" w:color="auto"/>
            </w:tcBorders>
            <w:shd w:val="clear" w:color="auto" w:fill="000000"/>
          </w:tcPr>
          <w:p w:rsidR="00B958B1" w:rsidRPr="00F56C69" w:rsidRDefault="00B958B1" w:rsidP="009F3B54">
            <w:pPr>
              <w:pStyle w:val="Tabletextheading"/>
              <w:rPr>
                <w:lang w:eastAsia="en-AU"/>
              </w:rPr>
            </w:pPr>
            <w:r w:rsidRPr="00F56C69">
              <w:rPr>
                <w:lang w:eastAsia="en-AU"/>
              </w:rPr>
              <w:t>2013</w:t>
            </w:r>
            <w:r w:rsidR="009F0F49">
              <w:rPr>
                <w:lang w:eastAsia="en-AU"/>
              </w:rPr>
              <w:noBreakHyphen/>
            </w:r>
            <w:r w:rsidRPr="00F56C69">
              <w:rPr>
                <w:lang w:eastAsia="en-AU"/>
              </w:rPr>
              <w:t>14</w:t>
            </w:r>
          </w:p>
        </w:tc>
      </w:tr>
      <w:tr w:rsidR="00B958B1" w:rsidRPr="00F56C69" w:rsidTr="009F3B54">
        <w:tc>
          <w:tcPr>
            <w:tcW w:w="4244" w:type="dxa"/>
            <w:tcBorders>
              <w:top w:val="nil"/>
              <w:left w:val="single" w:sz="6" w:space="0" w:color="auto"/>
              <w:bottom w:val="single" w:sz="6" w:space="0" w:color="auto"/>
              <w:right w:val="nil"/>
            </w:tcBorders>
            <w:shd w:val="clear" w:color="auto" w:fill="000000"/>
          </w:tcPr>
          <w:p w:rsidR="00B958B1" w:rsidRPr="00F56C69" w:rsidRDefault="00B958B1" w:rsidP="009F3B54">
            <w:pPr>
              <w:pStyle w:val="Tabletext"/>
              <w:rPr>
                <w:lang w:eastAsia="en-AU"/>
              </w:rPr>
            </w:pPr>
            <w:r w:rsidRPr="00F56C69">
              <w:rPr>
                <w:lang w:eastAsia="en-AU"/>
              </w:rPr>
              <w:t xml:space="preserve"> </w:t>
            </w:r>
          </w:p>
        </w:tc>
        <w:tc>
          <w:tcPr>
            <w:tcW w:w="883" w:type="dxa"/>
            <w:tcBorders>
              <w:top w:val="nil"/>
              <w:left w:val="nil"/>
              <w:bottom w:val="single" w:sz="6" w:space="0" w:color="auto"/>
              <w:right w:val="nil"/>
            </w:tcBorders>
            <w:shd w:val="clear" w:color="auto" w:fill="000000"/>
          </w:tcPr>
          <w:p w:rsidR="00B958B1" w:rsidRPr="00F56C69" w:rsidRDefault="00B958B1" w:rsidP="009F3B54">
            <w:pPr>
              <w:pStyle w:val="Tabletextheading"/>
              <w:rPr>
                <w:lang w:eastAsia="en-AU"/>
              </w:rPr>
            </w:pPr>
            <w:r w:rsidRPr="00F56C69">
              <w:rPr>
                <w:lang w:eastAsia="en-AU"/>
              </w:rPr>
              <w:t>Actual</w:t>
            </w:r>
          </w:p>
        </w:tc>
        <w:tc>
          <w:tcPr>
            <w:tcW w:w="883" w:type="dxa"/>
            <w:tcBorders>
              <w:top w:val="nil"/>
              <w:left w:val="nil"/>
              <w:bottom w:val="single" w:sz="6" w:space="0" w:color="auto"/>
              <w:right w:val="nil"/>
            </w:tcBorders>
            <w:shd w:val="clear" w:color="auto" w:fill="000000"/>
          </w:tcPr>
          <w:p w:rsidR="00B958B1" w:rsidRPr="00F56C69" w:rsidRDefault="00B958B1" w:rsidP="009F3B54">
            <w:pPr>
              <w:pStyle w:val="Tabletextheading"/>
              <w:rPr>
                <w:lang w:eastAsia="en-AU"/>
              </w:rPr>
            </w:pPr>
            <w:r w:rsidRPr="00F56C69">
              <w:rPr>
                <w:lang w:eastAsia="en-AU"/>
              </w:rPr>
              <w:t xml:space="preserve">Budget </w:t>
            </w:r>
          </w:p>
        </w:tc>
        <w:tc>
          <w:tcPr>
            <w:tcW w:w="883" w:type="dxa"/>
            <w:tcBorders>
              <w:top w:val="nil"/>
              <w:left w:val="nil"/>
              <w:bottom w:val="single" w:sz="6" w:space="0" w:color="auto"/>
              <w:right w:val="nil"/>
            </w:tcBorders>
            <w:shd w:val="clear" w:color="auto" w:fill="000000"/>
          </w:tcPr>
          <w:p w:rsidR="00B958B1" w:rsidRPr="00F56C69" w:rsidRDefault="00B958B1" w:rsidP="009F3B54">
            <w:pPr>
              <w:pStyle w:val="Tabletextheading"/>
              <w:rPr>
                <w:lang w:eastAsia="en-AU"/>
              </w:rPr>
            </w:pPr>
            <w:r w:rsidRPr="00F56C69">
              <w:rPr>
                <w:lang w:eastAsia="en-AU"/>
              </w:rPr>
              <w:t>Revised</w:t>
            </w:r>
          </w:p>
        </w:tc>
        <w:tc>
          <w:tcPr>
            <w:tcW w:w="883" w:type="dxa"/>
            <w:tcBorders>
              <w:top w:val="nil"/>
              <w:left w:val="nil"/>
              <w:bottom w:val="single" w:sz="6" w:space="0" w:color="auto"/>
              <w:right w:val="single" w:sz="6" w:space="0" w:color="auto"/>
            </w:tcBorders>
            <w:shd w:val="clear" w:color="auto" w:fill="000000"/>
          </w:tcPr>
          <w:p w:rsidR="00B958B1" w:rsidRPr="00F56C69" w:rsidRDefault="00B958B1" w:rsidP="009F3B54">
            <w:pPr>
              <w:pStyle w:val="Tabletextheading"/>
              <w:rPr>
                <w:lang w:eastAsia="en-AU"/>
              </w:rPr>
            </w:pPr>
            <w:r w:rsidRPr="00F56C69">
              <w:rPr>
                <w:lang w:eastAsia="en-AU"/>
              </w:rPr>
              <w:t>Budget</w:t>
            </w:r>
          </w:p>
        </w:tc>
      </w:tr>
      <w:tr w:rsidR="00B958B1" w:rsidRPr="00F56C69" w:rsidTr="009F3B54">
        <w:tc>
          <w:tcPr>
            <w:tcW w:w="4244" w:type="dxa"/>
            <w:tcBorders>
              <w:top w:val="nil"/>
              <w:left w:val="nil"/>
              <w:bottom w:val="nil"/>
              <w:right w:val="nil"/>
            </w:tcBorders>
          </w:tcPr>
          <w:p w:rsidR="00B958B1" w:rsidRPr="00F56C69" w:rsidRDefault="00B958B1" w:rsidP="009F3B54">
            <w:pPr>
              <w:pStyle w:val="Tabletext"/>
              <w:rPr>
                <w:lang w:eastAsia="en-AU"/>
              </w:rPr>
            </w:pPr>
            <w:r w:rsidRPr="00F56C69">
              <w:rPr>
                <w:lang w:eastAsia="en-AU"/>
              </w:rPr>
              <w:t>Output appropriations</w:t>
            </w:r>
          </w:p>
        </w:tc>
        <w:tc>
          <w:tcPr>
            <w:tcW w:w="883" w:type="dxa"/>
            <w:tcBorders>
              <w:top w:val="nil"/>
              <w:left w:val="nil"/>
              <w:bottom w:val="nil"/>
              <w:right w:val="nil"/>
            </w:tcBorders>
          </w:tcPr>
          <w:p w:rsidR="00B958B1" w:rsidRPr="00F56C69" w:rsidRDefault="00B958B1" w:rsidP="009F3B54">
            <w:pPr>
              <w:pStyle w:val="TableofFigures"/>
              <w:rPr>
                <w:rFonts w:cs="Calibri"/>
                <w:lang w:eastAsia="en-AU"/>
              </w:rPr>
            </w:pPr>
            <w:r w:rsidRPr="00F56C69">
              <w:rPr>
                <w:lang w:eastAsia="en-AU"/>
              </w:rPr>
              <w:t xml:space="preserve">3 </w:t>
            </w:r>
            <w:r w:rsidRPr="00F56C69">
              <w:rPr>
                <w:rFonts w:cs="Calibri"/>
                <w:lang w:eastAsia="en-AU"/>
              </w:rPr>
              <w:t>977.4</w:t>
            </w:r>
          </w:p>
        </w:tc>
        <w:tc>
          <w:tcPr>
            <w:tcW w:w="883" w:type="dxa"/>
            <w:tcBorders>
              <w:top w:val="nil"/>
              <w:left w:val="nil"/>
              <w:bottom w:val="nil"/>
              <w:right w:val="nil"/>
            </w:tcBorders>
          </w:tcPr>
          <w:p w:rsidR="00B958B1" w:rsidRPr="00F56C69" w:rsidRDefault="00B958B1" w:rsidP="009F3B54">
            <w:pPr>
              <w:pStyle w:val="TableofFigures"/>
              <w:rPr>
                <w:rFonts w:cs="Calibri"/>
                <w:lang w:eastAsia="en-AU"/>
              </w:rPr>
            </w:pPr>
            <w:r w:rsidRPr="00F56C69">
              <w:rPr>
                <w:lang w:eastAsia="en-AU"/>
              </w:rPr>
              <w:t xml:space="preserve">4 </w:t>
            </w:r>
            <w:r w:rsidRPr="00F56C69">
              <w:rPr>
                <w:rFonts w:cs="Calibri"/>
                <w:lang w:eastAsia="en-AU"/>
              </w:rPr>
              <w:t>259.9</w:t>
            </w:r>
          </w:p>
        </w:tc>
        <w:tc>
          <w:tcPr>
            <w:tcW w:w="883" w:type="dxa"/>
            <w:tcBorders>
              <w:top w:val="nil"/>
              <w:left w:val="nil"/>
              <w:bottom w:val="nil"/>
              <w:right w:val="nil"/>
            </w:tcBorders>
          </w:tcPr>
          <w:p w:rsidR="00B958B1" w:rsidRPr="00F56C69" w:rsidRDefault="00B958B1" w:rsidP="009F3B54">
            <w:pPr>
              <w:pStyle w:val="TableofFigures"/>
              <w:rPr>
                <w:rFonts w:cs="Calibri"/>
                <w:lang w:eastAsia="en-AU"/>
              </w:rPr>
            </w:pPr>
            <w:r w:rsidRPr="00F56C69">
              <w:rPr>
                <w:lang w:eastAsia="en-AU"/>
              </w:rPr>
              <w:t xml:space="preserve">4 </w:t>
            </w:r>
            <w:r w:rsidRPr="00F56C69">
              <w:rPr>
                <w:rFonts w:cs="Calibri"/>
                <w:lang w:eastAsia="en-AU"/>
              </w:rPr>
              <w:t>212.0</w:t>
            </w:r>
          </w:p>
        </w:tc>
        <w:tc>
          <w:tcPr>
            <w:tcW w:w="883" w:type="dxa"/>
            <w:tcBorders>
              <w:top w:val="nil"/>
              <w:left w:val="nil"/>
              <w:bottom w:val="nil"/>
              <w:right w:val="nil"/>
            </w:tcBorders>
          </w:tcPr>
          <w:p w:rsidR="00B958B1" w:rsidRPr="00F56C69" w:rsidRDefault="00B958B1" w:rsidP="009F3B54">
            <w:pPr>
              <w:pStyle w:val="TableofFigures"/>
              <w:rPr>
                <w:rFonts w:cs="Calibri"/>
                <w:lang w:eastAsia="en-AU"/>
              </w:rPr>
            </w:pPr>
            <w:r w:rsidRPr="00F56C69">
              <w:rPr>
                <w:lang w:eastAsia="en-AU"/>
              </w:rPr>
              <w:t xml:space="preserve">5 </w:t>
            </w:r>
            <w:r w:rsidRPr="00F56C69">
              <w:rPr>
                <w:rFonts w:cs="Calibri"/>
                <w:lang w:eastAsia="en-AU"/>
              </w:rPr>
              <w:t>114.8</w:t>
            </w:r>
          </w:p>
        </w:tc>
      </w:tr>
      <w:tr w:rsidR="00B958B1" w:rsidRPr="00F56C69" w:rsidTr="009F3B54">
        <w:tc>
          <w:tcPr>
            <w:tcW w:w="4244" w:type="dxa"/>
            <w:tcBorders>
              <w:top w:val="nil"/>
              <w:left w:val="nil"/>
              <w:bottom w:val="nil"/>
              <w:right w:val="nil"/>
            </w:tcBorders>
          </w:tcPr>
          <w:p w:rsidR="00B958B1" w:rsidRPr="00F56C69" w:rsidRDefault="00B958B1" w:rsidP="009F3B54">
            <w:pPr>
              <w:pStyle w:val="Tabletext"/>
              <w:rPr>
                <w:lang w:eastAsia="en-AU"/>
              </w:rPr>
            </w:pPr>
            <w:r w:rsidRPr="00F56C69">
              <w:rPr>
                <w:lang w:eastAsia="en-AU"/>
              </w:rPr>
              <w:t>Special appropriations</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 xml:space="preserve"> 115.1</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 xml:space="preserve"> 145.4</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 xml:space="preserve"> 153.6</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 xml:space="preserve"> 142.9</w:t>
            </w:r>
          </w:p>
        </w:tc>
      </w:tr>
      <w:tr w:rsidR="00B958B1" w:rsidRPr="00F56C69" w:rsidTr="009F3B54">
        <w:tc>
          <w:tcPr>
            <w:tcW w:w="4244" w:type="dxa"/>
            <w:tcBorders>
              <w:top w:val="nil"/>
              <w:left w:val="nil"/>
              <w:bottom w:val="nil"/>
              <w:right w:val="nil"/>
            </w:tcBorders>
          </w:tcPr>
          <w:p w:rsidR="00B958B1" w:rsidRPr="00F56C69" w:rsidRDefault="00B958B1" w:rsidP="009F3B54">
            <w:pPr>
              <w:pStyle w:val="Tabletext"/>
              <w:rPr>
                <w:lang w:eastAsia="en-AU"/>
              </w:rPr>
            </w:pPr>
            <w:r w:rsidRPr="00F56C69">
              <w:rPr>
                <w:lang w:eastAsia="en-AU"/>
              </w:rPr>
              <w:t>Interest</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 xml:space="preserve"> 92.3</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 xml:space="preserve"> 103.3</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 xml:space="preserve"> 66.9</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 xml:space="preserve"> 69.1</w:t>
            </w:r>
          </w:p>
        </w:tc>
      </w:tr>
      <w:tr w:rsidR="00B958B1" w:rsidRPr="00F56C69" w:rsidTr="009F3B54">
        <w:tc>
          <w:tcPr>
            <w:tcW w:w="4244" w:type="dxa"/>
            <w:tcBorders>
              <w:top w:val="nil"/>
              <w:left w:val="nil"/>
              <w:bottom w:val="nil"/>
              <w:right w:val="nil"/>
            </w:tcBorders>
          </w:tcPr>
          <w:p w:rsidR="00B958B1" w:rsidRPr="00F56C69" w:rsidRDefault="00B958B1" w:rsidP="009F3B54">
            <w:pPr>
              <w:pStyle w:val="Tabletext"/>
              <w:rPr>
                <w:lang w:eastAsia="en-AU"/>
              </w:rPr>
            </w:pPr>
            <w:r w:rsidRPr="00F56C69">
              <w:rPr>
                <w:lang w:eastAsia="en-AU"/>
              </w:rPr>
              <w:t>Sale of goods and services</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 xml:space="preserve"> 14.2</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 xml:space="preserve"> 16.4</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 xml:space="preserve"> 15.9</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 xml:space="preserve"> 15.4</w:t>
            </w:r>
          </w:p>
        </w:tc>
      </w:tr>
      <w:tr w:rsidR="00B958B1" w:rsidRPr="00F56C69" w:rsidTr="009F3B54">
        <w:tc>
          <w:tcPr>
            <w:tcW w:w="4244" w:type="dxa"/>
            <w:tcBorders>
              <w:top w:val="nil"/>
              <w:left w:val="nil"/>
              <w:bottom w:val="nil"/>
              <w:right w:val="nil"/>
            </w:tcBorders>
          </w:tcPr>
          <w:p w:rsidR="00B958B1" w:rsidRPr="00F56C69" w:rsidRDefault="00B958B1" w:rsidP="009F3B54">
            <w:pPr>
              <w:pStyle w:val="Tabletext"/>
              <w:rPr>
                <w:lang w:eastAsia="en-AU"/>
              </w:rPr>
            </w:pPr>
            <w:r w:rsidRPr="00F56C69">
              <w:rPr>
                <w:lang w:eastAsia="en-AU"/>
              </w:rPr>
              <w:t>Grants</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 xml:space="preserve"> 63.3</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 xml:space="preserve"> 47.5</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 xml:space="preserve"> 49.2</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 xml:space="preserve"> 51.6</w:t>
            </w:r>
          </w:p>
        </w:tc>
      </w:tr>
      <w:tr w:rsidR="00B958B1" w:rsidRPr="00F56C69" w:rsidTr="009F3B54">
        <w:tc>
          <w:tcPr>
            <w:tcW w:w="4244" w:type="dxa"/>
            <w:tcBorders>
              <w:top w:val="nil"/>
              <w:left w:val="nil"/>
              <w:bottom w:val="nil"/>
              <w:right w:val="nil"/>
            </w:tcBorders>
          </w:tcPr>
          <w:p w:rsidR="00B958B1" w:rsidRPr="00F56C69" w:rsidRDefault="00B958B1" w:rsidP="009F3B54">
            <w:pPr>
              <w:pStyle w:val="Tabletext"/>
              <w:rPr>
                <w:lang w:eastAsia="en-AU"/>
              </w:rPr>
            </w:pPr>
            <w:r w:rsidRPr="00F56C69">
              <w:rPr>
                <w:lang w:eastAsia="en-AU"/>
              </w:rPr>
              <w:t>Fair value of assets and services received free of charge or for nominal consideration</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 xml:space="preserve"> 0.2</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 xml:space="preserve"> 0.5</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w:t>
            </w:r>
          </w:p>
        </w:tc>
      </w:tr>
      <w:tr w:rsidR="00B958B1" w:rsidRPr="00F56C69" w:rsidTr="009F3B54">
        <w:tc>
          <w:tcPr>
            <w:tcW w:w="4244" w:type="dxa"/>
            <w:tcBorders>
              <w:top w:val="nil"/>
              <w:left w:val="nil"/>
              <w:bottom w:val="nil"/>
              <w:right w:val="nil"/>
            </w:tcBorders>
          </w:tcPr>
          <w:p w:rsidR="00B958B1" w:rsidRPr="00F56C69" w:rsidRDefault="00B958B1" w:rsidP="009F3B54">
            <w:pPr>
              <w:pStyle w:val="Tabletext"/>
              <w:rPr>
                <w:lang w:eastAsia="en-AU"/>
              </w:rPr>
            </w:pPr>
            <w:r w:rsidRPr="00F56C69">
              <w:rPr>
                <w:lang w:eastAsia="en-AU"/>
              </w:rPr>
              <w:t>Other income</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 xml:space="preserve"> 23.0</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 xml:space="preserve"> 12.2</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 xml:space="preserve"> 15.5</w:t>
            </w:r>
          </w:p>
        </w:tc>
        <w:tc>
          <w:tcPr>
            <w:tcW w:w="883" w:type="dxa"/>
            <w:tcBorders>
              <w:top w:val="nil"/>
              <w:left w:val="nil"/>
              <w:bottom w:val="nil"/>
              <w:right w:val="nil"/>
            </w:tcBorders>
          </w:tcPr>
          <w:p w:rsidR="00B958B1" w:rsidRPr="00F56C69" w:rsidRDefault="00B958B1" w:rsidP="009F3B54">
            <w:pPr>
              <w:pStyle w:val="TableofFigures"/>
              <w:rPr>
                <w:lang w:eastAsia="en-AU"/>
              </w:rPr>
            </w:pPr>
            <w:r w:rsidRPr="00F56C69">
              <w:rPr>
                <w:lang w:eastAsia="en-AU"/>
              </w:rPr>
              <w:t xml:space="preserve"> 11.5</w:t>
            </w:r>
          </w:p>
        </w:tc>
      </w:tr>
      <w:tr w:rsidR="00B958B1" w:rsidRPr="00F56C69" w:rsidTr="009F3B54">
        <w:tc>
          <w:tcPr>
            <w:tcW w:w="4244" w:type="dxa"/>
            <w:tcBorders>
              <w:top w:val="single" w:sz="6" w:space="0" w:color="auto"/>
              <w:left w:val="nil"/>
              <w:bottom w:val="single" w:sz="12" w:space="0" w:color="auto"/>
              <w:right w:val="nil"/>
            </w:tcBorders>
          </w:tcPr>
          <w:p w:rsidR="00B958B1" w:rsidRPr="00F56C69" w:rsidRDefault="00B958B1" w:rsidP="009F3B54">
            <w:pPr>
              <w:pStyle w:val="Tabletext"/>
              <w:rPr>
                <w:b/>
                <w:bCs/>
                <w:lang w:eastAsia="en-AU"/>
              </w:rPr>
            </w:pPr>
            <w:r w:rsidRPr="00F56C69">
              <w:rPr>
                <w:b/>
                <w:bCs/>
                <w:lang w:eastAsia="en-AU"/>
              </w:rPr>
              <w:t>Total income from transactions</w:t>
            </w:r>
          </w:p>
        </w:tc>
        <w:tc>
          <w:tcPr>
            <w:tcW w:w="883" w:type="dxa"/>
            <w:tcBorders>
              <w:top w:val="single" w:sz="6" w:space="0" w:color="auto"/>
              <w:left w:val="nil"/>
              <w:bottom w:val="single" w:sz="12" w:space="0" w:color="auto"/>
              <w:right w:val="nil"/>
            </w:tcBorders>
          </w:tcPr>
          <w:p w:rsidR="00B958B1" w:rsidRPr="00F56C69" w:rsidRDefault="00B958B1" w:rsidP="009F3B54">
            <w:pPr>
              <w:pStyle w:val="TableofFigures"/>
              <w:rPr>
                <w:rFonts w:cs="Calibri"/>
                <w:b/>
                <w:bCs/>
                <w:lang w:eastAsia="en-AU"/>
              </w:rPr>
            </w:pPr>
            <w:r w:rsidRPr="00F56C69">
              <w:rPr>
                <w:b/>
                <w:bCs/>
                <w:lang w:eastAsia="en-AU"/>
              </w:rPr>
              <w:t xml:space="preserve">4 </w:t>
            </w:r>
            <w:r w:rsidRPr="00F56C69">
              <w:rPr>
                <w:rFonts w:cs="Calibri"/>
                <w:b/>
                <w:bCs/>
                <w:lang w:eastAsia="en-AU"/>
              </w:rPr>
              <w:t>285.6</w:t>
            </w:r>
          </w:p>
        </w:tc>
        <w:tc>
          <w:tcPr>
            <w:tcW w:w="883" w:type="dxa"/>
            <w:tcBorders>
              <w:top w:val="single" w:sz="6" w:space="0" w:color="auto"/>
              <w:left w:val="nil"/>
              <w:bottom w:val="single" w:sz="12" w:space="0" w:color="auto"/>
              <w:right w:val="nil"/>
            </w:tcBorders>
          </w:tcPr>
          <w:p w:rsidR="00B958B1" w:rsidRPr="00F56C69" w:rsidRDefault="00B958B1" w:rsidP="009F3B54">
            <w:pPr>
              <w:pStyle w:val="TableofFigures"/>
              <w:rPr>
                <w:rFonts w:cs="Calibri"/>
                <w:b/>
                <w:bCs/>
                <w:lang w:eastAsia="en-AU"/>
              </w:rPr>
            </w:pPr>
            <w:r w:rsidRPr="00F56C69">
              <w:rPr>
                <w:b/>
                <w:bCs/>
                <w:lang w:eastAsia="en-AU"/>
              </w:rPr>
              <w:t xml:space="preserve">4 </w:t>
            </w:r>
            <w:r w:rsidRPr="00F56C69">
              <w:rPr>
                <w:rFonts w:cs="Calibri"/>
                <w:b/>
                <w:bCs/>
                <w:lang w:eastAsia="en-AU"/>
              </w:rPr>
              <w:t>584.7</w:t>
            </w:r>
          </w:p>
        </w:tc>
        <w:tc>
          <w:tcPr>
            <w:tcW w:w="883" w:type="dxa"/>
            <w:tcBorders>
              <w:top w:val="single" w:sz="6" w:space="0" w:color="auto"/>
              <w:left w:val="nil"/>
              <w:bottom w:val="single" w:sz="12" w:space="0" w:color="auto"/>
              <w:right w:val="nil"/>
            </w:tcBorders>
          </w:tcPr>
          <w:p w:rsidR="00B958B1" w:rsidRPr="00F56C69" w:rsidRDefault="00B958B1" w:rsidP="009F3B54">
            <w:pPr>
              <w:pStyle w:val="TableofFigures"/>
              <w:rPr>
                <w:rFonts w:cs="Calibri"/>
                <w:b/>
                <w:bCs/>
                <w:lang w:eastAsia="en-AU"/>
              </w:rPr>
            </w:pPr>
            <w:r w:rsidRPr="00F56C69">
              <w:rPr>
                <w:b/>
                <w:bCs/>
                <w:lang w:eastAsia="en-AU"/>
              </w:rPr>
              <w:t xml:space="preserve">4 </w:t>
            </w:r>
            <w:r w:rsidRPr="00F56C69">
              <w:rPr>
                <w:rFonts w:cs="Calibri"/>
                <w:b/>
                <w:bCs/>
                <w:lang w:eastAsia="en-AU"/>
              </w:rPr>
              <w:t>513.6</w:t>
            </w:r>
          </w:p>
        </w:tc>
        <w:tc>
          <w:tcPr>
            <w:tcW w:w="883" w:type="dxa"/>
            <w:tcBorders>
              <w:top w:val="single" w:sz="6" w:space="0" w:color="auto"/>
              <w:left w:val="nil"/>
              <w:bottom w:val="single" w:sz="12" w:space="0" w:color="auto"/>
              <w:right w:val="nil"/>
            </w:tcBorders>
          </w:tcPr>
          <w:p w:rsidR="00B958B1" w:rsidRPr="00F56C69" w:rsidRDefault="00B958B1" w:rsidP="009F3B54">
            <w:pPr>
              <w:pStyle w:val="TableofFigures"/>
              <w:rPr>
                <w:rFonts w:cs="Calibri"/>
                <w:b/>
                <w:bCs/>
                <w:lang w:eastAsia="en-AU"/>
              </w:rPr>
            </w:pPr>
            <w:r w:rsidRPr="00F56C69">
              <w:rPr>
                <w:b/>
                <w:bCs/>
                <w:lang w:eastAsia="en-AU"/>
              </w:rPr>
              <w:t xml:space="preserve">5 </w:t>
            </w:r>
            <w:r w:rsidRPr="00F56C69">
              <w:rPr>
                <w:rFonts w:cs="Calibri"/>
                <w:b/>
                <w:bCs/>
                <w:lang w:eastAsia="en-AU"/>
              </w:rPr>
              <w:t>405.4</w:t>
            </w:r>
          </w:p>
        </w:tc>
      </w:tr>
    </w:tbl>
    <w:p w:rsidR="00B958B1" w:rsidRPr="009C79C6" w:rsidRDefault="00B958B1" w:rsidP="009F3B54">
      <w:pPr>
        <w:pStyle w:val="Source"/>
        <w:rPr>
          <w:lang w:eastAsia="en-AU"/>
        </w:rPr>
      </w:pPr>
      <w:r w:rsidRPr="009C79C6">
        <w:rPr>
          <w:lang w:eastAsia="en-AU"/>
        </w:rPr>
        <w:t xml:space="preserve">Sources: Departments of Justice and Treasury and Finance </w:t>
      </w:r>
    </w:p>
    <w:p w:rsidR="00B958B1" w:rsidRPr="009C79C6" w:rsidRDefault="00B958B1" w:rsidP="009F3B54">
      <w:pPr>
        <w:pStyle w:val="Source"/>
        <w:rPr>
          <w:lang w:eastAsia="en-AU"/>
        </w:rPr>
      </w:pPr>
      <w:r>
        <w:fldChar w:fldCharType="begin"/>
      </w:r>
      <w:r>
        <w:instrText xml:space="preserve"> XE "</w:instrText>
      </w:r>
      <w:r w:rsidRPr="00F8668A">
        <w:instrText>Department of Justice:</w:instrText>
      </w:r>
      <w:r>
        <w:instrText xml:space="preserve">Income from transactions" </w:instrText>
      </w:r>
      <w:r>
        <w:fldChar w:fldCharType="end"/>
      </w:r>
    </w:p>
    <w:p w:rsidR="00B958B1" w:rsidRPr="009C79C6" w:rsidRDefault="00B958B1" w:rsidP="009F3B54">
      <w:pPr>
        <w:pStyle w:val="Tableheading"/>
        <w:rPr>
          <w:lang w:eastAsia="en-AU"/>
        </w:rPr>
      </w:pPr>
      <w:r w:rsidRPr="009C79C6">
        <w:rPr>
          <w:lang w:eastAsia="en-AU"/>
        </w:rPr>
        <w:t xml:space="preserve">Table </w:t>
      </w:r>
      <w:r>
        <w:rPr>
          <w:lang w:eastAsia="en-AU"/>
        </w:rPr>
        <w:t>2.16</w:t>
      </w:r>
      <w:r w:rsidRPr="009C79C6">
        <w:rPr>
          <w:lang w:eastAsia="en-AU"/>
        </w:rPr>
        <w:t xml:space="preserve">: </w:t>
      </w:r>
      <w:r w:rsidRPr="009C79C6">
        <w:rPr>
          <w:lang w:eastAsia="en-AU"/>
        </w:rPr>
        <w:tab/>
        <w:t>Parliamentary authority for resources</w:t>
      </w:r>
    </w:p>
    <w:p w:rsidR="00B958B1" w:rsidRPr="00F56C69" w:rsidRDefault="00B958B1" w:rsidP="009F3B54">
      <w:pPr>
        <w:pStyle w:val="million"/>
        <w:rPr>
          <w:rFonts w:ascii="Garamond" w:hAnsi="Garamond"/>
          <w:sz w:val="22"/>
        </w:rPr>
      </w:pPr>
      <w:r w:rsidRPr="009C79C6">
        <w:rPr>
          <w:lang w:eastAsia="en-AU"/>
        </w:rPr>
        <w:t>($</w:t>
      </w:r>
      <w:r>
        <w:rPr>
          <w:lang w:eastAsia="en-AU"/>
        </w:rPr>
        <w:t> million</w:t>
      </w:r>
      <w:r w:rsidRPr="009C79C6">
        <w:rPr>
          <w:lang w:eastAsia="en-AU"/>
        </w:rPr>
        <w:t>)</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B958B1" w:rsidRPr="00F56C69" w:rsidTr="009F3B54">
        <w:tc>
          <w:tcPr>
            <w:tcW w:w="4665" w:type="dxa"/>
            <w:tcBorders>
              <w:top w:val="single" w:sz="6" w:space="0" w:color="auto"/>
              <w:left w:val="single" w:sz="6" w:space="0" w:color="auto"/>
              <w:bottom w:val="nil"/>
              <w:right w:val="nil"/>
            </w:tcBorders>
            <w:shd w:val="clear" w:color="auto" w:fill="000000"/>
          </w:tcPr>
          <w:p w:rsidR="00B958B1" w:rsidRPr="00F56C69" w:rsidRDefault="00B958B1" w:rsidP="009F3B54">
            <w:pPr>
              <w:pStyle w:val="Tabletext"/>
              <w:rPr>
                <w:lang w:eastAsia="en-AU"/>
              </w:rPr>
            </w:pPr>
            <w:r w:rsidRPr="00F56C69">
              <w:rPr>
                <w:lang w:eastAsia="en-AU"/>
              </w:rPr>
              <w:t xml:space="preserve"> </w:t>
            </w:r>
          </w:p>
        </w:tc>
        <w:tc>
          <w:tcPr>
            <w:tcW w:w="1036" w:type="dxa"/>
            <w:tcBorders>
              <w:top w:val="single" w:sz="6" w:space="0" w:color="auto"/>
              <w:left w:val="nil"/>
              <w:bottom w:val="nil"/>
              <w:right w:val="nil"/>
            </w:tcBorders>
            <w:shd w:val="clear" w:color="auto" w:fill="000000"/>
          </w:tcPr>
          <w:p w:rsidR="00B958B1" w:rsidRPr="00F56C69" w:rsidRDefault="00B958B1" w:rsidP="009F3B54">
            <w:pPr>
              <w:pStyle w:val="Tabletextheading"/>
              <w:rPr>
                <w:lang w:eastAsia="en-AU"/>
              </w:rPr>
            </w:pPr>
            <w:r w:rsidRPr="00F56C69">
              <w:rPr>
                <w:lang w:eastAsia="en-AU"/>
              </w:rPr>
              <w:t>2012</w:t>
            </w:r>
            <w:r w:rsidR="009F0F49">
              <w:rPr>
                <w:lang w:eastAsia="en-AU"/>
              </w:rPr>
              <w:noBreakHyphen/>
            </w:r>
            <w:r w:rsidRPr="00F56C69">
              <w:rPr>
                <w:lang w:eastAsia="en-AU"/>
              </w:rPr>
              <w:t>13</w:t>
            </w:r>
          </w:p>
        </w:tc>
        <w:tc>
          <w:tcPr>
            <w:tcW w:w="1036" w:type="dxa"/>
            <w:tcBorders>
              <w:top w:val="single" w:sz="6" w:space="0" w:color="auto"/>
              <w:left w:val="nil"/>
              <w:bottom w:val="nil"/>
              <w:right w:val="nil"/>
            </w:tcBorders>
            <w:shd w:val="clear" w:color="auto" w:fill="000000"/>
          </w:tcPr>
          <w:p w:rsidR="00B958B1" w:rsidRPr="00F56C69" w:rsidRDefault="00B958B1" w:rsidP="009F3B54">
            <w:pPr>
              <w:pStyle w:val="Tabletextheading"/>
              <w:rPr>
                <w:lang w:eastAsia="en-AU"/>
              </w:rPr>
            </w:pPr>
            <w:r w:rsidRPr="00F56C69">
              <w:rPr>
                <w:lang w:eastAsia="en-AU"/>
              </w:rPr>
              <w:t>2012</w:t>
            </w:r>
            <w:r w:rsidR="009F0F49">
              <w:rPr>
                <w:lang w:eastAsia="en-AU"/>
              </w:rPr>
              <w:noBreakHyphen/>
            </w:r>
            <w:r w:rsidRPr="00F56C69">
              <w:rPr>
                <w:lang w:eastAsia="en-AU"/>
              </w:rPr>
              <w:t>13</w:t>
            </w:r>
          </w:p>
        </w:tc>
        <w:tc>
          <w:tcPr>
            <w:tcW w:w="1036" w:type="dxa"/>
            <w:tcBorders>
              <w:top w:val="single" w:sz="6" w:space="0" w:color="auto"/>
              <w:left w:val="nil"/>
              <w:bottom w:val="nil"/>
              <w:right w:val="single" w:sz="6" w:space="0" w:color="auto"/>
            </w:tcBorders>
            <w:shd w:val="clear" w:color="auto" w:fill="000000"/>
          </w:tcPr>
          <w:p w:rsidR="00B958B1" w:rsidRPr="00F56C69" w:rsidRDefault="00B958B1" w:rsidP="009F3B54">
            <w:pPr>
              <w:pStyle w:val="Tabletextheading"/>
              <w:rPr>
                <w:lang w:eastAsia="en-AU"/>
              </w:rPr>
            </w:pPr>
            <w:r w:rsidRPr="00F56C69">
              <w:rPr>
                <w:lang w:eastAsia="en-AU"/>
              </w:rPr>
              <w:t>2013</w:t>
            </w:r>
            <w:r w:rsidR="009F0F49">
              <w:rPr>
                <w:lang w:eastAsia="en-AU"/>
              </w:rPr>
              <w:noBreakHyphen/>
            </w:r>
            <w:r w:rsidRPr="00F56C69">
              <w:rPr>
                <w:lang w:eastAsia="en-AU"/>
              </w:rPr>
              <w:t>14</w:t>
            </w:r>
          </w:p>
        </w:tc>
      </w:tr>
      <w:tr w:rsidR="00B958B1" w:rsidRPr="00F56C69" w:rsidTr="009F3B54">
        <w:tc>
          <w:tcPr>
            <w:tcW w:w="4665" w:type="dxa"/>
            <w:tcBorders>
              <w:top w:val="nil"/>
              <w:left w:val="single" w:sz="6" w:space="0" w:color="auto"/>
              <w:bottom w:val="single" w:sz="6" w:space="0" w:color="auto"/>
              <w:right w:val="nil"/>
            </w:tcBorders>
            <w:shd w:val="clear" w:color="auto" w:fill="000000"/>
          </w:tcPr>
          <w:p w:rsidR="00B958B1" w:rsidRPr="00F56C69" w:rsidRDefault="00B958B1" w:rsidP="009F3B54">
            <w:pPr>
              <w:pStyle w:val="Tabletext"/>
              <w:rPr>
                <w:lang w:eastAsia="en-AU"/>
              </w:rPr>
            </w:pPr>
            <w:r w:rsidRPr="00F56C69">
              <w:rPr>
                <w:lang w:eastAsia="en-AU"/>
              </w:rPr>
              <w:t xml:space="preserve"> </w:t>
            </w:r>
          </w:p>
        </w:tc>
        <w:tc>
          <w:tcPr>
            <w:tcW w:w="1036" w:type="dxa"/>
            <w:tcBorders>
              <w:top w:val="nil"/>
              <w:left w:val="nil"/>
              <w:bottom w:val="single" w:sz="6" w:space="0" w:color="auto"/>
              <w:right w:val="nil"/>
            </w:tcBorders>
            <w:shd w:val="clear" w:color="auto" w:fill="000000"/>
          </w:tcPr>
          <w:p w:rsidR="00B958B1" w:rsidRPr="00F56C69" w:rsidRDefault="00B958B1" w:rsidP="009F3B54">
            <w:pPr>
              <w:pStyle w:val="Tabletextheading"/>
              <w:rPr>
                <w:lang w:eastAsia="en-AU"/>
              </w:rPr>
            </w:pPr>
            <w:r w:rsidRPr="00F56C69">
              <w:rPr>
                <w:lang w:eastAsia="en-AU"/>
              </w:rPr>
              <w:t>Budget</w:t>
            </w:r>
          </w:p>
        </w:tc>
        <w:tc>
          <w:tcPr>
            <w:tcW w:w="1036" w:type="dxa"/>
            <w:tcBorders>
              <w:top w:val="nil"/>
              <w:left w:val="nil"/>
              <w:bottom w:val="single" w:sz="6" w:space="0" w:color="auto"/>
              <w:right w:val="nil"/>
            </w:tcBorders>
            <w:shd w:val="clear" w:color="auto" w:fill="000000"/>
          </w:tcPr>
          <w:p w:rsidR="00B958B1" w:rsidRPr="00F56C69" w:rsidRDefault="00B958B1" w:rsidP="009F3B54">
            <w:pPr>
              <w:pStyle w:val="Tabletextheading"/>
              <w:rPr>
                <w:lang w:eastAsia="en-AU"/>
              </w:rPr>
            </w:pPr>
            <w:r w:rsidRPr="00F56C69">
              <w:rPr>
                <w:lang w:eastAsia="en-AU"/>
              </w:rPr>
              <w:t>Revised</w:t>
            </w:r>
          </w:p>
        </w:tc>
        <w:tc>
          <w:tcPr>
            <w:tcW w:w="1036" w:type="dxa"/>
            <w:tcBorders>
              <w:top w:val="nil"/>
              <w:left w:val="nil"/>
              <w:bottom w:val="single" w:sz="6" w:space="0" w:color="auto"/>
              <w:right w:val="single" w:sz="6" w:space="0" w:color="auto"/>
            </w:tcBorders>
            <w:shd w:val="clear" w:color="auto" w:fill="000000"/>
          </w:tcPr>
          <w:p w:rsidR="00B958B1" w:rsidRPr="00F56C69" w:rsidRDefault="00B958B1" w:rsidP="009F3B54">
            <w:pPr>
              <w:pStyle w:val="Tabletextheading"/>
              <w:rPr>
                <w:lang w:eastAsia="en-AU"/>
              </w:rPr>
            </w:pPr>
            <w:r w:rsidRPr="00F56C69">
              <w:rPr>
                <w:lang w:eastAsia="en-AU"/>
              </w:rPr>
              <w:t>Budget</w:t>
            </w:r>
          </w:p>
        </w:tc>
      </w:tr>
      <w:tr w:rsidR="00B958B1" w:rsidRPr="00F56C69" w:rsidTr="009F3B54">
        <w:tc>
          <w:tcPr>
            <w:tcW w:w="4665" w:type="dxa"/>
            <w:tcBorders>
              <w:top w:val="nil"/>
              <w:left w:val="nil"/>
              <w:bottom w:val="nil"/>
              <w:right w:val="nil"/>
            </w:tcBorders>
            <w:shd w:val="solid" w:color="FFFFFF" w:fill="auto"/>
          </w:tcPr>
          <w:p w:rsidR="00B958B1" w:rsidRPr="00F56C69" w:rsidRDefault="00B958B1" w:rsidP="009F3B54">
            <w:pPr>
              <w:pStyle w:val="Tabletext"/>
              <w:rPr>
                <w:b/>
                <w:bCs/>
                <w:lang w:eastAsia="en-AU"/>
              </w:rPr>
            </w:pPr>
            <w:r w:rsidRPr="00F56C69">
              <w:rPr>
                <w:b/>
                <w:bCs/>
                <w:lang w:eastAsia="en-AU"/>
              </w:rPr>
              <w:t>Annual appropriations</w:t>
            </w:r>
          </w:p>
        </w:tc>
        <w:tc>
          <w:tcPr>
            <w:tcW w:w="1036" w:type="dxa"/>
            <w:tcBorders>
              <w:top w:val="nil"/>
              <w:left w:val="nil"/>
              <w:bottom w:val="nil"/>
              <w:right w:val="nil"/>
            </w:tcBorders>
            <w:shd w:val="solid" w:color="FFFFFF" w:fill="auto"/>
          </w:tcPr>
          <w:p w:rsidR="00B958B1" w:rsidRPr="00F56C69" w:rsidRDefault="00B958B1" w:rsidP="009F3B54">
            <w:pPr>
              <w:pStyle w:val="TableofFigures"/>
              <w:rPr>
                <w:rFonts w:cs="Calibri"/>
                <w:b/>
                <w:bCs/>
                <w:lang w:eastAsia="en-AU"/>
              </w:rPr>
            </w:pPr>
            <w:r w:rsidRPr="00F56C69">
              <w:rPr>
                <w:b/>
                <w:bCs/>
                <w:lang w:eastAsia="en-AU"/>
              </w:rPr>
              <w:t xml:space="preserve">4 </w:t>
            </w:r>
            <w:r w:rsidRPr="00F56C69">
              <w:rPr>
                <w:rFonts w:cs="Calibri"/>
                <w:b/>
                <w:bCs/>
                <w:lang w:eastAsia="en-AU"/>
              </w:rPr>
              <w:t>280.7</w:t>
            </w:r>
          </w:p>
        </w:tc>
        <w:tc>
          <w:tcPr>
            <w:tcW w:w="1036" w:type="dxa"/>
            <w:tcBorders>
              <w:top w:val="nil"/>
              <w:left w:val="nil"/>
              <w:bottom w:val="nil"/>
              <w:right w:val="nil"/>
            </w:tcBorders>
            <w:shd w:val="solid" w:color="FFFFFF" w:fill="auto"/>
          </w:tcPr>
          <w:p w:rsidR="00B958B1" w:rsidRPr="00F56C69" w:rsidRDefault="00B958B1" w:rsidP="009F3B54">
            <w:pPr>
              <w:pStyle w:val="TableofFigures"/>
              <w:rPr>
                <w:rFonts w:cs="Calibri"/>
                <w:b/>
                <w:bCs/>
                <w:lang w:eastAsia="en-AU"/>
              </w:rPr>
            </w:pPr>
            <w:r w:rsidRPr="00F56C69">
              <w:rPr>
                <w:b/>
                <w:bCs/>
                <w:lang w:eastAsia="en-AU"/>
              </w:rPr>
              <w:t xml:space="preserve">4 </w:t>
            </w:r>
            <w:r w:rsidRPr="00F56C69">
              <w:rPr>
                <w:rFonts w:cs="Calibri"/>
                <w:b/>
                <w:bCs/>
                <w:lang w:eastAsia="en-AU"/>
              </w:rPr>
              <w:t>051.1</w:t>
            </w:r>
          </w:p>
        </w:tc>
        <w:tc>
          <w:tcPr>
            <w:tcW w:w="1036" w:type="dxa"/>
            <w:tcBorders>
              <w:top w:val="nil"/>
              <w:left w:val="nil"/>
              <w:bottom w:val="nil"/>
              <w:right w:val="nil"/>
            </w:tcBorders>
            <w:shd w:val="solid" w:color="FFFFFF" w:fill="auto"/>
          </w:tcPr>
          <w:p w:rsidR="00B958B1" w:rsidRPr="00F56C69" w:rsidRDefault="00B958B1" w:rsidP="009F3B54">
            <w:pPr>
              <w:pStyle w:val="TableofFigures"/>
              <w:rPr>
                <w:rFonts w:cs="Calibri"/>
                <w:b/>
                <w:bCs/>
                <w:lang w:eastAsia="en-AU"/>
              </w:rPr>
            </w:pPr>
            <w:r w:rsidRPr="00F56C69">
              <w:rPr>
                <w:b/>
                <w:bCs/>
                <w:lang w:eastAsia="en-AU"/>
              </w:rPr>
              <w:t xml:space="preserve">5 </w:t>
            </w:r>
            <w:r w:rsidRPr="00F56C69">
              <w:rPr>
                <w:rFonts w:cs="Calibri"/>
                <w:b/>
                <w:bCs/>
                <w:lang w:eastAsia="en-AU"/>
              </w:rPr>
              <w:t>555.7</w:t>
            </w:r>
          </w:p>
        </w:tc>
      </w:tr>
      <w:tr w:rsidR="00B958B1" w:rsidRPr="00F56C69" w:rsidTr="009F3B54">
        <w:tc>
          <w:tcPr>
            <w:tcW w:w="4665" w:type="dxa"/>
            <w:tcBorders>
              <w:top w:val="nil"/>
              <w:left w:val="nil"/>
              <w:bottom w:val="nil"/>
              <w:right w:val="nil"/>
            </w:tcBorders>
            <w:shd w:val="solid" w:color="FFFFFF" w:fill="auto"/>
          </w:tcPr>
          <w:p w:rsidR="00B958B1" w:rsidRPr="00F56C69" w:rsidRDefault="00B958B1" w:rsidP="009F3B54">
            <w:pPr>
              <w:pStyle w:val="Tabletext"/>
              <w:rPr>
                <w:lang w:eastAsia="en-AU"/>
              </w:rPr>
            </w:pPr>
            <w:r w:rsidRPr="00F56C69">
              <w:rPr>
                <w:lang w:eastAsia="en-AU"/>
              </w:rPr>
              <w:t xml:space="preserve"> Provision of outputs</w:t>
            </w:r>
          </w:p>
        </w:tc>
        <w:tc>
          <w:tcPr>
            <w:tcW w:w="1036" w:type="dxa"/>
            <w:tcBorders>
              <w:top w:val="nil"/>
              <w:left w:val="nil"/>
              <w:bottom w:val="nil"/>
              <w:right w:val="nil"/>
            </w:tcBorders>
            <w:shd w:val="solid" w:color="FFFFFF" w:fill="auto"/>
          </w:tcPr>
          <w:p w:rsidR="00B958B1" w:rsidRPr="00F56C69" w:rsidRDefault="00B958B1" w:rsidP="009F3B54">
            <w:pPr>
              <w:pStyle w:val="TableofFigures"/>
              <w:rPr>
                <w:rFonts w:cs="Calibri"/>
                <w:lang w:eastAsia="en-AU"/>
              </w:rPr>
            </w:pPr>
            <w:r w:rsidRPr="00F56C69">
              <w:rPr>
                <w:lang w:eastAsia="en-AU"/>
              </w:rPr>
              <w:t xml:space="preserve">3 </w:t>
            </w:r>
            <w:r w:rsidRPr="00F56C69">
              <w:rPr>
                <w:rFonts w:cs="Calibri"/>
                <w:lang w:eastAsia="en-AU"/>
              </w:rPr>
              <w:t>983.7</w:t>
            </w:r>
          </w:p>
        </w:tc>
        <w:tc>
          <w:tcPr>
            <w:tcW w:w="1036" w:type="dxa"/>
            <w:tcBorders>
              <w:top w:val="nil"/>
              <w:left w:val="nil"/>
              <w:bottom w:val="nil"/>
              <w:right w:val="nil"/>
            </w:tcBorders>
            <w:shd w:val="solid" w:color="FFFFFF" w:fill="auto"/>
          </w:tcPr>
          <w:p w:rsidR="00B958B1" w:rsidRPr="00F56C69" w:rsidRDefault="00B958B1" w:rsidP="009F3B54">
            <w:pPr>
              <w:pStyle w:val="TableofFigures"/>
              <w:rPr>
                <w:rFonts w:cs="Calibri"/>
                <w:lang w:eastAsia="en-AU"/>
              </w:rPr>
            </w:pPr>
            <w:r w:rsidRPr="00F56C69">
              <w:rPr>
                <w:lang w:eastAsia="en-AU"/>
              </w:rPr>
              <w:t xml:space="preserve">3 </w:t>
            </w:r>
            <w:r w:rsidRPr="00F56C69">
              <w:rPr>
                <w:rFonts w:cs="Calibri"/>
                <w:lang w:eastAsia="en-AU"/>
              </w:rPr>
              <w:t>876.8</w:t>
            </w:r>
          </w:p>
        </w:tc>
        <w:tc>
          <w:tcPr>
            <w:tcW w:w="1036" w:type="dxa"/>
            <w:tcBorders>
              <w:top w:val="nil"/>
              <w:left w:val="nil"/>
              <w:bottom w:val="nil"/>
              <w:right w:val="nil"/>
            </w:tcBorders>
            <w:shd w:val="solid" w:color="FFFFFF" w:fill="auto"/>
          </w:tcPr>
          <w:p w:rsidR="00B958B1" w:rsidRPr="00F56C69" w:rsidRDefault="00B958B1" w:rsidP="009F3B54">
            <w:pPr>
              <w:pStyle w:val="TableofFigures"/>
              <w:rPr>
                <w:rFonts w:cs="Calibri"/>
                <w:lang w:eastAsia="en-AU"/>
              </w:rPr>
            </w:pPr>
            <w:r w:rsidRPr="00F56C69">
              <w:rPr>
                <w:lang w:eastAsia="en-AU"/>
              </w:rPr>
              <w:t xml:space="preserve">4 </w:t>
            </w:r>
            <w:r w:rsidRPr="00F56C69">
              <w:rPr>
                <w:rFonts w:cs="Calibri"/>
                <w:lang w:eastAsia="en-AU"/>
              </w:rPr>
              <w:t>792.4</w:t>
            </w:r>
          </w:p>
        </w:tc>
      </w:tr>
      <w:tr w:rsidR="00B958B1" w:rsidRPr="00F56C69" w:rsidTr="009F3B54">
        <w:tc>
          <w:tcPr>
            <w:tcW w:w="4665" w:type="dxa"/>
            <w:tcBorders>
              <w:top w:val="nil"/>
              <w:left w:val="nil"/>
              <w:bottom w:val="nil"/>
              <w:right w:val="nil"/>
            </w:tcBorders>
            <w:shd w:val="solid" w:color="FFFFFF" w:fill="auto"/>
          </w:tcPr>
          <w:p w:rsidR="00B958B1" w:rsidRPr="00F56C69" w:rsidRDefault="00B958B1" w:rsidP="009F3B54">
            <w:pPr>
              <w:pStyle w:val="Tabletext"/>
              <w:rPr>
                <w:lang w:eastAsia="en-AU"/>
              </w:rPr>
            </w:pPr>
            <w:r w:rsidRPr="00F56C69">
              <w:rPr>
                <w:lang w:eastAsia="en-AU"/>
              </w:rPr>
              <w:t xml:space="preserve"> Additions to the net asset base</w:t>
            </w:r>
          </w:p>
        </w:tc>
        <w:tc>
          <w:tcPr>
            <w:tcW w:w="1036" w:type="dxa"/>
            <w:tcBorders>
              <w:top w:val="nil"/>
              <w:left w:val="nil"/>
              <w:bottom w:val="nil"/>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242.5</w:t>
            </w:r>
          </w:p>
        </w:tc>
        <w:tc>
          <w:tcPr>
            <w:tcW w:w="1036" w:type="dxa"/>
            <w:tcBorders>
              <w:top w:val="nil"/>
              <w:left w:val="nil"/>
              <w:bottom w:val="nil"/>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119.9</w:t>
            </w:r>
          </w:p>
        </w:tc>
        <w:tc>
          <w:tcPr>
            <w:tcW w:w="1036" w:type="dxa"/>
            <w:tcBorders>
              <w:top w:val="nil"/>
              <w:left w:val="nil"/>
              <w:bottom w:val="nil"/>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708.9</w:t>
            </w:r>
          </w:p>
        </w:tc>
      </w:tr>
      <w:tr w:rsidR="00B958B1" w:rsidRPr="00F56C69" w:rsidTr="009F3B54">
        <w:tc>
          <w:tcPr>
            <w:tcW w:w="4665" w:type="dxa"/>
            <w:tcBorders>
              <w:top w:val="nil"/>
              <w:left w:val="nil"/>
              <w:bottom w:val="nil"/>
              <w:right w:val="nil"/>
            </w:tcBorders>
            <w:shd w:val="solid" w:color="FFFFFF" w:fill="auto"/>
          </w:tcPr>
          <w:p w:rsidR="00B958B1" w:rsidRPr="00F56C69" w:rsidRDefault="00B958B1" w:rsidP="009F3B54">
            <w:pPr>
              <w:pStyle w:val="Tabletext"/>
              <w:rPr>
                <w:lang w:eastAsia="en-AU"/>
              </w:rPr>
            </w:pPr>
            <w:r w:rsidRPr="00F56C69">
              <w:rPr>
                <w:lang w:eastAsia="en-AU"/>
              </w:rPr>
              <w:t xml:space="preserve"> Payments made on behalf of the State</w:t>
            </w:r>
          </w:p>
        </w:tc>
        <w:tc>
          <w:tcPr>
            <w:tcW w:w="1036" w:type="dxa"/>
            <w:tcBorders>
              <w:top w:val="nil"/>
              <w:left w:val="nil"/>
              <w:bottom w:val="nil"/>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54.5</w:t>
            </w:r>
          </w:p>
        </w:tc>
        <w:tc>
          <w:tcPr>
            <w:tcW w:w="1036" w:type="dxa"/>
            <w:tcBorders>
              <w:top w:val="nil"/>
              <w:left w:val="nil"/>
              <w:bottom w:val="nil"/>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54.5</w:t>
            </w:r>
          </w:p>
        </w:tc>
        <w:tc>
          <w:tcPr>
            <w:tcW w:w="1036" w:type="dxa"/>
            <w:tcBorders>
              <w:top w:val="nil"/>
              <w:left w:val="nil"/>
              <w:bottom w:val="nil"/>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54.5</w:t>
            </w:r>
          </w:p>
        </w:tc>
      </w:tr>
      <w:tr w:rsidR="00B958B1" w:rsidRPr="00F56C69" w:rsidTr="009F3B54">
        <w:tc>
          <w:tcPr>
            <w:tcW w:w="4665" w:type="dxa"/>
            <w:tcBorders>
              <w:top w:val="nil"/>
              <w:left w:val="nil"/>
              <w:bottom w:val="nil"/>
              <w:right w:val="nil"/>
            </w:tcBorders>
            <w:shd w:val="solid" w:color="FFFFFF" w:fill="auto"/>
          </w:tcPr>
          <w:p w:rsidR="00B958B1" w:rsidRPr="00F56C69" w:rsidRDefault="00B958B1" w:rsidP="009F3B54">
            <w:pPr>
              <w:pStyle w:val="Tabletext"/>
              <w:rPr>
                <w:lang w:eastAsia="en-AU"/>
              </w:rPr>
            </w:pPr>
            <w:r w:rsidRPr="00F56C69">
              <w:rPr>
                <w:lang w:eastAsia="en-AU"/>
              </w:rPr>
              <w:t>Receipts credited to appropriations</w:t>
            </w:r>
          </w:p>
        </w:tc>
        <w:tc>
          <w:tcPr>
            <w:tcW w:w="1036" w:type="dxa"/>
            <w:tcBorders>
              <w:top w:val="nil"/>
              <w:left w:val="nil"/>
              <w:bottom w:val="nil"/>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201.5</w:t>
            </w:r>
          </w:p>
        </w:tc>
        <w:tc>
          <w:tcPr>
            <w:tcW w:w="1036" w:type="dxa"/>
            <w:tcBorders>
              <w:top w:val="nil"/>
              <w:left w:val="nil"/>
              <w:bottom w:val="nil"/>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233.4</w:t>
            </w:r>
          </w:p>
        </w:tc>
        <w:tc>
          <w:tcPr>
            <w:tcW w:w="1036" w:type="dxa"/>
            <w:tcBorders>
              <w:top w:val="nil"/>
              <w:left w:val="nil"/>
              <w:bottom w:val="nil"/>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252.8</w:t>
            </w:r>
          </w:p>
        </w:tc>
      </w:tr>
      <w:tr w:rsidR="00B958B1" w:rsidRPr="00F56C69" w:rsidTr="009F3B54">
        <w:tc>
          <w:tcPr>
            <w:tcW w:w="4665" w:type="dxa"/>
            <w:tcBorders>
              <w:top w:val="nil"/>
              <w:left w:val="nil"/>
              <w:bottom w:val="nil"/>
              <w:right w:val="nil"/>
            </w:tcBorders>
            <w:shd w:val="solid" w:color="FFFFFF" w:fill="auto"/>
          </w:tcPr>
          <w:p w:rsidR="00B958B1" w:rsidRPr="00F56C69" w:rsidRDefault="00B958B1" w:rsidP="009F3B54">
            <w:pPr>
              <w:pStyle w:val="Tabletext"/>
              <w:rPr>
                <w:b/>
                <w:bCs/>
                <w:lang w:eastAsia="en-AU"/>
              </w:rPr>
            </w:pPr>
            <w:r w:rsidRPr="00F56C69">
              <w:rPr>
                <w:b/>
                <w:bCs/>
                <w:lang w:eastAsia="en-AU"/>
              </w:rPr>
              <w:t>Unapplied previous years appropriation</w:t>
            </w:r>
          </w:p>
        </w:tc>
        <w:tc>
          <w:tcPr>
            <w:tcW w:w="1036" w:type="dxa"/>
            <w:tcBorders>
              <w:top w:val="nil"/>
              <w:left w:val="nil"/>
              <w:bottom w:val="nil"/>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93.8</w:t>
            </w:r>
          </w:p>
        </w:tc>
        <w:tc>
          <w:tcPr>
            <w:tcW w:w="1036" w:type="dxa"/>
            <w:tcBorders>
              <w:top w:val="nil"/>
              <w:left w:val="nil"/>
              <w:bottom w:val="nil"/>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119.3</w:t>
            </w:r>
          </w:p>
        </w:tc>
        <w:tc>
          <w:tcPr>
            <w:tcW w:w="1036" w:type="dxa"/>
            <w:tcBorders>
              <w:top w:val="nil"/>
              <w:left w:val="nil"/>
              <w:bottom w:val="nil"/>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122.7</w:t>
            </w:r>
          </w:p>
        </w:tc>
      </w:tr>
      <w:tr w:rsidR="00B958B1" w:rsidRPr="00F56C69" w:rsidTr="009F3B54">
        <w:tc>
          <w:tcPr>
            <w:tcW w:w="4665" w:type="dxa"/>
            <w:tcBorders>
              <w:top w:val="nil"/>
              <w:left w:val="nil"/>
              <w:bottom w:val="nil"/>
              <w:right w:val="nil"/>
            </w:tcBorders>
            <w:shd w:val="solid" w:color="FFFFFF" w:fill="auto"/>
          </w:tcPr>
          <w:p w:rsidR="00B958B1" w:rsidRPr="00F56C69" w:rsidRDefault="00B958B1" w:rsidP="009F3B54">
            <w:pPr>
              <w:pStyle w:val="Tabletext"/>
              <w:rPr>
                <w:lang w:eastAsia="en-AU"/>
              </w:rPr>
            </w:pPr>
            <w:r w:rsidRPr="00F56C69">
              <w:rPr>
                <w:lang w:eastAsia="en-AU"/>
              </w:rPr>
              <w:t xml:space="preserve"> Provision of outputs</w:t>
            </w:r>
          </w:p>
        </w:tc>
        <w:tc>
          <w:tcPr>
            <w:tcW w:w="1036" w:type="dxa"/>
            <w:tcBorders>
              <w:top w:val="nil"/>
              <w:left w:val="nil"/>
              <w:bottom w:val="nil"/>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75.3</w:t>
            </w:r>
          </w:p>
        </w:tc>
        <w:tc>
          <w:tcPr>
            <w:tcW w:w="1036" w:type="dxa"/>
            <w:tcBorders>
              <w:top w:val="nil"/>
              <w:left w:val="nil"/>
              <w:bottom w:val="nil"/>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68.0</w:t>
            </w:r>
          </w:p>
        </w:tc>
        <w:tc>
          <w:tcPr>
            <w:tcW w:w="1036" w:type="dxa"/>
            <w:tcBorders>
              <w:top w:val="nil"/>
              <w:left w:val="nil"/>
              <w:bottom w:val="nil"/>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70.4</w:t>
            </w:r>
          </w:p>
        </w:tc>
      </w:tr>
      <w:tr w:rsidR="00B958B1" w:rsidRPr="00F56C69" w:rsidTr="009F3B54">
        <w:tc>
          <w:tcPr>
            <w:tcW w:w="4665" w:type="dxa"/>
            <w:tcBorders>
              <w:top w:val="nil"/>
              <w:left w:val="nil"/>
              <w:bottom w:val="nil"/>
              <w:right w:val="nil"/>
            </w:tcBorders>
            <w:shd w:val="solid" w:color="FFFFFF" w:fill="auto"/>
          </w:tcPr>
          <w:p w:rsidR="00B958B1" w:rsidRPr="00F56C69" w:rsidRDefault="00B958B1" w:rsidP="009F3B54">
            <w:pPr>
              <w:pStyle w:val="Tabletext"/>
              <w:rPr>
                <w:lang w:eastAsia="en-AU"/>
              </w:rPr>
            </w:pPr>
            <w:r w:rsidRPr="00F56C69">
              <w:rPr>
                <w:lang w:eastAsia="en-AU"/>
              </w:rPr>
              <w:t xml:space="preserve"> Additions to the net asset base</w:t>
            </w:r>
          </w:p>
        </w:tc>
        <w:tc>
          <w:tcPr>
            <w:tcW w:w="1036" w:type="dxa"/>
            <w:tcBorders>
              <w:top w:val="nil"/>
              <w:left w:val="nil"/>
              <w:bottom w:val="nil"/>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18.5</w:t>
            </w:r>
          </w:p>
        </w:tc>
        <w:tc>
          <w:tcPr>
            <w:tcW w:w="1036" w:type="dxa"/>
            <w:tcBorders>
              <w:top w:val="nil"/>
              <w:left w:val="nil"/>
              <w:bottom w:val="nil"/>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51.3</w:t>
            </w:r>
          </w:p>
        </w:tc>
        <w:tc>
          <w:tcPr>
            <w:tcW w:w="1036" w:type="dxa"/>
            <w:tcBorders>
              <w:top w:val="nil"/>
              <w:left w:val="nil"/>
              <w:bottom w:val="nil"/>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52.3</w:t>
            </w:r>
          </w:p>
        </w:tc>
      </w:tr>
      <w:tr w:rsidR="00B958B1" w:rsidRPr="00F56C69" w:rsidTr="009F3B54">
        <w:tc>
          <w:tcPr>
            <w:tcW w:w="4665" w:type="dxa"/>
            <w:tcBorders>
              <w:top w:val="nil"/>
              <w:left w:val="nil"/>
              <w:bottom w:val="single" w:sz="6" w:space="0" w:color="auto"/>
              <w:right w:val="nil"/>
            </w:tcBorders>
            <w:shd w:val="solid" w:color="FFFFFF" w:fill="auto"/>
          </w:tcPr>
          <w:p w:rsidR="00B958B1" w:rsidRPr="00F56C69" w:rsidRDefault="00B958B1" w:rsidP="009F3B54">
            <w:pPr>
              <w:pStyle w:val="Tabletext"/>
              <w:rPr>
                <w:lang w:eastAsia="en-AU"/>
              </w:rPr>
            </w:pPr>
            <w:r w:rsidRPr="00F56C69">
              <w:rPr>
                <w:lang w:eastAsia="en-AU"/>
              </w:rPr>
              <w:t>Accumulated surplus – previously applied appropriation</w:t>
            </w:r>
          </w:p>
        </w:tc>
        <w:tc>
          <w:tcPr>
            <w:tcW w:w="1036" w:type="dxa"/>
            <w:tcBorders>
              <w:top w:val="nil"/>
              <w:left w:val="nil"/>
              <w:bottom w:val="single" w:sz="6" w:space="0" w:color="auto"/>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7.3</w:t>
            </w:r>
          </w:p>
        </w:tc>
        <w:tc>
          <w:tcPr>
            <w:tcW w:w="1036" w:type="dxa"/>
            <w:tcBorders>
              <w:top w:val="nil"/>
              <w:left w:val="nil"/>
              <w:bottom w:val="single" w:sz="6" w:space="0" w:color="auto"/>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22.0</w:t>
            </w:r>
          </w:p>
        </w:tc>
        <w:tc>
          <w:tcPr>
            <w:tcW w:w="1036" w:type="dxa"/>
            <w:tcBorders>
              <w:top w:val="nil"/>
              <w:left w:val="nil"/>
              <w:bottom w:val="single" w:sz="6" w:space="0" w:color="auto"/>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6.6</w:t>
            </w:r>
          </w:p>
        </w:tc>
      </w:tr>
      <w:tr w:rsidR="00B958B1" w:rsidRPr="00F56C69" w:rsidTr="009F3B54">
        <w:tc>
          <w:tcPr>
            <w:tcW w:w="4665" w:type="dxa"/>
            <w:tcBorders>
              <w:top w:val="nil"/>
              <w:left w:val="nil"/>
              <w:bottom w:val="nil"/>
              <w:right w:val="nil"/>
            </w:tcBorders>
            <w:shd w:val="solid" w:color="FFFFFF" w:fill="auto"/>
          </w:tcPr>
          <w:p w:rsidR="00B958B1" w:rsidRPr="00F56C69" w:rsidRDefault="00B958B1" w:rsidP="009F3B54">
            <w:pPr>
              <w:pStyle w:val="Tabletext"/>
              <w:rPr>
                <w:b/>
                <w:bCs/>
                <w:lang w:eastAsia="en-AU"/>
              </w:rPr>
            </w:pPr>
            <w:r w:rsidRPr="00F56C69">
              <w:rPr>
                <w:b/>
                <w:bCs/>
                <w:lang w:eastAsia="en-AU"/>
              </w:rPr>
              <w:t>Gross annual appropriation</w:t>
            </w:r>
          </w:p>
        </w:tc>
        <w:tc>
          <w:tcPr>
            <w:tcW w:w="1036" w:type="dxa"/>
            <w:tcBorders>
              <w:top w:val="nil"/>
              <w:left w:val="nil"/>
              <w:bottom w:val="nil"/>
              <w:right w:val="nil"/>
            </w:tcBorders>
            <w:shd w:val="solid" w:color="FFFFFF" w:fill="auto"/>
          </w:tcPr>
          <w:p w:rsidR="00B958B1" w:rsidRPr="00F56C69" w:rsidRDefault="00B958B1" w:rsidP="009F3B54">
            <w:pPr>
              <w:pStyle w:val="TableofFigures"/>
              <w:rPr>
                <w:rFonts w:cs="Calibri"/>
                <w:b/>
                <w:bCs/>
                <w:lang w:eastAsia="en-AU"/>
              </w:rPr>
            </w:pPr>
            <w:r w:rsidRPr="00F56C69">
              <w:rPr>
                <w:b/>
                <w:bCs/>
                <w:lang w:eastAsia="en-AU"/>
              </w:rPr>
              <w:t xml:space="preserve">4 </w:t>
            </w:r>
            <w:r w:rsidRPr="00F56C69">
              <w:rPr>
                <w:rFonts w:cs="Calibri"/>
                <w:b/>
                <w:bCs/>
                <w:lang w:eastAsia="en-AU"/>
              </w:rPr>
              <w:t>583.2</w:t>
            </w:r>
          </w:p>
        </w:tc>
        <w:tc>
          <w:tcPr>
            <w:tcW w:w="1036" w:type="dxa"/>
            <w:tcBorders>
              <w:top w:val="nil"/>
              <w:left w:val="nil"/>
              <w:bottom w:val="nil"/>
              <w:right w:val="nil"/>
            </w:tcBorders>
            <w:shd w:val="solid" w:color="FFFFFF" w:fill="auto"/>
          </w:tcPr>
          <w:p w:rsidR="00B958B1" w:rsidRPr="00F56C69" w:rsidRDefault="00B958B1" w:rsidP="009F3B54">
            <w:pPr>
              <w:pStyle w:val="TableofFigures"/>
              <w:rPr>
                <w:rFonts w:cs="Calibri"/>
                <w:b/>
                <w:bCs/>
                <w:lang w:eastAsia="en-AU"/>
              </w:rPr>
            </w:pPr>
            <w:r w:rsidRPr="00F56C69">
              <w:rPr>
                <w:b/>
                <w:bCs/>
                <w:lang w:eastAsia="en-AU"/>
              </w:rPr>
              <w:t xml:space="preserve">4 </w:t>
            </w:r>
            <w:r w:rsidRPr="00F56C69">
              <w:rPr>
                <w:rFonts w:cs="Calibri"/>
                <w:b/>
                <w:bCs/>
                <w:lang w:eastAsia="en-AU"/>
              </w:rPr>
              <w:t>425.8</w:t>
            </w:r>
          </w:p>
        </w:tc>
        <w:tc>
          <w:tcPr>
            <w:tcW w:w="1036" w:type="dxa"/>
            <w:tcBorders>
              <w:top w:val="nil"/>
              <w:left w:val="nil"/>
              <w:bottom w:val="nil"/>
              <w:right w:val="nil"/>
            </w:tcBorders>
            <w:shd w:val="solid" w:color="FFFFFF" w:fill="auto"/>
          </w:tcPr>
          <w:p w:rsidR="00B958B1" w:rsidRPr="00F56C69" w:rsidRDefault="00B958B1" w:rsidP="009F3B54">
            <w:pPr>
              <w:pStyle w:val="TableofFigures"/>
              <w:rPr>
                <w:rFonts w:cs="Calibri"/>
                <w:b/>
                <w:bCs/>
                <w:lang w:eastAsia="en-AU"/>
              </w:rPr>
            </w:pPr>
            <w:r w:rsidRPr="00F56C69">
              <w:rPr>
                <w:b/>
                <w:bCs/>
                <w:lang w:eastAsia="en-AU"/>
              </w:rPr>
              <w:t xml:space="preserve">5 </w:t>
            </w:r>
            <w:r w:rsidRPr="00F56C69">
              <w:rPr>
                <w:rFonts w:cs="Calibri"/>
                <w:b/>
                <w:bCs/>
                <w:lang w:eastAsia="en-AU"/>
              </w:rPr>
              <w:t>937.8</w:t>
            </w:r>
          </w:p>
        </w:tc>
      </w:tr>
      <w:tr w:rsidR="00B958B1" w:rsidRPr="00F56C69" w:rsidTr="009F3B54">
        <w:tc>
          <w:tcPr>
            <w:tcW w:w="4665" w:type="dxa"/>
            <w:tcBorders>
              <w:top w:val="nil"/>
              <w:left w:val="nil"/>
              <w:bottom w:val="nil"/>
              <w:right w:val="nil"/>
            </w:tcBorders>
            <w:shd w:val="solid" w:color="FFFFFF" w:fill="auto"/>
          </w:tcPr>
          <w:p w:rsidR="00B958B1" w:rsidRPr="00F56C69" w:rsidRDefault="00B958B1" w:rsidP="009F3B54">
            <w:pPr>
              <w:pStyle w:val="Tabletext"/>
              <w:rPr>
                <w:lang w:eastAsia="en-AU"/>
              </w:rPr>
            </w:pPr>
            <w:r w:rsidRPr="00F56C69">
              <w:rPr>
                <w:lang w:eastAsia="en-AU"/>
              </w:rPr>
              <w:t>Special appropriations</w:t>
            </w:r>
          </w:p>
        </w:tc>
        <w:tc>
          <w:tcPr>
            <w:tcW w:w="1036" w:type="dxa"/>
            <w:tcBorders>
              <w:top w:val="nil"/>
              <w:left w:val="nil"/>
              <w:bottom w:val="nil"/>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206.7</w:t>
            </w:r>
          </w:p>
        </w:tc>
        <w:tc>
          <w:tcPr>
            <w:tcW w:w="1036" w:type="dxa"/>
            <w:tcBorders>
              <w:top w:val="nil"/>
              <w:left w:val="nil"/>
              <w:bottom w:val="nil"/>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220.9</w:t>
            </w:r>
          </w:p>
        </w:tc>
        <w:tc>
          <w:tcPr>
            <w:tcW w:w="1036" w:type="dxa"/>
            <w:tcBorders>
              <w:top w:val="nil"/>
              <w:left w:val="nil"/>
              <w:bottom w:val="nil"/>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207.1</w:t>
            </w:r>
          </w:p>
        </w:tc>
      </w:tr>
      <w:tr w:rsidR="00B958B1" w:rsidRPr="00F56C69" w:rsidTr="009F3B54">
        <w:tc>
          <w:tcPr>
            <w:tcW w:w="4665" w:type="dxa"/>
            <w:tcBorders>
              <w:top w:val="nil"/>
              <w:left w:val="nil"/>
              <w:bottom w:val="single" w:sz="6" w:space="0" w:color="auto"/>
              <w:right w:val="nil"/>
            </w:tcBorders>
            <w:shd w:val="solid" w:color="FFFFFF" w:fill="auto"/>
          </w:tcPr>
          <w:p w:rsidR="00B958B1" w:rsidRPr="00F56C69" w:rsidRDefault="00B958B1" w:rsidP="009F3B54">
            <w:pPr>
              <w:pStyle w:val="Tabletext"/>
              <w:rPr>
                <w:lang w:eastAsia="en-AU"/>
              </w:rPr>
            </w:pPr>
            <w:r w:rsidRPr="00F56C69">
              <w:rPr>
                <w:lang w:eastAsia="en-AU"/>
              </w:rPr>
              <w:t>Trust funds</w:t>
            </w:r>
          </w:p>
        </w:tc>
        <w:tc>
          <w:tcPr>
            <w:tcW w:w="1036" w:type="dxa"/>
            <w:tcBorders>
              <w:top w:val="nil"/>
              <w:left w:val="nil"/>
              <w:bottom w:val="single" w:sz="6" w:space="0" w:color="auto"/>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196.3</w:t>
            </w:r>
          </w:p>
        </w:tc>
        <w:tc>
          <w:tcPr>
            <w:tcW w:w="1036" w:type="dxa"/>
            <w:tcBorders>
              <w:top w:val="nil"/>
              <w:left w:val="nil"/>
              <w:bottom w:val="single" w:sz="6" w:space="0" w:color="auto"/>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165.1</w:t>
            </w:r>
          </w:p>
        </w:tc>
        <w:tc>
          <w:tcPr>
            <w:tcW w:w="1036" w:type="dxa"/>
            <w:tcBorders>
              <w:top w:val="nil"/>
              <w:left w:val="nil"/>
              <w:bottom w:val="single" w:sz="6" w:space="0" w:color="auto"/>
              <w:right w:val="nil"/>
            </w:tcBorders>
            <w:shd w:val="solid" w:color="FFFFFF" w:fill="auto"/>
          </w:tcPr>
          <w:p w:rsidR="00B958B1" w:rsidRPr="00F56C69" w:rsidRDefault="00B958B1" w:rsidP="009F3B54">
            <w:pPr>
              <w:pStyle w:val="TableofFigures"/>
              <w:rPr>
                <w:lang w:eastAsia="en-AU"/>
              </w:rPr>
            </w:pPr>
            <w:r w:rsidRPr="00F56C69">
              <w:rPr>
                <w:lang w:eastAsia="en-AU"/>
              </w:rPr>
              <w:t xml:space="preserve"> 165.4</w:t>
            </w:r>
          </w:p>
        </w:tc>
      </w:tr>
      <w:tr w:rsidR="00B958B1" w:rsidRPr="00F56C69" w:rsidTr="009F3B54">
        <w:tc>
          <w:tcPr>
            <w:tcW w:w="4665" w:type="dxa"/>
            <w:tcBorders>
              <w:top w:val="nil"/>
              <w:left w:val="nil"/>
              <w:bottom w:val="single" w:sz="12" w:space="0" w:color="auto"/>
              <w:right w:val="nil"/>
            </w:tcBorders>
            <w:shd w:val="solid" w:color="FFFFFF" w:fill="auto"/>
          </w:tcPr>
          <w:p w:rsidR="00B958B1" w:rsidRPr="00F56C69" w:rsidRDefault="00B958B1" w:rsidP="009F3B54">
            <w:pPr>
              <w:pStyle w:val="Tabletext"/>
              <w:rPr>
                <w:b/>
                <w:bCs/>
                <w:lang w:eastAsia="en-AU"/>
              </w:rPr>
            </w:pPr>
            <w:r w:rsidRPr="00F56C69">
              <w:rPr>
                <w:b/>
                <w:bCs/>
                <w:lang w:eastAsia="en-AU"/>
              </w:rPr>
              <w:t>Total parliamentary authority</w:t>
            </w:r>
          </w:p>
        </w:tc>
        <w:tc>
          <w:tcPr>
            <w:tcW w:w="1036" w:type="dxa"/>
            <w:tcBorders>
              <w:top w:val="nil"/>
              <w:left w:val="nil"/>
              <w:bottom w:val="single" w:sz="12" w:space="0" w:color="auto"/>
              <w:right w:val="nil"/>
            </w:tcBorders>
            <w:shd w:val="solid" w:color="FFFFFF" w:fill="auto"/>
          </w:tcPr>
          <w:p w:rsidR="00B958B1" w:rsidRPr="00F56C69" w:rsidRDefault="00B958B1" w:rsidP="009F3B54">
            <w:pPr>
              <w:pStyle w:val="TableofFigures"/>
              <w:rPr>
                <w:rFonts w:cs="Calibri"/>
                <w:b/>
                <w:bCs/>
                <w:lang w:eastAsia="en-AU"/>
              </w:rPr>
            </w:pPr>
            <w:r w:rsidRPr="00F56C69">
              <w:rPr>
                <w:b/>
                <w:bCs/>
                <w:lang w:eastAsia="en-AU"/>
              </w:rPr>
              <w:t xml:space="preserve">4 </w:t>
            </w:r>
            <w:r w:rsidRPr="00F56C69">
              <w:rPr>
                <w:rFonts w:cs="Calibri"/>
                <w:b/>
                <w:bCs/>
                <w:lang w:eastAsia="en-AU"/>
              </w:rPr>
              <w:t>986.2</w:t>
            </w:r>
          </w:p>
        </w:tc>
        <w:tc>
          <w:tcPr>
            <w:tcW w:w="1036" w:type="dxa"/>
            <w:tcBorders>
              <w:top w:val="nil"/>
              <w:left w:val="nil"/>
              <w:bottom w:val="single" w:sz="12" w:space="0" w:color="auto"/>
              <w:right w:val="nil"/>
            </w:tcBorders>
            <w:shd w:val="solid" w:color="FFFFFF" w:fill="auto"/>
          </w:tcPr>
          <w:p w:rsidR="00B958B1" w:rsidRPr="00F56C69" w:rsidRDefault="00B958B1" w:rsidP="009F3B54">
            <w:pPr>
              <w:pStyle w:val="TableofFigures"/>
              <w:rPr>
                <w:rFonts w:cs="Calibri"/>
                <w:b/>
                <w:bCs/>
                <w:lang w:eastAsia="en-AU"/>
              </w:rPr>
            </w:pPr>
            <w:r w:rsidRPr="00F56C69">
              <w:rPr>
                <w:b/>
                <w:bCs/>
                <w:lang w:eastAsia="en-AU"/>
              </w:rPr>
              <w:t xml:space="preserve">4 </w:t>
            </w:r>
            <w:r w:rsidRPr="00F56C69">
              <w:rPr>
                <w:rFonts w:cs="Calibri"/>
                <w:b/>
                <w:bCs/>
                <w:lang w:eastAsia="en-AU"/>
              </w:rPr>
              <w:t>811.8</w:t>
            </w:r>
          </w:p>
        </w:tc>
        <w:tc>
          <w:tcPr>
            <w:tcW w:w="1036" w:type="dxa"/>
            <w:tcBorders>
              <w:top w:val="nil"/>
              <w:left w:val="nil"/>
              <w:bottom w:val="single" w:sz="12" w:space="0" w:color="auto"/>
              <w:right w:val="nil"/>
            </w:tcBorders>
            <w:shd w:val="solid" w:color="FFFFFF" w:fill="auto"/>
          </w:tcPr>
          <w:p w:rsidR="00B958B1" w:rsidRPr="00F56C69" w:rsidRDefault="00B958B1" w:rsidP="009F3B54">
            <w:pPr>
              <w:pStyle w:val="TableofFigures"/>
              <w:rPr>
                <w:rFonts w:cs="Calibri"/>
                <w:b/>
                <w:bCs/>
                <w:lang w:eastAsia="en-AU"/>
              </w:rPr>
            </w:pPr>
            <w:r w:rsidRPr="00F56C69">
              <w:rPr>
                <w:b/>
                <w:bCs/>
                <w:lang w:eastAsia="en-AU"/>
              </w:rPr>
              <w:t xml:space="preserve">6 </w:t>
            </w:r>
            <w:r w:rsidRPr="00F56C69">
              <w:rPr>
                <w:rFonts w:cs="Calibri"/>
                <w:b/>
                <w:bCs/>
                <w:lang w:eastAsia="en-AU"/>
              </w:rPr>
              <w:t>310.3</w:t>
            </w:r>
          </w:p>
        </w:tc>
      </w:tr>
    </w:tbl>
    <w:p w:rsidR="00B958B1" w:rsidRPr="00270442" w:rsidRDefault="00B958B1" w:rsidP="009F3B54">
      <w:pPr>
        <w:pStyle w:val="Source"/>
      </w:pPr>
      <w:r w:rsidRPr="00306423">
        <w:rPr>
          <w:lang w:eastAsia="en-AU"/>
        </w:rPr>
        <w:t xml:space="preserve">Sources: Departments of Justice and Treasury and </w:t>
      </w:r>
      <w:r w:rsidRPr="00270442">
        <w:t xml:space="preserve">Finance </w:t>
      </w:r>
    </w:p>
    <w:p w:rsidR="00B958B1" w:rsidRPr="00A475B8" w:rsidRDefault="00B958B1" w:rsidP="009F3B54">
      <w:pPr>
        <w:pStyle w:val="Source"/>
      </w:pPr>
      <w:r>
        <w:fldChar w:fldCharType="begin"/>
      </w:r>
      <w:r>
        <w:instrText xml:space="preserve"> XE "</w:instrText>
      </w:r>
      <w:r w:rsidRPr="00F8668A">
        <w:instrText>Department of Justice:</w:instrText>
      </w:r>
      <w:r>
        <w:instrText xml:space="preserve">Parliamentary authority for resources" </w:instrText>
      </w:r>
      <w:r>
        <w:fldChar w:fldCharType="end"/>
      </w:r>
    </w:p>
    <w:p w:rsidR="00B958B1" w:rsidRPr="003E2263" w:rsidRDefault="00B958B1" w:rsidP="009F3B54">
      <w:pPr>
        <w:pStyle w:val="OGHeading1"/>
      </w:pPr>
      <w:r>
        <w:br w:type="page"/>
      </w:r>
      <w:bookmarkStart w:id="120" w:name="BP3DOJPolicing"/>
      <w:r w:rsidRPr="003E2263">
        <w:t>Policing</w:t>
      </w:r>
    </w:p>
    <w:p w:rsidR="00B958B1" w:rsidRPr="00A475B8" w:rsidRDefault="00B958B1" w:rsidP="009F3B54">
      <w:pPr>
        <w:pStyle w:val="OGText"/>
        <w:rPr>
          <w:color w:val="000000" w:themeColor="text1"/>
          <w:lang w:eastAsia="en-AU"/>
        </w:rPr>
      </w:pPr>
      <w:r w:rsidRPr="00A475B8">
        <w:rPr>
          <w:color w:val="000000" w:themeColor="text1"/>
          <w:lang w:eastAsia="en-AU"/>
        </w:rPr>
        <w:t>This output group reports on activities relating to the provision of effective police and law enforcement services that aim to prevent, detect, investigate and prosecute crime, and promote safer road user behaviour. It focuses on activities which enable Victorians to undertake their lawful pursuits confidently, safely and without fear of crime.</w:t>
      </w:r>
    </w:p>
    <w:p w:rsidR="00B958B1" w:rsidRPr="00A475B8" w:rsidRDefault="00B958B1" w:rsidP="009F3B54">
      <w:pPr>
        <w:pStyle w:val="OGText"/>
        <w:rPr>
          <w:color w:val="000000" w:themeColor="text1"/>
          <w:lang w:eastAsia="en-AU"/>
        </w:rPr>
      </w:pPr>
      <w:r w:rsidRPr="00A475B8">
        <w:rPr>
          <w:color w:val="000000" w:themeColor="text1"/>
          <w:lang w:eastAsia="en-AU"/>
        </w:rPr>
        <w:t>This output group contributes to the Department’s objective of improving community safety through policing, law enforcement and prevention activities.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828"/>
        <w:gridCol w:w="79"/>
        <w:gridCol w:w="907"/>
        <w:gridCol w:w="993"/>
        <w:gridCol w:w="907"/>
        <w:gridCol w:w="907"/>
      </w:tblGrid>
      <w:tr w:rsidR="00B958B1" w:rsidRPr="00A475B8" w:rsidTr="009F3B54">
        <w:trPr>
          <w:cantSplit/>
          <w:tblHeader/>
        </w:trPr>
        <w:tc>
          <w:tcPr>
            <w:tcW w:w="3155" w:type="dxa"/>
            <w:tcBorders>
              <w:top w:val="single" w:sz="4" w:space="0" w:color="auto"/>
              <w:left w:val="single" w:sz="4" w:space="0" w:color="auto"/>
              <w:bottom w:val="single" w:sz="4" w:space="0" w:color="auto"/>
              <w:right w:val="nil"/>
            </w:tcBorders>
            <w:shd w:val="clear" w:color="auto" w:fill="000000"/>
            <w:vAlign w:val="bottom"/>
          </w:tcPr>
          <w:p w:rsidR="00B958B1" w:rsidRPr="008840F3" w:rsidRDefault="00B958B1" w:rsidP="009F3B54">
            <w:pPr>
              <w:pStyle w:val="OGTabColLeft"/>
              <w:rPr>
                <w:i/>
                <w:color w:val="FFFFFF" w:themeColor="background1"/>
              </w:rPr>
            </w:pPr>
            <w:r w:rsidRPr="008840F3">
              <w:rPr>
                <w:color w:val="FFFFFF" w:themeColor="background1"/>
              </w:rPr>
              <w:t>Major Outputs/Deliverables</w:t>
            </w:r>
            <w:r w:rsidRPr="008840F3">
              <w:rPr>
                <w:color w:val="FFFFFF" w:themeColor="background1"/>
              </w:rPr>
              <w:br/>
            </w:r>
            <w:r w:rsidRPr="008840F3">
              <w:rPr>
                <w:b w:val="0"/>
                <w:i/>
                <w:color w:val="FFFFFF" w:themeColor="background1"/>
              </w:rPr>
              <w:t>Performance measures</w:t>
            </w:r>
          </w:p>
        </w:tc>
        <w:tc>
          <w:tcPr>
            <w:tcW w:w="907" w:type="dxa"/>
            <w:gridSpan w:val="2"/>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Centred"/>
              <w:rPr>
                <w:color w:val="FFFFFF" w:themeColor="background1"/>
              </w:rPr>
            </w:pPr>
            <w:r w:rsidRPr="008840F3">
              <w:rPr>
                <w:color w:val="FFFFFF" w:themeColor="background1"/>
              </w:rPr>
              <w:t xml:space="preserve">Unit of </w:t>
            </w:r>
            <w:r w:rsidRPr="008840F3">
              <w:rPr>
                <w:color w:val="FFFFFF" w:themeColor="background1"/>
              </w:rPr>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2013</w:t>
            </w:r>
            <w:r w:rsidR="009F0F49">
              <w:rPr>
                <w:color w:val="FFFFFF" w:themeColor="background1"/>
              </w:rPr>
              <w:noBreakHyphen/>
            </w:r>
            <w:r w:rsidRPr="008840F3">
              <w:rPr>
                <w:color w:val="FFFFFF" w:themeColor="background1"/>
              </w:rPr>
              <w:t>14 Target</w:t>
            </w:r>
          </w:p>
        </w:tc>
        <w:tc>
          <w:tcPr>
            <w:tcW w:w="993"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2012</w:t>
            </w:r>
            <w:r w:rsidR="009F0F49">
              <w:rPr>
                <w:color w:val="FFFFFF" w:themeColor="background1"/>
              </w:rPr>
              <w:noBreakHyphen/>
            </w:r>
            <w:r w:rsidRPr="008840F3">
              <w:rPr>
                <w:color w:val="FFFFFF" w:themeColor="background1"/>
              </w:rPr>
              <w:t>13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2012</w:t>
            </w:r>
            <w:r w:rsidR="009F0F49">
              <w:rPr>
                <w:color w:val="FFFFFF" w:themeColor="background1"/>
              </w:rPr>
              <w:noBreakHyphen/>
            </w:r>
            <w:r w:rsidRPr="008840F3">
              <w:rPr>
                <w:color w:val="FFFFFF" w:themeColor="background1"/>
              </w:rPr>
              <w:t>13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2011</w:t>
            </w:r>
            <w:r w:rsidR="009F0F49">
              <w:rPr>
                <w:color w:val="FFFFFF" w:themeColor="background1"/>
              </w:rPr>
              <w:noBreakHyphen/>
            </w:r>
            <w:r w:rsidRPr="008840F3">
              <w:rPr>
                <w:color w:val="FFFFFF" w:themeColor="background1"/>
              </w:rPr>
              <w:t>12 Actual</w:t>
            </w:r>
          </w:p>
        </w:tc>
      </w:tr>
      <w:tr w:rsidR="00B958B1" w:rsidRPr="00A475B8" w:rsidTr="009F3B54">
        <w:trPr>
          <w:cantSplit/>
        </w:trPr>
        <w:tc>
          <w:tcPr>
            <w:tcW w:w="7776" w:type="dxa"/>
            <w:gridSpan w:val="7"/>
            <w:tcBorders>
              <w:top w:val="nil"/>
              <w:left w:val="nil"/>
              <w:bottom w:val="nil"/>
              <w:right w:val="nil"/>
            </w:tcBorders>
            <w:shd w:val="clear" w:color="auto" w:fill="auto"/>
            <w:vAlign w:val="center"/>
            <w:hideMark/>
          </w:tcPr>
          <w:p w:rsidR="00B958B1" w:rsidRPr="00A475B8" w:rsidRDefault="00B958B1" w:rsidP="009F3B54">
            <w:pPr>
              <w:pStyle w:val="OGHeading2"/>
              <w:rPr>
                <w:bCs/>
                <w:color w:val="000000" w:themeColor="text1"/>
                <w:lang w:eastAsia="en-AU"/>
              </w:rPr>
            </w:pPr>
            <w:r w:rsidRPr="00A475B8">
              <w:rPr>
                <w:color w:val="000000" w:themeColor="text1"/>
                <w:lang w:eastAsia="en-AU"/>
              </w:rPr>
              <w:t>Policing Services</w:t>
            </w:r>
          </w:p>
        </w:tc>
      </w:tr>
      <w:tr w:rsidR="00B958B1" w:rsidRPr="003F6320" w:rsidTr="009F3B54">
        <w:trPr>
          <w:cantSplit/>
          <w:trHeight w:val="1097"/>
        </w:trPr>
        <w:tc>
          <w:tcPr>
            <w:tcW w:w="7776" w:type="dxa"/>
            <w:gridSpan w:val="7"/>
            <w:tcBorders>
              <w:top w:val="nil"/>
              <w:left w:val="nil"/>
              <w:bottom w:val="single" w:sz="6" w:space="0" w:color="auto"/>
              <w:right w:val="nil"/>
            </w:tcBorders>
            <w:shd w:val="clear" w:color="auto" w:fill="auto"/>
            <w:vAlign w:val="center"/>
            <w:hideMark/>
          </w:tcPr>
          <w:p w:rsidR="00B958B1" w:rsidRPr="003F6320" w:rsidRDefault="00B958B1" w:rsidP="009F3B54">
            <w:pPr>
              <w:pStyle w:val="OGText"/>
            </w:pPr>
            <w:r w:rsidRPr="003F6320">
              <w:t>Victoria Police strives to reduce violence and crime through law enforcement, judicial support, community assistance, guidance and leadership.</w:t>
            </w:r>
          </w:p>
          <w:p w:rsidR="00B958B1" w:rsidRPr="003F6320" w:rsidRDefault="00B958B1" w:rsidP="009F3B54">
            <w:pPr>
              <w:pStyle w:val="OGText"/>
            </w:pPr>
            <w:r w:rsidRPr="003F6320">
              <w:t>The output reflects the Government’s focus on reducing the overall incidence and fear of crime and enhancing the safety of individuals and families.</w:t>
            </w:r>
          </w:p>
        </w:tc>
      </w:tr>
      <w:tr w:rsidR="00B958B1" w:rsidRPr="00A475B8" w:rsidTr="009F3B54">
        <w:trPr>
          <w:cantSplit/>
        </w:trPr>
        <w:tc>
          <w:tcPr>
            <w:tcW w:w="3155"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Quantity</w:t>
            </w:r>
          </w:p>
        </w:tc>
        <w:tc>
          <w:tcPr>
            <w:tcW w:w="907" w:type="dxa"/>
            <w:gridSpan w:val="2"/>
            <w:tcBorders>
              <w:top w:val="single" w:sz="6" w:space="0" w:color="auto"/>
              <w:left w:val="nil"/>
              <w:bottom w:val="nil"/>
              <w:right w:val="nil"/>
            </w:tcBorders>
            <w:shd w:val="clear" w:color="auto" w:fill="auto"/>
            <w:vAlign w:val="center"/>
          </w:tcPr>
          <w:p w:rsidR="00B958B1" w:rsidRPr="00A475B8" w:rsidRDefault="00B958B1" w:rsidP="009F3B54">
            <w:pPr>
              <w:pStyle w:val="OGUoM"/>
              <w:rPr>
                <w:color w:val="000000" w:themeColor="text1"/>
                <w:lang w:eastAsia="en-AU"/>
              </w:rPr>
            </w:pPr>
          </w:p>
        </w:tc>
        <w:tc>
          <w:tcPr>
            <w:tcW w:w="907" w:type="dxa"/>
            <w:tcBorders>
              <w:top w:val="single" w:sz="6" w:space="0" w:color="auto"/>
              <w:left w:val="nil"/>
              <w:bottom w:val="nil"/>
              <w:right w:val="nil"/>
            </w:tcBorders>
            <w:shd w:val="clear" w:color="auto" w:fill="D9D9D9"/>
            <w:vAlign w:val="center"/>
          </w:tcPr>
          <w:p w:rsidR="00B958B1" w:rsidRPr="00A475B8" w:rsidRDefault="00B958B1" w:rsidP="009F3B54">
            <w:pPr>
              <w:pStyle w:val="OGTableofFigures"/>
              <w:rPr>
                <w:color w:val="000000" w:themeColor="text1"/>
                <w:lang w:eastAsia="en-AU"/>
              </w:rPr>
            </w:pPr>
          </w:p>
        </w:tc>
        <w:tc>
          <w:tcPr>
            <w:tcW w:w="993" w:type="dxa"/>
            <w:tcBorders>
              <w:top w:val="single" w:sz="6" w:space="0" w:color="auto"/>
              <w:left w:val="nil"/>
              <w:bottom w:val="nil"/>
              <w:right w:val="nil"/>
            </w:tcBorders>
            <w:shd w:val="clear" w:color="auto" w:fill="auto"/>
            <w:vAlign w:val="center"/>
          </w:tcPr>
          <w:p w:rsidR="00B958B1" w:rsidRPr="00A475B8" w:rsidRDefault="00B958B1" w:rsidP="009F3B54">
            <w:pPr>
              <w:pStyle w:val="OGTableofFigures"/>
              <w:rPr>
                <w:color w:val="000000" w:themeColor="text1"/>
                <w:lang w:eastAsia="en-AU"/>
              </w:rPr>
            </w:pPr>
          </w:p>
        </w:tc>
        <w:tc>
          <w:tcPr>
            <w:tcW w:w="907"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c>
          <w:tcPr>
            <w:tcW w:w="907"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Criminal history checks conducted to contribute to community safety</w:t>
            </w:r>
          </w:p>
        </w:tc>
        <w:tc>
          <w:tcPr>
            <w:tcW w:w="907" w:type="dxa"/>
            <w:gridSpan w:val="2"/>
            <w:tcBorders>
              <w:top w:val="nil"/>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490</w:t>
            </w:r>
            <w:r>
              <w:rPr>
                <w:color w:val="000000" w:themeColor="text1"/>
                <w:lang w:eastAsia="en-AU"/>
              </w:rPr>
              <w:t> </w:t>
            </w:r>
            <w:r w:rsidRPr="00A475B8">
              <w:rPr>
                <w:color w:val="000000" w:themeColor="text1"/>
                <w:lang w:eastAsia="en-AU"/>
              </w:rPr>
              <w:t>000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491</w:t>
            </w:r>
            <w:r>
              <w:rPr>
                <w:color w:val="000000" w:themeColor="text1"/>
                <w:lang w:eastAsia="en-AU"/>
              </w:rPr>
              <w:t> </w:t>
            </w:r>
            <w:r w:rsidRPr="00A475B8">
              <w:rPr>
                <w:color w:val="000000" w:themeColor="text1"/>
                <w:lang w:eastAsia="en-AU"/>
              </w:rPr>
              <w:t>610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490</w:t>
            </w:r>
            <w:r>
              <w:rPr>
                <w:color w:val="000000" w:themeColor="text1"/>
                <w:lang w:eastAsia="en-AU"/>
              </w:rPr>
              <w:t> </w:t>
            </w:r>
            <w:r w:rsidRPr="00A475B8">
              <w:rPr>
                <w:color w:val="000000" w:themeColor="text1"/>
                <w:lang w:eastAsia="en-AU"/>
              </w:rPr>
              <w:t>000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557</w:t>
            </w:r>
            <w:r>
              <w:rPr>
                <w:color w:val="000000" w:themeColor="text1"/>
                <w:lang w:eastAsia="en-AU"/>
              </w:rPr>
              <w:t> </w:t>
            </w:r>
            <w:r w:rsidRPr="00A475B8">
              <w:rPr>
                <w:color w:val="000000" w:themeColor="text1"/>
                <w:lang w:eastAsia="en-AU"/>
              </w:rPr>
              <w:t>401</w:t>
            </w:r>
          </w:p>
        </w:tc>
      </w:tr>
      <w:tr w:rsidR="00B958B1" w:rsidRPr="00A475B8" w:rsidTr="009F3B54">
        <w:trPr>
          <w:cantSplit/>
        </w:trPr>
        <w:tc>
          <w:tcPr>
            <w:tcW w:w="3155" w:type="dxa"/>
            <w:tcBorders>
              <w:top w:val="single" w:sz="8" w:space="0" w:color="auto"/>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Community calls for assistance to which a Victoria Police response is dispatched</w:t>
            </w:r>
          </w:p>
        </w:tc>
        <w:tc>
          <w:tcPr>
            <w:tcW w:w="907" w:type="dxa"/>
            <w:gridSpan w:val="2"/>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single" w:sz="8"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800</w:t>
            </w:r>
            <w:r>
              <w:rPr>
                <w:color w:val="000000" w:themeColor="text1"/>
                <w:lang w:eastAsia="en-AU"/>
              </w:rPr>
              <w:t> </w:t>
            </w:r>
            <w:r w:rsidRPr="00A475B8">
              <w:rPr>
                <w:color w:val="000000" w:themeColor="text1"/>
                <w:lang w:eastAsia="en-AU"/>
              </w:rPr>
              <w:t>000</w:t>
            </w:r>
          </w:p>
        </w:tc>
        <w:tc>
          <w:tcPr>
            <w:tcW w:w="993"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801</w:t>
            </w:r>
            <w:r>
              <w:rPr>
                <w:color w:val="000000" w:themeColor="text1"/>
                <w:lang w:eastAsia="en-AU"/>
              </w:rPr>
              <w:t> </w:t>
            </w:r>
            <w:r w:rsidRPr="00A475B8">
              <w:rPr>
                <w:color w:val="000000" w:themeColor="text1"/>
                <w:lang w:eastAsia="en-AU"/>
              </w:rPr>
              <w:t>456</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780</w:t>
            </w:r>
            <w:r>
              <w:rPr>
                <w:color w:val="000000" w:themeColor="text1"/>
                <w:lang w:eastAsia="en-AU"/>
              </w:rPr>
              <w:t> </w:t>
            </w:r>
            <w:r w:rsidRPr="00A475B8">
              <w:rPr>
                <w:color w:val="000000" w:themeColor="text1"/>
                <w:lang w:eastAsia="en-AU"/>
              </w:rPr>
              <w:t>000</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811</w:t>
            </w:r>
            <w:r>
              <w:rPr>
                <w:color w:val="000000" w:themeColor="text1"/>
                <w:lang w:eastAsia="en-AU"/>
              </w:rPr>
              <w:t> </w:t>
            </w:r>
            <w:r w:rsidRPr="00A475B8">
              <w:rPr>
                <w:color w:val="000000" w:themeColor="text1"/>
                <w:lang w:eastAsia="en-AU"/>
              </w:rPr>
              <w:t>930</w:t>
            </w:r>
          </w:p>
        </w:tc>
      </w:tr>
      <w:tr w:rsidR="00B958B1" w:rsidRPr="00A475B8" w:rsidTr="009F3B54">
        <w:trPr>
          <w:cantSplit/>
        </w:trPr>
        <w:tc>
          <w:tcPr>
            <w:tcW w:w="7776" w:type="dxa"/>
            <w:gridSpan w:val="7"/>
            <w:tcBorders>
              <w:top w:val="nil"/>
              <w:left w:val="nil"/>
              <w:bottom w:val="single" w:sz="8" w:space="0" w:color="auto"/>
              <w:right w:val="nil"/>
            </w:tcBorders>
            <w:shd w:val="clear" w:color="auto" w:fill="auto"/>
            <w:vAlign w:val="center"/>
            <w:hideMark/>
          </w:tcPr>
          <w:p w:rsidR="00B958B1" w:rsidRPr="00A475B8" w:rsidRDefault="00B958B1" w:rsidP="009F3B54">
            <w:pPr>
              <w:pStyle w:val="OGNotes"/>
              <w:rPr>
                <w:color w:val="000000" w:themeColor="text1"/>
              </w:rPr>
            </w:pPr>
            <w:r w:rsidRPr="00A475B8">
              <w:rPr>
                <w:color w:val="000000" w:themeColor="text1"/>
              </w:rPr>
              <w:t>The higher 2013</w:t>
            </w:r>
            <w:r w:rsidR="009F0F49">
              <w:rPr>
                <w:color w:val="000000" w:themeColor="text1"/>
              </w:rPr>
              <w:noBreakHyphen/>
            </w:r>
            <w:r w:rsidRPr="00A475B8">
              <w:rPr>
                <w:color w:val="000000" w:themeColor="text1"/>
              </w:rPr>
              <w:t>14 Target reflects historic performance for this measure.</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rPr>
            </w:pPr>
            <w:r w:rsidRPr="00A475B8">
              <w:rPr>
                <w:color w:val="000000" w:themeColor="text1"/>
              </w:rPr>
              <w:t xml:space="preserve">Crimes against the person – excluding family violence related crime (rate per </w:t>
            </w:r>
            <w:r>
              <w:rPr>
                <w:color w:val="000000" w:themeColor="text1"/>
              </w:rPr>
              <w:t>100 000</w:t>
            </w:r>
            <w:r w:rsidRPr="00A475B8">
              <w:rPr>
                <w:color w:val="000000" w:themeColor="text1"/>
              </w:rPr>
              <w:t xml:space="preserve"> population)</w:t>
            </w:r>
          </w:p>
        </w:tc>
        <w:tc>
          <w:tcPr>
            <w:tcW w:w="907" w:type="dxa"/>
            <w:gridSpan w:val="2"/>
            <w:tcBorders>
              <w:top w:val="nil"/>
              <w:left w:val="nil"/>
              <w:bottom w:val="nil"/>
              <w:right w:val="nil"/>
            </w:tcBorders>
            <w:shd w:val="clear" w:color="auto" w:fill="auto"/>
            <w:hideMark/>
          </w:tcPr>
          <w:p w:rsidR="00B958B1" w:rsidRPr="00A475B8" w:rsidRDefault="00B958B1" w:rsidP="009F3B54">
            <w:pPr>
              <w:pStyle w:val="OGUoM"/>
              <w:rPr>
                <w:color w:val="000000" w:themeColor="text1"/>
              </w:rPr>
            </w:pPr>
            <w:r w:rsidRPr="00A475B8">
              <w:rPr>
                <w:color w:val="000000" w:themeColor="text1"/>
              </w:rPr>
              <w:t>number</w:t>
            </w:r>
          </w:p>
        </w:tc>
        <w:tc>
          <w:tcPr>
            <w:tcW w:w="907" w:type="dxa"/>
            <w:tcBorders>
              <w:top w:val="nil"/>
              <w:left w:val="nil"/>
              <w:bottom w:val="nil"/>
              <w:right w:val="nil"/>
            </w:tcBorders>
            <w:shd w:val="clear" w:color="auto" w:fill="D9D9D9"/>
            <w:hideMark/>
          </w:tcPr>
          <w:p w:rsidR="00B958B1" w:rsidRPr="00A475B8" w:rsidRDefault="00B958B1" w:rsidP="009F4A8B">
            <w:pPr>
              <w:pStyle w:val="OGTableofFigures"/>
              <w:rPr>
                <w:color w:val="000000" w:themeColor="text1"/>
                <w:lang w:eastAsia="en-AU"/>
              </w:rPr>
            </w:pPr>
            <w:r>
              <w:rPr>
                <w:color w:val="000000" w:themeColor="text1"/>
                <w:lang w:eastAsia="en-AU"/>
              </w:rPr>
              <w:sym w:font="Symbol" w:char="F0A3"/>
            </w:r>
            <w:r>
              <w:rPr>
                <w:color w:val="000000" w:themeColor="text1"/>
                <w:lang w:eastAsia="en-AU"/>
              </w:rPr>
              <w:t> </w:t>
            </w:r>
            <w:r w:rsidRPr="00A475B8">
              <w:rPr>
                <w:color w:val="000000" w:themeColor="text1"/>
                <w:lang w:eastAsia="en-AU"/>
              </w:rPr>
              <w:t>653.8</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nm</w:t>
            </w:r>
          </w:p>
        </w:tc>
      </w:tr>
      <w:tr w:rsidR="00B958B1" w:rsidRPr="00A475B8" w:rsidTr="009F3B54">
        <w:trPr>
          <w:cantSplit/>
        </w:trPr>
        <w:tc>
          <w:tcPr>
            <w:tcW w:w="7776" w:type="dxa"/>
            <w:gridSpan w:val="7"/>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new 2013</w:t>
            </w:r>
            <w:r w:rsidR="009F0F49">
              <w:noBreakHyphen/>
            </w:r>
            <w:r w:rsidRPr="00A475B8">
              <w:t>14 performance measure is a disaggregation of the 2012</w:t>
            </w:r>
            <w:r w:rsidR="009F0F49">
              <w:noBreakHyphen/>
            </w:r>
            <w:r w:rsidRPr="00A475B8">
              <w:t>13 performance measure ‘Reduction in crimes against the person’. The new performance measure better informs the public about drivers underpinning reported crime statistics.</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Crimes against property – excluding family violence related crime (rate per 100</w:t>
            </w:r>
            <w:r>
              <w:rPr>
                <w:color w:val="000000" w:themeColor="text1"/>
                <w:lang w:eastAsia="en-AU"/>
              </w:rPr>
              <w:t> </w:t>
            </w:r>
            <w:r w:rsidRPr="00A475B8">
              <w:rPr>
                <w:color w:val="000000" w:themeColor="text1"/>
                <w:lang w:eastAsia="en-AU"/>
              </w:rPr>
              <w:t>000 population)</w:t>
            </w:r>
          </w:p>
        </w:tc>
        <w:tc>
          <w:tcPr>
            <w:tcW w:w="828"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86" w:type="dxa"/>
            <w:gridSpan w:val="2"/>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Pr>
                <w:color w:val="000000" w:themeColor="text1"/>
                <w:lang w:eastAsia="en-AU"/>
              </w:rPr>
              <w:sym w:font="Symbol" w:char="F0A3"/>
            </w:r>
            <w:r>
              <w:rPr>
                <w:color w:val="000000" w:themeColor="text1"/>
                <w:lang w:eastAsia="en-AU"/>
              </w:rPr>
              <w:t> </w:t>
            </w:r>
            <w:r w:rsidRPr="00A475B8">
              <w:rPr>
                <w:color w:val="000000" w:themeColor="text1"/>
                <w:lang w:eastAsia="en-AU"/>
              </w:rPr>
              <w:t>4</w:t>
            </w:r>
            <w:r>
              <w:rPr>
                <w:color w:val="000000" w:themeColor="text1"/>
                <w:lang w:eastAsia="en-AU"/>
              </w:rPr>
              <w:t> </w:t>
            </w:r>
            <w:r w:rsidRPr="00A475B8">
              <w:rPr>
                <w:color w:val="000000" w:themeColor="text1"/>
                <w:lang w:eastAsia="en-AU"/>
              </w:rPr>
              <w:t>667.1</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nm</w:t>
            </w:r>
          </w:p>
        </w:tc>
      </w:tr>
      <w:tr w:rsidR="00B958B1" w:rsidRPr="00A475B8" w:rsidTr="009F3B54">
        <w:trPr>
          <w:cantSplit/>
        </w:trPr>
        <w:tc>
          <w:tcPr>
            <w:tcW w:w="7776" w:type="dxa"/>
            <w:gridSpan w:val="7"/>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new 2013</w:t>
            </w:r>
            <w:r w:rsidR="009F0F49">
              <w:noBreakHyphen/>
            </w:r>
            <w:r w:rsidRPr="00A475B8">
              <w:t>14 performance measure is a disaggregation of the 2012</w:t>
            </w:r>
            <w:r w:rsidR="009F0F49">
              <w:noBreakHyphen/>
            </w:r>
            <w:r w:rsidRPr="00A475B8">
              <w:t xml:space="preserve">13 performance measure ‘Reduction in crimes </w:t>
            </w:r>
            <w:r w:rsidRPr="009B35B0">
              <w:t>against property’. The new performance measure better informs the public about drivers underpinning reported crime statistics.</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Crimes against the person – family viole</w:t>
            </w:r>
            <w:r>
              <w:rPr>
                <w:color w:val="000000" w:themeColor="text1"/>
                <w:lang w:eastAsia="en-AU"/>
              </w:rPr>
              <w:t>nce related crime (rate per 100 </w:t>
            </w:r>
            <w:r w:rsidRPr="00A475B8">
              <w:rPr>
                <w:color w:val="000000" w:themeColor="text1"/>
                <w:lang w:eastAsia="en-AU"/>
              </w:rPr>
              <w:t>000 population)</w:t>
            </w:r>
          </w:p>
        </w:tc>
        <w:tc>
          <w:tcPr>
            <w:tcW w:w="907" w:type="dxa"/>
            <w:gridSpan w:val="2"/>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Pr>
                <w:rFonts w:cs="Calibri"/>
                <w:color w:val="000000" w:themeColor="text1"/>
                <w:lang w:eastAsia="en-AU"/>
              </w:rPr>
              <w:t>≥</w:t>
            </w:r>
            <w:r>
              <w:rPr>
                <w:color w:val="000000" w:themeColor="text1"/>
                <w:lang w:eastAsia="en-AU"/>
              </w:rPr>
              <w:t> </w:t>
            </w:r>
            <w:r w:rsidRPr="009B35B0">
              <w:rPr>
                <w:color w:val="000000" w:themeColor="text1"/>
                <w:lang w:eastAsia="en-AU"/>
              </w:rPr>
              <w:t>323</w:t>
            </w:r>
            <w:r w:rsidRPr="00A475B8">
              <w:rPr>
                <w:color w:val="000000" w:themeColor="text1"/>
                <w:lang w:eastAsia="en-AU"/>
              </w:rPr>
              <w:t>.0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nm</w:t>
            </w:r>
          </w:p>
        </w:tc>
      </w:tr>
      <w:tr w:rsidR="00B958B1" w:rsidRPr="00A475B8" w:rsidTr="009F3B54">
        <w:trPr>
          <w:cantSplit/>
        </w:trPr>
        <w:tc>
          <w:tcPr>
            <w:tcW w:w="7776" w:type="dxa"/>
            <w:gridSpan w:val="7"/>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new 2013</w:t>
            </w:r>
            <w:r w:rsidR="009F0F49">
              <w:noBreakHyphen/>
            </w:r>
            <w:r w:rsidRPr="00A475B8">
              <w:t>14 performance measure is a disaggregation of the 2012</w:t>
            </w:r>
            <w:r w:rsidR="009F0F49">
              <w:noBreakHyphen/>
            </w:r>
            <w:r w:rsidRPr="00A475B8">
              <w:t>13 performance measure ‘Reduction in crimes against the person’. The new performance measure better informs the public about drivers underpinning publ</w:t>
            </w:r>
            <w:r>
              <w:t>ic confidence in reporting crime</w:t>
            </w:r>
            <w:r w:rsidRPr="00A475B8">
              <w:t>.</w:t>
            </w:r>
            <w:r>
              <w:t xml:space="preserve"> </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keepNext/>
              <w:rPr>
                <w:lang w:eastAsia="en-AU"/>
              </w:rPr>
            </w:pPr>
            <w:r w:rsidRPr="00A475B8">
              <w:rPr>
                <w:lang w:eastAsia="en-AU"/>
              </w:rPr>
              <w:t>Crimes against property – family violence related crime (rate per 100</w:t>
            </w:r>
            <w:r>
              <w:rPr>
                <w:lang w:eastAsia="en-AU"/>
              </w:rPr>
              <w:t> </w:t>
            </w:r>
            <w:r w:rsidRPr="00A475B8">
              <w:rPr>
                <w:lang w:eastAsia="en-AU"/>
              </w:rPr>
              <w:t>000 population)</w:t>
            </w:r>
          </w:p>
        </w:tc>
        <w:tc>
          <w:tcPr>
            <w:tcW w:w="907" w:type="dxa"/>
            <w:gridSpan w:val="2"/>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auto"/>
            <w:hideMark/>
          </w:tcPr>
          <w:p w:rsidR="00B958B1" w:rsidRPr="00A475B8" w:rsidRDefault="00B958B1" w:rsidP="009F4A8B">
            <w:pPr>
              <w:pStyle w:val="OGTableofFigures"/>
              <w:rPr>
                <w:color w:val="000000" w:themeColor="text1"/>
                <w:lang w:eastAsia="en-AU"/>
              </w:rPr>
            </w:pPr>
            <w:r>
              <w:rPr>
                <w:rFonts w:cs="Calibri"/>
                <w:color w:val="000000" w:themeColor="text1"/>
                <w:lang w:eastAsia="en-AU"/>
              </w:rPr>
              <w:t>≥</w:t>
            </w:r>
            <w:r>
              <w:rPr>
                <w:color w:val="000000" w:themeColor="text1"/>
                <w:lang w:eastAsia="en-AU"/>
              </w:rPr>
              <w:t> </w:t>
            </w:r>
            <w:r w:rsidRPr="00A475B8">
              <w:rPr>
                <w:color w:val="000000" w:themeColor="text1"/>
                <w:lang w:eastAsia="en-AU"/>
              </w:rPr>
              <w:t>95.2</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nm</w:t>
            </w:r>
          </w:p>
        </w:tc>
      </w:tr>
      <w:tr w:rsidR="00B958B1" w:rsidRPr="00A475B8" w:rsidTr="009F3B54">
        <w:trPr>
          <w:cantSplit/>
        </w:trPr>
        <w:tc>
          <w:tcPr>
            <w:tcW w:w="7776" w:type="dxa"/>
            <w:gridSpan w:val="7"/>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9B35B0">
              <w:t>The new 2013</w:t>
            </w:r>
            <w:r w:rsidR="009F0F49">
              <w:noBreakHyphen/>
            </w:r>
            <w:r w:rsidRPr="009B35B0">
              <w:t>14 performance measure is a disaggregation of the 2012</w:t>
            </w:r>
            <w:r w:rsidR="009F0F49">
              <w:noBreakHyphen/>
            </w:r>
            <w:r w:rsidRPr="009B35B0">
              <w:t>13 performance measure ‘Reduction in crimes against property’. The new performance measure better informs the public about drivers underpinning public confidence in reporting crime.</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Number of alcohol screening tests conducted</w:t>
            </w:r>
          </w:p>
        </w:tc>
        <w:tc>
          <w:tcPr>
            <w:tcW w:w="907" w:type="dxa"/>
            <w:gridSpan w:val="2"/>
            <w:tcBorders>
              <w:top w:val="nil"/>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1 100 000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1 100 000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1 100 000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3155" w:type="dxa"/>
            <w:tcBorders>
              <w:top w:val="single" w:sz="8" w:space="0" w:color="auto"/>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Number of prohibited drug screening tests conducted</w:t>
            </w:r>
          </w:p>
        </w:tc>
        <w:tc>
          <w:tcPr>
            <w:tcW w:w="907" w:type="dxa"/>
            <w:gridSpan w:val="2"/>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single" w:sz="8"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40</w:t>
            </w:r>
            <w:r>
              <w:rPr>
                <w:color w:val="000000" w:themeColor="text1"/>
                <w:lang w:eastAsia="en-AU"/>
              </w:rPr>
              <w:t> </w:t>
            </w:r>
            <w:r w:rsidRPr="00A475B8">
              <w:rPr>
                <w:color w:val="000000" w:themeColor="text1"/>
                <w:lang w:eastAsia="en-AU"/>
              </w:rPr>
              <w:t>000</w:t>
            </w:r>
            <w:r>
              <w:rPr>
                <w:color w:val="000000" w:themeColor="text1"/>
                <w:lang w:eastAsia="en-AU"/>
              </w:rPr>
              <w:t> </w:t>
            </w:r>
          </w:p>
        </w:tc>
        <w:tc>
          <w:tcPr>
            <w:tcW w:w="993"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25</w:t>
            </w:r>
            <w:r>
              <w:rPr>
                <w:color w:val="000000" w:themeColor="text1"/>
                <w:lang w:eastAsia="en-AU"/>
              </w:rPr>
              <w:t> </w:t>
            </w:r>
            <w:r w:rsidRPr="00A475B8">
              <w:rPr>
                <w:color w:val="000000" w:themeColor="text1"/>
                <w:lang w:eastAsia="en-AU"/>
              </w:rPr>
              <w:t>700</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25</w:t>
            </w:r>
            <w:r>
              <w:rPr>
                <w:color w:val="000000" w:themeColor="text1"/>
                <w:lang w:eastAsia="en-AU"/>
              </w:rPr>
              <w:t> </w:t>
            </w:r>
            <w:r w:rsidRPr="00A475B8">
              <w:rPr>
                <w:color w:val="000000" w:themeColor="text1"/>
                <w:lang w:eastAsia="en-AU"/>
              </w:rPr>
              <w:t>700</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7"/>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higher 2013</w:t>
            </w:r>
            <w:r w:rsidR="009F0F49">
              <w:noBreakHyphen/>
            </w:r>
            <w:r w:rsidRPr="00A475B8">
              <w:t xml:space="preserve">14 Target reflects the inclusion of all drug screening tests conducted, not just those delivered through random breath test operations. The change is due to the implementation of improved reporting processes. </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Quality</w:t>
            </w:r>
          </w:p>
        </w:tc>
        <w:tc>
          <w:tcPr>
            <w:tcW w:w="907" w:type="dxa"/>
            <w:gridSpan w:val="2"/>
            <w:tcBorders>
              <w:top w:val="nil"/>
              <w:left w:val="nil"/>
              <w:right w:val="nil"/>
            </w:tcBorders>
            <w:shd w:val="clear" w:color="auto" w:fill="auto"/>
            <w:vAlign w:val="center"/>
            <w:hideMark/>
          </w:tcPr>
          <w:p w:rsidR="00B958B1" w:rsidRPr="00A475B8" w:rsidRDefault="00B958B1" w:rsidP="009F3B54">
            <w:pPr>
              <w:pStyle w:val="OGUoM"/>
              <w:rPr>
                <w:color w:val="000000" w:themeColor="text1"/>
                <w:lang w:eastAsia="en-AU"/>
              </w:rPr>
            </w:pPr>
            <w:r w:rsidRPr="00A475B8">
              <w:rPr>
                <w:color w:val="000000" w:themeColor="text1"/>
                <w:lang w:eastAsia="en-AU"/>
              </w:rPr>
              <w:t> </w:t>
            </w:r>
          </w:p>
        </w:tc>
        <w:tc>
          <w:tcPr>
            <w:tcW w:w="907" w:type="dxa"/>
            <w:tcBorders>
              <w:top w:val="nil"/>
              <w:left w:val="nil"/>
              <w:bottom w:val="nil"/>
              <w:right w:val="nil"/>
            </w:tcBorders>
            <w:shd w:val="clear" w:color="auto" w:fill="D9D9D9"/>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Proportion of community satisfied with policing services (general satisfaction)</w:t>
            </w:r>
          </w:p>
        </w:tc>
        <w:tc>
          <w:tcPr>
            <w:tcW w:w="907" w:type="dxa"/>
            <w:gridSpan w:val="2"/>
            <w:tcBorders>
              <w:top w:val="nil"/>
              <w:left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75</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75.9</w:t>
            </w:r>
          </w:p>
        </w:tc>
      </w:tr>
      <w:tr w:rsidR="00B958B1" w:rsidRPr="00A475B8" w:rsidTr="009F3B54">
        <w:trPr>
          <w:cantSplit/>
        </w:trPr>
        <w:tc>
          <w:tcPr>
            <w:tcW w:w="7776" w:type="dxa"/>
            <w:gridSpan w:val="7"/>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166DF9">
              <w:t>The 2012</w:t>
            </w:r>
            <w:r w:rsidR="009F0F49">
              <w:noBreakHyphen/>
            </w:r>
            <w:r w:rsidRPr="00166DF9">
              <w:t>13 Expected Outcome is higher than the 2012</w:t>
            </w:r>
            <w:r w:rsidR="009F0F49">
              <w:noBreakHyphen/>
            </w:r>
            <w:r w:rsidRPr="00166DF9">
              <w:t>13 Target due to better than expected performance for this measure.</w:t>
            </w:r>
            <w:r w:rsidRPr="00A475B8">
              <w:t xml:space="preserve"> </w:t>
            </w:r>
          </w:p>
        </w:tc>
      </w:tr>
      <w:tr w:rsidR="00B958B1" w:rsidRPr="00A475B8" w:rsidTr="009F3B54">
        <w:trPr>
          <w:cantSplit/>
        </w:trPr>
        <w:tc>
          <w:tcPr>
            <w:tcW w:w="3155" w:type="dxa"/>
            <w:tcBorders>
              <w:top w:val="single" w:sz="8" w:space="0" w:color="auto"/>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Proportion of the community who have confidence in police (an integrity indicator)</w:t>
            </w:r>
          </w:p>
        </w:tc>
        <w:tc>
          <w:tcPr>
            <w:tcW w:w="907" w:type="dxa"/>
            <w:gridSpan w:val="2"/>
            <w:tcBorders>
              <w:top w:val="nil"/>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single" w:sz="8"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83</w:t>
            </w:r>
          </w:p>
        </w:tc>
        <w:tc>
          <w:tcPr>
            <w:tcW w:w="993"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83</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85.1</w:t>
            </w:r>
          </w:p>
        </w:tc>
      </w:tr>
      <w:tr w:rsidR="00B958B1" w:rsidRPr="00A475B8" w:rsidTr="009F3B54">
        <w:trPr>
          <w:cantSplit/>
        </w:trPr>
        <w:tc>
          <w:tcPr>
            <w:tcW w:w="3155" w:type="dxa"/>
            <w:tcBorders>
              <w:top w:val="single" w:sz="8" w:space="0" w:color="auto"/>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Proportion of drivers tested who comply with alcohol limits</w:t>
            </w:r>
          </w:p>
        </w:tc>
        <w:tc>
          <w:tcPr>
            <w:tcW w:w="907" w:type="dxa"/>
            <w:gridSpan w:val="2"/>
            <w:tcBorders>
              <w:top w:val="nil"/>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single" w:sz="8" w:space="0" w:color="auto"/>
              <w:left w:val="nil"/>
              <w:bottom w:val="single" w:sz="8"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99.5</w:t>
            </w:r>
          </w:p>
        </w:tc>
        <w:tc>
          <w:tcPr>
            <w:tcW w:w="993" w:type="dxa"/>
            <w:tcBorders>
              <w:top w:val="single" w:sz="8" w:space="0" w:color="auto"/>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99.8</w:t>
            </w:r>
          </w:p>
        </w:tc>
        <w:tc>
          <w:tcPr>
            <w:tcW w:w="907" w:type="dxa"/>
            <w:tcBorders>
              <w:top w:val="single" w:sz="8" w:space="0" w:color="auto"/>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99.5</w:t>
            </w:r>
          </w:p>
        </w:tc>
        <w:tc>
          <w:tcPr>
            <w:tcW w:w="907" w:type="dxa"/>
            <w:tcBorders>
              <w:top w:val="single" w:sz="8" w:space="0" w:color="auto"/>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99.8</w:t>
            </w:r>
          </w:p>
        </w:tc>
      </w:tr>
      <w:tr w:rsidR="00B958B1" w:rsidRPr="00A475B8" w:rsidTr="009F3B54">
        <w:trPr>
          <w:cantSplit/>
        </w:trPr>
        <w:tc>
          <w:tcPr>
            <w:tcW w:w="3155" w:type="dxa"/>
            <w:tcBorders>
              <w:top w:val="nil"/>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Proportion of drivers tested who comply with posted speed limits</w:t>
            </w:r>
          </w:p>
        </w:tc>
        <w:tc>
          <w:tcPr>
            <w:tcW w:w="907" w:type="dxa"/>
            <w:gridSpan w:val="2"/>
            <w:tcBorders>
              <w:top w:val="nil"/>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single" w:sz="8"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99.5</w:t>
            </w:r>
          </w:p>
        </w:tc>
        <w:tc>
          <w:tcPr>
            <w:tcW w:w="993"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99.8</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99.5</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99.8</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Proportion of drivers tested who return clear result for prohibited drugs</w:t>
            </w:r>
          </w:p>
        </w:tc>
        <w:tc>
          <w:tcPr>
            <w:tcW w:w="907" w:type="dxa"/>
            <w:gridSpan w:val="2"/>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94</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94</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98</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96</w:t>
            </w:r>
          </w:p>
        </w:tc>
      </w:tr>
      <w:tr w:rsidR="00B958B1" w:rsidRPr="00A475B8" w:rsidTr="009F3B54">
        <w:trPr>
          <w:cantSplit/>
        </w:trPr>
        <w:tc>
          <w:tcPr>
            <w:tcW w:w="7776" w:type="dxa"/>
            <w:gridSpan w:val="7"/>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lower 2013</w:t>
            </w:r>
            <w:r w:rsidR="009F0F49">
              <w:noBreakHyphen/>
            </w:r>
            <w:r w:rsidRPr="00A475B8">
              <w:t>14 Target reflects a change in operational practice by Victoria Police to target high risk locations.</w:t>
            </w:r>
          </w:p>
        </w:tc>
      </w:tr>
      <w:tr w:rsidR="00B958B1" w:rsidRPr="00A475B8" w:rsidTr="009F3B54">
        <w:trPr>
          <w:cantSplit/>
        </w:trPr>
        <w:tc>
          <w:tcPr>
            <w:tcW w:w="3155" w:type="dxa"/>
            <w:tcBorders>
              <w:top w:val="nil"/>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Proportion of successful prosecution outcomes</w:t>
            </w:r>
          </w:p>
        </w:tc>
        <w:tc>
          <w:tcPr>
            <w:tcW w:w="907" w:type="dxa"/>
            <w:gridSpan w:val="2"/>
            <w:tcBorders>
              <w:top w:val="nil"/>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single" w:sz="8"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92</w:t>
            </w:r>
          </w:p>
        </w:tc>
        <w:tc>
          <w:tcPr>
            <w:tcW w:w="993"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92.5</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92</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93</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Victoria Police regions with plans, procedures and resources in place for the bushfire season</w:t>
            </w:r>
          </w:p>
        </w:tc>
        <w:tc>
          <w:tcPr>
            <w:tcW w:w="907" w:type="dxa"/>
            <w:gridSpan w:val="2"/>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100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7"/>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new 2013</w:t>
            </w:r>
            <w:r w:rsidR="009F0F49">
              <w:noBreakHyphen/>
            </w:r>
            <w:r w:rsidRPr="00A475B8">
              <w:t xml:space="preserve">14 performance measure informs the public about Victoria Police’s preparedness to respond to a fire related </w:t>
            </w:r>
            <w:r>
              <w:t>emergency</w:t>
            </w:r>
            <w:r w:rsidRPr="00A475B8">
              <w:t>. It reports on an important area of Victoria Police activity (pre</w:t>
            </w:r>
            <w:r w:rsidR="009F0F49">
              <w:noBreakHyphen/>
            </w:r>
            <w:r w:rsidRPr="00A475B8">
              <w:t>fire season training) and capability directly linked to community safety.</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Head"/>
              <w:rPr>
                <w:lang w:eastAsia="en-AU"/>
              </w:rPr>
            </w:pPr>
            <w:r w:rsidRPr="0016616A">
              <w:rPr>
                <w:iCs/>
                <w:color w:val="000000" w:themeColor="text1"/>
                <w:lang w:eastAsia="en-AU"/>
              </w:rPr>
              <w:t>Timeliness</w:t>
            </w:r>
          </w:p>
        </w:tc>
        <w:tc>
          <w:tcPr>
            <w:tcW w:w="907" w:type="dxa"/>
            <w:gridSpan w:val="2"/>
            <w:tcBorders>
              <w:top w:val="nil"/>
              <w:left w:val="nil"/>
              <w:bottom w:val="nil"/>
              <w:right w:val="nil"/>
            </w:tcBorders>
            <w:shd w:val="clear" w:color="auto" w:fill="auto"/>
            <w:vAlign w:val="center"/>
            <w:hideMark/>
          </w:tcPr>
          <w:p w:rsidR="00B958B1" w:rsidRPr="00A475B8" w:rsidRDefault="00B958B1" w:rsidP="009F3B54">
            <w:pPr>
              <w:pStyle w:val="OGUoM"/>
              <w:rPr>
                <w:color w:val="000000" w:themeColor="text1"/>
                <w:lang w:eastAsia="en-AU"/>
              </w:rPr>
            </w:pPr>
            <w:r w:rsidRPr="00A475B8">
              <w:rPr>
                <w:color w:val="000000" w:themeColor="text1"/>
                <w:lang w:eastAsia="en-AU"/>
              </w:rPr>
              <w:t> </w:t>
            </w:r>
          </w:p>
        </w:tc>
        <w:tc>
          <w:tcPr>
            <w:tcW w:w="907" w:type="dxa"/>
            <w:tcBorders>
              <w:top w:val="nil"/>
              <w:left w:val="nil"/>
              <w:bottom w:val="nil"/>
              <w:right w:val="nil"/>
            </w:tcBorders>
            <w:shd w:val="clear" w:color="auto" w:fill="D9D9D9"/>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Proportion of crimes against the person resolved within 30</w:t>
            </w:r>
            <w:r>
              <w:rPr>
                <w:color w:val="000000" w:themeColor="text1"/>
                <w:lang w:eastAsia="en-AU"/>
              </w:rPr>
              <w:t> </w:t>
            </w:r>
            <w:r w:rsidRPr="00A475B8">
              <w:rPr>
                <w:color w:val="000000" w:themeColor="text1"/>
                <w:lang w:eastAsia="en-AU"/>
              </w:rPr>
              <w:t>days</w:t>
            </w:r>
          </w:p>
        </w:tc>
        <w:tc>
          <w:tcPr>
            <w:tcW w:w="907" w:type="dxa"/>
            <w:gridSpan w:val="2"/>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36</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38.3</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54</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55</w:t>
            </w:r>
          </w:p>
        </w:tc>
      </w:tr>
      <w:tr w:rsidR="00B958B1" w:rsidRPr="00A475B8" w:rsidTr="009F3B54">
        <w:trPr>
          <w:cantSplit/>
        </w:trPr>
        <w:tc>
          <w:tcPr>
            <w:tcW w:w="7776" w:type="dxa"/>
            <w:gridSpan w:val="7"/>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t>The 2012</w:t>
            </w:r>
            <w:r w:rsidR="009F0F49">
              <w:noBreakHyphen/>
            </w:r>
            <w:r>
              <w:t>13 Expected Outcome and 2013</w:t>
            </w:r>
            <w:r w:rsidR="009F0F49">
              <w:noBreakHyphen/>
            </w:r>
            <w:r>
              <w:t>14 Target are</w:t>
            </w:r>
            <w:r w:rsidRPr="00A475B8">
              <w:t xml:space="preserve"> lower than the 2012</w:t>
            </w:r>
            <w:r w:rsidR="009F0F49">
              <w:noBreakHyphen/>
            </w:r>
            <w:r w:rsidRPr="00A475B8">
              <w:t xml:space="preserve">13 Target due to implementation of an Office of Police Integrity recommendation for the removal of Intent to Summons offences from the ‘actual’ result. </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Proportion of property crime resolved within 30 days</w:t>
            </w:r>
          </w:p>
        </w:tc>
        <w:tc>
          <w:tcPr>
            <w:tcW w:w="907" w:type="dxa"/>
            <w:gridSpan w:val="2"/>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19</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19.2</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21</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18.8</w:t>
            </w:r>
          </w:p>
        </w:tc>
      </w:tr>
      <w:tr w:rsidR="00B958B1" w:rsidRPr="00A475B8" w:rsidTr="009F3B54">
        <w:trPr>
          <w:cantSplit/>
        </w:trPr>
        <w:tc>
          <w:tcPr>
            <w:tcW w:w="7776" w:type="dxa"/>
            <w:gridSpan w:val="7"/>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 xml:space="preserve">13 Expected Outcome </w:t>
            </w:r>
            <w:r>
              <w:t>and 2013</w:t>
            </w:r>
            <w:r w:rsidR="009F0F49">
              <w:noBreakHyphen/>
            </w:r>
            <w:r>
              <w:t>14 Target are</w:t>
            </w:r>
            <w:r w:rsidRPr="00A475B8">
              <w:t xml:space="preserve"> lower than the 2012</w:t>
            </w:r>
            <w:r w:rsidR="009F0F49">
              <w:noBreakHyphen/>
            </w:r>
            <w:r w:rsidRPr="00A475B8">
              <w:t xml:space="preserve">13 Target due to implementation of an Office of Police Integrity (OPI) recommendation for the removal of Intent to Summons offences from the ‘actual’ result. </w:t>
            </w:r>
          </w:p>
        </w:tc>
      </w:tr>
      <w:tr w:rsidR="00B958B1" w:rsidRPr="00A475B8" w:rsidTr="009F3B54">
        <w:trPr>
          <w:cantSplit/>
        </w:trPr>
        <w:tc>
          <w:tcPr>
            <w:tcW w:w="3155" w:type="dxa"/>
            <w:tcBorders>
              <w:top w:val="nil"/>
              <w:left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Cost</w:t>
            </w:r>
          </w:p>
        </w:tc>
        <w:tc>
          <w:tcPr>
            <w:tcW w:w="907" w:type="dxa"/>
            <w:gridSpan w:val="2"/>
            <w:tcBorders>
              <w:top w:val="nil"/>
              <w:left w:val="nil"/>
              <w:right w:val="nil"/>
            </w:tcBorders>
            <w:shd w:val="clear" w:color="auto" w:fill="auto"/>
            <w:vAlign w:val="center"/>
            <w:hideMark/>
          </w:tcPr>
          <w:p w:rsidR="00B958B1" w:rsidRPr="00A475B8" w:rsidRDefault="00B958B1" w:rsidP="009F3B54">
            <w:pPr>
              <w:pStyle w:val="OGUoM"/>
              <w:rPr>
                <w:color w:val="000000" w:themeColor="text1"/>
                <w:lang w:eastAsia="en-AU"/>
              </w:rPr>
            </w:pPr>
            <w:r w:rsidRPr="00A475B8">
              <w:rPr>
                <w:color w:val="000000" w:themeColor="text1"/>
                <w:lang w:eastAsia="en-AU"/>
              </w:rPr>
              <w:t> </w:t>
            </w:r>
          </w:p>
        </w:tc>
        <w:tc>
          <w:tcPr>
            <w:tcW w:w="907" w:type="dxa"/>
            <w:tcBorders>
              <w:top w:val="nil"/>
              <w:left w:val="nil"/>
              <w:right w:val="nil"/>
            </w:tcBorders>
            <w:shd w:val="clear" w:color="auto" w:fill="D9D9D9"/>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nil"/>
              <w:left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nil"/>
              <w:left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261BBF"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Total output cost</w:t>
            </w:r>
          </w:p>
        </w:tc>
        <w:tc>
          <w:tcPr>
            <w:tcW w:w="907" w:type="dxa"/>
            <w:gridSpan w:val="2"/>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w:t>
            </w:r>
            <w:r>
              <w:rPr>
                <w:color w:val="000000" w:themeColor="text1"/>
                <w:lang w:eastAsia="en-AU"/>
              </w:rPr>
              <w:t> million</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Pr>
                <w:color w:val="000000" w:themeColor="text1"/>
                <w:lang w:eastAsia="en-AU"/>
              </w:rPr>
              <w:t xml:space="preserve">2 282.7 </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2 120.0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w:t>
            </w:r>
            <w:r>
              <w:rPr>
                <w:color w:val="000000" w:themeColor="text1"/>
                <w:lang w:eastAsia="en-AU"/>
              </w:rPr>
              <w:t> </w:t>
            </w:r>
            <w:r w:rsidRPr="00A475B8">
              <w:rPr>
                <w:color w:val="000000" w:themeColor="text1"/>
                <w:lang w:eastAsia="en-AU"/>
              </w:rPr>
              <w:t>107.6</w:t>
            </w:r>
          </w:p>
        </w:tc>
        <w:tc>
          <w:tcPr>
            <w:tcW w:w="907" w:type="dxa"/>
            <w:tcBorders>
              <w:top w:val="nil"/>
              <w:left w:val="nil"/>
              <w:bottom w:val="nil"/>
              <w:right w:val="nil"/>
            </w:tcBorders>
            <w:shd w:val="clear" w:color="auto" w:fill="auto"/>
            <w:hideMark/>
          </w:tcPr>
          <w:p w:rsidR="00B958B1" w:rsidRPr="00261BBF" w:rsidRDefault="00B958B1" w:rsidP="009F3B54">
            <w:pPr>
              <w:pStyle w:val="OGTableofFigures"/>
              <w:rPr>
                <w:lang w:eastAsia="en-AU"/>
              </w:rPr>
            </w:pPr>
            <w:r w:rsidRPr="00261BBF">
              <w:rPr>
                <w:lang w:eastAsia="en-AU"/>
              </w:rPr>
              <w:t>2 092.9</w:t>
            </w:r>
          </w:p>
        </w:tc>
      </w:tr>
      <w:tr w:rsidR="00B958B1" w:rsidRPr="00261BBF" w:rsidTr="009F3B54">
        <w:trPr>
          <w:cantSplit/>
        </w:trPr>
        <w:tc>
          <w:tcPr>
            <w:tcW w:w="7776" w:type="dxa"/>
            <w:gridSpan w:val="7"/>
            <w:tcBorders>
              <w:top w:val="nil"/>
              <w:left w:val="nil"/>
              <w:bottom w:val="single" w:sz="12" w:space="0" w:color="auto"/>
              <w:right w:val="nil"/>
            </w:tcBorders>
            <w:shd w:val="clear" w:color="auto" w:fill="auto"/>
            <w:vAlign w:val="center"/>
          </w:tcPr>
          <w:p w:rsidR="00B958B1" w:rsidRPr="00261BBF" w:rsidRDefault="00B958B1" w:rsidP="009F3B54">
            <w:pPr>
              <w:pStyle w:val="OGNotes"/>
            </w:pPr>
            <w:r w:rsidRPr="00261BBF">
              <w:t>The higher 2013</w:t>
            </w:r>
            <w:r w:rsidR="009F0F49">
              <w:noBreakHyphen/>
            </w:r>
            <w:r w:rsidRPr="00261BBF">
              <w:t>14 Target reflects incremental funding for the 940 Protective Service</w:t>
            </w:r>
            <w:r>
              <w:t>s</w:t>
            </w:r>
            <w:r w:rsidRPr="00261BBF">
              <w:t xml:space="preserve"> Officers and 1</w:t>
            </w:r>
            <w:r>
              <w:t> </w:t>
            </w:r>
            <w:r w:rsidRPr="00261BBF">
              <w:t>700 new frontline police.</w:t>
            </w:r>
          </w:p>
        </w:tc>
      </w:tr>
    </w:tbl>
    <w:bookmarkEnd w:id="120"/>
    <w:p w:rsidR="00B958B1" w:rsidRDefault="00B958B1" w:rsidP="009F3B54">
      <w:pPr>
        <w:pStyle w:val="Source"/>
      </w:pPr>
      <w:r>
        <w:t>Source: Department of Justice</w:t>
      </w:r>
    </w:p>
    <w:p w:rsidR="00B958B1" w:rsidRDefault="00B958B1" w:rsidP="009F3B54">
      <w:pPr>
        <w:pStyle w:val="Source"/>
        <w:rPr>
          <w:color w:val="000000" w:themeColor="text1"/>
        </w:rPr>
      </w:pPr>
      <w:r>
        <w:rPr>
          <w:color w:val="000000" w:themeColor="text1"/>
        </w:rPr>
        <w:fldChar w:fldCharType="begin"/>
      </w:r>
      <w:r>
        <w:instrText xml:space="preserve"> XE "</w:instrText>
      </w:r>
      <w:r w:rsidRPr="00F577CE">
        <w:instrText>Department of Justice:Policing</w:instrText>
      </w:r>
      <w:r>
        <w:instrText xml:space="preserve">" \r "BP3DOJPolicing" </w:instrText>
      </w:r>
      <w:r>
        <w:rPr>
          <w:color w:val="000000" w:themeColor="text1"/>
        </w:rPr>
        <w:fldChar w:fldCharType="end"/>
      </w:r>
    </w:p>
    <w:p w:rsidR="00B958B1" w:rsidRPr="00A475B8" w:rsidRDefault="00B958B1" w:rsidP="009F3B54">
      <w:pPr>
        <w:pStyle w:val="OGHeading1"/>
        <w:rPr>
          <w:lang w:eastAsia="en-AU"/>
        </w:rPr>
      </w:pPr>
      <w:r>
        <w:br w:type="page"/>
      </w:r>
      <w:bookmarkStart w:id="121" w:name="BP3DOJInfringandEnhancCommSafty"/>
      <w:r w:rsidRPr="00A475B8">
        <w:rPr>
          <w:lang w:eastAsia="en-AU"/>
        </w:rPr>
        <w:t>Infringements and Enhancing Community Safety</w:t>
      </w:r>
    </w:p>
    <w:p w:rsidR="00B958B1" w:rsidRPr="00A475B8" w:rsidRDefault="00B958B1" w:rsidP="009F3B54">
      <w:pPr>
        <w:pStyle w:val="OGText"/>
        <w:rPr>
          <w:lang w:eastAsia="en-AU"/>
        </w:rPr>
      </w:pPr>
      <w:r w:rsidRPr="00A475B8">
        <w:rPr>
          <w:lang w:eastAsia="en-AU"/>
        </w:rPr>
        <w:t xml:space="preserve">This output group reports on activities relating to the fair and effective enforcement of judicial fines, court orders and warrants, and processing of traffic infringement notices. </w:t>
      </w:r>
    </w:p>
    <w:p w:rsidR="00B958B1" w:rsidRPr="00A475B8" w:rsidRDefault="00B958B1" w:rsidP="009F3B54">
      <w:pPr>
        <w:pStyle w:val="OGText"/>
        <w:rPr>
          <w:lang w:eastAsia="en-AU"/>
        </w:rPr>
      </w:pPr>
      <w:r w:rsidRPr="00A475B8">
        <w:rPr>
          <w:lang w:eastAsia="en-AU"/>
        </w:rPr>
        <w:t>It also reports on prevention activities aimed at enhancing community safety through the implementation of strategies to support local community engagement in crime prevention activities.</w:t>
      </w:r>
    </w:p>
    <w:p w:rsidR="00B958B1" w:rsidRPr="00A475B8" w:rsidRDefault="00B958B1" w:rsidP="009F3B54">
      <w:pPr>
        <w:pStyle w:val="OGText"/>
        <w:rPr>
          <w:lang w:eastAsia="en-AU"/>
        </w:rPr>
      </w:pPr>
      <w:r w:rsidRPr="00A475B8">
        <w:rPr>
          <w:lang w:eastAsia="en-AU"/>
        </w:rPr>
        <w:t>This output group contributes to the Department’s objective of improving community safety through policing, law enforcement and prevention activities.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A475B8" w:rsidTr="009F3B54">
        <w:trPr>
          <w:cantSplit/>
          <w:tblHeader/>
        </w:trPr>
        <w:tc>
          <w:tcPr>
            <w:tcW w:w="3155" w:type="dxa"/>
            <w:tcBorders>
              <w:top w:val="single" w:sz="4" w:space="0" w:color="auto"/>
              <w:left w:val="single" w:sz="4" w:space="0" w:color="auto"/>
              <w:bottom w:val="single" w:sz="4" w:space="0" w:color="auto"/>
              <w:right w:val="nil"/>
            </w:tcBorders>
            <w:shd w:val="clear" w:color="auto" w:fill="000000"/>
            <w:vAlign w:val="bottom"/>
          </w:tcPr>
          <w:p w:rsidR="00B958B1" w:rsidRPr="008840F3" w:rsidRDefault="00B958B1" w:rsidP="009F3B54">
            <w:pPr>
              <w:pStyle w:val="OGTabColLeft"/>
              <w:rPr>
                <w:i/>
                <w:color w:val="FFFFFF" w:themeColor="background1"/>
              </w:rPr>
            </w:pPr>
            <w:r w:rsidRPr="008840F3">
              <w:rPr>
                <w:color w:val="FFFFFF" w:themeColor="background1"/>
              </w:rPr>
              <w:t>Major Outputs/Deliverables</w:t>
            </w:r>
            <w:r w:rsidRPr="008840F3">
              <w:rPr>
                <w:color w:val="FFFFFF" w:themeColor="background1"/>
              </w:rPr>
              <w:br/>
            </w:r>
            <w:r w:rsidRPr="008840F3">
              <w:rPr>
                <w:b w:val="0"/>
                <w:i/>
                <w:color w:val="FFFFFF" w:themeColor="background1"/>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Centred"/>
              <w:rPr>
                <w:color w:val="FFFFFF" w:themeColor="background1"/>
              </w:rPr>
            </w:pPr>
            <w:r w:rsidRPr="008840F3">
              <w:rPr>
                <w:color w:val="FFFFFF" w:themeColor="background1"/>
              </w:rPr>
              <w:t xml:space="preserve">Unit of </w:t>
            </w:r>
            <w:r w:rsidRPr="008840F3">
              <w:rPr>
                <w:color w:val="FFFFFF" w:themeColor="background1"/>
              </w:rPr>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2013</w:t>
            </w:r>
            <w:r w:rsidR="009F0F49">
              <w:rPr>
                <w:color w:val="FFFFFF" w:themeColor="background1"/>
              </w:rPr>
              <w:noBreakHyphen/>
            </w:r>
            <w:r w:rsidRPr="008840F3">
              <w:rPr>
                <w:color w:val="FFFFFF" w:themeColor="background1"/>
              </w:rPr>
              <w:t>14 Target</w:t>
            </w:r>
          </w:p>
        </w:tc>
        <w:tc>
          <w:tcPr>
            <w:tcW w:w="993"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2012</w:t>
            </w:r>
            <w:r w:rsidR="009F0F49">
              <w:rPr>
                <w:color w:val="FFFFFF" w:themeColor="background1"/>
              </w:rPr>
              <w:noBreakHyphen/>
            </w:r>
            <w:r w:rsidRPr="008840F3">
              <w:rPr>
                <w:color w:val="FFFFFF" w:themeColor="background1"/>
              </w:rPr>
              <w:t>13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2012</w:t>
            </w:r>
            <w:r w:rsidR="009F0F49">
              <w:rPr>
                <w:color w:val="FFFFFF" w:themeColor="background1"/>
              </w:rPr>
              <w:noBreakHyphen/>
            </w:r>
            <w:r w:rsidRPr="008840F3">
              <w:rPr>
                <w:color w:val="FFFFFF" w:themeColor="background1"/>
              </w:rPr>
              <w:t>13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2011</w:t>
            </w:r>
            <w:r w:rsidR="009F0F49">
              <w:rPr>
                <w:color w:val="FFFFFF" w:themeColor="background1"/>
              </w:rPr>
              <w:noBreakHyphen/>
            </w:r>
            <w:r w:rsidRPr="008840F3">
              <w:rPr>
                <w:color w:val="FFFFFF" w:themeColor="background1"/>
              </w:rPr>
              <w:t>12 Actual</w:t>
            </w:r>
          </w:p>
        </w:tc>
      </w:tr>
      <w:tr w:rsidR="00B958B1" w:rsidRPr="00A475B8" w:rsidTr="009F3B54">
        <w:trPr>
          <w:cantSplit/>
        </w:trPr>
        <w:tc>
          <w:tcPr>
            <w:tcW w:w="7776" w:type="dxa"/>
            <w:gridSpan w:val="6"/>
            <w:tcBorders>
              <w:top w:val="nil"/>
              <w:left w:val="nil"/>
              <w:right w:val="nil"/>
            </w:tcBorders>
            <w:shd w:val="clear" w:color="auto" w:fill="auto"/>
            <w:vAlign w:val="center"/>
            <w:hideMark/>
          </w:tcPr>
          <w:p w:rsidR="00B958B1" w:rsidRPr="00A475B8" w:rsidRDefault="00B958B1" w:rsidP="009F3B54">
            <w:pPr>
              <w:pStyle w:val="OGHeading2"/>
              <w:rPr>
                <w:bCs/>
                <w:color w:val="000000" w:themeColor="text1"/>
                <w:lang w:eastAsia="en-AU"/>
              </w:rPr>
            </w:pPr>
            <w:r w:rsidRPr="00A475B8">
              <w:rPr>
                <w:color w:val="000000" w:themeColor="text1"/>
                <w:lang w:eastAsia="en-AU"/>
              </w:rPr>
              <w:t>Infringement and Orders Management</w:t>
            </w:r>
          </w:p>
        </w:tc>
      </w:tr>
      <w:tr w:rsidR="00B958B1" w:rsidRPr="00A475B8" w:rsidTr="009F3B54">
        <w:trPr>
          <w:cantSplit/>
          <w:trHeight w:val="1785"/>
        </w:trPr>
        <w:tc>
          <w:tcPr>
            <w:tcW w:w="7776" w:type="dxa"/>
            <w:gridSpan w:val="6"/>
            <w:tcBorders>
              <w:top w:val="nil"/>
              <w:left w:val="nil"/>
              <w:bottom w:val="single" w:sz="6" w:space="0" w:color="auto"/>
              <w:right w:val="nil"/>
            </w:tcBorders>
            <w:shd w:val="clear" w:color="auto" w:fill="auto"/>
            <w:vAlign w:val="center"/>
            <w:hideMark/>
          </w:tcPr>
          <w:p w:rsidR="00B958B1" w:rsidRPr="00A475B8" w:rsidRDefault="00B958B1" w:rsidP="009F3B54">
            <w:pPr>
              <w:pStyle w:val="OGText"/>
              <w:rPr>
                <w:lang w:eastAsia="en-AU"/>
              </w:rPr>
            </w:pPr>
            <w:r w:rsidRPr="00A475B8">
              <w:rPr>
                <w:lang w:eastAsia="en-AU"/>
              </w:rPr>
              <w:t xml:space="preserve">This output reports on activities relating to the management of traffic infringement notices, the confiscation of assets obtained through criminal activity and enforcement action by the Office of the Sheriff. </w:t>
            </w:r>
          </w:p>
          <w:p w:rsidR="00B958B1" w:rsidRPr="00A475B8" w:rsidRDefault="00B958B1" w:rsidP="009F3B54">
            <w:pPr>
              <w:pStyle w:val="OGText"/>
              <w:rPr>
                <w:lang w:eastAsia="en-AU"/>
              </w:rPr>
            </w:pPr>
            <w:r w:rsidRPr="00A475B8">
              <w:rPr>
                <w:lang w:eastAsia="en-AU"/>
              </w:rPr>
              <w:t>These activities serve as an administrative method for dealing with minor criminal offences, where a person alleged to have committed an offence has the option of paying a fixed penalty rather than going to court. The fixed penalty is intended to serve as a deterrent.</w:t>
            </w:r>
          </w:p>
        </w:tc>
      </w:tr>
      <w:tr w:rsidR="00B958B1" w:rsidRPr="00A475B8" w:rsidTr="009F3B54">
        <w:trPr>
          <w:cantSplit/>
        </w:trPr>
        <w:tc>
          <w:tcPr>
            <w:tcW w:w="3155"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Quantity</w:t>
            </w:r>
          </w:p>
        </w:tc>
        <w:tc>
          <w:tcPr>
            <w:tcW w:w="907" w:type="dxa"/>
            <w:tcBorders>
              <w:top w:val="single" w:sz="6" w:space="0" w:color="auto"/>
              <w:left w:val="nil"/>
              <w:bottom w:val="nil"/>
              <w:right w:val="nil"/>
            </w:tcBorders>
            <w:shd w:val="clear" w:color="auto" w:fill="auto"/>
            <w:vAlign w:val="center"/>
            <w:hideMark/>
          </w:tcPr>
          <w:p w:rsidR="00B958B1" w:rsidRPr="00A475B8" w:rsidRDefault="00B958B1" w:rsidP="009F3B54">
            <w:pPr>
              <w:pStyle w:val="OGUoM"/>
              <w:rPr>
                <w:color w:val="000000" w:themeColor="text1"/>
                <w:lang w:eastAsia="en-AU"/>
              </w:rPr>
            </w:pPr>
          </w:p>
        </w:tc>
        <w:tc>
          <w:tcPr>
            <w:tcW w:w="907" w:type="dxa"/>
            <w:tcBorders>
              <w:top w:val="single" w:sz="6" w:space="0" w:color="auto"/>
              <w:left w:val="nil"/>
              <w:bottom w:val="nil"/>
              <w:right w:val="nil"/>
            </w:tcBorders>
            <w:shd w:val="clear" w:color="auto" w:fill="D9D9D9"/>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c>
          <w:tcPr>
            <w:tcW w:w="907"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c>
          <w:tcPr>
            <w:tcW w:w="907"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Warrants actioned</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single" w:sz="8"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900</w:t>
            </w:r>
            <w:r>
              <w:rPr>
                <w:color w:val="000000" w:themeColor="text1"/>
                <w:lang w:eastAsia="en-AU"/>
              </w:rPr>
              <w:t> </w:t>
            </w:r>
            <w:r w:rsidRPr="00A475B8">
              <w:rPr>
                <w:color w:val="000000" w:themeColor="text1"/>
                <w:lang w:eastAsia="en-AU"/>
              </w:rPr>
              <w:t>000</w:t>
            </w:r>
          </w:p>
        </w:tc>
        <w:tc>
          <w:tcPr>
            <w:tcW w:w="993"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900</w:t>
            </w:r>
            <w:r>
              <w:rPr>
                <w:color w:val="000000" w:themeColor="text1"/>
                <w:lang w:eastAsia="en-AU"/>
              </w:rPr>
              <w:t> </w:t>
            </w:r>
            <w:r w:rsidRPr="00A475B8">
              <w:rPr>
                <w:color w:val="000000" w:themeColor="text1"/>
                <w:lang w:eastAsia="en-AU"/>
              </w:rPr>
              <w:t>000</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900</w:t>
            </w:r>
            <w:r>
              <w:rPr>
                <w:color w:val="000000" w:themeColor="text1"/>
                <w:lang w:eastAsia="en-AU"/>
              </w:rPr>
              <w:t> </w:t>
            </w:r>
            <w:r w:rsidRPr="00A475B8">
              <w:rPr>
                <w:color w:val="000000" w:themeColor="text1"/>
                <w:lang w:eastAsia="en-AU"/>
              </w:rPr>
              <w:t>000</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871</w:t>
            </w:r>
            <w:r>
              <w:rPr>
                <w:color w:val="000000" w:themeColor="text1"/>
                <w:lang w:eastAsia="en-AU"/>
              </w:rPr>
              <w:t> </w:t>
            </w:r>
            <w:r w:rsidRPr="00A475B8">
              <w:rPr>
                <w:color w:val="000000" w:themeColor="text1"/>
                <w:lang w:eastAsia="en-AU"/>
              </w:rPr>
              <w:t>134</w:t>
            </w:r>
          </w:p>
        </w:tc>
      </w:tr>
      <w:tr w:rsidR="00B958B1" w:rsidRPr="00A475B8" w:rsidTr="009F3B54">
        <w:trPr>
          <w:cantSplit/>
          <w:trHeight w:val="842"/>
        </w:trPr>
        <w:tc>
          <w:tcPr>
            <w:tcW w:w="3155" w:type="dxa"/>
            <w:tcBorders>
              <w:top w:val="single" w:sz="8" w:space="0" w:color="auto"/>
              <w:left w:val="nil"/>
              <w:bottom w:val="single" w:sz="6"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Infringement notices processed</w:t>
            </w:r>
          </w:p>
        </w:tc>
        <w:tc>
          <w:tcPr>
            <w:tcW w:w="907" w:type="dxa"/>
            <w:tcBorders>
              <w:top w:val="single" w:sz="8" w:space="0" w:color="auto"/>
              <w:left w:val="nil"/>
              <w:bottom w:val="single" w:sz="6"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 (million)</w:t>
            </w:r>
          </w:p>
        </w:tc>
        <w:tc>
          <w:tcPr>
            <w:tcW w:w="907" w:type="dxa"/>
            <w:tcBorders>
              <w:top w:val="single" w:sz="8" w:space="0" w:color="auto"/>
              <w:left w:val="nil"/>
              <w:bottom w:val="single" w:sz="6"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Pr>
                <w:color w:val="000000" w:themeColor="text1"/>
                <w:lang w:eastAsia="en-AU"/>
              </w:rPr>
              <w:t xml:space="preserve">2.8 to </w:t>
            </w:r>
            <w:r w:rsidRPr="00A475B8">
              <w:rPr>
                <w:color w:val="000000" w:themeColor="text1"/>
                <w:lang w:eastAsia="en-AU"/>
              </w:rPr>
              <w:t>3</w:t>
            </w:r>
          </w:p>
        </w:tc>
        <w:tc>
          <w:tcPr>
            <w:tcW w:w="993" w:type="dxa"/>
            <w:tcBorders>
              <w:top w:val="single" w:sz="8"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3</w:t>
            </w:r>
            <w:r>
              <w:rPr>
                <w:color w:val="000000" w:themeColor="text1"/>
                <w:lang w:eastAsia="en-AU"/>
              </w:rPr>
              <w:t>.0</w:t>
            </w:r>
          </w:p>
        </w:tc>
        <w:tc>
          <w:tcPr>
            <w:tcW w:w="907" w:type="dxa"/>
            <w:tcBorders>
              <w:top w:val="single" w:sz="8"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 xml:space="preserve">2.8 to </w:t>
            </w:r>
            <w:r w:rsidRPr="00A475B8">
              <w:rPr>
                <w:color w:val="000000" w:themeColor="text1"/>
                <w:lang w:eastAsia="en-AU"/>
              </w:rPr>
              <w:t>3</w:t>
            </w:r>
          </w:p>
        </w:tc>
        <w:tc>
          <w:tcPr>
            <w:tcW w:w="907" w:type="dxa"/>
            <w:tcBorders>
              <w:top w:val="single" w:sz="8"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2.85 </w:t>
            </w:r>
          </w:p>
        </w:tc>
      </w:tr>
      <w:tr w:rsidR="00B958B1" w:rsidRPr="00A475B8" w:rsidTr="009F3B54">
        <w:trPr>
          <w:cantSplit/>
        </w:trPr>
        <w:tc>
          <w:tcPr>
            <w:tcW w:w="3155"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Quality</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p>
        </w:tc>
        <w:tc>
          <w:tcPr>
            <w:tcW w:w="907" w:type="dxa"/>
            <w:tcBorders>
              <w:top w:val="single" w:sz="6"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Prosecutable images</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93</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94</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93</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95.3</w:t>
            </w:r>
          </w:p>
        </w:tc>
      </w:tr>
      <w:tr w:rsidR="00B958B1" w:rsidRPr="00A475B8" w:rsidTr="009F3B54">
        <w:trPr>
          <w:cantSplit/>
        </w:trPr>
        <w:tc>
          <w:tcPr>
            <w:tcW w:w="3155" w:type="dxa"/>
            <w:tcBorders>
              <w:top w:val="single" w:sz="8" w:space="0" w:color="auto"/>
              <w:left w:val="nil"/>
              <w:bottom w:val="nil"/>
              <w:right w:val="nil"/>
            </w:tcBorders>
            <w:shd w:val="clear" w:color="auto" w:fill="auto"/>
            <w:vAlign w:val="center"/>
            <w:hideMark/>
          </w:tcPr>
          <w:p w:rsidR="00B958B1" w:rsidRPr="00A475B8" w:rsidRDefault="00B958B1" w:rsidP="009F3B54">
            <w:pPr>
              <w:pStyle w:val="OGTabHead"/>
              <w:rPr>
                <w:lang w:eastAsia="en-AU"/>
              </w:rPr>
            </w:pPr>
            <w:r w:rsidRPr="0016616A">
              <w:rPr>
                <w:iCs/>
                <w:color w:val="000000" w:themeColor="text1"/>
                <w:lang w:eastAsia="en-AU"/>
              </w:rPr>
              <w:t>Timeliness</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p>
        </w:tc>
        <w:tc>
          <w:tcPr>
            <w:tcW w:w="907" w:type="dxa"/>
            <w:tcBorders>
              <w:top w:val="single" w:sz="8"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Clearance of infringements within 180 days</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75</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75</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75</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77.3</w:t>
            </w:r>
          </w:p>
        </w:tc>
      </w:tr>
      <w:tr w:rsidR="00B958B1" w:rsidRPr="00A475B8" w:rsidTr="009F3B54">
        <w:trPr>
          <w:cantSplit/>
        </w:trPr>
        <w:tc>
          <w:tcPr>
            <w:tcW w:w="3155" w:type="dxa"/>
            <w:tcBorders>
              <w:top w:val="single" w:sz="8" w:space="0" w:color="auto"/>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Assets converted within 90</w:t>
            </w:r>
            <w:r>
              <w:rPr>
                <w:color w:val="000000" w:themeColor="text1"/>
                <w:lang w:eastAsia="en-AU"/>
              </w:rPr>
              <w:t> </w:t>
            </w:r>
            <w:r w:rsidRPr="00A475B8">
              <w:rPr>
                <w:color w:val="000000" w:themeColor="text1"/>
                <w:lang w:eastAsia="en-AU"/>
              </w:rPr>
              <w:t>day conversion cycle</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single" w:sz="8"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93"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88</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86.6</w:t>
            </w:r>
          </w:p>
        </w:tc>
      </w:tr>
      <w:tr w:rsidR="00B958B1" w:rsidRPr="00A475B8" w:rsidTr="009F3B54">
        <w:trPr>
          <w:cantSplit/>
        </w:trPr>
        <w:tc>
          <w:tcPr>
            <w:tcW w:w="3155" w:type="dxa"/>
            <w:tcBorders>
              <w:top w:val="single" w:sz="8" w:space="0" w:color="auto"/>
              <w:left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Cost</w:t>
            </w:r>
          </w:p>
        </w:tc>
        <w:tc>
          <w:tcPr>
            <w:tcW w:w="907" w:type="dxa"/>
            <w:tcBorders>
              <w:top w:val="single" w:sz="8" w:space="0" w:color="auto"/>
              <w:left w:val="nil"/>
              <w:right w:val="nil"/>
            </w:tcBorders>
            <w:shd w:val="clear" w:color="auto" w:fill="auto"/>
            <w:hideMark/>
          </w:tcPr>
          <w:p w:rsidR="00B958B1" w:rsidRPr="00A475B8" w:rsidRDefault="00B958B1" w:rsidP="009F3B54">
            <w:pPr>
              <w:pStyle w:val="OGUoM"/>
              <w:rPr>
                <w:color w:val="000000" w:themeColor="text1"/>
                <w:lang w:eastAsia="en-AU"/>
              </w:rPr>
            </w:pPr>
          </w:p>
        </w:tc>
        <w:tc>
          <w:tcPr>
            <w:tcW w:w="907" w:type="dxa"/>
            <w:tcBorders>
              <w:top w:val="single" w:sz="8" w:space="0" w:color="auto"/>
              <w:left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8"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3427E1" w:rsidTr="009F3B54">
        <w:trPr>
          <w:cantSplit/>
        </w:trPr>
        <w:tc>
          <w:tcPr>
            <w:tcW w:w="3155" w:type="dxa"/>
            <w:tcBorders>
              <w:top w:val="nil"/>
              <w:left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Total output cost</w:t>
            </w:r>
          </w:p>
        </w:tc>
        <w:tc>
          <w:tcPr>
            <w:tcW w:w="907" w:type="dxa"/>
            <w:tcBorders>
              <w:top w:val="nil"/>
              <w:left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w:t>
            </w:r>
            <w:r>
              <w:rPr>
                <w:color w:val="000000" w:themeColor="text1"/>
                <w:lang w:eastAsia="en-AU"/>
              </w:rPr>
              <w:t> million</w:t>
            </w:r>
          </w:p>
        </w:tc>
        <w:tc>
          <w:tcPr>
            <w:tcW w:w="907" w:type="dxa"/>
            <w:tcBorders>
              <w:top w:val="nil"/>
              <w:left w:val="nil"/>
              <w:right w:val="nil"/>
            </w:tcBorders>
            <w:shd w:val="clear" w:color="auto" w:fill="D9D9D9"/>
            <w:hideMark/>
          </w:tcPr>
          <w:p w:rsidR="00B958B1" w:rsidRPr="003427E1" w:rsidRDefault="00B958B1" w:rsidP="009F3B54">
            <w:pPr>
              <w:pStyle w:val="OGTableofFigures"/>
              <w:rPr>
                <w:color w:val="000000" w:themeColor="text1"/>
                <w:lang w:eastAsia="en-AU"/>
              </w:rPr>
            </w:pPr>
            <w:r>
              <w:rPr>
                <w:color w:val="000000" w:themeColor="text1"/>
                <w:lang w:eastAsia="en-AU"/>
              </w:rPr>
              <w:t>214.9</w:t>
            </w:r>
          </w:p>
        </w:tc>
        <w:tc>
          <w:tcPr>
            <w:tcW w:w="993"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191.4</w:t>
            </w: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222.1</w:t>
            </w:r>
          </w:p>
        </w:tc>
        <w:tc>
          <w:tcPr>
            <w:tcW w:w="907" w:type="dxa"/>
            <w:tcBorders>
              <w:top w:val="nil"/>
              <w:left w:val="nil"/>
              <w:right w:val="nil"/>
            </w:tcBorders>
            <w:shd w:val="clear" w:color="auto" w:fill="auto"/>
            <w:hideMark/>
          </w:tcPr>
          <w:p w:rsidR="00B958B1" w:rsidRPr="003427E1" w:rsidRDefault="00B958B1" w:rsidP="009F3B54">
            <w:pPr>
              <w:pStyle w:val="OGTableofFigures"/>
              <w:rPr>
                <w:lang w:eastAsia="en-AU"/>
              </w:rPr>
            </w:pPr>
            <w:r w:rsidRPr="003427E1">
              <w:rPr>
                <w:lang w:eastAsia="en-AU"/>
              </w:rPr>
              <w:t>177.5</w:t>
            </w:r>
          </w:p>
        </w:tc>
      </w:tr>
      <w:tr w:rsidR="00B958B1" w:rsidRPr="003427E1" w:rsidTr="009F3B54">
        <w:trPr>
          <w:cantSplit/>
        </w:trPr>
        <w:tc>
          <w:tcPr>
            <w:tcW w:w="7776" w:type="dxa"/>
            <w:gridSpan w:val="6"/>
            <w:tcBorders>
              <w:top w:val="nil"/>
              <w:left w:val="nil"/>
              <w:bottom w:val="single" w:sz="6" w:space="0" w:color="auto"/>
              <w:right w:val="nil"/>
            </w:tcBorders>
            <w:shd w:val="clear" w:color="auto" w:fill="auto"/>
            <w:vAlign w:val="center"/>
          </w:tcPr>
          <w:p w:rsidR="00B958B1" w:rsidRPr="00261BBF" w:rsidRDefault="00B958B1" w:rsidP="009F3B54">
            <w:pPr>
              <w:pStyle w:val="OGNotes"/>
            </w:pPr>
            <w:r>
              <w:t>The movement in output cost targets between financial years predominately reflects variations in carryover of funding from 2011</w:t>
            </w:r>
            <w:r w:rsidR="009F0F49">
              <w:noBreakHyphen/>
            </w:r>
            <w:r>
              <w:t>12 into 2012</w:t>
            </w:r>
            <w:r w:rsidR="009F0F49">
              <w:noBreakHyphen/>
            </w:r>
            <w:r>
              <w:t>13 and from 2012</w:t>
            </w:r>
            <w:r w:rsidR="009F0F49">
              <w:noBreakHyphen/>
            </w:r>
            <w:r>
              <w:t>13 into 2013</w:t>
            </w:r>
            <w:r w:rsidR="009F0F49">
              <w:noBreakHyphen/>
            </w:r>
            <w:r>
              <w:t>14</w:t>
            </w:r>
            <w:r w:rsidRPr="009B35B0">
              <w:t>.</w:t>
            </w:r>
          </w:p>
        </w:tc>
      </w:tr>
      <w:tr w:rsidR="00B958B1" w:rsidRPr="00A475B8" w:rsidTr="009F3B54">
        <w:trPr>
          <w:cantSplit/>
        </w:trPr>
        <w:tc>
          <w:tcPr>
            <w:tcW w:w="7776" w:type="dxa"/>
            <w:gridSpan w:val="6"/>
            <w:tcBorders>
              <w:top w:val="single" w:sz="6" w:space="0" w:color="auto"/>
              <w:left w:val="nil"/>
              <w:bottom w:val="nil"/>
              <w:right w:val="nil"/>
            </w:tcBorders>
            <w:shd w:val="clear" w:color="auto" w:fill="auto"/>
            <w:vAlign w:val="center"/>
            <w:hideMark/>
          </w:tcPr>
          <w:p w:rsidR="00B958B1" w:rsidRPr="00A475B8" w:rsidRDefault="00B958B1" w:rsidP="009F3B54">
            <w:pPr>
              <w:pStyle w:val="OGHeading2"/>
              <w:rPr>
                <w:bCs/>
                <w:color w:val="000000" w:themeColor="text1"/>
                <w:lang w:eastAsia="en-AU"/>
              </w:rPr>
            </w:pPr>
            <w:r>
              <w:rPr>
                <w:color w:val="000000" w:themeColor="text1"/>
                <w:lang w:eastAsia="en-AU"/>
              </w:rPr>
              <w:t>Enhancing Community Safety</w:t>
            </w:r>
          </w:p>
        </w:tc>
      </w:tr>
      <w:tr w:rsidR="00B958B1" w:rsidRPr="00A475B8" w:rsidTr="009F3B54">
        <w:trPr>
          <w:cantSplit/>
          <w:trHeight w:val="2837"/>
        </w:trPr>
        <w:tc>
          <w:tcPr>
            <w:tcW w:w="7776" w:type="dxa"/>
            <w:gridSpan w:val="6"/>
            <w:tcBorders>
              <w:top w:val="nil"/>
              <w:left w:val="nil"/>
              <w:bottom w:val="single" w:sz="4" w:space="0" w:color="auto"/>
              <w:right w:val="nil"/>
            </w:tcBorders>
            <w:shd w:val="clear" w:color="auto" w:fill="auto"/>
            <w:vAlign w:val="center"/>
            <w:hideMark/>
          </w:tcPr>
          <w:p w:rsidR="00B958B1" w:rsidRPr="00A475B8" w:rsidRDefault="00B958B1" w:rsidP="009F3B54">
            <w:pPr>
              <w:pStyle w:val="OGText"/>
            </w:pPr>
            <w:r w:rsidRPr="00A475B8">
              <w:t xml:space="preserve">This output delivers programs that focus on enhancing community safety. </w:t>
            </w:r>
          </w:p>
          <w:p w:rsidR="00B958B1" w:rsidRPr="00A475B8" w:rsidRDefault="00B958B1" w:rsidP="009F3B54">
            <w:pPr>
              <w:pStyle w:val="OGText"/>
              <w:rPr>
                <w:lang w:eastAsia="en-AU"/>
              </w:rPr>
            </w:pPr>
            <w:r w:rsidRPr="00A475B8">
              <w:rPr>
                <w:lang w:eastAsia="en-AU"/>
              </w:rPr>
              <w:t xml:space="preserve">The Working with Children Check Unit, through the administration of the </w:t>
            </w:r>
            <w:r w:rsidRPr="00A475B8">
              <w:rPr>
                <w:i/>
                <w:iCs/>
                <w:lang w:eastAsia="en-AU"/>
              </w:rPr>
              <w:t>Working with Children Act 2005</w:t>
            </w:r>
            <w:r w:rsidRPr="00A475B8">
              <w:rPr>
                <w:lang w:eastAsia="en-AU"/>
              </w:rPr>
              <w:t>, aims to reduce the incidence of sexual and physical offences against children by only allowing Victorian adults who pass the working with children check to work with children.</w:t>
            </w:r>
          </w:p>
          <w:p w:rsidR="00B958B1" w:rsidRPr="00A475B8" w:rsidRDefault="00B958B1" w:rsidP="009F3B54">
            <w:pPr>
              <w:pStyle w:val="OGText"/>
              <w:rPr>
                <w:lang w:eastAsia="en-AU"/>
              </w:rPr>
            </w:pPr>
            <w:r w:rsidRPr="00A475B8">
              <w:rPr>
                <w:lang w:eastAsia="en-AU"/>
              </w:rPr>
              <w:t xml:space="preserve">The Community Crime Prevention Program supports local communities in identifying and addressing local crime prevention issues. </w:t>
            </w:r>
          </w:p>
          <w:p w:rsidR="00B958B1" w:rsidRPr="00A475B8" w:rsidRDefault="00B958B1" w:rsidP="009F3B54">
            <w:pPr>
              <w:pStyle w:val="OGText"/>
            </w:pPr>
            <w:r>
              <w:rPr>
                <w:lang w:eastAsia="en-AU"/>
              </w:rPr>
              <w:t xml:space="preserve">Consistent with Victoria’s commitment to the </w:t>
            </w:r>
            <w:r w:rsidRPr="00A475B8">
              <w:rPr>
                <w:lang w:eastAsia="en-AU"/>
              </w:rPr>
              <w:t>Aboriginal Justice Agreement</w:t>
            </w:r>
            <w:r>
              <w:rPr>
                <w:lang w:eastAsia="en-AU"/>
              </w:rPr>
              <w:t>,</w:t>
            </w:r>
            <w:r w:rsidRPr="00A475B8">
              <w:rPr>
                <w:lang w:eastAsia="en-AU"/>
              </w:rPr>
              <w:t xml:space="preserve"> </w:t>
            </w:r>
            <w:r>
              <w:rPr>
                <w:lang w:eastAsia="en-AU"/>
              </w:rPr>
              <w:t xml:space="preserve">other initiatives undertaken </w:t>
            </w:r>
            <w:r w:rsidRPr="00A475B8">
              <w:rPr>
                <w:lang w:eastAsia="en-AU"/>
              </w:rPr>
              <w:t>focus on crime prevention and reducing re</w:t>
            </w:r>
            <w:r w:rsidR="009F0F49">
              <w:rPr>
                <w:lang w:eastAsia="en-AU"/>
              </w:rPr>
              <w:noBreakHyphen/>
            </w:r>
            <w:r w:rsidRPr="00A475B8">
              <w:rPr>
                <w:lang w:eastAsia="en-AU"/>
              </w:rPr>
              <w:t>offending of Koories in the criminal justice system.</w:t>
            </w:r>
          </w:p>
        </w:tc>
      </w:tr>
      <w:tr w:rsidR="00B958B1" w:rsidRPr="00A475B8" w:rsidTr="009F3B54">
        <w:trPr>
          <w:cantSplit/>
        </w:trPr>
        <w:tc>
          <w:tcPr>
            <w:tcW w:w="3155" w:type="dxa"/>
            <w:tcBorders>
              <w:top w:val="single" w:sz="4" w:space="0" w:color="auto"/>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Quantity</w:t>
            </w:r>
          </w:p>
        </w:tc>
        <w:tc>
          <w:tcPr>
            <w:tcW w:w="907" w:type="dxa"/>
            <w:tcBorders>
              <w:top w:val="single" w:sz="4" w:space="0" w:color="auto"/>
              <w:left w:val="nil"/>
              <w:bottom w:val="nil"/>
              <w:right w:val="nil"/>
            </w:tcBorders>
            <w:shd w:val="clear" w:color="auto" w:fill="auto"/>
            <w:vAlign w:val="center"/>
            <w:hideMark/>
          </w:tcPr>
          <w:p w:rsidR="00B958B1" w:rsidRPr="00A475B8" w:rsidRDefault="00B958B1" w:rsidP="009F3B54">
            <w:pPr>
              <w:pStyle w:val="OGUoM"/>
              <w:rPr>
                <w:color w:val="000000" w:themeColor="text1"/>
                <w:lang w:eastAsia="en-AU"/>
              </w:rPr>
            </w:pPr>
          </w:p>
        </w:tc>
        <w:tc>
          <w:tcPr>
            <w:tcW w:w="907" w:type="dxa"/>
            <w:tcBorders>
              <w:top w:val="single" w:sz="4" w:space="0" w:color="auto"/>
              <w:left w:val="nil"/>
              <w:bottom w:val="nil"/>
              <w:right w:val="nil"/>
            </w:tcBorders>
            <w:shd w:val="clear" w:color="auto" w:fill="D9D9D9"/>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4" w:space="0" w:color="auto"/>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c>
          <w:tcPr>
            <w:tcW w:w="907" w:type="dxa"/>
            <w:tcBorders>
              <w:top w:val="single" w:sz="4" w:space="0" w:color="auto"/>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c>
          <w:tcPr>
            <w:tcW w:w="907" w:type="dxa"/>
            <w:tcBorders>
              <w:top w:val="single" w:sz="4" w:space="0" w:color="auto"/>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r>
      <w:tr w:rsidR="00B958B1" w:rsidRPr="00A475B8" w:rsidTr="009F3B54">
        <w:trPr>
          <w:cantSplit/>
          <w:trHeight w:val="608"/>
        </w:trPr>
        <w:tc>
          <w:tcPr>
            <w:tcW w:w="3155" w:type="dxa"/>
            <w:tcBorders>
              <w:top w:val="nil"/>
              <w:left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Number of Working with Children Checks processed</w:t>
            </w:r>
          </w:p>
        </w:tc>
        <w:tc>
          <w:tcPr>
            <w:tcW w:w="907" w:type="dxa"/>
            <w:tcBorders>
              <w:top w:val="nil"/>
              <w:left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 (‘000)</w:t>
            </w:r>
          </w:p>
        </w:tc>
        <w:tc>
          <w:tcPr>
            <w:tcW w:w="907" w:type="dxa"/>
            <w:tcBorders>
              <w:top w:val="nil"/>
              <w:left w:val="nil"/>
              <w:right w:val="nil"/>
            </w:tcBorders>
            <w:shd w:val="clear" w:color="auto" w:fill="D9D9D9"/>
            <w:hideMark/>
          </w:tcPr>
          <w:p w:rsidR="00B958B1" w:rsidRPr="00A475B8" w:rsidRDefault="00B958B1" w:rsidP="009F3B54">
            <w:pPr>
              <w:pStyle w:val="OGTableofFigures"/>
              <w:rPr>
                <w:color w:val="000000" w:themeColor="text1"/>
                <w:lang w:eastAsia="en-AU"/>
              </w:rPr>
            </w:pPr>
            <w:r>
              <w:rPr>
                <w:color w:val="000000" w:themeColor="text1"/>
                <w:lang w:eastAsia="en-AU"/>
              </w:rPr>
              <w:t>200–</w:t>
            </w:r>
            <w:r w:rsidRPr="00A475B8">
              <w:rPr>
                <w:color w:val="000000" w:themeColor="text1"/>
                <w:lang w:eastAsia="en-AU"/>
              </w:rPr>
              <w:t>250</w:t>
            </w:r>
          </w:p>
        </w:tc>
        <w:tc>
          <w:tcPr>
            <w:tcW w:w="993"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257</w:t>
            </w: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230</w:t>
            </w:r>
            <w:r>
              <w:rPr>
                <w:color w:val="000000" w:themeColor="text1"/>
                <w:lang w:eastAsia="en-AU"/>
              </w:rPr>
              <w:t>–</w:t>
            </w:r>
            <w:r w:rsidRPr="00A475B8">
              <w:rPr>
                <w:color w:val="000000" w:themeColor="text1"/>
                <w:lang w:eastAsia="en-AU"/>
              </w:rPr>
              <w:t>280</w:t>
            </w: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180.9</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lower 2013</w:t>
            </w:r>
            <w:r w:rsidR="009F0F49">
              <w:noBreakHyphen/>
            </w:r>
            <w:r w:rsidRPr="00A475B8">
              <w:t xml:space="preserve">14 Target reflects peaks and troughs inherent in the </w:t>
            </w:r>
            <w:r>
              <w:t>five</w:t>
            </w:r>
            <w:r w:rsidRPr="00A475B8">
              <w:t xml:space="preserve"> year cycle of Working </w:t>
            </w:r>
            <w:r>
              <w:t>w</w:t>
            </w:r>
            <w:r w:rsidRPr="00A475B8">
              <w:t xml:space="preserve">ith Children Check applications and </w:t>
            </w:r>
            <w:r w:rsidRPr="009B35B0">
              <w:t>renewals process.</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Square metres of graffiti removed through the Graffiti Removal Program</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 (‘000)</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246</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320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246</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13 Expected Outcome is higher than the 2012</w:t>
            </w:r>
            <w:r w:rsidR="009F0F49">
              <w:noBreakHyphen/>
            </w:r>
            <w:r w:rsidRPr="00A475B8">
              <w:t xml:space="preserve">13 Target due to a lower than anticipated number of days lost to inclement weather this year and improved efficiency. </w:t>
            </w:r>
          </w:p>
        </w:tc>
      </w:tr>
      <w:tr w:rsidR="00B958B1" w:rsidRPr="00A475B8" w:rsidTr="009F3B54">
        <w:trPr>
          <w:cantSplit/>
        </w:trPr>
        <w:tc>
          <w:tcPr>
            <w:tcW w:w="3155" w:type="dxa"/>
            <w:tcBorders>
              <w:top w:val="nil"/>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Crime prevention initiatives established to support the Koori community</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single" w:sz="8"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35</w:t>
            </w:r>
          </w:p>
        </w:tc>
        <w:tc>
          <w:tcPr>
            <w:tcW w:w="993"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35</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35</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35</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Quality</w:t>
            </w: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UoM"/>
              <w:rPr>
                <w:color w:val="000000" w:themeColor="text1"/>
                <w:lang w:eastAsia="en-AU"/>
              </w:rPr>
            </w:pPr>
          </w:p>
        </w:tc>
        <w:tc>
          <w:tcPr>
            <w:tcW w:w="907" w:type="dxa"/>
            <w:tcBorders>
              <w:top w:val="nil"/>
              <w:left w:val="nil"/>
              <w:bottom w:val="nil"/>
              <w:right w:val="nil"/>
            </w:tcBorders>
            <w:shd w:val="clear" w:color="auto" w:fill="D9D9D9"/>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Community Crime Prevention grant payments made against completion of milestones in funding agreement</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100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3155" w:type="dxa"/>
            <w:tcBorders>
              <w:top w:val="single" w:sz="8" w:space="0" w:color="auto"/>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 xml:space="preserve">Issuing of Working with Children Check assessments in accordance with the </w:t>
            </w:r>
            <w:r w:rsidRPr="00A475B8">
              <w:rPr>
                <w:i/>
                <w:iCs/>
                <w:color w:val="000000" w:themeColor="text1"/>
                <w:lang w:eastAsia="en-AU"/>
              </w:rPr>
              <w:t>Working with Children Act 2005</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single" w:sz="8"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100</w:t>
            </w:r>
          </w:p>
        </w:tc>
        <w:tc>
          <w:tcPr>
            <w:tcW w:w="993"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100</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100</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100</w:t>
            </w:r>
          </w:p>
        </w:tc>
      </w:tr>
      <w:tr w:rsidR="00B958B1" w:rsidRPr="00A475B8" w:rsidTr="009F3B54">
        <w:trPr>
          <w:cantSplit/>
        </w:trPr>
        <w:tc>
          <w:tcPr>
            <w:tcW w:w="3155" w:type="dxa"/>
            <w:tcBorders>
              <w:top w:val="single" w:sz="8" w:space="0" w:color="auto"/>
              <w:left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Cost</w:t>
            </w:r>
          </w:p>
        </w:tc>
        <w:tc>
          <w:tcPr>
            <w:tcW w:w="907" w:type="dxa"/>
            <w:tcBorders>
              <w:top w:val="single" w:sz="8" w:space="0" w:color="auto"/>
              <w:left w:val="nil"/>
              <w:right w:val="nil"/>
            </w:tcBorders>
            <w:shd w:val="clear" w:color="auto" w:fill="auto"/>
            <w:hideMark/>
          </w:tcPr>
          <w:p w:rsidR="00B958B1" w:rsidRPr="00A475B8" w:rsidRDefault="00B958B1" w:rsidP="009F3B54">
            <w:pPr>
              <w:pStyle w:val="OGUoM"/>
              <w:rPr>
                <w:color w:val="000000" w:themeColor="text1"/>
                <w:lang w:eastAsia="en-AU"/>
              </w:rPr>
            </w:pPr>
          </w:p>
        </w:tc>
        <w:tc>
          <w:tcPr>
            <w:tcW w:w="907" w:type="dxa"/>
            <w:tcBorders>
              <w:top w:val="single" w:sz="8" w:space="0" w:color="auto"/>
              <w:left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8"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Total output cost</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w:t>
            </w:r>
            <w:r>
              <w:rPr>
                <w:color w:val="000000" w:themeColor="text1"/>
                <w:lang w:eastAsia="en-AU"/>
              </w:rPr>
              <w:t> million</w:t>
            </w:r>
          </w:p>
        </w:tc>
        <w:tc>
          <w:tcPr>
            <w:tcW w:w="907" w:type="dxa"/>
            <w:tcBorders>
              <w:top w:val="nil"/>
              <w:left w:val="nil"/>
              <w:bottom w:val="nil"/>
              <w:right w:val="nil"/>
            </w:tcBorders>
            <w:shd w:val="clear" w:color="auto" w:fill="D9D9D9"/>
            <w:hideMark/>
          </w:tcPr>
          <w:p w:rsidR="00B958B1" w:rsidRPr="002B455A" w:rsidRDefault="00B958B1" w:rsidP="009F3B54">
            <w:pPr>
              <w:pStyle w:val="OGTableofFigures"/>
              <w:rPr>
                <w:color w:val="000000" w:themeColor="text1"/>
                <w:lang w:eastAsia="en-AU"/>
              </w:rPr>
            </w:pPr>
            <w:r>
              <w:rPr>
                <w:color w:val="000000" w:themeColor="text1"/>
                <w:lang w:eastAsia="en-AU"/>
              </w:rPr>
              <w:t>37.8</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43.3</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37.8</w:t>
            </w:r>
          </w:p>
        </w:tc>
        <w:tc>
          <w:tcPr>
            <w:tcW w:w="907" w:type="dxa"/>
            <w:tcBorders>
              <w:top w:val="nil"/>
              <w:left w:val="nil"/>
              <w:bottom w:val="nil"/>
              <w:right w:val="nil"/>
            </w:tcBorders>
            <w:shd w:val="clear" w:color="auto" w:fill="auto"/>
            <w:hideMark/>
          </w:tcPr>
          <w:p w:rsidR="00B958B1" w:rsidRPr="002B455A" w:rsidRDefault="00B958B1" w:rsidP="009F3B54">
            <w:pPr>
              <w:pStyle w:val="OGTableofFigures"/>
              <w:rPr>
                <w:lang w:eastAsia="en-AU"/>
              </w:rPr>
            </w:pPr>
            <w:r w:rsidRPr="002B455A">
              <w:rPr>
                <w:lang w:eastAsia="en-AU"/>
              </w:rPr>
              <w:t>37.5</w:t>
            </w:r>
          </w:p>
        </w:tc>
      </w:tr>
      <w:tr w:rsidR="00B958B1" w:rsidRPr="002B455A" w:rsidTr="009F3B54">
        <w:trPr>
          <w:cantSplit/>
        </w:trPr>
        <w:tc>
          <w:tcPr>
            <w:tcW w:w="7776" w:type="dxa"/>
            <w:gridSpan w:val="6"/>
            <w:tcBorders>
              <w:top w:val="nil"/>
              <w:left w:val="nil"/>
              <w:bottom w:val="single" w:sz="12" w:space="0" w:color="auto"/>
              <w:right w:val="nil"/>
            </w:tcBorders>
            <w:shd w:val="clear" w:color="auto" w:fill="auto"/>
            <w:vAlign w:val="center"/>
          </w:tcPr>
          <w:p w:rsidR="00B958B1" w:rsidRPr="002B455A" w:rsidRDefault="00B958B1" w:rsidP="009F3B54">
            <w:pPr>
              <w:pStyle w:val="OGNotes"/>
            </w:pPr>
            <w:r w:rsidRPr="002B455A">
              <w:t>The 2012</w:t>
            </w:r>
            <w:r w:rsidR="009F0F49">
              <w:noBreakHyphen/>
            </w:r>
            <w:r w:rsidRPr="002B455A">
              <w:t xml:space="preserve">13 Expected Outcome </w:t>
            </w:r>
            <w:r>
              <w:t>is higher than the 2012</w:t>
            </w:r>
            <w:r w:rsidR="009F0F49">
              <w:noBreakHyphen/>
            </w:r>
            <w:r>
              <w:t>13 Target due to a</w:t>
            </w:r>
            <w:r w:rsidRPr="002B455A">
              <w:t xml:space="preserve"> carryover</w:t>
            </w:r>
            <w:r>
              <w:t xml:space="preserve"> of funding</w:t>
            </w:r>
            <w:r w:rsidRPr="002B455A">
              <w:t xml:space="preserve"> from 2011</w:t>
            </w:r>
            <w:r w:rsidR="009F0F49">
              <w:noBreakHyphen/>
            </w:r>
            <w:r>
              <w:t>12.</w:t>
            </w:r>
          </w:p>
        </w:tc>
      </w:tr>
    </w:tbl>
    <w:p w:rsidR="00B958B1" w:rsidRDefault="00B958B1" w:rsidP="009F3B54">
      <w:pPr>
        <w:pStyle w:val="Source"/>
      </w:pPr>
      <w:r>
        <w:t>Source: Department of Justice</w:t>
      </w:r>
    </w:p>
    <w:bookmarkEnd w:id="121"/>
    <w:p w:rsidR="00B958B1" w:rsidRDefault="00B958B1" w:rsidP="009F3B54">
      <w:pPr>
        <w:pStyle w:val="Source"/>
      </w:pPr>
      <w:r>
        <w:fldChar w:fldCharType="begin"/>
      </w:r>
      <w:r>
        <w:instrText xml:space="preserve"> XE "</w:instrText>
      </w:r>
      <w:r w:rsidRPr="007B1D58">
        <w:instrText>Department of Justice:Infringements and Enhancing Community Safety</w:instrText>
      </w:r>
      <w:r>
        <w:instrText xml:space="preserve">" \r "BP3DOJInfringandEnhancCommSafty" </w:instrText>
      </w:r>
      <w:r>
        <w:fldChar w:fldCharType="end"/>
      </w:r>
    </w:p>
    <w:p w:rsidR="00B958B1" w:rsidRPr="00A475B8" w:rsidRDefault="00B958B1" w:rsidP="009F3B54">
      <w:pPr>
        <w:pStyle w:val="OGHeading1"/>
        <w:rPr>
          <w:color w:val="000000" w:themeColor="text1"/>
        </w:rPr>
      </w:pPr>
      <w:r w:rsidRPr="00A475B8">
        <w:rPr>
          <w:color w:val="000000" w:themeColor="text1"/>
        </w:rPr>
        <w:br w:type="page"/>
      </w:r>
      <w:bookmarkStart w:id="122" w:name="BP3DOJCourtSvces"/>
      <w:r w:rsidRPr="005233C2">
        <w:rPr>
          <w:lang w:eastAsia="en-AU"/>
        </w:rPr>
        <w:t>Court Services</w:t>
      </w:r>
    </w:p>
    <w:p w:rsidR="00B958B1" w:rsidRPr="00A475B8" w:rsidRDefault="00B958B1" w:rsidP="009F3B54">
      <w:pPr>
        <w:pStyle w:val="OGText"/>
        <w:rPr>
          <w:lang w:eastAsia="en-AU"/>
        </w:rPr>
      </w:pPr>
      <w:r w:rsidRPr="00A475B8">
        <w:rPr>
          <w:lang w:eastAsia="en-AU"/>
        </w:rPr>
        <w:t xml:space="preserve">This output group </w:t>
      </w:r>
      <w:r>
        <w:rPr>
          <w:lang w:eastAsia="en-AU"/>
        </w:rPr>
        <w:t>delivers</w:t>
      </w:r>
      <w:r w:rsidRPr="00A475B8">
        <w:rPr>
          <w:lang w:eastAsia="en-AU"/>
        </w:rPr>
        <w:t xml:space="preserve"> support</w:t>
      </w:r>
      <w:r>
        <w:rPr>
          <w:lang w:eastAsia="en-AU"/>
        </w:rPr>
        <w:t xml:space="preserve"> to</w:t>
      </w:r>
      <w:r w:rsidRPr="00A475B8">
        <w:rPr>
          <w:lang w:eastAsia="en-AU"/>
        </w:rPr>
        <w:t xml:space="preserve"> the State’s judiciary in its dispensation of criminal and civil matters, maintaining the administrative operations of the system of courts and statutory tribunals, and providing appropriate civil dispute resolution mechanisms. </w:t>
      </w:r>
    </w:p>
    <w:p w:rsidR="00B958B1" w:rsidRPr="00A475B8" w:rsidRDefault="00B958B1" w:rsidP="009F3B54">
      <w:pPr>
        <w:pStyle w:val="OGText"/>
        <w:rPr>
          <w:lang w:eastAsia="en-AU"/>
        </w:rPr>
      </w:pPr>
      <w:r w:rsidRPr="00A475B8">
        <w:rPr>
          <w:lang w:eastAsia="en-AU"/>
        </w:rPr>
        <w:t>This output group contributes to the Department’s objective of improving the efficiency of court processes.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A475B8" w:rsidTr="009F3B54">
        <w:trPr>
          <w:cantSplit/>
          <w:tblHeader/>
        </w:trPr>
        <w:tc>
          <w:tcPr>
            <w:tcW w:w="3155" w:type="dxa"/>
            <w:tcBorders>
              <w:top w:val="single" w:sz="4" w:space="0" w:color="auto"/>
              <w:left w:val="single" w:sz="4" w:space="0" w:color="auto"/>
              <w:bottom w:val="single" w:sz="4" w:space="0" w:color="auto"/>
              <w:right w:val="nil"/>
            </w:tcBorders>
            <w:shd w:val="clear" w:color="auto" w:fill="000000"/>
            <w:vAlign w:val="bottom"/>
          </w:tcPr>
          <w:p w:rsidR="00B958B1" w:rsidRPr="008840F3" w:rsidRDefault="00B958B1" w:rsidP="009F3B54">
            <w:pPr>
              <w:pStyle w:val="OGTabColLeft"/>
              <w:rPr>
                <w:i/>
                <w:color w:val="FFFFFF" w:themeColor="background1"/>
              </w:rPr>
            </w:pPr>
            <w:r w:rsidRPr="008840F3">
              <w:rPr>
                <w:color w:val="FFFFFF" w:themeColor="background1"/>
              </w:rPr>
              <w:t>Major Outputs/Deliverables</w:t>
            </w:r>
            <w:r w:rsidRPr="008840F3">
              <w:rPr>
                <w:color w:val="FFFFFF" w:themeColor="background1"/>
              </w:rPr>
              <w:br/>
            </w:r>
            <w:r w:rsidRPr="008840F3">
              <w:rPr>
                <w:b w:val="0"/>
                <w:i/>
                <w:color w:val="FFFFFF" w:themeColor="background1"/>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Centred"/>
              <w:rPr>
                <w:color w:val="FFFFFF" w:themeColor="background1"/>
              </w:rPr>
            </w:pPr>
            <w:r w:rsidRPr="008840F3">
              <w:rPr>
                <w:color w:val="FFFFFF" w:themeColor="background1"/>
              </w:rPr>
              <w:t xml:space="preserve">Unit of </w:t>
            </w:r>
            <w:r w:rsidRPr="008840F3">
              <w:rPr>
                <w:color w:val="FFFFFF" w:themeColor="background1"/>
              </w:rPr>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2013</w:t>
            </w:r>
            <w:r w:rsidR="009F0F49">
              <w:rPr>
                <w:color w:val="FFFFFF" w:themeColor="background1"/>
              </w:rPr>
              <w:noBreakHyphen/>
            </w:r>
            <w:r w:rsidRPr="008840F3">
              <w:rPr>
                <w:color w:val="FFFFFF" w:themeColor="background1"/>
              </w:rPr>
              <w:t>14 Target</w:t>
            </w:r>
          </w:p>
        </w:tc>
        <w:tc>
          <w:tcPr>
            <w:tcW w:w="993"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2012</w:t>
            </w:r>
            <w:r w:rsidR="009F0F49">
              <w:rPr>
                <w:color w:val="FFFFFF" w:themeColor="background1"/>
              </w:rPr>
              <w:noBreakHyphen/>
            </w:r>
            <w:r w:rsidRPr="008840F3">
              <w:rPr>
                <w:color w:val="FFFFFF" w:themeColor="background1"/>
              </w:rPr>
              <w:t>13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2012</w:t>
            </w:r>
            <w:r w:rsidR="009F0F49">
              <w:rPr>
                <w:color w:val="FFFFFF" w:themeColor="background1"/>
              </w:rPr>
              <w:noBreakHyphen/>
            </w:r>
            <w:r w:rsidRPr="008840F3">
              <w:rPr>
                <w:color w:val="FFFFFF" w:themeColor="background1"/>
              </w:rPr>
              <w:t>13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2011</w:t>
            </w:r>
            <w:r w:rsidR="009F0F49">
              <w:rPr>
                <w:color w:val="FFFFFF" w:themeColor="background1"/>
              </w:rPr>
              <w:noBreakHyphen/>
            </w:r>
            <w:r w:rsidRPr="008840F3">
              <w:rPr>
                <w:color w:val="FFFFFF" w:themeColor="background1"/>
              </w:rPr>
              <w:t>12 Actual</w:t>
            </w:r>
          </w:p>
        </w:tc>
      </w:tr>
      <w:tr w:rsidR="00B958B1" w:rsidRPr="00A475B8" w:rsidTr="009F3B54">
        <w:trPr>
          <w:cantSplit/>
        </w:trPr>
        <w:tc>
          <w:tcPr>
            <w:tcW w:w="7776" w:type="dxa"/>
            <w:gridSpan w:val="6"/>
            <w:tcBorders>
              <w:top w:val="nil"/>
              <w:left w:val="nil"/>
              <w:bottom w:val="nil"/>
              <w:right w:val="nil"/>
            </w:tcBorders>
            <w:shd w:val="clear" w:color="auto" w:fill="auto"/>
            <w:vAlign w:val="center"/>
            <w:hideMark/>
          </w:tcPr>
          <w:p w:rsidR="00B958B1" w:rsidRPr="00A475B8" w:rsidRDefault="00B958B1" w:rsidP="009F3B54">
            <w:pPr>
              <w:pStyle w:val="OGHeading2"/>
              <w:rPr>
                <w:bCs/>
                <w:color w:val="000000" w:themeColor="text1"/>
                <w:lang w:eastAsia="en-AU"/>
              </w:rPr>
            </w:pPr>
            <w:r w:rsidRPr="005233C2">
              <w:rPr>
                <w:color w:val="000000" w:themeColor="text1"/>
                <w:lang w:eastAsia="en-AU"/>
              </w:rPr>
              <w:t>Court Services</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This output includes services provided by the Supreme Court of Victoria, County Court of Victoria, Magistrates’ Court of Victoria, Children’s Court of Victoria, Coroner’s Court, and Victorian Civil and Administrative Tribunal.</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Quantity</w:t>
            </w: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UoM"/>
              <w:rPr>
                <w:color w:val="000000" w:themeColor="text1"/>
                <w:lang w:eastAsia="en-AU"/>
              </w:rPr>
            </w:pP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r>
      <w:tr w:rsidR="00B958B1" w:rsidRPr="003F6320" w:rsidTr="009F3B54">
        <w:trPr>
          <w:cantSplit/>
        </w:trPr>
        <w:tc>
          <w:tcPr>
            <w:tcW w:w="3155" w:type="dxa"/>
            <w:tcBorders>
              <w:top w:val="nil"/>
              <w:left w:val="nil"/>
              <w:bottom w:val="nil"/>
              <w:right w:val="nil"/>
            </w:tcBorders>
            <w:shd w:val="clear" w:color="auto" w:fill="auto"/>
            <w:vAlign w:val="center"/>
            <w:hideMark/>
          </w:tcPr>
          <w:p w:rsidR="00B958B1" w:rsidRPr="009B35B0" w:rsidRDefault="00B958B1" w:rsidP="009F3B54">
            <w:pPr>
              <w:pStyle w:val="OGTabText"/>
              <w:rPr>
                <w:color w:val="000000" w:themeColor="text1"/>
                <w:lang w:eastAsia="en-AU"/>
              </w:rPr>
            </w:pPr>
            <w:r w:rsidRPr="009B35B0">
              <w:rPr>
                <w:color w:val="000000" w:themeColor="text1"/>
                <w:lang w:eastAsia="en-AU"/>
              </w:rPr>
              <w:t>Criminal matters disposed in the Supreme Court</w:t>
            </w:r>
          </w:p>
        </w:tc>
        <w:tc>
          <w:tcPr>
            <w:tcW w:w="907" w:type="dxa"/>
            <w:tcBorders>
              <w:top w:val="nil"/>
              <w:left w:val="nil"/>
              <w:bottom w:val="nil"/>
              <w:right w:val="nil"/>
            </w:tcBorders>
            <w:shd w:val="clear" w:color="auto" w:fill="auto"/>
            <w:hideMark/>
          </w:tcPr>
          <w:p w:rsidR="00B958B1" w:rsidRPr="009B35B0" w:rsidRDefault="00B958B1" w:rsidP="009F3B54">
            <w:pPr>
              <w:pStyle w:val="OGUoM"/>
              <w:rPr>
                <w:color w:val="000000" w:themeColor="text1"/>
                <w:lang w:eastAsia="en-AU"/>
              </w:rPr>
            </w:pPr>
            <w:r w:rsidRPr="009B35B0">
              <w:rPr>
                <w:color w:val="000000" w:themeColor="text1"/>
                <w:lang w:eastAsia="en-AU"/>
              </w:rPr>
              <w:t>number</w:t>
            </w:r>
          </w:p>
        </w:tc>
        <w:tc>
          <w:tcPr>
            <w:tcW w:w="907" w:type="dxa"/>
            <w:tcBorders>
              <w:top w:val="nil"/>
              <w:left w:val="nil"/>
              <w:bottom w:val="nil"/>
              <w:right w:val="nil"/>
            </w:tcBorders>
            <w:shd w:val="clear" w:color="auto" w:fill="D9D9D9"/>
            <w:hideMark/>
          </w:tcPr>
          <w:p w:rsidR="00B958B1" w:rsidRPr="009B35B0" w:rsidRDefault="00B958B1" w:rsidP="009F3B54">
            <w:pPr>
              <w:pStyle w:val="OGTableofFigures"/>
              <w:rPr>
                <w:color w:val="000000" w:themeColor="text1"/>
                <w:lang w:eastAsia="en-AU"/>
              </w:rPr>
            </w:pPr>
            <w:r w:rsidRPr="009B35B0">
              <w:rPr>
                <w:color w:val="000000" w:themeColor="text1"/>
                <w:lang w:eastAsia="en-AU"/>
              </w:rPr>
              <w:t>440</w:t>
            </w:r>
          </w:p>
        </w:tc>
        <w:tc>
          <w:tcPr>
            <w:tcW w:w="993" w:type="dxa"/>
            <w:tcBorders>
              <w:top w:val="nil"/>
              <w:left w:val="nil"/>
              <w:bottom w:val="nil"/>
              <w:right w:val="nil"/>
            </w:tcBorders>
            <w:shd w:val="clear" w:color="auto" w:fill="auto"/>
            <w:hideMark/>
          </w:tcPr>
          <w:p w:rsidR="00B958B1" w:rsidRPr="009B35B0" w:rsidRDefault="00B958B1" w:rsidP="009F3B54">
            <w:pPr>
              <w:pStyle w:val="OGTableofFigures"/>
              <w:rPr>
                <w:color w:val="000000" w:themeColor="text1"/>
                <w:lang w:eastAsia="en-AU"/>
              </w:rPr>
            </w:pPr>
            <w:r w:rsidRPr="009B35B0">
              <w:rPr>
                <w:color w:val="000000" w:themeColor="text1"/>
                <w:lang w:eastAsia="en-AU"/>
              </w:rPr>
              <w:t>440</w:t>
            </w:r>
          </w:p>
        </w:tc>
        <w:tc>
          <w:tcPr>
            <w:tcW w:w="907" w:type="dxa"/>
            <w:tcBorders>
              <w:top w:val="nil"/>
              <w:left w:val="nil"/>
              <w:bottom w:val="nil"/>
              <w:right w:val="nil"/>
            </w:tcBorders>
            <w:shd w:val="clear" w:color="auto" w:fill="auto"/>
            <w:hideMark/>
          </w:tcPr>
          <w:p w:rsidR="00B958B1" w:rsidRPr="009B35B0" w:rsidRDefault="00B958B1" w:rsidP="009F3B54">
            <w:pPr>
              <w:pStyle w:val="OGTableofFigures"/>
              <w:rPr>
                <w:color w:val="000000" w:themeColor="text1"/>
                <w:lang w:eastAsia="en-AU"/>
              </w:rPr>
            </w:pPr>
            <w:r w:rsidRPr="009B35B0">
              <w:rPr>
                <w:color w:val="000000" w:themeColor="text1"/>
                <w:lang w:eastAsia="en-AU"/>
              </w:rPr>
              <w:t>700</w:t>
            </w:r>
          </w:p>
        </w:tc>
        <w:tc>
          <w:tcPr>
            <w:tcW w:w="907" w:type="dxa"/>
            <w:tcBorders>
              <w:top w:val="nil"/>
              <w:left w:val="nil"/>
              <w:bottom w:val="nil"/>
              <w:right w:val="nil"/>
            </w:tcBorders>
            <w:shd w:val="clear" w:color="auto" w:fill="auto"/>
            <w:hideMark/>
          </w:tcPr>
          <w:p w:rsidR="00B958B1" w:rsidRPr="009B35B0" w:rsidRDefault="00B958B1" w:rsidP="009F3B54">
            <w:pPr>
              <w:pStyle w:val="OGTableofFigures"/>
              <w:rPr>
                <w:color w:val="000000" w:themeColor="text1"/>
                <w:lang w:eastAsia="en-AU"/>
              </w:rPr>
            </w:pPr>
            <w:r w:rsidRPr="009B35B0">
              <w:rPr>
                <w:color w:val="000000" w:themeColor="text1"/>
                <w:lang w:eastAsia="en-AU"/>
              </w:rPr>
              <w:t>657</w:t>
            </w:r>
          </w:p>
        </w:tc>
      </w:tr>
      <w:tr w:rsidR="00B958B1" w:rsidRPr="009B35B0"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9B35B0" w:rsidRDefault="00B958B1" w:rsidP="009F3B54">
            <w:pPr>
              <w:pStyle w:val="OGNotes"/>
            </w:pPr>
            <w:r>
              <w:t>The lower 2012</w:t>
            </w:r>
            <w:r w:rsidR="009F0F49">
              <w:noBreakHyphen/>
            </w:r>
            <w:r>
              <w:t>13 Expected Outcome and 2013</w:t>
            </w:r>
            <w:r w:rsidR="009F0F49">
              <w:noBreakHyphen/>
            </w:r>
            <w:r>
              <w:t>14 T</w:t>
            </w:r>
            <w:r w:rsidRPr="001509F4">
              <w:t>arget reflect the impact of criminal appeal reforms in the Court of Appeal which have contributed to a reduction in the number of appeals.</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Criminal matters disposed in the County Court</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w:t>
            </w:r>
            <w:r>
              <w:rPr>
                <w:color w:val="000000" w:themeColor="text1"/>
                <w:lang w:eastAsia="en-AU"/>
              </w:rPr>
              <w:t> </w:t>
            </w:r>
            <w:r w:rsidRPr="00A475B8">
              <w:rPr>
                <w:color w:val="000000" w:themeColor="text1"/>
                <w:lang w:eastAsia="en-AU"/>
              </w:rPr>
              <w:t>500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w:t>
            </w:r>
            <w:r>
              <w:rPr>
                <w:color w:val="000000" w:themeColor="text1"/>
                <w:lang w:eastAsia="en-AU"/>
              </w:rPr>
              <w:t> </w:t>
            </w:r>
            <w:r w:rsidRPr="00A475B8">
              <w:rPr>
                <w:color w:val="000000" w:themeColor="text1"/>
                <w:lang w:eastAsia="en-AU"/>
              </w:rPr>
              <w:t>950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w:t>
            </w:r>
            <w:r>
              <w:rPr>
                <w:color w:val="000000" w:themeColor="text1"/>
                <w:lang w:eastAsia="en-AU"/>
              </w:rPr>
              <w:t> </w:t>
            </w:r>
            <w:r w:rsidRPr="00A475B8">
              <w:rPr>
                <w:color w:val="000000" w:themeColor="text1"/>
                <w:lang w:eastAsia="en-AU"/>
              </w:rPr>
              <w:t>500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w:t>
            </w:r>
            <w:r>
              <w:rPr>
                <w:color w:val="000000" w:themeColor="text1"/>
                <w:lang w:eastAsia="en-AU"/>
              </w:rPr>
              <w:t> </w:t>
            </w:r>
            <w:r w:rsidRPr="00A475B8">
              <w:rPr>
                <w:color w:val="000000" w:themeColor="text1"/>
                <w:lang w:eastAsia="en-AU"/>
              </w:rPr>
              <w:t>436</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 xml:space="preserve">13 Expected Outcome is </w:t>
            </w:r>
            <w:r>
              <w:t>higher than</w:t>
            </w:r>
            <w:r w:rsidRPr="00A475B8">
              <w:t xml:space="preserve"> the 2012</w:t>
            </w:r>
            <w:r w:rsidR="009F0F49">
              <w:noBreakHyphen/>
            </w:r>
            <w:r w:rsidRPr="00A475B8">
              <w:t>13 Target due to a higher than anticipated number of criminal matters being disposed in the County Court.</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Criminal matters disposed in the Magistrates’ Court</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178</w:t>
            </w:r>
            <w:r>
              <w:rPr>
                <w:color w:val="000000" w:themeColor="text1"/>
                <w:lang w:eastAsia="en-AU"/>
              </w:rPr>
              <w:t> </w:t>
            </w:r>
            <w:r w:rsidRPr="00A475B8">
              <w:rPr>
                <w:color w:val="000000" w:themeColor="text1"/>
                <w:lang w:eastAsia="en-AU"/>
              </w:rPr>
              <w:t>000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184</w:t>
            </w:r>
            <w:r>
              <w:rPr>
                <w:color w:val="000000" w:themeColor="text1"/>
                <w:lang w:eastAsia="en-AU"/>
              </w:rPr>
              <w:t> </w:t>
            </w:r>
            <w:r w:rsidRPr="00A475B8">
              <w:rPr>
                <w:color w:val="000000" w:themeColor="text1"/>
                <w:lang w:eastAsia="en-AU"/>
              </w:rPr>
              <w:t>408</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170</w:t>
            </w:r>
            <w:r>
              <w:rPr>
                <w:color w:val="000000" w:themeColor="text1"/>
                <w:lang w:eastAsia="en-AU"/>
              </w:rPr>
              <w:t> </w:t>
            </w:r>
            <w:r w:rsidRPr="00A475B8">
              <w:rPr>
                <w:color w:val="000000" w:themeColor="text1"/>
                <w:lang w:eastAsia="en-AU"/>
              </w:rPr>
              <w:t>000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180</w:t>
            </w:r>
            <w:r>
              <w:rPr>
                <w:color w:val="000000" w:themeColor="text1"/>
                <w:lang w:eastAsia="en-AU"/>
              </w:rPr>
              <w:t> </w:t>
            </w:r>
            <w:r w:rsidRPr="00A475B8">
              <w:rPr>
                <w:color w:val="000000" w:themeColor="text1"/>
                <w:lang w:eastAsia="en-AU"/>
              </w:rPr>
              <w:t>731</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 xml:space="preserve">13 Expected Outcome is </w:t>
            </w:r>
            <w:r>
              <w:t>higher than</w:t>
            </w:r>
            <w:r w:rsidRPr="00A475B8">
              <w:t xml:space="preserve"> the 2012</w:t>
            </w:r>
            <w:r w:rsidR="009F0F49">
              <w:noBreakHyphen/>
            </w:r>
            <w:r w:rsidRPr="00A475B8">
              <w:t>13 Target due to a higher than anticipated number of criminal matters being disposed in the Magistrates’ Court. The higher 2013</w:t>
            </w:r>
            <w:r w:rsidR="009F0F49">
              <w:noBreakHyphen/>
            </w:r>
            <w:r w:rsidRPr="00A475B8">
              <w:t>14 Target reflects historic performance for this measure.</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Criminal matters disposed in the Children’s Court</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20</w:t>
            </w:r>
            <w:r>
              <w:rPr>
                <w:color w:val="000000" w:themeColor="text1"/>
                <w:lang w:eastAsia="en-AU"/>
              </w:rPr>
              <w:t> </w:t>
            </w:r>
            <w:r w:rsidRPr="00A475B8">
              <w:rPr>
                <w:color w:val="000000" w:themeColor="text1"/>
                <w:lang w:eastAsia="en-AU"/>
              </w:rPr>
              <w:t>000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21</w:t>
            </w:r>
            <w:r>
              <w:rPr>
                <w:color w:val="000000" w:themeColor="text1"/>
                <w:lang w:eastAsia="en-AU"/>
              </w:rPr>
              <w:t> </w:t>
            </w:r>
            <w:r w:rsidRPr="00A475B8">
              <w:rPr>
                <w:color w:val="000000" w:themeColor="text1"/>
                <w:lang w:eastAsia="en-AU"/>
              </w:rPr>
              <w:t>451</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19</w:t>
            </w:r>
            <w:r>
              <w:rPr>
                <w:color w:val="000000" w:themeColor="text1"/>
                <w:lang w:eastAsia="en-AU"/>
              </w:rPr>
              <w:t> </w:t>
            </w:r>
            <w:r w:rsidRPr="00A475B8">
              <w:rPr>
                <w:color w:val="000000" w:themeColor="text1"/>
                <w:lang w:eastAsia="en-AU"/>
              </w:rPr>
              <w:t>500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20</w:t>
            </w:r>
            <w:r>
              <w:rPr>
                <w:color w:val="000000" w:themeColor="text1"/>
                <w:lang w:eastAsia="en-AU"/>
              </w:rPr>
              <w:t> </w:t>
            </w:r>
            <w:r w:rsidRPr="00A475B8">
              <w:rPr>
                <w:color w:val="000000" w:themeColor="text1"/>
                <w:lang w:eastAsia="en-AU"/>
              </w:rPr>
              <w:t>088</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 xml:space="preserve">13 Expected Outcome is </w:t>
            </w:r>
            <w:r>
              <w:t>higher than</w:t>
            </w:r>
            <w:r w:rsidRPr="00A475B8">
              <w:t xml:space="preserve"> the 2012</w:t>
            </w:r>
            <w:r w:rsidR="009F0F49">
              <w:noBreakHyphen/>
            </w:r>
            <w:r w:rsidRPr="00A475B8">
              <w:t>13 Target due to a higher than anticipated number of criminal matters being disposed in the Children’s Court. The higher 2013</w:t>
            </w:r>
            <w:r w:rsidR="009F0F49">
              <w:noBreakHyphen/>
            </w:r>
            <w:r w:rsidRPr="00A475B8">
              <w:t>14 Target reflects historic performance for this measure.</w:t>
            </w:r>
          </w:p>
        </w:tc>
      </w:tr>
      <w:tr w:rsidR="00B958B1" w:rsidRPr="003F6320" w:rsidTr="009F3B54">
        <w:trPr>
          <w:cantSplit/>
        </w:trPr>
        <w:tc>
          <w:tcPr>
            <w:tcW w:w="3155" w:type="dxa"/>
            <w:tcBorders>
              <w:top w:val="nil"/>
              <w:left w:val="nil"/>
              <w:bottom w:val="nil"/>
              <w:right w:val="nil"/>
            </w:tcBorders>
            <w:shd w:val="clear" w:color="auto" w:fill="auto"/>
            <w:vAlign w:val="center"/>
            <w:hideMark/>
          </w:tcPr>
          <w:p w:rsidR="00B958B1" w:rsidRPr="009B35B0" w:rsidRDefault="00B958B1" w:rsidP="009F3B54">
            <w:pPr>
              <w:pStyle w:val="OGTabText"/>
              <w:rPr>
                <w:color w:val="000000" w:themeColor="text1"/>
                <w:lang w:eastAsia="en-AU"/>
              </w:rPr>
            </w:pPr>
            <w:r w:rsidRPr="009B35B0">
              <w:rPr>
                <w:color w:val="000000" w:themeColor="text1"/>
                <w:lang w:eastAsia="en-AU"/>
              </w:rPr>
              <w:t>Civil matters disposed in the Supreme Court</w:t>
            </w:r>
          </w:p>
        </w:tc>
        <w:tc>
          <w:tcPr>
            <w:tcW w:w="907" w:type="dxa"/>
            <w:tcBorders>
              <w:top w:val="nil"/>
              <w:left w:val="nil"/>
              <w:bottom w:val="nil"/>
              <w:right w:val="nil"/>
            </w:tcBorders>
            <w:shd w:val="clear" w:color="auto" w:fill="auto"/>
            <w:hideMark/>
          </w:tcPr>
          <w:p w:rsidR="00B958B1" w:rsidRPr="009B35B0" w:rsidRDefault="00B958B1" w:rsidP="009F3B54">
            <w:pPr>
              <w:pStyle w:val="OGUoM"/>
              <w:rPr>
                <w:color w:val="000000" w:themeColor="text1"/>
                <w:lang w:eastAsia="en-AU"/>
              </w:rPr>
            </w:pPr>
            <w:r w:rsidRPr="009B35B0">
              <w:rPr>
                <w:color w:val="000000" w:themeColor="text1"/>
                <w:lang w:eastAsia="en-AU"/>
              </w:rPr>
              <w:t>number</w:t>
            </w:r>
          </w:p>
        </w:tc>
        <w:tc>
          <w:tcPr>
            <w:tcW w:w="907" w:type="dxa"/>
            <w:tcBorders>
              <w:top w:val="nil"/>
              <w:left w:val="nil"/>
              <w:bottom w:val="nil"/>
              <w:right w:val="nil"/>
            </w:tcBorders>
            <w:shd w:val="clear" w:color="auto" w:fill="D9D9D9"/>
            <w:hideMark/>
          </w:tcPr>
          <w:p w:rsidR="00B958B1" w:rsidRPr="009B35B0" w:rsidRDefault="00B958B1" w:rsidP="009F3B54">
            <w:pPr>
              <w:pStyle w:val="OGTableofFigures"/>
              <w:rPr>
                <w:color w:val="000000" w:themeColor="text1"/>
                <w:lang w:eastAsia="en-AU"/>
              </w:rPr>
            </w:pPr>
            <w:r w:rsidRPr="009B35B0">
              <w:rPr>
                <w:color w:val="000000" w:themeColor="text1"/>
                <w:lang w:eastAsia="en-AU"/>
              </w:rPr>
              <w:t>26 200</w:t>
            </w:r>
          </w:p>
        </w:tc>
        <w:tc>
          <w:tcPr>
            <w:tcW w:w="993" w:type="dxa"/>
            <w:tcBorders>
              <w:top w:val="nil"/>
              <w:left w:val="nil"/>
              <w:bottom w:val="nil"/>
              <w:right w:val="nil"/>
            </w:tcBorders>
            <w:shd w:val="clear" w:color="auto" w:fill="auto"/>
            <w:hideMark/>
          </w:tcPr>
          <w:p w:rsidR="00B958B1" w:rsidRPr="009B35B0" w:rsidRDefault="00B958B1" w:rsidP="009F3B54">
            <w:pPr>
              <w:pStyle w:val="OGTableofFigures"/>
              <w:rPr>
                <w:color w:val="000000" w:themeColor="text1"/>
                <w:lang w:eastAsia="en-AU"/>
              </w:rPr>
            </w:pPr>
            <w:r w:rsidRPr="009B35B0">
              <w:rPr>
                <w:color w:val="000000" w:themeColor="text1"/>
                <w:lang w:eastAsia="en-AU"/>
              </w:rPr>
              <w:t>26 200</w:t>
            </w:r>
          </w:p>
        </w:tc>
        <w:tc>
          <w:tcPr>
            <w:tcW w:w="907" w:type="dxa"/>
            <w:tcBorders>
              <w:top w:val="nil"/>
              <w:left w:val="nil"/>
              <w:bottom w:val="nil"/>
              <w:right w:val="nil"/>
            </w:tcBorders>
            <w:shd w:val="clear" w:color="auto" w:fill="auto"/>
            <w:hideMark/>
          </w:tcPr>
          <w:p w:rsidR="00B958B1" w:rsidRPr="009B35B0" w:rsidRDefault="00B958B1" w:rsidP="009F3B54">
            <w:pPr>
              <w:pStyle w:val="OGTableofFigures"/>
              <w:rPr>
                <w:color w:val="000000" w:themeColor="text1"/>
                <w:lang w:eastAsia="en-AU"/>
              </w:rPr>
            </w:pPr>
            <w:r w:rsidRPr="009B35B0">
              <w:rPr>
                <w:color w:val="000000" w:themeColor="text1"/>
                <w:lang w:eastAsia="en-AU"/>
              </w:rPr>
              <w:t>21 000</w:t>
            </w:r>
          </w:p>
        </w:tc>
        <w:tc>
          <w:tcPr>
            <w:tcW w:w="907" w:type="dxa"/>
            <w:tcBorders>
              <w:top w:val="nil"/>
              <w:left w:val="nil"/>
              <w:bottom w:val="nil"/>
              <w:right w:val="nil"/>
            </w:tcBorders>
            <w:shd w:val="clear" w:color="auto" w:fill="auto"/>
            <w:hideMark/>
          </w:tcPr>
          <w:p w:rsidR="00B958B1" w:rsidRPr="009B35B0" w:rsidRDefault="00B958B1" w:rsidP="009F3B54">
            <w:pPr>
              <w:pStyle w:val="OGTableofFigures"/>
              <w:rPr>
                <w:color w:val="000000" w:themeColor="text1"/>
                <w:lang w:eastAsia="en-AU"/>
              </w:rPr>
            </w:pPr>
            <w:r w:rsidRPr="009B35B0">
              <w:rPr>
                <w:color w:val="000000" w:themeColor="text1"/>
                <w:lang w:eastAsia="en-AU"/>
              </w:rPr>
              <w:t>26 353</w:t>
            </w:r>
          </w:p>
        </w:tc>
      </w:tr>
      <w:tr w:rsidR="00B958B1" w:rsidRPr="009B35B0"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9B35B0" w:rsidRDefault="00B958B1" w:rsidP="009F3B54">
            <w:pPr>
              <w:pStyle w:val="OGNotes"/>
            </w:pPr>
            <w:r>
              <w:t>The 2012</w:t>
            </w:r>
            <w:r w:rsidR="009F0F49">
              <w:noBreakHyphen/>
            </w:r>
            <w:r>
              <w:t>13 E</w:t>
            </w:r>
            <w:r w:rsidRPr="001509F4">
              <w:t xml:space="preserve">xpected </w:t>
            </w:r>
            <w:r>
              <w:t>O</w:t>
            </w:r>
            <w:r w:rsidRPr="001509F4">
              <w:t>utc</w:t>
            </w:r>
            <w:r>
              <w:t>ome is higher than the 2012</w:t>
            </w:r>
            <w:r w:rsidR="009F0F49">
              <w:noBreakHyphen/>
            </w:r>
            <w:r>
              <w:t>13 T</w:t>
            </w:r>
            <w:r w:rsidRPr="001509F4">
              <w:t>arget due to a higher than anticipated number of civil matters being disposed in the Supreme Court</w:t>
            </w:r>
            <w:r>
              <w:t xml:space="preserve">. </w:t>
            </w:r>
            <w:r w:rsidRPr="001509F4">
              <w:t>The 2013</w:t>
            </w:r>
            <w:r w:rsidR="009F0F49">
              <w:noBreakHyphen/>
            </w:r>
            <w:r>
              <w:t>14 T</w:t>
            </w:r>
            <w:r w:rsidRPr="001509F4">
              <w:t>arget reflects historical performance for this measure</w:t>
            </w:r>
            <w:r>
              <w:t>.</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Civil matters disposed in the County</w:t>
            </w:r>
            <w:r>
              <w:rPr>
                <w:color w:val="000000" w:themeColor="text1"/>
                <w:lang w:eastAsia="en-AU"/>
              </w:rPr>
              <w:t> </w:t>
            </w:r>
            <w:r w:rsidRPr="00A475B8">
              <w:rPr>
                <w:color w:val="000000" w:themeColor="text1"/>
                <w:lang w:eastAsia="en-AU"/>
              </w:rPr>
              <w:t>Court</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w:t>
            </w:r>
            <w:r>
              <w:rPr>
                <w:color w:val="000000" w:themeColor="text1"/>
                <w:lang w:eastAsia="en-AU"/>
              </w:rPr>
              <w:t> </w:t>
            </w:r>
            <w:r w:rsidRPr="00A475B8">
              <w:rPr>
                <w:color w:val="000000" w:themeColor="text1"/>
                <w:lang w:eastAsia="en-AU"/>
              </w:rPr>
              <w:t>700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6</w:t>
            </w:r>
            <w:r>
              <w:rPr>
                <w:color w:val="000000" w:themeColor="text1"/>
                <w:lang w:eastAsia="en-AU"/>
              </w:rPr>
              <w:t> </w:t>
            </w:r>
            <w:r w:rsidRPr="00A475B8">
              <w:rPr>
                <w:color w:val="000000" w:themeColor="text1"/>
                <w:lang w:eastAsia="en-AU"/>
              </w:rPr>
              <w:t>228</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w:t>
            </w:r>
            <w:r>
              <w:rPr>
                <w:color w:val="000000" w:themeColor="text1"/>
                <w:lang w:eastAsia="en-AU"/>
              </w:rPr>
              <w:t> </w:t>
            </w:r>
            <w:r w:rsidRPr="00A475B8">
              <w:rPr>
                <w:color w:val="000000" w:themeColor="text1"/>
                <w:lang w:eastAsia="en-AU"/>
              </w:rPr>
              <w:t>700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w:t>
            </w:r>
            <w:r>
              <w:rPr>
                <w:color w:val="000000" w:themeColor="text1"/>
                <w:lang w:eastAsia="en-AU"/>
              </w:rPr>
              <w:t> </w:t>
            </w:r>
            <w:r w:rsidRPr="00A475B8">
              <w:rPr>
                <w:color w:val="000000" w:themeColor="text1"/>
                <w:lang w:eastAsia="en-AU"/>
              </w:rPr>
              <w:t>959</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13 Expected Outcome is higher than the 2012</w:t>
            </w:r>
            <w:r w:rsidR="009F0F49">
              <w:noBreakHyphen/>
            </w:r>
            <w:r w:rsidRPr="00A475B8">
              <w:t>13 Target due to an increase in judicial resources, and an increase in cases finalised by the Registry rather than court attendance.</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keepNext/>
              <w:rPr>
                <w:color w:val="000000" w:themeColor="text1"/>
                <w:lang w:eastAsia="en-AU"/>
              </w:rPr>
            </w:pPr>
            <w:r w:rsidRPr="00A475B8">
              <w:rPr>
                <w:color w:val="000000" w:themeColor="text1"/>
                <w:lang w:eastAsia="en-AU"/>
              </w:rPr>
              <w:t>Civil matters disposed in the Magistrates’ Court</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54</w:t>
            </w:r>
            <w:r>
              <w:rPr>
                <w:color w:val="000000" w:themeColor="text1"/>
                <w:lang w:eastAsia="en-AU"/>
              </w:rPr>
              <w:t> </w:t>
            </w:r>
            <w:r w:rsidRPr="00A475B8">
              <w:rPr>
                <w:color w:val="000000" w:themeColor="text1"/>
                <w:lang w:eastAsia="en-AU"/>
              </w:rPr>
              <w:t>000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55</w:t>
            </w:r>
            <w:r>
              <w:rPr>
                <w:color w:val="000000" w:themeColor="text1"/>
                <w:lang w:eastAsia="en-AU"/>
              </w:rPr>
              <w:t> </w:t>
            </w:r>
            <w:r w:rsidRPr="00A475B8">
              <w:rPr>
                <w:color w:val="000000" w:themeColor="text1"/>
                <w:lang w:eastAsia="en-AU"/>
              </w:rPr>
              <w:t>183</w:t>
            </w:r>
            <w:r>
              <w:rPr>
                <w:color w:val="000000" w:themeColor="text1"/>
                <w:lang w:eastAsia="en-AU"/>
              </w:rPr>
              <w:t> </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46</w:t>
            </w:r>
            <w:r>
              <w:rPr>
                <w:color w:val="000000" w:themeColor="text1"/>
                <w:lang w:eastAsia="en-AU"/>
              </w:rPr>
              <w:t> </w:t>
            </w:r>
            <w:r w:rsidRPr="00A475B8">
              <w:rPr>
                <w:color w:val="000000" w:themeColor="text1"/>
                <w:lang w:eastAsia="en-AU"/>
              </w:rPr>
              <w:t>000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54</w:t>
            </w:r>
            <w:r>
              <w:rPr>
                <w:color w:val="000000" w:themeColor="text1"/>
                <w:lang w:eastAsia="en-AU"/>
              </w:rPr>
              <w:t> </w:t>
            </w:r>
            <w:r w:rsidRPr="00A475B8">
              <w:rPr>
                <w:color w:val="000000" w:themeColor="text1"/>
                <w:lang w:eastAsia="en-AU"/>
              </w:rPr>
              <w:t>842</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 xml:space="preserve">13 Expected Outcome is </w:t>
            </w:r>
            <w:r>
              <w:t>higher than</w:t>
            </w:r>
            <w:r w:rsidRPr="00A475B8">
              <w:t xml:space="preserve"> the 2012</w:t>
            </w:r>
            <w:r w:rsidR="009F0F49">
              <w:noBreakHyphen/>
            </w:r>
            <w:r w:rsidRPr="00A475B8">
              <w:t>13 Target due to a higher than anticipated number of civil matters being disposed in the Magistrates’ Court. The higher 2013</w:t>
            </w:r>
            <w:r w:rsidR="009F0F49">
              <w:noBreakHyphen/>
            </w:r>
            <w:r w:rsidRPr="00A475B8">
              <w:t>14 Target reflects historic performance for this measure.</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Civil matters disposed in the  Victorian Civil and Administrative Tribunal</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87</w:t>
            </w:r>
            <w:r>
              <w:rPr>
                <w:color w:val="000000" w:themeColor="text1"/>
                <w:lang w:eastAsia="en-AU"/>
              </w:rPr>
              <w:t> </w:t>
            </w:r>
            <w:r w:rsidRPr="00A475B8">
              <w:rPr>
                <w:color w:val="000000" w:themeColor="text1"/>
                <w:lang w:eastAsia="en-AU"/>
              </w:rPr>
              <w:t>000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87</w:t>
            </w:r>
            <w:r>
              <w:rPr>
                <w:color w:val="000000" w:themeColor="text1"/>
                <w:lang w:eastAsia="en-AU"/>
              </w:rPr>
              <w:t> </w:t>
            </w:r>
            <w:r w:rsidRPr="00A475B8">
              <w:rPr>
                <w:color w:val="000000" w:themeColor="text1"/>
                <w:lang w:eastAsia="en-AU"/>
              </w:rPr>
              <w:t>000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86</w:t>
            </w:r>
            <w:r>
              <w:rPr>
                <w:color w:val="000000" w:themeColor="text1"/>
                <w:lang w:eastAsia="en-AU"/>
              </w:rPr>
              <w:t> </w:t>
            </w:r>
            <w:r w:rsidRPr="00A475B8">
              <w:rPr>
                <w:color w:val="000000" w:themeColor="text1"/>
                <w:lang w:eastAsia="en-AU"/>
              </w:rPr>
              <w:t>000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89</w:t>
            </w:r>
            <w:r>
              <w:rPr>
                <w:color w:val="000000" w:themeColor="text1"/>
                <w:lang w:eastAsia="en-AU"/>
              </w:rPr>
              <w:t> </w:t>
            </w:r>
            <w:r w:rsidRPr="00A475B8">
              <w:rPr>
                <w:color w:val="000000" w:themeColor="text1"/>
                <w:lang w:eastAsia="en-AU"/>
              </w:rPr>
              <w:t>683</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higher 2013</w:t>
            </w:r>
            <w:r w:rsidR="009F0F49">
              <w:noBreakHyphen/>
            </w:r>
            <w:r w:rsidRPr="00A475B8">
              <w:t>14 Target reflects historic performance for this measure.</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Child protection matters disposed in the Children’s Court</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w:t>
            </w:r>
            <w:r>
              <w:rPr>
                <w:color w:val="000000" w:themeColor="text1"/>
                <w:lang w:eastAsia="en-AU"/>
              </w:rPr>
              <w:t> </w:t>
            </w:r>
            <w:r w:rsidRPr="00A475B8">
              <w:rPr>
                <w:color w:val="000000" w:themeColor="text1"/>
                <w:lang w:eastAsia="en-AU"/>
              </w:rPr>
              <w:t>000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w:t>
            </w:r>
            <w:r>
              <w:rPr>
                <w:color w:val="000000" w:themeColor="text1"/>
                <w:lang w:eastAsia="en-AU"/>
              </w:rPr>
              <w:t> </w:t>
            </w:r>
            <w:r w:rsidRPr="00A475B8">
              <w:rPr>
                <w:color w:val="000000" w:themeColor="text1"/>
                <w:lang w:eastAsia="en-AU"/>
              </w:rPr>
              <w:t>564</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w:t>
            </w:r>
            <w:r>
              <w:rPr>
                <w:color w:val="000000" w:themeColor="text1"/>
                <w:lang w:eastAsia="en-AU"/>
              </w:rPr>
              <w:t> </w:t>
            </w:r>
            <w:r w:rsidRPr="00A475B8">
              <w:rPr>
                <w:color w:val="000000" w:themeColor="text1"/>
                <w:lang w:eastAsia="en-AU"/>
              </w:rPr>
              <w:t>500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w:t>
            </w:r>
            <w:r>
              <w:rPr>
                <w:color w:val="000000" w:themeColor="text1"/>
                <w:lang w:eastAsia="en-AU"/>
              </w:rPr>
              <w:t> </w:t>
            </w:r>
            <w:r w:rsidRPr="00A475B8">
              <w:rPr>
                <w:color w:val="000000" w:themeColor="text1"/>
                <w:lang w:eastAsia="en-AU"/>
              </w:rPr>
              <w:t>726</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 xml:space="preserve">13 Expected Outcome is </w:t>
            </w:r>
            <w:r>
              <w:t>higher than</w:t>
            </w:r>
            <w:r w:rsidRPr="00A475B8">
              <w:t xml:space="preserve"> the 2012</w:t>
            </w:r>
            <w:r w:rsidR="009F0F49">
              <w:noBreakHyphen/>
            </w:r>
            <w:r w:rsidRPr="00A475B8">
              <w:t>13 Target due to a higher than anticipated number of civil matters being disposed in the Children’s Court. The higher 2013</w:t>
            </w:r>
            <w:r w:rsidR="009F0F49">
              <w:noBreakHyphen/>
            </w:r>
            <w:r w:rsidRPr="00A475B8">
              <w:t>14 Target reflects historic performance for this measure.</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Coronial matters disposed in the Coroner’s Court</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lang w:eastAsia="en-AU"/>
              </w:rPr>
            </w:pPr>
            <w:r w:rsidRPr="00A475B8">
              <w:rPr>
                <w:lang w:eastAsia="en-AU"/>
              </w:rPr>
              <w:t>5</w:t>
            </w:r>
            <w:r>
              <w:rPr>
                <w:lang w:eastAsia="en-AU"/>
              </w:rPr>
              <w:t> </w:t>
            </w:r>
            <w:r w:rsidRPr="00A475B8">
              <w:rPr>
                <w:lang w:eastAsia="en-AU"/>
              </w:rPr>
              <w:t>000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w:t>
            </w:r>
            <w:r>
              <w:rPr>
                <w:color w:val="000000" w:themeColor="text1"/>
                <w:lang w:eastAsia="en-AU"/>
              </w:rPr>
              <w:t> </w:t>
            </w:r>
            <w:r w:rsidRPr="00A475B8">
              <w:rPr>
                <w:color w:val="000000" w:themeColor="text1"/>
                <w:lang w:eastAsia="en-AU"/>
              </w:rPr>
              <w:t>552</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w:t>
            </w:r>
            <w:r>
              <w:rPr>
                <w:color w:val="000000" w:themeColor="text1"/>
                <w:lang w:eastAsia="en-AU"/>
              </w:rPr>
              <w:t> </w:t>
            </w:r>
            <w:r w:rsidRPr="00A475B8">
              <w:rPr>
                <w:color w:val="000000" w:themeColor="text1"/>
                <w:lang w:eastAsia="en-AU"/>
              </w:rPr>
              <w:t>250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w:t>
            </w:r>
            <w:r>
              <w:rPr>
                <w:color w:val="000000" w:themeColor="text1"/>
                <w:lang w:eastAsia="en-AU"/>
              </w:rPr>
              <w:t> </w:t>
            </w:r>
            <w:r w:rsidRPr="00A475B8">
              <w:rPr>
                <w:color w:val="000000" w:themeColor="text1"/>
                <w:lang w:eastAsia="en-AU"/>
              </w:rPr>
              <w:t>926</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13 Expected Outcome is higher than the 2012</w:t>
            </w:r>
            <w:r w:rsidR="009F0F49">
              <w:noBreakHyphen/>
            </w:r>
            <w:r w:rsidRPr="00A475B8">
              <w:t>13 Target due to the finalisation of a number of matters arising from the 2009 bushfires. The lower 2013</w:t>
            </w:r>
            <w:r w:rsidR="009F0F49">
              <w:noBreakHyphen/>
            </w:r>
            <w:r w:rsidRPr="00A475B8">
              <w:t xml:space="preserve">14 Target reflects baseline activity for the Coroner’s Court. </w:t>
            </w:r>
          </w:p>
        </w:tc>
      </w:tr>
      <w:tr w:rsidR="00B958B1" w:rsidRPr="00A475B8" w:rsidTr="009F3B54">
        <w:trPr>
          <w:cantSplit/>
        </w:trPr>
        <w:tc>
          <w:tcPr>
            <w:tcW w:w="3155" w:type="dxa"/>
            <w:tcBorders>
              <w:top w:val="nil"/>
              <w:left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Quality</w:t>
            </w:r>
          </w:p>
        </w:tc>
        <w:tc>
          <w:tcPr>
            <w:tcW w:w="907" w:type="dxa"/>
            <w:tcBorders>
              <w:top w:val="nil"/>
              <w:left w:val="nil"/>
              <w:right w:val="nil"/>
            </w:tcBorders>
            <w:shd w:val="clear" w:color="auto" w:fill="auto"/>
            <w:vAlign w:val="center"/>
            <w:hideMark/>
          </w:tcPr>
          <w:p w:rsidR="00B958B1" w:rsidRPr="00A475B8" w:rsidRDefault="00B958B1" w:rsidP="009F3B54">
            <w:pPr>
              <w:pStyle w:val="OGUoM"/>
              <w:rPr>
                <w:color w:val="000000" w:themeColor="text1"/>
                <w:lang w:eastAsia="en-AU"/>
              </w:rPr>
            </w:pPr>
          </w:p>
        </w:tc>
        <w:tc>
          <w:tcPr>
            <w:tcW w:w="907" w:type="dxa"/>
            <w:tcBorders>
              <w:top w:val="nil"/>
              <w:left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p>
        </w:tc>
      </w:tr>
      <w:tr w:rsidR="00B958B1" w:rsidRPr="009B35B0" w:rsidTr="009F3B54">
        <w:trPr>
          <w:cantSplit/>
        </w:trPr>
        <w:tc>
          <w:tcPr>
            <w:tcW w:w="3155" w:type="dxa"/>
            <w:tcBorders>
              <w:top w:val="nil"/>
              <w:left w:val="nil"/>
              <w:bottom w:val="single" w:sz="4" w:space="0" w:color="auto"/>
              <w:right w:val="nil"/>
            </w:tcBorders>
            <w:shd w:val="clear" w:color="auto" w:fill="auto"/>
            <w:vAlign w:val="center"/>
            <w:hideMark/>
          </w:tcPr>
          <w:p w:rsidR="00B958B1" w:rsidRPr="009B35B0" w:rsidRDefault="00B958B1" w:rsidP="009F3B54">
            <w:pPr>
              <w:pStyle w:val="OGTabText"/>
              <w:rPr>
                <w:color w:val="000000" w:themeColor="text1"/>
                <w:lang w:eastAsia="en-AU"/>
              </w:rPr>
            </w:pPr>
            <w:r w:rsidRPr="009B35B0">
              <w:rPr>
                <w:color w:val="000000" w:themeColor="text1"/>
                <w:lang w:eastAsia="en-AU"/>
              </w:rPr>
              <w:t>Quality of court registry services in Supreme Court</w:t>
            </w:r>
          </w:p>
        </w:tc>
        <w:tc>
          <w:tcPr>
            <w:tcW w:w="907" w:type="dxa"/>
            <w:tcBorders>
              <w:top w:val="nil"/>
              <w:left w:val="nil"/>
              <w:bottom w:val="single" w:sz="4" w:space="0" w:color="auto"/>
              <w:right w:val="nil"/>
            </w:tcBorders>
            <w:shd w:val="clear" w:color="auto" w:fill="auto"/>
            <w:hideMark/>
          </w:tcPr>
          <w:p w:rsidR="00B958B1" w:rsidRPr="009B35B0" w:rsidRDefault="00B958B1" w:rsidP="009F3B54">
            <w:pPr>
              <w:pStyle w:val="OGUoM"/>
              <w:rPr>
                <w:color w:val="000000" w:themeColor="text1"/>
                <w:lang w:eastAsia="en-AU"/>
              </w:rPr>
            </w:pPr>
            <w:r w:rsidRPr="009B35B0">
              <w:rPr>
                <w:color w:val="000000" w:themeColor="text1"/>
                <w:lang w:eastAsia="en-AU"/>
              </w:rPr>
              <w:t>per cent</w:t>
            </w:r>
          </w:p>
        </w:tc>
        <w:tc>
          <w:tcPr>
            <w:tcW w:w="907" w:type="dxa"/>
            <w:tcBorders>
              <w:top w:val="nil"/>
              <w:left w:val="nil"/>
              <w:bottom w:val="single" w:sz="4" w:space="0" w:color="auto"/>
              <w:right w:val="nil"/>
            </w:tcBorders>
            <w:shd w:val="clear" w:color="auto" w:fill="D9D9D9"/>
            <w:hideMark/>
          </w:tcPr>
          <w:p w:rsidR="00B958B1" w:rsidRPr="009B35B0" w:rsidRDefault="00B958B1" w:rsidP="009F3B54">
            <w:pPr>
              <w:pStyle w:val="OGTableofFigures"/>
            </w:pPr>
            <w:r>
              <w:t>85</w:t>
            </w:r>
          </w:p>
        </w:tc>
        <w:tc>
          <w:tcPr>
            <w:tcW w:w="993" w:type="dxa"/>
            <w:tcBorders>
              <w:top w:val="nil"/>
              <w:left w:val="nil"/>
              <w:bottom w:val="single" w:sz="4" w:space="0" w:color="auto"/>
              <w:right w:val="nil"/>
            </w:tcBorders>
            <w:shd w:val="clear" w:color="auto" w:fill="auto"/>
            <w:hideMark/>
          </w:tcPr>
          <w:p w:rsidR="00B958B1" w:rsidRPr="009B35B0" w:rsidRDefault="00B958B1" w:rsidP="009F3B54">
            <w:pPr>
              <w:pStyle w:val="OGTableofFigures"/>
            </w:pPr>
            <w:r>
              <w:t>85</w:t>
            </w:r>
          </w:p>
        </w:tc>
        <w:tc>
          <w:tcPr>
            <w:tcW w:w="907" w:type="dxa"/>
            <w:tcBorders>
              <w:top w:val="nil"/>
              <w:left w:val="nil"/>
              <w:bottom w:val="single" w:sz="4" w:space="0" w:color="auto"/>
              <w:right w:val="nil"/>
            </w:tcBorders>
            <w:shd w:val="clear" w:color="auto" w:fill="auto"/>
            <w:hideMark/>
          </w:tcPr>
          <w:p w:rsidR="00B958B1" w:rsidRPr="009B35B0" w:rsidRDefault="00B958B1" w:rsidP="009F3B54">
            <w:pPr>
              <w:pStyle w:val="OGTableofFigures"/>
            </w:pPr>
            <w:r w:rsidRPr="009B35B0">
              <w:t>85</w:t>
            </w:r>
          </w:p>
        </w:tc>
        <w:tc>
          <w:tcPr>
            <w:tcW w:w="907" w:type="dxa"/>
            <w:tcBorders>
              <w:top w:val="nil"/>
              <w:left w:val="nil"/>
              <w:bottom w:val="single" w:sz="4" w:space="0" w:color="auto"/>
              <w:right w:val="nil"/>
            </w:tcBorders>
            <w:shd w:val="clear" w:color="auto" w:fill="auto"/>
            <w:hideMark/>
          </w:tcPr>
          <w:p w:rsidR="00B958B1" w:rsidRPr="009B35B0" w:rsidRDefault="00B958B1" w:rsidP="009F3B54">
            <w:pPr>
              <w:pStyle w:val="OGTableofFigures"/>
            </w:pPr>
            <w:r>
              <w:t>85</w:t>
            </w:r>
          </w:p>
        </w:tc>
      </w:tr>
      <w:tr w:rsidR="00B958B1" w:rsidRPr="00A475B8" w:rsidTr="009F3B54">
        <w:trPr>
          <w:cantSplit/>
        </w:trPr>
        <w:tc>
          <w:tcPr>
            <w:tcW w:w="3155" w:type="dxa"/>
            <w:tcBorders>
              <w:top w:val="single" w:sz="4" w:space="0" w:color="auto"/>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Quality of court registry services in County Court</w:t>
            </w:r>
          </w:p>
        </w:tc>
        <w:tc>
          <w:tcPr>
            <w:tcW w:w="907" w:type="dxa"/>
            <w:tcBorders>
              <w:top w:val="single" w:sz="4"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single" w:sz="4"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93" w:type="dxa"/>
            <w:tcBorders>
              <w:top w:val="single" w:sz="4"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07" w:type="dxa"/>
            <w:tcBorders>
              <w:top w:val="single" w:sz="4"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07" w:type="dxa"/>
            <w:tcBorders>
              <w:top w:val="single" w:sz="4"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r>
      <w:tr w:rsidR="00B958B1" w:rsidRPr="00A475B8" w:rsidTr="009F3B54">
        <w:trPr>
          <w:cantSplit/>
        </w:trPr>
        <w:tc>
          <w:tcPr>
            <w:tcW w:w="3155" w:type="dxa"/>
            <w:tcBorders>
              <w:top w:val="single" w:sz="8" w:space="0" w:color="auto"/>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Quality of court registry services in Magistrates’ Court</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single" w:sz="8"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91</w:t>
            </w:r>
          </w:p>
        </w:tc>
        <w:tc>
          <w:tcPr>
            <w:tcW w:w="993"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95</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91</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95</w:t>
            </w:r>
          </w:p>
        </w:tc>
      </w:tr>
      <w:tr w:rsidR="00B958B1" w:rsidRPr="00A475B8" w:rsidTr="009F3B54">
        <w:trPr>
          <w:cantSplit/>
        </w:trPr>
        <w:tc>
          <w:tcPr>
            <w:tcW w:w="3155" w:type="dxa"/>
            <w:tcBorders>
              <w:top w:val="single" w:sz="8" w:space="0" w:color="auto"/>
              <w:left w:val="nil"/>
              <w:bottom w:val="nil"/>
              <w:right w:val="nil"/>
            </w:tcBorders>
            <w:shd w:val="clear" w:color="auto" w:fill="auto"/>
            <w:vAlign w:val="center"/>
            <w:hideMark/>
          </w:tcPr>
          <w:p w:rsidR="00B958B1" w:rsidRPr="00A475B8" w:rsidRDefault="00B958B1" w:rsidP="009F3B54">
            <w:pPr>
              <w:pStyle w:val="OGTabHead"/>
              <w:rPr>
                <w:lang w:eastAsia="en-AU"/>
              </w:rPr>
            </w:pPr>
            <w:r w:rsidRPr="0016616A">
              <w:rPr>
                <w:iCs/>
                <w:color w:val="000000" w:themeColor="text1"/>
                <w:lang w:eastAsia="en-AU"/>
              </w:rPr>
              <w:t>Timeliness</w:t>
            </w:r>
          </w:p>
        </w:tc>
        <w:tc>
          <w:tcPr>
            <w:tcW w:w="907" w:type="dxa"/>
            <w:tcBorders>
              <w:top w:val="single" w:sz="8" w:space="0" w:color="auto"/>
              <w:left w:val="nil"/>
              <w:bottom w:val="nil"/>
              <w:right w:val="nil"/>
            </w:tcBorders>
            <w:shd w:val="clear" w:color="auto" w:fill="auto"/>
            <w:vAlign w:val="center"/>
            <w:hideMark/>
          </w:tcPr>
          <w:p w:rsidR="00B958B1" w:rsidRPr="00A475B8" w:rsidRDefault="00B958B1" w:rsidP="009F3B54">
            <w:pPr>
              <w:pStyle w:val="OGUoM"/>
              <w:rPr>
                <w:color w:val="000000" w:themeColor="text1"/>
                <w:lang w:eastAsia="en-AU"/>
              </w:rPr>
            </w:pPr>
            <w:r w:rsidRPr="00A475B8">
              <w:rPr>
                <w:color w:val="000000" w:themeColor="text1"/>
                <w:lang w:eastAsia="en-AU"/>
              </w:rPr>
              <w:t> </w:t>
            </w:r>
          </w:p>
        </w:tc>
        <w:tc>
          <w:tcPr>
            <w:tcW w:w="907" w:type="dxa"/>
            <w:tcBorders>
              <w:top w:val="single" w:sz="8"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9B35B0" w:rsidTr="009F3B54">
        <w:trPr>
          <w:cantSplit/>
        </w:trPr>
        <w:tc>
          <w:tcPr>
            <w:tcW w:w="3155" w:type="dxa"/>
            <w:tcBorders>
              <w:top w:val="nil"/>
              <w:left w:val="nil"/>
              <w:bottom w:val="nil"/>
              <w:right w:val="nil"/>
            </w:tcBorders>
            <w:shd w:val="clear" w:color="auto" w:fill="auto"/>
            <w:vAlign w:val="center"/>
            <w:hideMark/>
          </w:tcPr>
          <w:p w:rsidR="00B958B1" w:rsidRPr="009B35B0" w:rsidRDefault="00B958B1" w:rsidP="009F3B54">
            <w:pPr>
              <w:pStyle w:val="OGTabText"/>
              <w:rPr>
                <w:color w:val="000000" w:themeColor="text1"/>
                <w:lang w:eastAsia="en-AU"/>
              </w:rPr>
            </w:pPr>
            <w:r w:rsidRPr="009B35B0">
              <w:rPr>
                <w:color w:val="000000" w:themeColor="text1"/>
                <w:lang w:eastAsia="en-AU"/>
              </w:rPr>
              <w:t>Criminal matters disposed within agreed timeframes in the Supreme</w:t>
            </w:r>
            <w:r>
              <w:rPr>
                <w:color w:val="000000" w:themeColor="text1"/>
                <w:lang w:eastAsia="en-AU"/>
              </w:rPr>
              <w:t> </w:t>
            </w:r>
            <w:r w:rsidRPr="009B35B0">
              <w:rPr>
                <w:color w:val="000000" w:themeColor="text1"/>
                <w:lang w:eastAsia="en-AU"/>
              </w:rPr>
              <w:t>Court</w:t>
            </w:r>
          </w:p>
        </w:tc>
        <w:tc>
          <w:tcPr>
            <w:tcW w:w="907" w:type="dxa"/>
            <w:tcBorders>
              <w:top w:val="nil"/>
              <w:left w:val="nil"/>
              <w:bottom w:val="nil"/>
              <w:right w:val="nil"/>
            </w:tcBorders>
            <w:shd w:val="clear" w:color="auto" w:fill="auto"/>
            <w:hideMark/>
          </w:tcPr>
          <w:p w:rsidR="00B958B1" w:rsidRPr="009B35B0" w:rsidRDefault="00B958B1" w:rsidP="009F3B54">
            <w:pPr>
              <w:pStyle w:val="OGUoM"/>
              <w:rPr>
                <w:color w:val="000000" w:themeColor="text1"/>
                <w:lang w:eastAsia="en-AU"/>
              </w:rPr>
            </w:pPr>
            <w:r w:rsidRPr="009B35B0">
              <w:rPr>
                <w:color w:val="000000" w:themeColor="text1"/>
                <w:lang w:eastAsia="en-AU"/>
              </w:rPr>
              <w:t>per cent</w:t>
            </w:r>
          </w:p>
        </w:tc>
        <w:tc>
          <w:tcPr>
            <w:tcW w:w="907" w:type="dxa"/>
            <w:tcBorders>
              <w:top w:val="nil"/>
              <w:left w:val="nil"/>
              <w:bottom w:val="nil"/>
              <w:right w:val="nil"/>
            </w:tcBorders>
            <w:shd w:val="clear" w:color="auto" w:fill="D9D9D9"/>
          </w:tcPr>
          <w:p w:rsidR="00B958B1" w:rsidRPr="009B35B0" w:rsidRDefault="00B958B1" w:rsidP="009F3B54">
            <w:pPr>
              <w:pStyle w:val="OGTableofFigures"/>
              <w:rPr>
                <w:color w:val="000000" w:themeColor="text1"/>
                <w:lang w:eastAsia="en-AU"/>
              </w:rPr>
            </w:pPr>
            <w:r>
              <w:rPr>
                <w:color w:val="000000" w:themeColor="text1"/>
                <w:lang w:eastAsia="en-AU"/>
              </w:rPr>
              <w:t>70</w:t>
            </w:r>
          </w:p>
        </w:tc>
        <w:tc>
          <w:tcPr>
            <w:tcW w:w="993" w:type="dxa"/>
            <w:tcBorders>
              <w:top w:val="nil"/>
              <w:left w:val="nil"/>
              <w:bottom w:val="nil"/>
              <w:right w:val="nil"/>
            </w:tcBorders>
            <w:shd w:val="clear" w:color="auto" w:fill="auto"/>
          </w:tcPr>
          <w:p w:rsidR="00B958B1" w:rsidRPr="009B35B0" w:rsidRDefault="00B958B1" w:rsidP="009F3B54">
            <w:pPr>
              <w:pStyle w:val="OGTableofFigures"/>
              <w:rPr>
                <w:color w:val="000000" w:themeColor="text1"/>
                <w:lang w:eastAsia="en-AU"/>
              </w:rPr>
            </w:pPr>
            <w:r>
              <w:rPr>
                <w:color w:val="000000" w:themeColor="text1"/>
                <w:lang w:eastAsia="en-AU"/>
              </w:rPr>
              <w:t>75</w:t>
            </w:r>
          </w:p>
        </w:tc>
        <w:tc>
          <w:tcPr>
            <w:tcW w:w="907" w:type="dxa"/>
            <w:tcBorders>
              <w:top w:val="nil"/>
              <w:left w:val="nil"/>
              <w:bottom w:val="nil"/>
              <w:right w:val="nil"/>
            </w:tcBorders>
            <w:shd w:val="clear" w:color="auto" w:fill="auto"/>
            <w:hideMark/>
          </w:tcPr>
          <w:p w:rsidR="00B958B1" w:rsidRPr="009B35B0" w:rsidRDefault="00B958B1" w:rsidP="009F3B54">
            <w:pPr>
              <w:pStyle w:val="OGTableofFigures"/>
              <w:rPr>
                <w:color w:val="000000" w:themeColor="text1"/>
                <w:lang w:eastAsia="en-AU"/>
              </w:rPr>
            </w:pPr>
            <w:r w:rsidRPr="009B35B0">
              <w:rPr>
                <w:color w:val="000000" w:themeColor="text1"/>
                <w:lang w:eastAsia="en-AU"/>
              </w:rPr>
              <w:t>70</w:t>
            </w:r>
          </w:p>
        </w:tc>
        <w:tc>
          <w:tcPr>
            <w:tcW w:w="907" w:type="dxa"/>
            <w:tcBorders>
              <w:top w:val="nil"/>
              <w:left w:val="nil"/>
              <w:bottom w:val="nil"/>
              <w:right w:val="nil"/>
            </w:tcBorders>
            <w:shd w:val="clear" w:color="auto" w:fill="auto"/>
            <w:hideMark/>
          </w:tcPr>
          <w:p w:rsidR="00B958B1" w:rsidRPr="009B35B0" w:rsidRDefault="00B958B1" w:rsidP="009F3B54">
            <w:pPr>
              <w:pStyle w:val="OGTableofFigures"/>
              <w:rPr>
                <w:color w:val="000000" w:themeColor="text1"/>
                <w:lang w:eastAsia="en-AU"/>
              </w:rPr>
            </w:pPr>
            <w:r>
              <w:rPr>
                <w:color w:val="000000" w:themeColor="text1"/>
                <w:lang w:eastAsia="en-AU"/>
              </w:rPr>
              <w:t>70</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10724F">
              <w:t>The 2012</w:t>
            </w:r>
            <w:r w:rsidR="009F0F49">
              <w:noBreakHyphen/>
            </w:r>
            <w:r w:rsidRPr="0010724F">
              <w:t xml:space="preserve">13 </w:t>
            </w:r>
            <w:r>
              <w:t>Expected O</w:t>
            </w:r>
            <w:r w:rsidRPr="0010724F">
              <w:t>ut</w:t>
            </w:r>
            <w:r>
              <w:t>come is higher than the 2012</w:t>
            </w:r>
            <w:r w:rsidR="009F0F49">
              <w:noBreakHyphen/>
            </w:r>
            <w:r>
              <w:t>13 T</w:t>
            </w:r>
            <w:r w:rsidRPr="0010724F">
              <w:t>arget due to a higher than anticipated number of criminal matters disposed within agreed timeframes in the Supreme Court.</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Criminal matters disposed within agreed timeframes in the County</w:t>
            </w:r>
            <w:r>
              <w:rPr>
                <w:color w:val="000000" w:themeColor="text1"/>
                <w:lang w:eastAsia="en-AU"/>
              </w:rPr>
              <w:t> </w:t>
            </w:r>
            <w:r w:rsidRPr="00A475B8">
              <w:rPr>
                <w:color w:val="000000" w:themeColor="text1"/>
                <w:lang w:eastAsia="en-AU"/>
              </w:rPr>
              <w:t>Court</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84</w:t>
            </w:r>
          </w:p>
        </w:tc>
      </w:tr>
      <w:tr w:rsidR="00B958B1" w:rsidRPr="00A475B8" w:rsidTr="009F3B54">
        <w:trPr>
          <w:cantSplit/>
        </w:trPr>
        <w:tc>
          <w:tcPr>
            <w:tcW w:w="3155" w:type="dxa"/>
            <w:tcBorders>
              <w:top w:val="single" w:sz="8" w:space="0" w:color="auto"/>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Criminal matters disposed within agreed timeframes in the Magistrates’ Court</w:t>
            </w:r>
          </w:p>
        </w:tc>
        <w:tc>
          <w:tcPr>
            <w:tcW w:w="907" w:type="dxa"/>
            <w:tcBorders>
              <w:top w:val="single" w:sz="8" w:space="0" w:color="auto"/>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single" w:sz="8" w:space="0" w:color="auto"/>
              <w:left w:val="nil"/>
              <w:bottom w:val="single" w:sz="8"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93" w:type="dxa"/>
            <w:tcBorders>
              <w:top w:val="single" w:sz="8" w:space="0" w:color="auto"/>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88.4</w:t>
            </w:r>
          </w:p>
        </w:tc>
        <w:tc>
          <w:tcPr>
            <w:tcW w:w="907" w:type="dxa"/>
            <w:tcBorders>
              <w:top w:val="single" w:sz="8" w:space="0" w:color="auto"/>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07" w:type="dxa"/>
            <w:tcBorders>
              <w:top w:val="single" w:sz="8" w:space="0" w:color="auto"/>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89</w:t>
            </w:r>
          </w:p>
        </w:tc>
      </w:tr>
      <w:tr w:rsidR="00B958B1" w:rsidRPr="00A475B8" w:rsidTr="009F3B54">
        <w:trPr>
          <w:cantSplit/>
        </w:trPr>
        <w:tc>
          <w:tcPr>
            <w:tcW w:w="3155" w:type="dxa"/>
            <w:tcBorders>
              <w:top w:val="single" w:sz="8" w:space="0" w:color="auto"/>
              <w:left w:val="nil"/>
              <w:bottom w:val="single" w:sz="6"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Criminal matters disposed within agreed timeframes in the Children’s</w:t>
            </w:r>
            <w:r>
              <w:rPr>
                <w:color w:val="000000" w:themeColor="text1"/>
                <w:lang w:eastAsia="en-AU"/>
              </w:rPr>
              <w:t> </w:t>
            </w:r>
            <w:r w:rsidRPr="00A475B8">
              <w:rPr>
                <w:color w:val="000000" w:themeColor="text1"/>
                <w:lang w:eastAsia="en-AU"/>
              </w:rPr>
              <w:t>Court</w:t>
            </w:r>
          </w:p>
        </w:tc>
        <w:tc>
          <w:tcPr>
            <w:tcW w:w="907" w:type="dxa"/>
            <w:tcBorders>
              <w:top w:val="single" w:sz="8" w:space="0" w:color="auto"/>
              <w:left w:val="nil"/>
              <w:bottom w:val="single" w:sz="6"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single" w:sz="8" w:space="0" w:color="auto"/>
              <w:left w:val="nil"/>
              <w:bottom w:val="single" w:sz="6"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93" w:type="dxa"/>
            <w:tcBorders>
              <w:top w:val="single" w:sz="8"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92.1</w:t>
            </w:r>
          </w:p>
        </w:tc>
        <w:tc>
          <w:tcPr>
            <w:tcW w:w="907" w:type="dxa"/>
            <w:tcBorders>
              <w:top w:val="single" w:sz="8"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07" w:type="dxa"/>
            <w:tcBorders>
              <w:top w:val="single" w:sz="8"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92</w:t>
            </w:r>
          </w:p>
        </w:tc>
      </w:tr>
      <w:tr w:rsidR="00B958B1" w:rsidRPr="003F6320" w:rsidTr="009F3B54">
        <w:trPr>
          <w:cantSplit/>
        </w:trPr>
        <w:tc>
          <w:tcPr>
            <w:tcW w:w="3155" w:type="dxa"/>
            <w:tcBorders>
              <w:top w:val="single" w:sz="6" w:space="0" w:color="auto"/>
              <w:left w:val="nil"/>
              <w:bottom w:val="nil"/>
              <w:right w:val="nil"/>
            </w:tcBorders>
            <w:shd w:val="clear" w:color="auto" w:fill="auto"/>
            <w:vAlign w:val="center"/>
            <w:hideMark/>
          </w:tcPr>
          <w:p w:rsidR="00B958B1" w:rsidRPr="009B35B0" w:rsidRDefault="00B958B1" w:rsidP="009F3B54">
            <w:pPr>
              <w:pStyle w:val="OGTabText"/>
              <w:rPr>
                <w:color w:val="000000" w:themeColor="text1"/>
                <w:lang w:eastAsia="en-AU"/>
              </w:rPr>
            </w:pPr>
            <w:r w:rsidRPr="009B35B0">
              <w:rPr>
                <w:color w:val="000000" w:themeColor="text1"/>
                <w:lang w:eastAsia="en-AU"/>
              </w:rPr>
              <w:t>Civil matters disposed within agreed timeframes in the Supreme</w:t>
            </w:r>
            <w:r>
              <w:rPr>
                <w:color w:val="000000" w:themeColor="text1"/>
                <w:lang w:eastAsia="en-AU"/>
              </w:rPr>
              <w:t> </w:t>
            </w:r>
            <w:r w:rsidRPr="009B35B0">
              <w:rPr>
                <w:color w:val="000000" w:themeColor="text1"/>
                <w:lang w:eastAsia="en-AU"/>
              </w:rPr>
              <w:t>Court</w:t>
            </w:r>
          </w:p>
        </w:tc>
        <w:tc>
          <w:tcPr>
            <w:tcW w:w="907" w:type="dxa"/>
            <w:tcBorders>
              <w:top w:val="single" w:sz="6" w:space="0" w:color="auto"/>
              <w:left w:val="nil"/>
              <w:bottom w:val="nil"/>
              <w:right w:val="nil"/>
            </w:tcBorders>
            <w:shd w:val="clear" w:color="auto" w:fill="auto"/>
            <w:hideMark/>
          </w:tcPr>
          <w:p w:rsidR="00B958B1" w:rsidRPr="009B35B0" w:rsidRDefault="00B958B1" w:rsidP="009F3B54">
            <w:pPr>
              <w:pStyle w:val="OGUoM"/>
              <w:rPr>
                <w:color w:val="000000" w:themeColor="text1"/>
                <w:lang w:eastAsia="en-AU"/>
              </w:rPr>
            </w:pPr>
            <w:r w:rsidRPr="009B35B0">
              <w:rPr>
                <w:color w:val="000000" w:themeColor="text1"/>
                <w:lang w:eastAsia="en-AU"/>
              </w:rPr>
              <w:t>per cent</w:t>
            </w:r>
          </w:p>
        </w:tc>
        <w:tc>
          <w:tcPr>
            <w:tcW w:w="907" w:type="dxa"/>
            <w:tcBorders>
              <w:top w:val="single" w:sz="6" w:space="0" w:color="auto"/>
              <w:left w:val="nil"/>
              <w:bottom w:val="nil"/>
              <w:right w:val="nil"/>
            </w:tcBorders>
            <w:shd w:val="clear" w:color="auto" w:fill="D9D9D9"/>
          </w:tcPr>
          <w:p w:rsidR="00B958B1" w:rsidRPr="009B35B0" w:rsidRDefault="00B958B1" w:rsidP="009F3B54">
            <w:pPr>
              <w:pStyle w:val="OGTableofFigures"/>
              <w:rPr>
                <w:color w:val="000000" w:themeColor="text1"/>
                <w:lang w:eastAsia="en-AU"/>
              </w:rPr>
            </w:pPr>
            <w:r>
              <w:rPr>
                <w:color w:val="000000" w:themeColor="text1"/>
                <w:lang w:eastAsia="en-AU"/>
              </w:rPr>
              <w:t>80</w:t>
            </w:r>
          </w:p>
        </w:tc>
        <w:tc>
          <w:tcPr>
            <w:tcW w:w="993" w:type="dxa"/>
            <w:tcBorders>
              <w:top w:val="single" w:sz="6" w:space="0" w:color="auto"/>
              <w:left w:val="nil"/>
              <w:bottom w:val="nil"/>
              <w:right w:val="nil"/>
            </w:tcBorders>
            <w:shd w:val="clear" w:color="auto" w:fill="auto"/>
          </w:tcPr>
          <w:p w:rsidR="00B958B1" w:rsidRPr="009B35B0" w:rsidRDefault="00B958B1" w:rsidP="009F3B54">
            <w:pPr>
              <w:pStyle w:val="OGTableofFigures"/>
              <w:rPr>
                <w:color w:val="000000" w:themeColor="text1"/>
                <w:lang w:eastAsia="en-AU"/>
              </w:rPr>
            </w:pPr>
            <w:r>
              <w:rPr>
                <w:color w:val="000000" w:themeColor="text1"/>
                <w:lang w:eastAsia="en-AU"/>
              </w:rPr>
              <w:t>85</w:t>
            </w:r>
          </w:p>
        </w:tc>
        <w:tc>
          <w:tcPr>
            <w:tcW w:w="907" w:type="dxa"/>
            <w:tcBorders>
              <w:top w:val="single" w:sz="6" w:space="0" w:color="auto"/>
              <w:left w:val="nil"/>
              <w:bottom w:val="nil"/>
              <w:right w:val="nil"/>
            </w:tcBorders>
            <w:shd w:val="clear" w:color="auto" w:fill="auto"/>
            <w:hideMark/>
          </w:tcPr>
          <w:p w:rsidR="00B958B1" w:rsidRPr="009B35B0" w:rsidRDefault="00B958B1" w:rsidP="009F3B54">
            <w:pPr>
              <w:pStyle w:val="OGTableofFigures"/>
              <w:rPr>
                <w:color w:val="000000" w:themeColor="text1"/>
                <w:lang w:eastAsia="en-AU"/>
              </w:rPr>
            </w:pPr>
            <w:r w:rsidRPr="009B35B0">
              <w:rPr>
                <w:color w:val="000000" w:themeColor="text1"/>
                <w:lang w:eastAsia="en-AU"/>
              </w:rPr>
              <w:t>80</w:t>
            </w:r>
          </w:p>
        </w:tc>
        <w:tc>
          <w:tcPr>
            <w:tcW w:w="907" w:type="dxa"/>
            <w:tcBorders>
              <w:top w:val="single" w:sz="6" w:space="0" w:color="auto"/>
              <w:left w:val="nil"/>
              <w:bottom w:val="nil"/>
              <w:right w:val="nil"/>
            </w:tcBorders>
            <w:shd w:val="clear" w:color="auto" w:fill="auto"/>
          </w:tcPr>
          <w:p w:rsidR="00B958B1" w:rsidRPr="009B35B0" w:rsidRDefault="00B958B1" w:rsidP="009F3B54">
            <w:pPr>
              <w:pStyle w:val="OGTableofFigures"/>
              <w:rPr>
                <w:color w:val="000000" w:themeColor="text1"/>
                <w:lang w:eastAsia="en-AU"/>
              </w:rPr>
            </w:pPr>
            <w:r>
              <w:rPr>
                <w:color w:val="000000" w:themeColor="text1"/>
                <w:lang w:eastAsia="en-AU"/>
              </w:rPr>
              <w:t>88</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BB66DD" w:rsidRDefault="00B958B1" w:rsidP="009F3B54">
            <w:pPr>
              <w:pStyle w:val="OGNotes"/>
              <w:rPr>
                <w:b/>
                <w:highlight w:val="yellow"/>
              </w:rPr>
            </w:pPr>
            <w:r w:rsidRPr="0010724F">
              <w:t>The 2012</w:t>
            </w:r>
            <w:r w:rsidR="009F0F49">
              <w:noBreakHyphen/>
            </w:r>
            <w:r w:rsidRPr="0010724F">
              <w:t>13 Expected Outcome is higher than the 2012</w:t>
            </w:r>
            <w:r w:rsidR="009F0F49">
              <w:noBreakHyphen/>
            </w:r>
            <w:r w:rsidRPr="0010724F">
              <w:t>13 Target due to a higher than anticipated number of civil matters disposed within agreed timeframes in the Supreme Court</w:t>
            </w:r>
            <w:r>
              <w:t>.</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Civil matters disposed within agreed timeframes in the County</w:t>
            </w:r>
            <w:r>
              <w:rPr>
                <w:color w:val="000000" w:themeColor="text1"/>
                <w:lang w:eastAsia="en-AU"/>
              </w:rPr>
              <w:t> </w:t>
            </w:r>
            <w:r w:rsidRPr="00A475B8">
              <w:rPr>
                <w:color w:val="000000" w:themeColor="text1"/>
                <w:lang w:eastAsia="en-AU"/>
              </w:rPr>
              <w:t>Court</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60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60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47</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9B35B0">
              <w:t>The 2012</w:t>
            </w:r>
            <w:r w:rsidR="009F0F49">
              <w:noBreakHyphen/>
            </w:r>
            <w:r w:rsidRPr="009B35B0">
              <w:t>13 Expected Outcome is lower than the 2012</w:t>
            </w:r>
            <w:r w:rsidR="009F0F49">
              <w:noBreakHyphen/>
            </w:r>
            <w:r w:rsidRPr="009B35B0">
              <w:t xml:space="preserve">13 Target </w:t>
            </w:r>
            <w:r>
              <w:t>as</w:t>
            </w:r>
            <w:r w:rsidRPr="009B35B0">
              <w:t xml:space="preserve"> the </w:t>
            </w:r>
            <w:r>
              <w:t>t</w:t>
            </w:r>
            <w:r w:rsidRPr="009B35B0">
              <w:t>imeliness of civil processes in the courts depends largely on the actions of the parties involved in cases and complexity of the actions.</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Civil matters disposed within agreed timeframes in the Magistrates’ Court</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84.1</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81</w:t>
            </w:r>
          </w:p>
        </w:tc>
      </w:tr>
      <w:tr w:rsidR="00B958B1" w:rsidRPr="00A475B8" w:rsidTr="009F3B54">
        <w:trPr>
          <w:cantSplit/>
        </w:trPr>
        <w:tc>
          <w:tcPr>
            <w:tcW w:w="3155" w:type="dxa"/>
            <w:tcBorders>
              <w:top w:val="single" w:sz="8" w:space="0" w:color="auto"/>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Civil matters disposed within agreed timeframes in the  Victorian Civil and Administrative Tribunal</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single" w:sz="8"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93"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87</w:t>
            </w:r>
          </w:p>
        </w:tc>
      </w:tr>
      <w:tr w:rsidR="00B958B1" w:rsidRPr="00A475B8" w:rsidTr="009F3B54">
        <w:trPr>
          <w:cantSplit/>
        </w:trPr>
        <w:tc>
          <w:tcPr>
            <w:tcW w:w="3155" w:type="dxa"/>
            <w:tcBorders>
              <w:top w:val="single" w:sz="8" w:space="0" w:color="auto"/>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Child protection matters disposed within agreed timeframes in the Children’s Court</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single" w:sz="8"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80</w:t>
            </w:r>
          </w:p>
        </w:tc>
        <w:tc>
          <w:tcPr>
            <w:tcW w:w="993"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80</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80</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78</w:t>
            </w:r>
          </w:p>
        </w:tc>
      </w:tr>
      <w:tr w:rsidR="00B958B1" w:rsidRPr="00A475B8" w:rsidTr="009F3B54">
        <w:trPr>
          <w:cantSplit/>
        </w:trPr>
        <w:tc>
          <w:tcPr>
            <w:tcW w:w="3155" w:type="dxa"/>
            <w:tcBorders>
              <w:top w:val="single" w:sz="8" w:space="0" w:color="auto"/>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Coronial matters disposed within agreed timeframes in the Coroner’s Court</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single" w:sz="8"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70</w:t>
            </w:r>
          </w:p>
        </w:tc>
        <w:tc>
          <w:tcPr>
            <w:tcW w:w="993"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70</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70</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71</w:t>
            </w:r>
          </w:p>
        </w:tc>
      </w:tr>
      <w:tr w:rsidR="00B958B1" w:rsidRPr="00A475B8" w:rsidTr="009F3B54">
        <w:trPr>
          <w:cantSplit/>
        </w:trPr>
        <w:tc>
          <w:tcPr>
            <w:tcW w:w="3155" w:type="dxa"/>
            <w:tcBorders>
              <w:top w:val="single" w:sz="8" w:space="0" w:color="auto"/>
              <w:left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Cost</w:t>
            </w:r>
          </w:p>
        </w:tc>
        <w:tc>
          <w:tcPr>
            <w:tcW w:w="907" w:type="dxa"/>
            <w:tcBorders>
              <w:top w:val="single" w:sz="8" w:space="0" w:color="auto"/>
              <w:left w:val="nil"/>
              <w:right w:val="nil"/>
            </w:tcBorders>
            <w:shd w:val="clear" w:color="auto" w:fill="auto"/>
            <w:hideMark/>
          </w:tcPr>
          <w:p w:rsidR="00B958B1" w:rsidRPr="00A475B8" w:rsidRDefault="00B958B1" w:rsidP="009F3B54">
            <w:pPr>
              <w:pStyle w:val="OGUoM"/>
              <w:rPr>
                <w:color w:val="000000" w:themeColor="text1"/>
                <w:lang w:eastAsia="en-AU"/>
              </w:rPr>
            </w:pPr>
          </w:p>
        </w:tc>
        <w:tc>
          <w:tcPr>
            <w:tcW w:w="907" w:type="dxa"/>
            <w:tcBorders>
              <w:top w:val="single" w:sz="8" w:space="0" w:color="auto"/>
              <w:left w:val="nil"/>
              <w:right w:val="nil"/>
            </w:tcBorders>
            <w:shd w:val="clear" w:color="auto" w:fill="D9D9D9"/>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8" w:space="0" w:color="auto"/>
              <w:left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Total output cost</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w:t>
            </w:r>
            <w:r>
              <w:rPr>
                <w:color w:val="000000" w:themeColor="text1"/>
                <w:lang w:eastAsia="en-AU"/>
              </w:rPr>
              <w:t> million</w:t>
            </w:r>
          </w:p>
        </w:tc>
        <w:tc>
          <w:tcPr>
            <w:tcW w:w="907" w:type="dxa"/>
            <w:tcBorders>
              <w:top w:val="nil"/>
              <w:left w:val="nil"/>
              <w:bottom w:val="nil"/>
              <w:right w:val="nil"/>
            </w:tcBorders>
            <w:shd w:val="clear" w:color="auto" w:fill="D9D9D9"/>
            <w:hideMark/>
          </w:tcPr>
          <w:p w:rsidR="00B958B1" w:rsidRPr="00DB000A" w:rsidRDefault="00B958B1" w:rsidP="009F3B54">
            <w:pPr>
              <w:pStyle w:val="OGTableofFigures"/>
              <w:rPr>
                <w:color w:val="000000" w:themeColor="text1"/>
                <w:lang w:eastAsia="en-AU"/>
              </w:rPr>
            </w:pPr>
            <w:r>
              <w:rPr>
                <w:color w:val="000000" w:themeColor="text1"/>
                <w:lang w:eastAsia="en-AU"/>
              </w:rPr>
              <w:t>448.9</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419.7</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424.7</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449.7</w:t>
            </w:r>
          </w:p>
        </w:tc>
      </w:tr>
      <w:tr w:rsidR="00B958B1" w:rsidRPr="00DB000A" w:rsidTr="009F3B54">
        <w:trPr>
          <w:cantSplit/>
        </w:trPr>
        <w:tc>
          <w:tcPr>
            <w:tcW w:w="7776" w:type="dxa"/>
            <w:gridSpan w:val="6"/>
            <w:tcBorders>
              <w:top w:val="nil"/>
              <w:left w:val="nil"/>
              <w:bottom w:val="single" w:sz="12" w:space="0" w:color="auto"/>
              <w:right w:val="nil"/>
            </w:tcBorders>
            <w:shd w:val="clear" w:color="auto" w:fill="auto"/>
            <w:vAlign w:val="center"/>
          </w:tcPr>
          <w:p w:rsidR="00B958B1" w:rsidRDefault="00B958B1" w:rsidP="009F3B54">
            <w:pPr>
              <w:pStyle w:val="OGNotes"/>
            </w:pPr>
            <w:r w:rsidRPr="00DB000A">
              <w:t>The 2013</w:t>
            </w:r>
            <w:r w:rsidR="009F0F49">
              <w:noBreakHyphen/>
            </w:r>
            <w:r w:rsidRPr="00DB000A">
              <w:t xml:space="preserve">14 Target reflects new funding to support </w:t>
            </w:r>
            <w:r>
              <w:t>courts and</w:t>
            </w:r>
            <w:r w:rsidRPr="00DB000A">
              <w:t xml:space="preserve"> the full year impact </w:t>
            </w:r>
            <w:r>
              <w:t>of the review of court fees</w:t>
            </w:r>
            <w:r w:rsidRPr="00DB000A">
              <w:t>.</w:t>
            </w:r>
            <w:r>
              <w:t xml:space="preserve"> </w:t>
            </w:r>
          </w:p>
          <w:p w:rsidR="00B958B1" w:rsidRPr="00DB000A" w:rsidRDefault="00B958B1" w:rsidP="009F3B54">
            <w:pPr>
              <w:pStyle w:val="OGNotes"/>
              <w:rPr>
                <w:highlight w:val="yellow"/>
              </w:rPr>
            </w:pPr>
            <w:r w:rsidRPr="00DB000A">
              <w:t>The 2012</w:t>
            </w:r>
            <w:r w:rsidR="009F0F49">
              <w:noBreakHyphen/>
            </w:r>
            <w:r w:rsidRPr="00DB000A">
              <w:t>13 Expected Outcome</w:t>
            </w:r>
            <w:r>
              <w:t xml:space="preserve"> is lower than the 2012</w:t>
            </w:r>
            <w:r w:rsidR="009F0F49">
              <w:noBreakHyphen/>
            </w:r>
            <w:r>
              <w:t>13 Target primarily because of the transfer of funding for Dispute Settlement, Appeals Costs and Sentencing Advisory Council functions to the Access to Justice and Support Services output.</w:t>
            </w:r>
          </w:p>
        </w:tc>
      </w:tr>
    </w:tbl>
    <w:p w:rsidR="00B958B1" w:rsidRDefault="00B958B1" w:rsidP="009F3B54">
      <w:pPr>
        <w:pStyle w:val="Source"/>
      </w:pPr>
      <w:r>
        <w:t>Source: Department of Justice</w:t>
      </w:r>
    </w:p>
    <w:bookmarkEnd w:id="122"/>
    <w:p w:rsidR="00B958B1" w:rsidRDefault="00B958B1" w:rsidP="009F3B54">
      <w:pPr>
        <w:pStyle w:val="Source"/>
      </w:pPr>
      <w:r>
        <w:fldChar w:fldCharType="begin"/>
      </w:r>
      <w:r>
        <w:instrText xml:space="preserve"> XE "</w:instrText>
      </w:r>
      <w:r w:rsidRPr="00823642">
        <w:instrText>Department of Justice:Court Services</w:instrText>
      </w:r>
      <w:r>
        <w:instrText xml:space="preserve">" \r "BP3DOJCourtSvces" </w:instrText>
      </w:r>
      <w:r>
        <w:fldChar w:fldCharType="end"/>
      </w:r>
    </w:p>
    <w:p w:rsidR="00B958B1" w:rsidRPr="00A475B8" w:rsidRDefault="00B958B1" w:rsidP="009F3B54">
      <w:pPr>
        <w:pStyle w:val="OGHeading1"/>
        <w:rPr>
          <w:lang w:eastAsia="en-AU"/>
        </w:rPr>
      </w:pPr>
      <w:r w:rsidRPr="00A475B8">
        <w:rPr>
          <w:color w:val="000000" w:themeColor="text1"/>
        </w:rPr>
        <w:br w:type="page"/>
      </w:r>
      <w:bookmarkStart w:id="123" w:name="BP3DOJSuppLegalProcesandLawRfrm"/>
      <w:r w:rsidRPr="00A475B8">
        <w:rPr>
          <w:lang w:eastAsia="en-AU"/>
        </w:rPr>
        <w:t>Supporting Legal Processes and Law Reform</w:t>
      </w:r>
    </w:p>
    <w:p w:rsidR="00B958B1" w:rsidRPr="00A475B8" w:rsidRDefault="00B958B1" w:rsidP="009F3B54">
      <w:pPr>
        <w:pStyle w:val="OGText"/>
        <w:rPr>
          <w:lang w:eastAsia="en-AU"/>
        </w:rPr>
      </w:pPr>
      <w:r w:rsidRPr="00A475B8">
        <w:rPr>
          <w:lang w:eastAsia="en-AU"/>
        </w:rPr>
        <w:t>This output group relates to the provision of services that support legal processes and law reform.</w:t>
      </w:r>
    </w:p>
    <w:p w:rsidR="00B958B1" w:rsidRPr="00A475B8" w:rsidRDefault="00B958B1" w:rsidP="009F3B54">
      <w:pPr>
        <w:pStyle w:val="OGText"/>
        <w:rPr>
          <w:lang w:eastAsia="en-AU"/>
        </w:rPr>
      </w:pPr>
      <w:r w:rsidRPr="00A475B8">
        <w:rPr>
          <w:lang w:eastAsia="en-AU"/>
        </w:rPr>
        <w:t>Services that support legal processes include legal aid, prosecution services, communit</w:t>
      </w:r>
      <w:r>
        <w:rPr>
          <w:lang w:eastAsia="en-AU"/>
        </w:rPr>
        <w:t>y mediation services, support for</w:t>
      </w:r>
      <w:r w:rsidRPr="00A475B8">
        <w:rPr>
          <w:lang w:eastAsia="en-AU"/>
        </w:rPr>
        <w:t xml:space="preserve"> victims of crime and the delivery of independent, expert forensic medical services to the justice system.</w:t>
      </w:r>
    </w:p>
    <w:p w:rsidR="00B958B1" w:rsidRPr="00A475B8" w:rsidRDefault="00B958B1" w:rsidP="009F3B54">
      <w:pPr>
        <w:pStyle w:val="OGText"/>
        <w:rPr>
          <w:lang w:eastAsia="en-AU"/>
        </w:rPr>
      </w:pPr>
      <w:r w:rsidRPr="00A475B8">
        <w:rPr>
          <w:lang w:eastAsia="en-AU"/>
        </w:rPr>
        <w:t xml:space="preserve">Other services in this output group include legal </w:t>
      </w:r>
      <w:r>
        <w:rPr>
          <w:lang w:eastAsia="en-AU"/>
        </w:rPr>
        <w:t xml:space="preserve">policy </w:t>
      </w:r>
      <w:r w:rsidRPr="00A475B8">
        <w:rPr>
          <w:lang w:eastAsia="en-AU"/>
        </w:rPr>
        <w:t xml:space="preserve">advice to </w:t>
      </w:r>
      <w:r>
        <w:rPr>
          <w:lang w:eastAsia="en-AU"/>
        </w:rPr>
        <w:t>government</w:t>
      </w:r>
      <w:r w:rsidRPr="00A475B8">
        <w:rPr>
          <w:lang w:eastAsia="en-AU"/>
        </w:rPr>
        <w:t>, law reform, implementation of new or amended legislation and the provision of legal advice to the Government.</w:t>
      </w:r>
    </w:p>
    <w:p w:rsidR="00B958B1" w:rsidRPr="00A475B8" w:rsidRDefault="00B958B1" w:rsidP="009F3B54">
      <w:pPr>
        <w:pStyle w:val="OGText"/>
        <w:rPr>
          <w:lang w:eastAsia="en-AU"/>
        </w:rPr>
      </w:pPr>
      <w:r w:rsidRPr="00A475B8">
        <w:rPr>
          <w:lang w:eastAsia="en-AU"/>
        </w:rPr>
        <w:t>This output group contributes to the Department’s objective of supporting the rule of law.</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7"/>
        <w:gridCol w:w="986"/>
        <w:gridCol w:w="907"/>
        <w:gridCol w:w="907"/>
      </w:tblGrid>
      <w:tr w:rsidR="00B958B1" w:rsidRPr="00A475B8" w:rsidTr="009F3B54">
        <w:trPr>
          <w:cantSplit/>
          <w:tblHeader/>
        </w:trPr>
        <w:tc>
          <w:tcPr>
            <w:tcW w:w="3155" w:type="dxa"/>
            <w:tcBorders>
              <w:top w:val="single" w:sz="4" w:space="0" w:color="auto"/>
              <w:left w:val="single" w:sz="4" w:space="0" w:color="auto"/>
              <w:bottom w:val="single" w:sz="4" w:space="0" w:color="auto"/>
              <w:right w:val="nil"/>
            </w:tcBorders>
            <w:shd w:val="clear" w:color="auto" w:fill="000000"/>
            <w:vAlign w:val="bottom"/>
          </w:tcPr>
          <w:p w:rsidR="00B958B1" w:rsidRPr="008840F3" w:rsidRDefault="00B958B1" w:rsidP="009F3B54">
            <w:pPr>
              <w:pStyle w:val="OGTabColLeft"/>
              <w:rPr>
                <w:i/>
                <w:color w:val="FFFFFF" w:themeColor="background1"/>
              </w:rPr>
            </w:pPr>
            <w:r w:rsidRPr="008840F3">
              <w:rPr>
                <w:color w:val="FFFFFF" w:themeColor="background1"/>
              </w:rPr>
              <w:t>Major Outputs/Deliverables</w:t>
            </w:r>
            <w:r w:rsidRPr="008840F3">
              <w:rPr>
                <w:color w:val="FFFFFF" w:themeColor="background1"/>
              </w:rPr>
              <w:br/>
            </w:r>
            <w:r w:rsidRPr="008840F3">
              <w:rPr>
                <w:b w:val="0"/>
                <w:i/>
                <w:color w:val="FFFFFF" w:themeColor="background1"/>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Centred"/>
              <w:rPr>
                <w:color w:val="FFFFFF" w:themeColor="background1"/>
              </w:rPr>
            </w:pPr>
            <w:r w:rsidRPr="008840F3">
              <w:rPr>
                <w:color w:val="FFFFFF" w:themeColor="background1"/>
              </w:rPr>
              <w:t xml:space="preserve">Unit of </w:t>
            </w:r>
            <w:r w:rsidRPr="008840F3">
              <w:rPr>
                <w:color w:val="FFFFFF" w:themeColor="background1"/>
              </w:rPr>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2013</w:t>
            </w:r>
            <w:r w:rsidR="009F0F49">
              <w:rPr>
                <w:color w:val="FFFFFF" w:themeColor="background1"/>
              </w:rPr>
              <w:noBreakHyphen/>
            </w:r>
            <w:r w:rsidRPr="008840F3">
              <w:rPr>
                <w:color w:val="FFFFFF" w:themeColor="background1"/>
              </w:rPr>
              <w:t>14 Target</w:t>
            </w:r>
          </w:p>
        </w:tc>
        <w:tc>
          <w:tcPr>
            <w:tcW w:w="993" w:type="dxa"/>
            <w:gridSpan w:val="2"/>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2012</w:t>
            </w:r>
            <w:r w:rsidR="009F0F49">
              <w:rPr>
                <w:color w:val="FFFFFF" w:themeColor="background1"/>
              </w:rPr>
              <w:noBreakHyphen/>
            </w:r>
            <w:r w:rsidRPr="008840F3">
              <w:rPr>
                <w:color w:val="FFFFFF" w:themeColor="background1"/>
              </w:rPr>
              <w:t>13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2012</w:t>
            </w:r>
            <w:r w:rsidR="009F0F49">
              <w:rPr>
                <w:color w:val="FFFFFF" w:themeColor="background1"/>
              </w:rPr>
              <w:noBreakHyphen/>
            </w:r>
            <w:r w:rsidRPr="008840F3">
              <w:rPr>
                <w:color w:val="FFFFFF" w:themeColor="background1"/>
              </w:rPr>
              <w:t>13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2011</w:t>
            </w:r>
            <w:r w:rsidR="009F0F49">
              <w:rPr>
                <w:color w:val="FFFFFF" w:themeColor="background1"/>
              </w:rPr>
              <w:noBreakHyphen/>
            </w:r>
            <w:r w:rsidRPr="008840F3">
              <w:rPr>
                <w:color w:val="FFFFFF" w:themeColor="background1"/>
              </w:rPr>
              <w:t>12 Actual</w:t>
            </w:r>
          </w:p>
        </w:tc>
      </w:tr>
      <w:tr w:rsidR="00B958B1" w:rsidRPr="00A475B8" w:rsidTr="009F3B54">
        <w:trPr>
          <w:cantSplit/>
        </w:trPr>
        <w:tc>
          <w:tcPr>
            <w:tcW w:w="7776" w:type="dxa"/>
            <w:gridSpan w:val="7"/>
            <w:tcBorders>
              <w:top w:val="nil"/>
              <w:left w:val="nil"/>
              <w:bottom w:val="nil"/>
              <w:right w:val="nil"/>
            </w:tcBorders>
            <w:shd w:val="clear" w:color="auto" w:fill="auto"/>
            <w:vAlign w:val="center"/>
            <w:hideMark/>
          </w:tcPr>
          <w:p w:rsidR="00B958B1" w:rsidRPr="00A475B8" w:rsidRDefault="00B958B1" w:rsidP="009F3B54">
            <w:pPr>
              <w:pStyle w:val="OGHeading2"/>
              <w:rPr>
                <w:bCs/>
                <w:color w:val="000000" w:themeColor="text1"/>
                <w:lang w:eastAsia="en-AU"/>
              </w:rPr>
            </w:pPr>
            <w:r w:rsidRPr="00A475B8">
              <w:rPr>
                <w:color w:val="000000" w:themeColor="text1"/>
                <w:lang w:eastAsia="en-AU"/>
              </w:rPr>
              <w:t>Access to Justice and Support Services</w:t>
            </w:r>
          </w:p>
        </w:tc>
      </w:tr>
      <w:tr w:rsidR="00B958B1" w:rsidRPr="00A475B8" w:rsidTr="009F3B54">
        <w:trPr>
          <w:cantSplit/>
        </w:trPr>
        <w:tc>
          <w:tcPr>
            <w:tcW w:w="7776" w:type="dxa"/>
            <w:gridSpan w:val="7"/>
            <w:tcBorders>
              <w:top w:val="nil"/>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 xml:space="preserve">This output delivers a broad range of services </w:t>
            </w:r>
            <w:r>
              <w:rPr>
                <w:color w:val="000000" w:themeColor="text1"/>
                <w:lang w:eastAsia="en-AU"/>
              </w:rPr>
              <w:t>such as</w:t>
            </w:r>
            <w:r w:rsidRPr="00A475B8">
              <w:rPr>
                <w:color w:val="000000" w:themeColor="text1"/>
                <w:lang w:eastAsia="en-AU"/>
              </w:rPr>
              <w:t xml:space="preserve"> the provision of legal and law reform advice, management of Native Title legislation and claims, and access to justice and support services for the Victorian community including legal aid, forensic medical and scientific services, medico</w:t>
            </w:r>
            <w:r w:rsidR="009F0F49">
              <w:rPr>
                <w:color w:val="000000" w:themeColor="text1"/>
                <w:lang w:eastAsia="en-AU"/>
              </w:rPr>
              <w:noBreakHyphen/>
            </w:r>
            <w:r w:rsidRPr="00A475B8">
              <w:rPr>
                <w:color w:val="000000" w:themeColor="text1"/>
                <w:lang w:eastAsia="en-AU"/>
              </w:rPr>
              <w:t>legal advice, support for victims and the prevention and early resolution of legal problems.</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Quantity</w:t>
            </w: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UoM"/>
              <w:rPr>
                <w:color w:val="000000" w:themeColor="text1"/>
                <w:lang w:eastAsia="en-AU"/>
              </w:rPr>
            </w:pPr>
          </w:p>
        </w:tc>
        <w:tc>
          <w:tcPr>
            <w:tcW w:w="907" w:type="dxa"/>
            <w:tcBorders>
              <w:top w:val="nil"/>
              <w:left w:val="nil"/>
              <w:bottom w:val="nil"/>
              <w:right w:val="nil"/>
            </w:tcBorders>
            <w:shd w:val="clear" w:color="auto" w:fill="D9D9D9"/>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gridSpan w:val="2"/>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Community education and consultation sessions conducted by Victorian Law Reform Commission (VLRC)</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60</w:t>
            </w:r>
          </w:p>
        </w:tc>
        <w:tc>
          <w:tcPr>
            <w:tcW w:w="993" w:type="dxa"/>
            <w:gridSpan w:val="2"/>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96</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50</w:t>
            </w:r>
          </w:p>
        </w:tc>
      </w:tr>
      <w:tr w:rsidR="00B958B1" w:rsidRPr="00A475B8" w:rsidTr="009F3B54">
        <w:trPr>
          <w:cantSplit/>
        </w:trPr>
        <w:tc>
          <w:tcPr>
            <w:tcW w:w="7776" w:type="dxa"/>
            <w:gridSpan w:val="7"/>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13 Expected Outcome is higher than the 2012</w:t>
            </w:r>
            <w:r w:rsidR="009F0F49">
              <w:noBreakHyphen/>
            </w:r>
            <w:r w:rsidRPr="00A475B8">
              <w:t>13 Target due to a higher than anticipated number of requests for education sessions from schools. The 2013</w:t>
            </w:r>
            <w:r w:rsidR="009F0F49">
              <w:noBreakHyphen/>
            </w:r>
            <w:r w:rsidRPr="00A475B8">
              <w:t>14 Target is based on historic performance for this measure.</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Law reform projects conducted by VLRC</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3</w:t>
            </w:r>
          </w:p>
        </w:tc>
        <w:tc>
          <w:tcPr>
            <w:tcW w:w="993" w:type="dxa"/>
            <w:gridSpan w:val="2"/>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3</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3</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w:t>
            </w:r>
          </w:p>
        </w:tc>
      </w:tr>
      <w:tr w:rsidR="00B958B1" w:rsidRPr="00A475B8" w:rsidTr="009F3B54">
        <w:trPr>
          <w:cantSplit/>
        </w:trPr>
        <w:tc>
          <w:tcPr>
            <w:tcW w:w="3155" w:type="dxa"/>
            <w:tcBorders>
              <w:top w:val="single" w:sz="8" w:space="0" w:color="auto"/>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Groups in negotiation towards resolution of Native Title claims</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single" w:sz="8"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w:t>
            </w:r>
          </w:p>
        </w:tc>
        <w:tc>
          <w:tcPr>
            <w:tcW w:w="993" w:type="dxa"/>
            <w:gridSpan w:val="2"/>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3155" w:type="dxa"/>
            <w:tcBorders>
              <w:top w:val="single" w:sz="8" w:space="0" w:color="auto"/>
              <w:left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Provision of expert forensic medical and scientific evidence in court by Victorian Institute of Forensic Medicine (VIFM)</w:t>
            </w:r>
          </w:p>
        </w:tc>
        <w:tc>
          <w:tcPr>
            <w:tcW w:w="907" w:type="dxa"/>
            <w:tcBorders>
              <w:top w:val="single" w:sz="8" w:space="0" w:color="auto"/>
              <w:left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single" w:sz="8" w:space="0" w:color="auto"/>
              <w:left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250</w:t>
            </w:r>
          </w:p>
        </w:tc>
        <w:tc>
          <w:tcPr>
            <w:tcW w:w="993" w:type="dxa"/>
            <w:gridSpan w:val="2"/>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270</w:t>
            </w:r>
          </w:p>
        </w:tc>
        <w:tc>
          <w:tcPr>
            <w:tcW w:w="907" w:type="dxa"/>
            <w:tcBorders>
              <w:top w:val="single" w:sz="8"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&gt; 200</w:t>
            </w:r>
          </w:p>
        </w:tc>
        <w:tc>
          <w:tcPr>
            <w:tcW w:w="907" w:type="dxa"/>
            <w:tcBorders>
              <w:top w:val="single" w:sz="8"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257</w:t>
            </w:r>
          </w:p>
        </w:tc>
      </w:tr>
      <w:tr w:rsidR="00B958B1" w:rsidRPr="00A475B8" w:rsidTr="009F3B54">
        <w:trPr>
          <w:cantSplit/>
        </w:trPr>
        <w:tc>
          <w:tcPr>
            <w:tcW w:w="7776" w:type="dxa"/>
            <w:gridSpan w:val="7"/>
            <w:tcBorders>
              <w:top w:val="nil"/>
              <w:left w:val="nil"/>
              <w:bottom w:val="single" w:sz="6" w:space="0" w:color="auto"/>
              <w:right w:val="nil"/>
            </w:tcBorders>
            <w:shd w:val="clear" w:color="auto" w:fill="auto"/>
            <w:vAlign w:val="center"/>
            <w:hideMark/>
          </w:tcPr>
          <w:p w:rsidR="00B958B1" w:rsidRPr="00A475B8" w:rsidRDefault="00B958B1" w:rsidP="009F3B54">
            <w:pPr>
              <w:pStyle w:val="OGNotes"/>
            </w:pPr>
            <w:r w:rsidRPr="00A475B8">
              <w:t>The higher 2013</w:t>
            </w:r>
            <w:r w:rsidR="009F0F49">
              <w:noBreakHyphen/>
            </w:r>
            <w:r w:rsidRPr="00A475B8">
              <w:t>14 Target reflects historic performance for this measure.</w:t>
            </w:r>
          </w:p>
        </w:tc>
      </w:tr>
      <w:tr w:rsidR="00B958B1" w:rsidRPr="00A475B8" w:rsidTr="009F3B54">
        <w:trPr>
          <w:cantSplit/>
        </w:trPr>
        <w:tc>
          <w:tcPr>
            <w:tcW w:w="3155" w:type="dxa"/>
            <w:tcBorders>
              <w:top w:val="single" w:sz="6" w:space="0" w:color="auto"/>
              <w:left w:val="nil"/>
              <w:bottom w:val="single" w:sz="6" w:space="0" w:color="auto"/>
              <w:right w:val="nil"/>
            </w:tcBorders>
            <w:shd w:val="clear" w:color="auto" w:fill="auto"/>
            <w:hideMark/>
          </w:tcPr>
          <w:p w:rsidR="00B958B1" w:rsidRPr="00A475B8" w:rsidRDefault="00B958B1" w:rsidP="009F3B54">
            <w:pPr>
              <w:pStyle w:val="OGTabText"/>
              <w:rPr>
                <w:color w:val="000000" w:themeColor="text1"/>
                <w:lang w:eastAsia="en-AU"/>
              </w:rPr>
            </w:pPr>
            <w:r w:rsidRPr="00A475B8">
              <w:rPr>
                <w:color w:val="000000" w:themeColor="text1"/>
                <w:lang w:eastAsia="en-AU"/>
              </w:rPr>
              <w:t>Clinical forensic medical services (VIFM)</w:t>
            </w:r>
          </w:p>
        </w:tc>
        <w:tc>
          <w:tcPr>
            <w:tcW w:w="907" w:type="dxa"/>
            <w:tcBorders>
              <w:top w:val="single" w:sz="6" w:space="0" w:color="auto"/>
              <w:left w:val="nil"/>
              <w:bottom w:val="single" w:sz="6"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w:t>
            </w:r>
            <w:r>
              <w:rPr>
                <w:color w:val="000000" w:themeColor="text1"/>
                <w:lang w:eastAsia="en-AU"/>
              </w:rPr>
              <w:t> </w:t>
            </w:r>
            <w:r w:rsidRPr="00A475B8">
              <w:rPr>
                <w:color w:val="000000" w:themeColor="text1"/>
                <w:lang w:eastAsia="en-AU"/>
              </w:rPr>
              <w:t>100–</w:t>
            </w:r>
            <w:r>
              <w:rPr>
                <w:color w:val="000000" w:themeColor="text1"/>
                <w:lang w:eastAsia="en-AU"/>
              </w:rPr>
              <w:br/>
            </w:r>
            <w:r w:rsidRPr="00A475B8">
              <w:rPr>
                <w:color w:val="000000" w:themeColor="text1"/>
                <w:lang w:eastAsia="en-AU"/>
              </w:rPr>
              <w:t>2</w:t>
            </w:r>
            <w:r>
              <w:rPr>
                <w:color w:val="000000" w:themeColor="text1"/>
                <w:lang w:eastAsia="en-AU"/>
              </w:rPr>
              <w:t> </w:t>
            </w:r>
            <w:r w:rsidRPr="00A475B8">
              <w:rPr>
                <w:color w:val="000000" w:themeColor="text1"/>
                <w:lang w:eastAsia="en-AU"/>
              </w:rPr>
              <w:t>500</w:t>
            </w:r>
          </w:p>
        </w:tc>
        <w:tc>
          <w:tcPr>
            <w:tcW w:w="993" w:type="dxa"/>
            <w:gridSpan w:val="2"/>
            <w:tcBorders>
              <w:top w:val="single" w:sz="6"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w:t>
            </w:r>
            <w:r>
              <w:rPr>
                <w:color w:val="000000" w:themeColor="text1"/>
                <w:lang w:eastAsia="en-AU"/>
              </w:rPr>
              <w:t> </w:t>
            </w:r>
            <w:r w:rsidRPr="00A475B8">
              <w:rPr>
                <w:color w:val="000000" w:themeColor="text1"/>
                <w:lang w:eastAsia="en-AU"/>
              </w:rPr>
              <w:t>150</w:t>
            </w:r>
          </w:p>
        </w:tc>
        <w:tc>
          <w:tcPr>
            <w:tcW w:w="907" w:type="dxa"/>
            <w:tcBorders>
              <w:top w:val="single" w:sz="6"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w:t>
            </w:r>
            <w:r>
              <w:rPr>
                <w:color w:val="000000" w:themeColor="text1"/>
                <w:lang w:eastAsia="en-AU"/>
              </w:rPr>
              <w:t> </w:t>
            </w:r>
            <w:r w:rsidRPr="00A475B8">
              <w:rPr>
                <w:color w:val="000000" w:themeColor="text1"/>
                <w:lang w:eastAsia="en-AU"/>
              </w:rPr>
              <w:t>100–2</w:t>
            </w:r>
            <w:r>
              <w:rPr>
                <w:color w:val="000000" w:themeColor="text1"/>
                <w:lang w:eastAsia="en-AU"/>
              </w:rPr>
              <w:t> </w:t>
            </w:r>
            <w:r w:rsidRPr="00A475B8">
              <w:rPr>
                <w:color w:val="000000" w:themeColor="text1"/>
                <w:lang w:eastAsia="en-AU"/>
              </w:rPr>
              <w:t>500</w:t>
            </w:r>
          </w:p>
        </w:tc>
        <w:tc>
          <w:tcPr>
            <w:tcW w:w="907" w:type="dxa"/>
            <w:tcBorders>
              <w:top w:val="single" w:sz="6"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w:t>
            </w:r>
            <w:r>
              <w:rPr>
                <w:color w:val="000000" w:themeColor="text1"/>
                <w:lang w:eastAsia="en-AU"/>
              </w:rPr>
              <w:t> </w:t>
            </w:r>
            <w:r w:rsidRPr="00A475B8">
              <w:rPr>
                <w:color w:val="000000" w:themeColor="text1"/>
                <w:lang w:eastAsia="en-AU"/>
              </w:rPr>
              <w:t>212</w:t>
            </w:r>
          </w:p>
        </w:tc>
      </w:tr>
      <w:tr w:rsidR="00B958B1" w:rsidRPr="00A475B8" w:rsidTr="009F3B54">
        <w:trPr>
          <w:cantSplit/>
        </w:trPr>
        <w:tc>
          <w:tcPr>
            <w:tcW w:w="3155"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Grants of legal assistance provided by Victoria Legal Aid</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single" w:sz="6"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40</w:t>
            </w:r>
            <w:r>
              <w:rPr>
                <w:color w:val="000000" w:themeColor="text1"/>
                <w:lang w:eastAsia="en-AU"/>
              </w:rPr>
              <w:t> </w:t>
            </w:r>
            <w:r w:rsidRPr="00A475B8">
              <w:rPr>
                <w:color w:val="000000" w:themeColor="text1"/>
                <w:lang w:eastAsia="en-AU"/>
              </w:rPr>
              <w:t>500</w:t>
            </w:r>
          </w:p>
        </w:tc>
        <w:tc>
          <w:tcPr>
            <w:tcW w:w="993" w:type="dxa"/>
            <w:gridSpan w:val="2"/>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42</w:t>
            </w:r>
            <w:r>
              <w:rPr>
                <w:color w:val="000000" w:themeColor="text1"/>
                <w:lang w:eastAsia="en-AU"/>
              </w:rPr>
              <w:t> </w:t>
            </w:r>
            <w:r w:rsidRPr="00A475B8">
              <w:rPr>
                <w:color w:val="000000" w:themeColor="text1"/>
                <w:lang w:eastAsia="en-AU"/>
              </w:rPr>
              <w:t>000</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43</w:t>
            </w:r>
            <w:r>
              <w:rPr>
                <w:color w:val="000000" w:themeColor="text1"/>
                <w:lang w:eastAsia="en-AU"/>
              </w:rPr>
              <w:t> </w:t>
            </w:r>
            <w:r w:rsidRPr="00A475B8">
              <w:rPr>
                <w:color w:val="000000" w:themeColor="text1"/>
                <w:lang w:eastAsia="en-AU"/>
              </w:rPr>
              <w:t>600</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44</w:t>
            </w:r>
            <w:r>
              <w:rPr>
                <w:color w:val="000000" w:themeColor="text1"/>
                <w:lang w:eastAsia="en-AU"/>
              </w:rPr>
              <w:t> </w:t>
            </w:r>
            <w:r w:rsidRPr="00A475B8">
              <w:rPr>
                <w:color w:val="000000" w:themeColor="text1"/>
                <w:lang w:eastAsia="en-AU"/>
              </w:rPr>
              <w:t>641</w:t>
            </w:r>
          </w:p>
        </w:tc>
      </w:tr>
      <w:tr w:rsidR="00B958B1" w:rsidRPr="00A475B8" w:rsidTr="009F3B54">
        <w:trPr>
          <w:cantSplit/>
        </w:trPr>
        <w:tc>
          <w:tcPr>
            <w:tcW w:w="7776" w:type="dxa"/>
            <w:gridSpan w:val="7"/>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2013</w:t>
            </w:r>
            <w:r w:rsidR="009F0F49">
              <w:noBreakHyphen/>
            </w:r>
            <w:r w:rsidRPr="00A475B8">
              <w:t xml:space="preserve">14 Target reflects changes to eligibility guidelines for grants of assistance. </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bookmarkStart w:id="124" w:name="_Hlk348364645" w:colFirst="1" w:colLast="5"/>
            <w:r w:rsidRPr="00A475B8">
              <w:rPr>
                <w:color w:val="000000" w:themeColor="text1"/>
                <w:lang w:eastAsia="en-AU"/>
              </w:rPr>
              <w:t>Legal advice and minor assistance for clients</w:t>
            </w:r>
            <w:r>
              <w:rPr>
                <w:color w:val="000000" w:themeColor="text1"/>
                <w:lang w:eastAsia="en-AU"/>
              </w:rPr>
              <w:t xml:space="preserve"> </w:t>
            </w:r>
            <w:r w:rsidRPr="009D7C1B">
              <w:rPr>
                <w:color w:val="000000" w:themeColor="text1"/>
                <w:lang w:eastAsia="en-AU"/>
              </w:rPr>
              <w:t>Victoria Legal Aid</w:t>
            </w:r>
            <w:r w:rsidRPr="00A475B8">
              <w:rPr>
                <w:color w:val="000000" w:themeColor="text1"/>
                <w:lang w:eastAsia="en-AU"/>
              </w:rPr>
              <w:t xml:space="preserve"> (VLA)</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Pr>
                <w:color w:val="000000" w:themeColor="text1"/>
                <w:lang w:eastAsia="en-AU"/>
              </w:rPr>
              <w:t>n</w:t>
            </w:r>
            <w:r w:rsidRPr="00A475B8">
              <w:rPr>
                <w:color w:val="000000" w:themeColor="text1"/>
                <w:lang w:eastAsia="en-AU"/>
              </w:rPr>
              <w:t>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47</w:t>
            </w:r>
            <w:r>
              <w:rPr>
                <w:color w:val="000000" w:themeColor="text1"/>
                <w:lang w:eastAsia="en-AU"/>
              </w:rPr>
              <w:t> </w:t>
            </w:r>
            <w:r w:rsidRPr="00A475B8">
              <w:rPr>
                <w:color w:val="000000" w:themeColor="text1"/>
                <w:lang w:eastAsia="en-AU"/>
              </w:rPr>
              <w:t>000</w:t>
            </w:r>
            <w:r>
              <w:rPr>
                <w:color w:val="000000" w:themeColor="text1"/>
                <w:lang w:eastAsia="en-AU"/>
              </w:rPr>
              <w:t> </w:t>
            </w:r>
          </w:p>
        </w:tc>
        <w:tc>
          <w:tcPr>
            <w:tcW w:w="993" w:type="dxa"/>
            <w:gridSpan w:val="2"/>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46</w:t>
            </w:r>
            <w:r>
              <w:rPr>
                <w:color w:val="000000" w:themeColor="text1"/>
                <w:lang w:eastAsia="en-AU"/>
              </w:rPr>
              <w:t> </w:t>
            </w:r>
            <w:r w:rsidRPr="00A475B8">
              <w:rPr>
                <w:color w:val="000000" w:themeColor="text1"/>
                <w:lang w:eastAsia="en-AU"/>
              </w:rPr>
              <w:t>500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45</w:t>
            </w:r>
            <w:r>
              <w:rPr>
                <w:color w:val="000000" w:themeColor="text1"/>
                <w:lang w:eastAsia="en-AU"/>
              </w:rPr>
              <w:t> </w:t>
            </w:r>
            <w:r w:rsidRPr="00A475B8">
              <w:rPr>
                <w:color w:val="000000" w:themeColor="text1"/>
                <w:lang w:eastAsia="en-AU"/>
              </w:rPr>
              <w:t>000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7"/>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higher 2013</w:t>
            </w:r>
            <w:r w:rsidR="009F0F49">
              <w:noBreakHyphen/>
            </w:r>
            <w:r w:rsidRPr="00A475B8">
              <w:t>14 Target reflects funding announced in the 2013</w:t>
            </w:r>
            <w:r w:rsidR="009F0F49">
              <w:noBreakHyphen/>
            </w:r>
            <w:r w:rsidRPr="00A475B8">
              <w:t>14 Budget.</w:t>
            </w:r>
          </w:p>
        </w:tc>
      </w:tr>
      <w:bookmarkEnd w:id="124"/>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Community Legal Education and Information Services (VLA)</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88</w:t>
            </w:r>
            <w:r>
              <w:rPr>
                <w:color w:val="000000" w:themeColor="text1"/>
                <w:lang w:eastAsia="en-AU"/>
              </w:rPr>
              <w:t> </w:t>
            </w:r>
            <w:r w:rsidRPr="00A475B8">
              <w:rPr>
                <w:color w:val="000000" w:themeColor="text1"/>
                <w:lang w:eastAsia="en-AU"/>
              </w:rPr>
              <w:t>000</w:t>
            </w:r>
          </w:p>
        </w:tc>
        <w:tc>
          <w:tcPr>
            <w:tcW w:w="993" w:type="dxa"/>
            <w:gridSpan w:val="2"/>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88</w:t>
            </w:r>
            <w:r>
              <w:rPr>
                <w:color w:val="000000" w:themeColor="text1"/>
                <w:lang w:eastAsia="en-AU"/>
              </w:rPr>
              <w:t> </w:t>
            </w:r>
            <w:r w:rsidRPr="00A475B8">
              <w:rPr>
                <w:color w:val="000000" w:themeColor="text1"/>
                <w:lang w:eastAsia="en-AU"/>
              </w:rPr>
              <w:t>000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r>
              <w:rPr>
                <w:color w:val="000000" w:themeColor="text1"/>
                <w:lang w:eastAsia="en-AU"/>
              </w:rPr>
              <w:t> </w:t>
            </w:r>
            <w:r w:rsidRPr="00A475B8">
              <w:rPr>
                <w:color w:val="000000" w:themeColor="text1"/>
                <w:lang w:eastAsia="en-AU"/>
              </w:rPr>
              <w:t>000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7"/>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higher 2013</w:t>
            </w:r>
            <w:r w:rsidR="009F0F49">
              <w:noBreakHyphen/>
            </w:r>
            <w:r w:rsidRPr="00A475B8">
              <w:t>14 Target reflects funding announced in the 2013</w:t>
            </w:r>
            <w:r w:rsidR="009F0F49">
              <w:noBreakHyphen/>
            </w:r>
            <w:r w:rsidRPr="00A475B8">
              <w:t>14 Budget.</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Victims receiving a service from the Victims of Crime Helpline, Victims Assistance and Counselling Program and Victims Register</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11</w:t>
            </w:r>
            <w:r>
              <w:rPr>
                <w:color w:val="000000" w:themeColor="text1"/>
                <w:lang w:eastAsia="en-AU"/>
              </w:rPr>
              <w:t> </w:t>
            </w:r>
            <w:r w:rsidRPr="00A475B8">
              <w:rPr>
                <w:color w:val="000000" w:themeColor="text1"/>
                <w:lang w:eastAsia="en-AU"/>
              </w:rPr>
              <w:t>900</w:t>
            </w:r>
          </w:p>
        </w:tc>
        <w:tc>
          <w:tcPr>
            <w:tcW w:w="993" w:type="dxa"/>
            <w:gridSpan w:val="2"/>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w:t>
            </w:r>
            <w:r>
              <w:rPr>
                <w:color w:val="000000" w:themeColor="text1"/>
                <w:lang w:eastAsia="en-AU"/>
              </w:rPr>
              <w:t> </w:t>
            </w:r>
            <w:r w:rsidRPr="00A475B8">
              <w:rPr>
                <w:color w:val="000000" w:themeColor="text1"/>
                <w:lang w:eastAsia="en-AU"/>
              </w:rPr>
              <w:t>130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w:t>
            </w:r>
            <w:r>
              <w:rPr>
                <w:color w:val="000000" w:themeColor="text1"/>
                <w:lang w:eastAsia="en-AU"/>
              </w:rPr>
              <w:t> </w:t>
            </w:r>
            <w:r w:rsidRPr="00A475B8">
              <w:rPr>
                <w:color w:val="000000" w:themeColor="text1"/>
                <w:lang w:eastAsia="en-AU"/>
              </w:rPr>
              <w:t>500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w:t>
            </w:r>
            <w:r>
              <w:rPr>
                <w:color w:val="000000" w:themeColor="text1"/>
                <w:lang w:eastAsia="en-AU"/>
              </w:rPr>
              <w:t> </w:t>
            </w:r>
            <w:r w:rsidRPr="00A475B8">
              <w:rPr>
                <w:color w:val="000000" w:themeColor="text1"/>
                <w:lang w:eastAsia="en-AU"/>
              </w:rPr>
              <w:t>291</w:t>
            </w:r>
          </w:p>
        </w:tc>
      </w:tr>
      <w:tr w:rsidR="00B958B1" w:rsidRPr="00A475B8" w:rsidTr="009F3B54">
        <w:trPr>
          <w:cantSplit/>
        </w:trPr>
        <w:tc>
          <w:tcPr>
            <w:tcW w:w="7776" w:type="dxa"/>
            <w:gridSpan w:val="7"/>
            <w:tcBorders>
              <w:top w:val="nil"/>
              <w:left w:val="nil"/>
              <w:bottom w:val="single" w:sz="4"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13 Expected Outcome is higher than the 2012</w:t>
            </w:r>
            <w:r w:rsidR="009F0F49">
              <w:noBreakHyphen/>
            </w:r>
            <w:r w:rsidRPr="00A475B8">
              <w:t>13 Target due to the state</w:t>
            </w:r>
            <w:r w:rsidR="009F0F49">
              <w:noBreakHyphen/>
            </w:r>
            <w:r w:rsidRPr="00A475B8">
              <w:t>wide roll</w:t>
            </w:r>
            <w:r w:rsidR="009F0F49">
              <w:noBreakHyphen/>
            </w:r>
            <w:r w:rsidRPr="00A475B8">
              <w:t xml:space="preserve">out of the Victoria Police </w:t>
            </w:r>
            <w:r w:rsidRPr="00AC7D1E">
              <w:t>Support</w:t>
            </w:r>
            <w:r w:rsidR="009F0F49">
              <w:noBreakHyphen/>
            </w:r>
            <w:r w:rsidRPr="00AC7D1E">
              <w:t>Link e</w:t>
            </w:r>
            <w:r w:rsidR="009F0F49">
              <w:noBreakHyphen/>
            </w:r>
            <w:r w:rsidRPr="00AC7D1E">
              <w:t>referral</w:t>
            </w:r>
            <w:r w:rsidRPr="00A475B8">
              <w:t xml:space="preserve"> system, which has seen an increase in the number of victims referred. The higher 2013</w:t>
            </w:r>
            <w:r w:rsidR="009F0F49">
              <w:noBreakHyphen/>
            </w:r>
            <w:r w:rsidRPr="00A475B8">
              <w:t xml:space="preserve">14 Target reflects funding announced in the </w:t>
            </w:r>
            <w:r w:rsidRPr="003C13FC">
              <w:rPr>
                <w:i w:val="0"/>
              </w:rPr>
              <w:t>2013</w:t>
            </w:r>
            <w:r w:rsidR="009F0F49">
              <w:rPr>
                <w:i w:val="0"/>
              </w:rPr>
              <w:noBreakHyphen/>
            </w:r>
            <w:r w:rsidRPr="003C13FC">
              <w:rPr>
                <w:i w:val="0"/>
              </w:rPr>
              <w:t>14 Budget</w:t>
            </w:r>
            <w:r w:rsidRPr="00A475B8">
              <w:t>.</w:t>
            </w:r>
          </w:p>
        </w:tc>
      </w:tr>
      <w:tr w:rsidR="00B958B1" w:rsidRPr="00A475B8" w:rsidTr="009F3B54">
        <w:trPr>
          <w:cantSplit/>
        </w:trPr>
        <w:tc>
          <w:tcPr>
            <w:tcW w:w="3155" w:type="dxa"/>
            <w:tcBorders>
              <w:top w:val="single" w:sz="4" w:space="0" w:color="auto"/>
              <w:left w:val="nil"/>
              <w:bottom w:val="single" w:sz="6"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Medico</w:t>
            </w:r>
            <w:r w:rsidR="009F0F49">
              <w:rPr>
                <w:color w:val="000000" w:themeColor="text1"/>
                <w:lang w:eastAsia="en-AU"/>
              </w:rPr>
              <w:noBreakHyphen/>
            </w:r>
            <w:r w:rsidRPr="00A475B8">
              <w:rPr>
                <w:color w:val="000000" w:themeColor="text1"/>
                <w:lang w:eastAsia="en-AU"/>
              </w:rPr>
              <w:t>legal death investigations (VIFM)</w:t>
            </w:r>
          </w:p>
        </w:tc>
        <w:tc>
          <w:tcPr>
            <w:tcW w:w="907" w:type="dxa"/>
            <w:tcBorders>
              <w:top w:val="single" w:sz="4" w:space="0" w:color="auto"/>
              <w:left w:val="nil"/>
              <w:bottom w:val="single" w:sz="6"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single" w:sz="4" w:space="0" w:color="auto"/>
              <w:left w:val="nil"/>
              <w:bottom w:val="single" w:sz="6"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w:t>
            </w:r>
            <w:r>
              <w:rPr>
                <w:color w:val="000000" w:themeColor="text1"/>
                <w:lang w:eastAsia="en-AU"/>
              </w:rPr>
              <w:t> 300</w:t>
            </w:r>
            <w:r w:rsidRPr="00A475B8">
              <w:rPr>
                <w:color w:val="000000" w:themeColor="text1"/>
                <w:lang w:eastAsia="en-AU"/>
              </w:rPr>
              <w:t>–4</w:t>
            </w:r>
            <w:r>
              <w:rPr>
                <w:color w:val="000000" w:themeColor="text1"/>
                <w:lang w:eastAsia="en-AU"/>
              </w:rPr>
              <w:t> </w:t>
            </w:r>
            <w:r w:rsidRPr="00A475B8">
              <w:rPr>
                <w:color w:val="000000" w:themeColor="text1"/>
                <w:lang w:eastAsia="en-AU"/>
              </w:rPr>
              <w:t>600</w:t>
            </w:r>
          </w:p>
        </w:tc>
        <w:tc>
          <w:tcPr>
            <w:tcW w:w="993" w:type="dxa"/>
            <w:gridSpan w:val="2"/>
            <w:tcBorders>
              <w:top w:val="single" w:sz="4"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w:t>
            </w:r>
            <w:r>
              <w:rPr>
                <w:color w:val="000000" w:themeColor="text1"/>
                <w:lang w:eastAsia="en-AU"/>
              </w:rPr>
              <w:t> </w:t>
            </w:r>
            <w:r w:rsidRPr="00A475B8">
              <w:rPr>
                <w:color w:val="000000" w:themeColor="text1"/>
                <w:lang w:eastAsia="en-AU"/>
              </w:rPr>
              <w:t>800</w:t>
            </w:r>
          </w:p>
        </w:tc>
        <w:tc>
          <w:tcPr>
            <w:tcW w:w="907" w:type="dxa"/>
            <w:tcBorders>
              <w:top w:val="single" w:sz="4"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w:t>
            </w:r>
            <w:r>
              <w:rPr>
                <w:color w:val="000000" w:themeColor="text1"/>
                <w:lang w:eastAsia="en-AU"/>
              </w:rPr>
              <w:t> 300</w:t>
            </w:r>
            <w:r w:rsidRPr="00A475B8">
              <w:rPr>
                <w:color w:val="000000" w:themeColor="text1"/>
                <w:lang w:eastAsia="en-AU"/>
              </w:rPr>
              <w:t>–4</w:t>
            </w:r>
            <w:r>
              <w:rPr>
                <w:color w:val="000000" w:themeColor="text1"/>
                <w:lang w:eastAsia="en-AU"/>
              </w:rPr>
              <w:t> </w:t>
            </w:r>
            <w:r w:rsidRPr="00A475B8">
              <w:rPr>
                <w:color w:val="000000" w:themeColor="text1"/>
                <w:lang w:eastAsia="en-AU"/>
              </w:rPr>
              <w:t>600</w:t>
            </w:r>
          </w:p>
        </w:tc>
        <w:tc>
          <w:tcPr>
            <w:tcW w:w="907" w:type="dxa"/>
            <w:tcBorders>
              <w:top w:val="single" w:sz="4"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w:t>
            </w:r>
            <w:r>
              <w:rPr>
                <w:color w:val="000000" w:themeColor="text1"/>
                <w:lang w:eastAsia="en-AU"/>
              </w:rPr>
              <w:t> </w:t>
            </w:r>
            <w:r w:rsidRPr="00A475B8">
              <w:rPr>
                <w:color w:val="000000" w:themeColor="text1"/>
                <w:lang w:eastAsia="en-AU"/>
              </w:rPr>
              <w:t>484</w:t>
            </w:r>
          </w:p>
        </w:tc>
      </w:tr>
      <w:tr w:rsidR="00B958B1" w:rsidRPr="00A475B8" w:rsidTr="009F3B54">
        <w:trPr>
          <w:cantSplit/>
        </w:trPr>
        <w:tc>
          <w:tcPr>
            <w:tcW w:w="3155"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Duty lawyer services (VLA)</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single" w:sz="6"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74</w:t>
            </w:r>
            <w:r>
              <w:rPr>
                <w:color w:val="000000" w:themeColor="text1"/>
                <w:lang w:eastAsia="en-AU"/>
              </w:rPr>
              <w:t> </w:t>
            </w:r>
            <w:r w:rsidRPr="00A475B8">
              <w:rPr>
                <w:color w:val="000000" w:themeColor="text1"/>
                <w:lang w:eastAsia="en-AU"/>
              </w:rPr>
              <w:t>000</w:t>
            </w:r>
            <w:r>
              <w:rPr>
                <w:color w:val="000000" w:themeColor="text1"/>
                <w:lang w:eastAsia="en-AU"/>
              </w:rPr>
              <w:t> </w:t>
            </w:r>
          </w:p>
        </w:tc>
        <w:tc>
          <w:tcPr>
            <w:tcW w:w="993" w:type="dxa"/>
            <w:gridSpan w:val="2"/>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65</w:t>
            </w:r>
            <w:r>
              <w:rPr>
                <w:color w:val="000000" w:themeColor="text1"/>
                <w:lang w:eastAsia="en-AU"/>
              </w:rPr>
              <w:t> </w:t>
            </w:r>
            <w:r w:rsidRPr="00A475B8">
              <w:rPr>
                <w:color w:val="000000" w:themeColor="text1"/>
                <w:lang w:eastAsia="en-AU"/>
              </w:rPr>
              <w:t>000</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82</w:t>
            </w:r>
            <w:r>
              <w:rPr>
                <w:color w:val="000000" w:themeColor="text1"/>
                <w:lang w:eastAsia="en-AU"/>
              </w:rPr>
              <w:t> </w:t>
            </w:r>
            <w:r w:rsidRPr="00A475B8">
              <w:rPr>
                <w:color w:val="000000" w:themeColor="text1"/>
                <w:lang w:eastAsia="en-AU"/>
              </w:rPr>
              <w:t>300</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75</w:t>
            </w:r>
            <w:r>
              <w:rPr>
                <w:color w:val="000000" w:themeColor="text1"/>
                <w:lang w:eastAsia="en-AU"/>
              </w:rPr>
              <w:t> </w:t>
            </w:r>
            <w:r w:rsidRPr="00A475B8">
              <w:rPr>
                <w:color w:val="000000" w:themeColor="text1"/>
                <w:lang w:eastAsia="en-AU"/>
              </w:rPr>
              <w:t>170</w:t>
            </w:r>
          </w:p>
        </w:tc>
      </w:tr>
      <w:tr w:rsidR="00B958B1" w:rsidRPr="00A475B8" w:rsidTr="009F3B54">
        <w:trPr>
          <w:cantSplit/>
        </w:trPr>
        <w:tc>
          <w:tcPr>
            <w:tcW w:w="7776" w:type="dxa"/>
            <w:gridSpan w:val="7"/>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13 Expected Outcome is lower than the 2012</w:t>
            </w:r>
            <w:r w:rsidR="009F0F49">
              <w:noBreakHyphen/>
            </w:r>
            <w:r w:rsidRPr="00A475B8">
              <w:t>13 Target due to changes to Victoria Legal Aid’s eligibility guidelines implemented in 2012</w:t>
            </w:r>
            <w:r w:rsidR="009F0F49">
              <w:noBreakHyphen/>
            </w:r>
            <w:r w:rsidRPr="00A475B8">
              <w:t xml:space="preserve">13. The </w:t>
            </w:r>
            <w:r w:rsidRPr="00AC7D1E">
              <w:t>2013</w:t>
            </w:r>
            <w:r w:rsidR="009F0F49">
              <w:noBreakHyphen/>
            </w:r>
            <w:r w:rsidRPr="00AC7D1E">
              <w:t>14 Target reflects changes to</w:t>
            </w:r>
            <w:r w:rsidRPr="00A475B8">
              <w:t xml:space="preserve"> eligibility guidelines for duty lawyer services. </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Dispute resolution services provided in the Dispute Settlement Centre of Victoria (DSCV)</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19</w:t>
            </w:r>
            <w:r>
              <w:rPr>
                <w:color w:val="000000" w:themeColor="text1"/>
                <w:lang w:eastAsia="en-AU"/>
              </w:rPr>
              <w:t> </w:t>
            </w:r>
            <w:r w:rsidRPr="00A475B8">
              <w:rPr>
                <w:color w:val="000000" w:themeColor="text1"/>
                <w:lang w:eastAsia="en-AU"/>
              </w:rPr>
              <w:t>500</w:t>
            </w:r>
          </w:p>
        </w:tc>
        <w:tc>
          <w:tcPr>
            <w:tcW w:w="993" w:type="dxa"/>
            <w:gridSpan w:val="2"/>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20</w:t>
            </w:r>
            <w:r>
              <w:rPr>
                <w:color w:val="000000" w:themeColor="text1"/>
                <w:lang w:eastAsia="en-AU"/>
              </w:rPr>
              <w:t> </w:t>
            </w:r>
            <w:r w:rsidRPr="00A475B8">
              <w:rPr>
                <w:color w:val="000000" w:themeColor="text1"/>
                <w:lang w:eastAsia="en-AU"/>
              </w:rPr>
              <w:t>100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19</w:t>
            </w:r>
            <w:r>
              <w:rPr>
                <w:color w:val="000000" w:themeColor="text1"/>
                <w:lang w:eastAsia="en-AU"/>
              </w:rPr>
              <w:t> </w:t>
            </w:r>
            <w:r w:rsidRPr="00A475B8">
              <w:rPr>
                <w:color w:val="000000" w:themeColor="text1"/>
                <w:lang w:eastAsia="en-AU"/>
              </w:rPr>
              <w:t>500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7"/>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This performance measure renames the 2012</w:t>
            </w:r>
            <w:r w:rsidR="009F0F49">
              <w:noBreakHyphen/>
            </w:r>
            <w:r w:rsidRPr="00A475B8">
              <w:t>13 performance measure ‘Civil matters disposed in the Dispute Settlement Centre of Victoria (DSCV)’. The 2013</w:t>
            </w:r>
            <w:r w:rsidR="009F0F49">
              <w:noBreakHyphen/>
            </w:r>
            <w:r w:rsidRPr="00A475B8">
              <w:t>14 performance measure measures the same activity as the previous measure however has been amended to increase the clarity of the measure. This performance measure is transferred directly from the ‘Court Matters and Dispute Resolution’ output.</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Quality</w:t>
            </w: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UoM"/>
              <w:rPr>
                <w:color w:val="000000" w:themeColor="text1"/>
                <w:lang w:eastAsia="en-AU"/>
              </w:rPr>
            </w:pPr>
            <w:r w:rsidRPr="00A475B8">
              <w:rPr>
                <w:color w:val="000000" w:themeColor="text1"/>
                <w:lang w:eastAsia="en-AU"/>
              </w:rPr>
              <w:t> </w:t>
            </w:r>
          </w:p>
        </w:tc>
        <w:tc>
          <w:tcPr>
            <w:tcW w:w="914" w:type="dxa"/>
            <w:gridSpan w:val="2"/>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86"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Stakeholder satisfaction with law reform projects, briefings and consultations (Legal Policy)</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14" w:type="dxa"/>
            <w:gridSpan w:val="2"/>
            <w:tcBorders>
              <w:top w:val="nil"/>
              <w:left w:val="nil"/>
              <w:bottom w:val="single" w:sz="8"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80</w:t>
            </w:r>
          </w:p>
        </w:tc>
        <w:tc>
          <w:tcPr>
            <w:tcW w:w="986"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80</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80</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82</w:t>
            </w:r>
          </w:p>
        </w:tc>
      </w:tr>
      <w:tr w:rsidR="00B958B1" w:rsidRPr="00A475B8" w:rsidTr="009F3B54">
        <w:trPr>
          <w:cantSplit/>
        </w:trPr>
        <w:tc>
          <w:tcPr>
            <w:tcW w:w="3155" w:type="dxa"/>
            <w:tcBorders>
              <w:top w:val="nil"/>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Stakeholder satisfaction with consultation/education processes (VLRC)</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14" w:type="dxa"/>
            <w:gridSpan w:val="2"/>
            <w:tcBorders>
              <w:top w:val="nil"/>
              <w:left w:val="nil"/>
              <w:bottom w:val="single" w:sz="8"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86"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r>
      <w:tr w:rsidR="00B958B1" w:rsidRPr="00A475B8" w:rsidTr="009F3B54">
        <w:trPr>
          <w:cantSplit/>
        </w:trPr>
        <w:tc>
          <w:tcPr>
            <w:tcW w:w="3155" w:type="dxa"/>
            <w:tcBorders>
              <w:top w:val="nil"/>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Client satisfaction with quality of legal advice provided (VGSO)</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14" w:type="dxa"/>
            <w:gridSpan w:val="2"/>
            <w:tcBorders>
              <w:top w:val="nil"/>
              <w:left w:val="nil"/>
              <w:bottom w:val="single" w:sz="8"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80</w:t>
            </w:r>
          </w:p>
        </w:tc>
        <w:tc>
          <w:tcPr>
            <w:tcW w:w="986"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80</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80</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86</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Victorian Institute of Forensic Medicine quality audit (VIFM)</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14" w:type="dxa"/>
            <w:gridSpan w:val="2"/>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95</w:t>
            </w:r>
          </w:p>
        </w:tc>
        <w:tc>
          <w:tcPr>
            <w:tcW w:w="986"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95</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95</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94</w:t>
            </w:r>
          </w:p>
        </w:tc>
      </w:tr>
      <w:tr w:rsidR="00B958B1" w:rsidRPr="00A475B8" w:rsidTr="009F3B54">
        <w:trPr>
          <w:cantSplit/>
        </w:trPr>
        <w:tc>
          <w:tcPr>
            <w:tcW w:w="3155" w:type="dxa"/>
            <w:tcBorders>
              <w:top w:val="single" w:sz="8" w:space="0" w:color="auto"/>
              <w:left w:val="nil"/>
              <w:right w:val="nil"/>
            </w:tcBorders>
            <w:shd w:val="clear" w:color="auto" w:fill="auto"/>
            <w:vAlign w:val="center"/>
            <w:hideMark/>
          </w:tcPr>
          <w:p w:rsidR="00B958B1" w:rsidRPr="00A475B8" w:rsidRDefault="00B958B1" w:rsidP="009F3B54">
            <w:pPr>
              <w:pStyle w:val="OGTabHead"/>
              <w:rPr>
                <w:lang w:eastAsia="en-AU"/>
              </w:rPr>
            </w:pPr>
            <w:r w:rsidRPr="0016616A">
              <w:rPr>
                <w:iCs/>
                <w:color w:val="000000" w:themeColor="text1"/>
                <w:lang w:eastAsia="en-AU"/>
              </w:rPr>
              <w:t>Timeliness</w:t>
            </w:r>
          </w:p>
        </w:tc>
        <w:tc>
          <w:tcPr>
            <w:tcW w:w="907" w:type="dxa"/>
            <w:tcBorders>
              <w:top w:val="single" w:sz="8" w:space="0" w:color="auto"/>
              <w:left w:val="nil"/>
              <w:right w:val="nil"/>
            </w:tcBorders>
            <w:shd w:val="clear" w:color="auto" w:fill="auto"/>
            <w:hideMark/>
          </w:tcPr>
          <w:p w:rsidR="00B958B1" w:rsidRPr="00A475B8" w:rsidRDefault="00B958B1" w:rsidP="009F3B54">
            <w:pPr>
              <w:pStyle w:val="OGUoM"/>
              <w:rPr>
                <w:color w:val="000000" w:themeColor="text1"/>
                <w:lang w:eastAsia="en-AU"/>
              </w:rPr>
            </w:pPr>
          </w:p>
        </w:tc>
        <w:tc>
          <w:tcPr>
            <w:tcW w:w="914" w:type="dxa"/>
            <w:gridSpan w:val="2"/>
            <w:tcBorders>
              <w:top w:val="single" w:sz="8" w:space="0" w:color="auto"/>
              <w:left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86"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single" w:sz="6"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Client satisfaction with timeliness of legal advice provided (VGSO)</w:t>
            </w:r>
          </w:p>
        </w:tc>
        <w:tc>
          <w:tcPr>
            <w:tcW w:w="907" w:type="dxa"/>
            <w:tcBorders>
              <w:top w:val="nil"/>
              <w:left w:val="nil"/>
              <w:bottom w:val="single" w:sz="6"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14" w:type="dxa"/>
            <w:gridSpan w:val="2"/>
            <w:tcBorders>
              <w:top w:val="nil"/>
              <w:left w:val="nil"/>
              <w:bottom w:val="single" w:sz="6"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80</w:t>
            </w:r>
          </w:p>
        </w:tc>
        <w:tc>
          <w:tcPr>
            <w:tcW w:w="986" w:type="dxa"/>
            <w:tcBorders>
              <w:top w:val="nil"/>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80</w:t>
            </w:r>
          </w:p>
        </w:tc>
        <w:tc>
          <w:tcPr>
            <w:tcW w:w="907" w:type="dxa"/>
            <w:tcBorders>
              <w:top w:val="nil"/>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80</w:t>
            </w:r>
          </w:p>
        </w:tc>
        <w:tc>
          <w:tcPr>
            <w:tcW w:w="907" w:type="dxa"/>
            <w:tcBorders>
              <w:top w:val="nil"/>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86</w:t>
            </w:r>
          </w:p>
        </w:tc>
      </w:tr>
      <w:tr w:rsidR="00B958B1" w:rsidRPr="00A475B8" w:rsidTr="009F3B54">
        <w:trPr>
          <w:cantSplit/>
        </w:trPr>
        <w:tc>
          <w:tcPr>
            <w:tcW w:w="3155"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Proportion of Native Title negotiations progressed in accordance with the department’s annual work plan and timeframes monitored by the Federal Court</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14" w:type="dxa"/>
            <w:gridSpan w:val="2"/>
            <w:tcBorders>
              <w:top w:val="single" w:sz="6"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100</w:t>
            </w:r>
          </w:p>
        </w:tc>
        <w:tc>
          <w:tcPr>
            <w:tcW w:w="986" w:type="dxa"/>
            <w:tcBorders>
              <w:top w:val="single" w:sz="6" w:space="0" w:color="auto"/>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100</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100</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3155" w:type="dxa"/>
            <w:tcBorders>
              <w:top w:val="single" w:sz="8" w:space="0" w:color="auto"/>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Applications for legal aid processed within 15 days (VLA)</w:t>
            </w:r>
          </w:p>
        </w:tc>
        <w:tc>
          <w:tcPr>
            <w:tcW w:w="907" w:type="dxa"/>
            <w:tcBorders>
              <w:top w:val="single" w:sz="8" w:space="0" w:color="auto"/>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14" w:type="dxa"/>
            <w:gridSpan w:val="2"/>
            <w:tcBorders>
              <w:top w:val="single" w:sz="8" w:space="0" w:color="auto"/>
              <w:left w:val="nil"/>
              <w:bottom w:val="single" w:sz="8"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95</w:t>
            </w:r>
          </w:p>
        </w:tc>
        <w:tc>
          <w:tcPr>
            <w:tcW w:w="986"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95</w:t>
            </w:r>
          </w:p>
        </w:tc>
        <w:tc>
          <w:tcPr>
            <w:tcW w:w="907" w:type="dxa"/>
            <w:tcBorders>
              <w:top w:val="single" w:sz="8" w:space="0" w:color="auto"/>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95</w:t>
            </w:r>
          </w:p>
        </w:tc>
        <w:tc>
          <w:tcPr>
            <w:tcW w:w="907" w:type="dxa"/>
            <w:tcBorders>
              <w:top w:val="single" w:sz="8" w:space="0" w:color="auto"/>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91</w:t>
            </w:r>
          </w:p>
        </w:tc>
      </w:tr>
      <w:tr w:rsidR="00B958B1" w:rsidRPr="00A475B8" w:rsidTr="009F3B54">
        <w:trPr>
          <w:cantSplit/>
        </w:trPr>
        <w:tc>
          <w:tcPr>
            <w:tcW w:w="3155" w:type="dxa"/>
            <w:tcBorders>
              <w:top w:val="single" w:sz="8" w:space="0" w:color="auto"/>
              <w:left w:val="nil"/>
              <w:bottom w:val="single" w:sz="6"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Medico</w:t>
            </w:r>
            <w:r w:rsidR="009F0F49">
              <w:rPr>
                <w:color w:val="000000" w:themeColor="text1"/>
                <w:lang w:eastAsia="en-AU"/>
              </w:rPr>
              <w:noBreakHyphen/>
            </w:r>
            <w:r w:rsidRPr="00A475B8">
              <w:rPr>
                <w:color w:val="000000" w:themeColor="text1"/>
                <w:lang w:eastAsia="en-AU"/>
              </w:rPr>
              <w:t>legal death investigation reports issued within agreed period (VIFM)</w:t>
            </w:r>
          </w:p>
        </w:tc>
        <w:tc>
          <w:tcPr>
            <w:tcW w:w="907" w:type="dxa"/>
            <w:tcBorders>
              <w:top w:val="single" w:sz="8" w:space="0" w:color="auto"/>
              <w:left w:val="nil"/>
              <w:bottom w:val="single" w:sz="6"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14" w:type="dxa"/>
            <w:gridSpan w:val="2"/>
            <w:tcBorders>
              <w:top w:val="single" w:sz="8" w:space="0" w:color="auto"/>
              <w:left w:val="nil"/>
              <w:bottom w:val="single" w:sz="6"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Pr>
                <w:color w:val="000000" w:themeColor="text1"/>
                <w:lang w:eastAsia="en-AU"/>
              </w:rPr>
              <w:t>60</w:t>
            </w:r>
            <w:r w:rsidRPr="00A475B8">
              <w:rPr>
                <w:color w:val="000000" w:themeColor="text1"/>
                <w:lang w:eastAsia="en-AU"/>
              </w:rPr>
              <w:t>–70</w:t>
            </w:r>
          </w:p>
        </w:tc>
        <w:tc>
          <w:tcPr>
            <w:tcW w:w="986" w:type="dxa"/>
            <w:tcBorders>
              <w:top w:val="single" w:sz="8"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58</w:t>
            </w:r>
          </w:p>
        </w:tc>
        <w:tc>
          <w:tcPr>
            <w:tcW w:w="907" w:type="dxa"/>
            <w:tcBorders>
              <w:top w:val="single" w:sz="8"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60</w:t>
            </w:r>
            <w:r w:rsidRPr="00A475B8">
              <w:rPr>
                <w:color w:val="000000" w:themeColor="text1"/>
                <w:lang w:eastAsia="en-AU"/>
              </w:rPr>
              <w:t>–70</w:t>
            </w:r>
          </w:p>
        </w:tc>
        <w:tc>
          <w:tcPr>
            <w:tcW w:w="907" w:type="dxa"/>
            <w:tcBorders>
              <w:top w:val="single" w:sz="8"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59</w:t>
            </w:r>
          </w:p>
        </w:tc>
      </w:tr>
      <w:tr w:rsidR="00B958B1" w:rsidRPr="00A475B8" w:rsidTr="009F3B54">
        <w:trPr>
          <w:cantSplit/>
        </w:trPr>
        <w:tc>
          <w:tcPr>
            <w:tcW w:w="3155" w:type="dxa"/>
            <w:tcBorders>
              <w:top w:val="single" w:sz="6" w:space="0" w:color="auto"/>
              <w:left w:val="nil"/>
              <w:bottom w:val="single" w:sz="6"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Medical and scientific investigations on the body of the deceased completed within two days</w:t>
            </w:r>
          </w:p>
        </w:tc>
        <w:tc>
          <w:tcPr>
            <w:tcW w:w="907" w:type="dxa"/>
            <w:tcBorders>
              <w:top w:val="single" w:sz="6" w:space="0" w:color="auto"/>
              <w:left w:val="nil"/>
              <w:bottom w:val="single" w:sz="6"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14" w:type="dxa"/>
            <w:gridSpan w:val="2"/>
            <w:tcBorders>
              <w:top w:val="single" w:sz="6" w:space="0" w:color="auto"/>
              <w:left w:val="nil"/>
              <w:bottom w:val="single" w:sz="6"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Pr>
                <w:color w:val="000000" w:themeColor="text1"/>
                <w:lang w:eastAsia="en-AU"/>
              </w:rPr>
              <w:t>75–</w:t>
            </w:r>
            <w:r w:rsidRPr="00A475B8">
              <w:rPr>
                <w:color w:val="000000" w:themeColor="text1"/>
                <w:lang w:eastAsia="en-AU"/>
              </w:rPr>
              <w:t xml:space="preserve">85 </w:t>
            </w:r>
          </w:p>
        </w:tc>
        <w:tc>
          <w:tcPr>
            <w:tcW w:w="986" w:type="dxa"/>
            <w:tcBorders>
              <w:top w:val="single" w:sz="6"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80</w:t>
            </w:r>
          </w:p>
        </w:tc>
        <w:tc>
          <w:tcPr>
            <w:tcW w:w="907" w:type="dxa"/>
            <w:tcBorders>
              <w:top w:val="single" w:sz="6"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75–</w:t>
            </w:r>
            <w:r w:rsidRPr="00A475B8">
              <w:rPr>
                <w:color w:val="000000" w:themeColor="text1"/>
                <w:lang w:eastAsia="en-AU"/>
              </w:rPr>
              <w:t xml:space="preserve">85   </w:t>
            </w:r>
          </w:p>
        </w:tc>
        <w:tc>
          <w:tcPr>
            <w:tcW w:w="907" w:type="dxa"/>
            <w:tcBorders>
              <w:top w:val="single" w:sz="6"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81</w:t>
            </w:r>
          </w:p>
        </w:tc>
      </w:tr>
      <w:tr w:rsidR="00B958B1" w:rsidRPr="00A475B8" w:rsidTr="009F3B54">
        <w:trPr>
          <w:cantSplit/>
        </w:trPr>
        <w:tc>
          <w:tcPr>
            <w:tcW w:w="3155"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Intake and mediation services conducted within agreed timeframes by the Dispute Settlement Centre of Victoria (DSCV)</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14" w:type="dxa"/>
            <w:gridSpan w:val="2"/>
            <w:tcBorders>
              <w:top w:val="single" w:sz="6"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86"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87</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7"/>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This performance measure renames the 2012</w:t>
            </w:r>
            <w:r w:rsidR="009F0F49">
              <w:noBreakHyphen/>
            </w:r>
            <w:r w:rsidRPr="00A475B8">
              <w:t>13 performance measure ‘Civil matters disposed within agreed timeframes in the Dispute Settlement Centre of Victoria’. The 2013</w:t>
            </w:r>
            <w:r w:rsidR="009F0F49">
              <w:noBreakHyphen/>
            </w:r>
            <w:r w:rsidRPr="00A475B8">
              <w:t>14 performance measure measures the same activity as the previous measure however has been amended to increase the clarity of the measure. This performance measure is transferred directly from the ‘Court Matters and Dispute Resolution’ output.</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Cost</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gridSpan w:val="2"/>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Total output cost</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w:t>
            </w:r>
            <w:r>
              <w:rPr>
                <w:color w:val="000000" w:themeColor="text1"/>
                <w:lang w:eastAsia="en-AU"/>
              </w:rPr>
              <w:t> million</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Pr>
                <w:color w:val="000000" w:themeColor="text1"/>
                <w:lang w:eastAsia="en-AU"/>
              </w:rPr>
              <w:t>263.2</w:t>
            </w:r>
          </w:p>
        </w:tc>
        <w:tc>
          <w:tcPr>
            <w:tcW w:w="993" w:type="dxa"/>
            <w:gridSpan w:val="2"/>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250.8</w:t>
            </w:r>
          </w:p>
        </w:tc>
        <w:tc>
          <w:tcPr>
            <w:tcW w:w="907" w:type="dxa"/>
            <w:tcBorders>
              <w:top w:val="nil"/>
              <w:left w:val="nil"/>
              <w:bottom w:val="nil"/>
              <w:right w:val="nil"/>
            </w:tcBorders>
            <w:shd w:val="clear" w:color="auto" w:fill="auto"/>
            <w:hideMark/>
          </w:tcPr>
          <w:p w:rsidR="00B958B1" w:rsidRPr="00586C04" w:rsidRDefault="00B958B1" w:rsidP="009F3B54">
            <w:pPr>
              <w:pStyle w:val="OGTableofFigures"/>
              <w:rPr>
                <w:lang w:eastAsia="en-AU"/>
              </w:rPr>
            </w:pPr>
            <w:r w:rsidRPr="00586C04">
              <w:rPr>
                <w:lang w:eastAsia="en-AU"/>
              </w:rPr>
              <w:t>230.0</w:t>
            </w:r>
          </w:p>
        </w:tc>
        <w:tc>
          <w:tcPr>
            <w:tcW w:w="907" w:type="dxa"/>
            <w:tcBorders>
              <w:top w:val="nil"/>
              <w:left w:val="nil"/>
              <w:bottom w:val="nil"/>
              <w:right w:val="nil"/>
            </w:tcBorders>
            <w:shd w:val="clear" w:color="auto" w:fill="auto"/>
            <w:hideMark/>
          </w:tcPr>
          <w:p w:rsidR="00B958B1" w:rsidRPr="00DC6337" w:rsidRDefault="00B958B1" w:rsidP="009F3B54">
            <w:pPr>
              <w:pStyle w:val="OGTableofFigures"/>
              <w:rPr>
                <w:lang w:eastAsia="en-AU"/>
              </w:rPr>
            </w:pPr>
            <w:r w:rsidRPr="00DC6337">
              <w:rPr>
                <w:lang w:eastAsia="en-AU"/>
              </w:rPr>
              <w:t>232.5</w:t>
            </w:r>
          </w:p>
        </w:tc>
      </w:tr>
      <w:tr w:rsidR="00B958B1" w:rsidRPr="00A475B8" w:rsidTr="009F3B54">
        <w:trPr>
          <w:cantSplit/>
        </w:trPr>
        <w:tc>
          <w:tcPr>
            <w:tcW w:w="7776" w:type="dxa"/>
            <w:gridSpan w:val="7"/>
            <w:tcBorders>
              <w:top w:val="nil"/>
              <w:left w:val="nil"/>
              <w:bottom w:val="single" w:sz="8" w:space="0" w:color="auto"/>
              <w:right w:val="nil"/>
            </w:tcBorders>
            <w:shd w:val="clear" w:color="auto" w:fill="auto"/>
            <w:vAlign w:val="center"/>
            <w:hideMark/>
          </w:tcPr>
          <w:p w:rsidR="00B958B1" w:rsidRPr="00BE4EFE" w:rsidRDefault="00B958B1" w:rsidP="009F3B54">
            <w:pPr>
              <w:pStyle w:val="OGNotes"/>
            </w:pPr>
            <w:r w:rsidRPr="000801AC">
              <w:t>The 2012</w:t>
            </w:r>
            <w:r w:rsidR="009F0F49">
              <w:noBreakHyphen/>
            </w:r>
            <w:r w:rsidRPr="000801AC">
              <w:t>13 Expected Outcome</w:t>
            </w:r>
            <w:r>
              <w:t xml:space="preserve"> is higher than the 2012</w:t>
            </w:r>
            <w:r w:rsidR="009F0F49">
              <w:noBreakHyphen/>
            </w:r>
            <w:r>
              <w:t>13 Target due to a merging of the 2012</w:t>
            </w:r>
            <w:r w:rsidR="009F0F49">
              <w:noBreakHyphen/>
            </w:r>
            <w:r>
              <w:t xml:space="preserve">13 Expected Outcome for two Outputs: </w:t>
            </w:r>
            <w:r w:rsidRPr="000801AC">
              <w:t xml:space="preserve"> ‘Legal Policy, Advice and Law Reform’ and ‘Supporting the Judicial Process’</w:t>
            </w:r>
            <w:r>
              <w:t xml:space="preserve">. </w:t>
            </w:r>
            <w:r w:rsidRPr="00BE4EFE">
              <w:t>The 2012</w:t>
            </w:r>
            <w:r w:rsidR="009F0F49">
              <w:noBreakHyphen/>
            </w:r>
            <w:r w:rsidRPr="00BE4EFE">
              <w:t>13 Expected Outcome</w:t>
            </w:r>
            <w:r>
              <w:t xml:space="preserve"> also includes the transfer of funds for </w:t>
            </w:r>
            <w:r w:rsidRPr="00BE4EFE">
              <w:t xml:space="preserve">Dispute Settlement, Appeals Costs and Sentencing Advisory Council functions from </w:t>
            </w:r>
            <w:r>
              <w:t xml:space="preserve">the </w:t>
            </w:r>
            <w:r w:rsidRPr="00BE4EFE">
              <w:t>Court Services output</w:t>
            </w:r>
            <w:r>
              <w:t xml:space="preserve">. </w:t>
            </w:r>
            <w:r w:rsidRPr="00BE4EFE">
              <w:t>The higher 2013</w:t>
            </w:r>
            <w:r w:rsidR="009F0F49">
              <w:noBreakHyphen/>
            </w:r>
            <w:r w:rsidRPr="00BE4EFE">
              <w:t xml:space="preserve">14 Target reflects new funding to </w:t>
            </w:r>
            <w:r>
              <w:t>improve</w:t>
            </w:r>
            <w:r w:rsidRPr="00BE4EFE">
              <w:t xml:space="preserve"> </w:t>
            </w:r>
            <w:r>
              <w:t>V</w:t>
            </w:r>
            <w:r w:rsidRPr="00BE4EFE">
              <w:t>ictims</w:t>
            </w:r>
            <w:r>
              <w:t xml:space="preserve"> S</w:t>
            </w:r>
            <w:r w:rsidRPr="00BE4EFE">
              <w:t>upport</w:t>
            </w:r>
            <w:r>
              <w:t xml:space="preserve"> Services</w:t>
            </w:r>
            <w:r w:rsidRPr="00BE4EFE">
              <w:t>, establish a Crime Statistics Agency and support Victoria Legal Aid.</w:t>
            </w:r>
          </w:p>
        </w:tc>
      </w:tr>
      <w:tr w:rsidR="00B958B1" w:rsidRPr="00A475B8" w:rsidTr="009F3B54">
        <w:trPr>
          <w:cantSplit/>
        </w:trPr>
        <w:tc>
          <w:tcPr>
            <w:tcW w:w="7776" w:type="dxa"/>
            <w:gridSpan w:val="7"/>
            <w:tcBorders>
              <w:top w:val="nil"/>
              <w:left w:val="nil"/>
              <w:bottom w:val="nil"/>
              <w:right w:val="nil"/>
            </w:tcBorders>
            <w:shd w:val="clear" w:color="auto" w:fill="auto"/>
            <w:vAlign w:val="center"/>
            <w:hideMark/>
          </w:tcPr>
          <w:p w:rsidR="00B958B1" w:rsidRPr="00A475B8" w:rsidRDefault="00B958B1" w:rsidP="009F3B54">
            <w:pPr>
              <w:pStyle w:val="OGHeading2"/>
              <w:rPr>
                <w:bCs/>
                <w:color w:val="000000" w:themeColor="text1"/>
                <w:lang w:eastAsia="en-AU"/>
              </w:rPr>
            </w:pPr>
            <w:r w:rsidRPr="00A475B8">
              <w:rPr>
                <w:color w:val="000000" w:themeColor="text1"/>
                <w:lang w:eastAsia="en-AU"/>
              </w:rPr>
              <w:t>Public Prosecutions</w:t>
            </w:r>
          </w:p>
        </w:tc>
      </w:tr>
      <w:tr w:rsidR="00B958B1" w:rsidRPr="00A475B8" w:rsidTr="009F3B54">
        <w:trPr>
          <w:cantSplit/>
        </w:trPr>
        <w:tc>
          <w:tcPr>
            <w:tcW w:w="7776" w:type="dxa"/>
            <w:gridSpan w:val="7"/>
            <w:tcBorders>
              <w:top w:val="nil"/>
              <w:left w:val="nil"/>
              <w:bottom w:val="single" w:sz="8" w:space="0" w:color="auto"/>
              <w:right w:val="nil"/>
            </w:tcBorders>
            <w:shd w:val="clear" w:color="auto" w:fill="auto"/>
            <w:vAlign w:val="center"/>
            <w:hideMark/>
          </w:tcPr>
          <w:p w:rsidR="00B958B1" w:rsidRPr="00A475B8" w:rsidRDefault="00B958B1" w:rsidP="009F3B54">
            <w:pPr>
              <w:pStyle w:val="OGText"/>
              <w:rPr>
                <w:lang w:eastAsia="en-AU"/>
              </w:rPr>
            </w:pPr>
            <w:r w:rsidRPr="00A475B8">
              <w:rPr>
                <w:lang w:eastAsia="en-AU"/>
              </w:rPr>
              <w:t>This output delivers activities relating to Victoria’s public prosecutions service. The Office of Public Prosecutions (OPP) provides an independent, effective</w:t>
            </w:r>
            <w:r w:rsidRPr="00EB5F76">
              <w:rPr>
                <w:lang w:eastAsia="en-AU"/>
              </w:rPr>
              <w:t xml:space="preserve"> and efficient prosecutions</w:t>
            </w:r>
            <w:r w:rsidRPr="00A475B8">
              <w:rPr>
                <w:lang w:eastAsia="en-AU"/>
              </w:rPr>
              <w:t xml:space="preserve"> service on behalf of the Director of Public Prosecutions (DPP). In addition to the prosecution of serious crimes, the OPP also provides professional support to prosecution witnesses and victims of crime involved in its cases.</w:t>
            </w:r>
          </w:p>
        </w:tc>
      </w:tr>
      <w:tr w:rsidR="00B958B1" w:rsidRPr="00A475B8" w:rsidTr="009F3B54">
        <w:trPr>
          <w:cantSplit/>
        </w:trPr>
        <w:tc>
          <w:tcPr>
            <w:tcW w:w="3155" w:type="dxa"/>
            <w:tcBorders>
              <w:top w:val="nil"/>
              <w:left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Quantity</w:t>
            </w:r>
          </w:p>
        </w:tc>
        <w:tc>
          <w:tcPr>
            <w:tcW w:w="907" w:type="dxa"/>
            <w:tcBorders>
              <w:top w:val="nil"/>
              <w:left w:val="nil"/>
              <w:right w:val="nil"/>
            </w:tcBorders>
            <w:shd w:val="clear" w:color="auto" w:fill="auto"/>
            <w:vAlign w:val="center"/>
            <w:hideMark/>
          </w:tcPr>
          <w:p w:rsidR="00B958B1" w:rsidRPr="00A475B8" w:rsidRDefault="00B958B1" w:rsidP="009F3B54">
            <w:pPr>
              <w:pStyle w:val="OGUoM"/>
              <w:rPr>
                <w:color w:val="000000" w:themeColor="text1"/>
                <w:lang w:eastAsia="en-AU"/>
              </w:rPr>
            </w:pPr>
          </w:p>
        </w:tc>
        <w:tc>
          <w:tcPr>
            <w:tcW w:w="907" w:type="dxa"/>
            <w:tcBorders>
              <w:top w:val="nil"/>
              <w:left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gridSpan w:val="2"/>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single" w:sz="6"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Number of briefs prepared and hearings attended</w:t>
            </w:r>
          </w:p>
        </w:tc>
        <w:tc>
          <w:tcPr>
            <w:tcW w:w="907" w:type="dxa"/>
            <w:tcBorders>
              <w:top w:val="nil"/>
              <w:left w:val="nil"/>
              <w:bottom w:val="single" w:sz="6"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single" w:sz="6"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68</w:t>
            </w:r>
            <w:r>
              <w:rPr>
                <w:color w:val="000000" w:themeColor="text1"/>
                <w:lang w:eastAsia="en-AU"/>
              </w:rPr>
              <w:t> 500</w:t>
            </w:r>
            <w:r w:rsidRPr="00A475B8">
              <w:rPr>
                <w:color w:val="000000" w:themeColor="text1"/>
                <w:lang w:eastAsia="en-AU"/>
              </w:rPr>
              <w:t>–</w:t>
            </w:r>
            <w:r>
              <w:rPr>
                <w:color w:val="000000" w:themeColor="text1"/>
                <w:lang w:eastAsia="en-AU"/>
              </w:rPr>
              <w:t> </w:t>
            </w:r>
            <w:r w:rsidRPr="00A475B8">
              <w:rPr>
                <w:color w:val="000000" w:themeColor="text1"/>
                <w:lang w:eastAsia="en-AU"/>
              </w:rPr>
              <w:t>73</w:t>
            </w:r>
            <w:r>
              <w:rPr>
                <w:color w:val="000000" w:themeColor="text1"/>
                <w:lang w:eastAsia="en-AU"/>
              </w:rPr>
              <w:t> </w:t>
            </w:r>
            <w:r w:rsidRPr="00A475B8">
              <w:rPr>
                <w:color w:val="000000" w:themeColor="text1"/>
                <w:lang w:eastAsia="en-AU"/>
              </w:rPr>
              <w:t>500</w:t>
            </w:r>
          </w:p>
        </w:tc>
        <w:tc>
          <w:tcPr>
            <w:tcW w:w="993" w:type="dxa"/>
            <w:gridSpan w:val="2"/>
            <w:tcBorders>
              <w:top w:val="nil"/>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71</w:t>
            </w:r>
            <w:r>
              <w:rPr>
                <w:color w:val="000000" w:themeColor="text1"/>
                <w:lang w:eastAsia="en-AU"/>
              </w:rPr>
              <w:t> </w:t>
            </w:r>
            <w:r w:rsidRPr="00A475B8">
              <w:rPr>
                <w:color w:val="000000" w:themeColor="text1"/>
                <w:lang w:eastAsia="en-AU"/>
              </w:rPr>
              <w:t>900</w:t>
            </w:r>
          </w:p>
        </w:tc>
        <w:tc>
          <w:tcPr>
            <w:tcW w:w="907" w:type="dxa"/>
            <w:tcBorders>
              <w:top w:val="nil"/>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68</w:t>
            </w:r>
            <w:r>
              <w:rPr>
                <w:color w:val="000000" w:themeColor="text1"/>
                <w:lang w:eastAsia="en-AU"/>
              </w:rPr>
              <w:t> 500</w:t>
            </w:r>
            <w:r w:rsidRPr="00A475B8">
              <w:rPr>
                <w:color w:val="000000" w:themeColor="text1"/>
                <w:lang w:eastAsia="en-AU"/>
              </w:rPr>
              <w:t>–73</w:t>
            </w:r>
            <w:r>
              <w:rPr>
                <w:color w:val="000000" w:themeColor="text1"/>
                <w:lang w:eastAsia="en-AU"/>
              </w:rPr>
              <w:t> </w:t>
            </w:r>
            <w:r w:rsidRPr="00A475B8">
              <w:rPr>
                <w:color w:val="000000" w:themeColor="text1"/>
                <w:lang w:eastAsia="en-AU"/>
              </w:rPr>
              <w:t>500</w:t>
            </w:r>
          </w:p>
        </w:tc>
        <w:tc>
          <w:tcPr>
            <w:tcW w:w="907" w:type="dxa"/>
            <w:tcBorders>
              <w:top w:val="nil"/>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70</w:t>
            </w:r>
            <w:r>
              <w:rPr>
                <w:color w:val="000000" w:themeColor="text1"/>
                <w:lang w:eastAsia="en-AU"/>
              </w:rPr>
              <w:t> </w:t>
            </w:r>
            <w:r w:rsidRPr="00A475B8">
              <w:rPr>
                <w:color w:val="000000" w:themeColor="text1"/>
                <w:lang w:eastAsia="en-AU"/>
              </w:rPr>
              <w:t>783</w:t>
            </w:r>
          </w:p>
        </w:tc>
      </w:tr>
      <w:tr w:rsidR="00B958B1" w:rsidRPr="00A475B8" w:rsidTr="009F3B54">
        <w:trPr>
          <w:cantSplit/>
        </w:trPr>
        <w:tc>
          <w:tcPr>
            <w:tcW w:w="3155" w:type="dxa"/>
            <w:tcBorders>
              <w:top w:val="single" w:sz="6" w:space="0" w:color="auto"/>
              <w:left w:val="nil"/>
              <w:bottom w:val="single" w:sz="6" w:space="0" w:color="auto"/>
              <w:right w:val="nil"/>
            </w:tcBorders>
            <w:shd w:val="clear" w:color="auto" w:fill="auto"/>
            <w:vAlign w:val="center"/>
            <w:hideMark/>
          </w:tcPr>
          <w:p w:rsidR="00B958B1" w:rsidRPr="00A475B8" w:rsidRDefault="00B958B1" w:rsidP="009F3B54">
            <w:pPr>
              <w:pStyle w:val="OGTabText"/>
              <w:pageBreakBefore/>
              <w:rPr>
                <w:color w:val="000000" w:themeColor="text1"/>
                <w:lang w:eastAsia="en-AU"/>
              </w:rPr>
            </w:pPr>
            <w:r w:rsidRPr="00A475B8">
              <w:rPr>
                <w:color w:val="000000" w:themeColor="text1"/>
                <w:lang w:eastAsia="en-AU"/>
              </w:rPr>
              <w:t>Judicial Officer sitting days requiring prosecutors</w:t>
            </w:r>
          </w:p>
        </w:tc>
        <w:tc>
          <w:tcPr>
            <w:tcW w:w="907" w:type="dxa"/>
            <w:tcBorders>
              <w:top w:val="single" w:sz="6" w:space="0" w:color="auto"/>
              <w:left w:val="nil"/>
              <w:bottom w:val="single" w:sz="6"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w:t>
            </w:r>
            <w:r>
              <w:rPr>
                <w:color w:val="000000" w:themeColor="text1"/>
                <w:lang w:eastAsia="en-AU"/>
              </w:rPr>
              <w:t> 500</w:t>
            </w:r>
            <w:r w:rsidRPr="00A475B8">
              <w:rPr>
                <w:color w:val="000000" w:themeColor="text1"/>
                <w:lang w:eastAsia="en-AU"/>
              </w:rPr>
              <w:t>–10</w:t>
            </w:r>
            <w:r>
              <w:rPr>
                <w:color w:val="000000" w:themeColor="text1"/>
                <w:lang w:eastAsia="en-AU"/>
              </w:rPr>
              <w:t> </w:t>
            </w:r>
            <w:r w:rsidRPr="00A475B8">
              <w:rPr>
                <w:color w:val="000000" w:themeColor="text1"/>
                <w:lang w:eastAsia="en-AU"/>
              </w:rPr>
              <w:t>500</w:t>
            </w:r>
          </w:p>
        </w:tc>
        <w:tc>
          <w:tcPr>
            <w:tcW w:w="993" w:type="dxa"/>
            <w:gridSpan w:val="2"/>
            <w:tcBorders>
              <w:top w:val="single" w:sz="6"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10</w:t>
            </w:r>
            <w:r>
              <w:rPr>
                <w:color w:val="000000" w:themeColor="text1"/>
                <w:lang w:eastAsia="en-AU"/>
              </w:rPr>
              <w:t> </w:t>
            </w:r>
            <w:r w:rsidRPr="00A475B8">
              <w:rPr>
                <w:color w:val="000000" w:themeColor="text1"/>
                <w:lang w:eastAsia="en-AU"/>
              </w:rPr>
              <w:t>250</w:t>
            </w:r>
          </w:p>
        </w:tc>
        <w:tc>
          <w:tcPr>
            <w:tcW w:w="907" w:type="dxa"/>
            <w:tcBorders>
              <w:top w:val="single" w:sz="6"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w:t>
            </w:r>
            <w:r>
              <w:rPr>
                <w:color w:val="000000" w:themeColor="text1"/>
                <w:lang w:eastAsia="en-AU"/>
              </w:rPr>
              <w:t> 500</w:t>
            </w:r>
            <w:r w:rsidRPr="00A475B8">
              <w:rPr>
                <w:color w:val="000000" w:themeColor="text1"/>
                <w:lang w:eastAsia="en-AU"/>
              </w:rPr>
              <w:t>–</w:t>
            </w:r>
            <w:r w:rsidRPr="00146287">
              <w:rPr>
                <w:color w:val="000000"/>
                <w:lang w:eastAsia="en-AU"/>
              </w:rPr>
              <w:t>10</w:t>
            </w:r>
            <w:r>
              <w:rPr>
                <w:color w:val="000000"/>
                <w:lang w:eastAsia="en-AU"/>
              </w:rPr>
              <w:t> </w:t>
            </w:r>
            <w:r w:rsidRPr="00146287">
              <w:rPr>
                <w:color w:val="000000"/>
                <w:lang w:eastAsia="en-AU"/>
              </w:rPr>
              <w:t>500</w:t>
            </w:r>
          </w:p>
        </w:tc>
        <w:tc>
          <w:tcPr>
            <w:tcW w:w="907" w:type="dxa"/>
            <w:tcBorders>
              <w:top w:val="single" w:sz="6"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w:t>
            </w:r>
            <w:r>
              <w:rPr>
                <w:color w:val="000000" w:themeColor="text1"/>
                <w:lang w:eastAsia="en-AU"/>
              </w:rPr>
              <w:t> </w:t>
            </w:r>
            <w:r w:rsidRPr="00A475B8">
              <w:rPr>
                <w:color w:val="000000" w:themeColor="text1"/>
                <w:lang w:eastAsia="en-AU"/>
              </w:rPr>
              <w:t>686</w:t>
            </w:r>
          </w:p>
        </w:tc>
      </w:tr>
      <w:tr w:rsidR="00B958B1" w:rsidRPr="00A475B8" w:rsidTr="009F3B54">
        <w:trPr>
          <w:cantSplit/>
        </w:trPr>
        <w:tc>
          <w:tcPr>
            <w:tcW w:w="3155" w:type="dxa"/>
            <w:tcBorders>
              <w:top w:val="single" w:sz="6" w:space="0" w:color="auto"/>
              <w:left w:val="nil"/>
              <w:bottom w:val="single" w:sz="6"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Number of victim and witness consultations</w:t>
            </w:r>
          </w:p>
        </w:tc>
        <w:tc>
          <w:tcPr>
            <w:tcW w:w="907" w:type="dxa"/>
            <w:tcBorders>
              <w:top w:val="single" w:sz="6" w:space="0" w:color="auto"/>
              <w:left w:val="nil"/>
              <w:bottom w:val="single" w:sz="6"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Pr>
                <w:color w:val="000000" w:themeColor="text1"/>
                <w:lang w:eastAsia="en-AU"/>
              </w:rPr>
              <w:t>8 500–</w:t>
            </w:r>
            <w:r w:rsidRPr="00A475B8">
              <w:rPr>
                <w:color w:val="000000" w:themeColor="text1"/>
                <w:lang w:eastAsia="en-AU"/>
              </w:rPr>
              <w:t>9</w:t>
            </w:r>
            <w:r>
              <w:rPr>
                <w:color w:val="000000" w:themeColor="text1"/>
                <w:lang w:eastAsia="en-AU"/>
              </w:rPr>
              <w:t> </w:t>
            </w:r>
            <w:r w:rsidRPr="00A475B8">
              <w:rPr>
                <w:color w:val="000000" w:themeColor="text1"/>
                <w:lang w:eastAsia="en-AU"/>
              </w:rPr>
              <w:t>5</w:t>
            </w:r>
            <w:r>
              <w:rPr>
                <w:color w:val="000000" w:themeColor="text1"/>
                <w:lang w:eastAsia="en-AU"/>
              </w:rPr>
              <w:t> </w:t>
            </w:r>
            <w:r w:rsidRPr="00A475B8">
              <w:rPr>
                <w:color w:val="000000" w:themeColor="text1"/>
                <w:lang w:eastAsia="en-AU"/>
              </w:rPr>
              <w:t>00</w:t>
            </w:r>
          </w:p>
        </w:tc>
        <w:tc>
          <w:tcPr>
            <w:tcW w:w="993" w:type="dxa"/>
            <w:gridSpan w:val="2"/>
            <w:tcBorders>
              <w:top w:val="single" w:sz="6"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w:t>
            </w:r>
            <w:r>
              <w:rPr>
                <w:color w:val="000000" w:themeColor="text1"/>
                <w:lang w:eastAsia="en-AU"/>
              </w:rPr>
              <w:t> </w:t>
            </w:r>
            <w:r w:rsidRPr="00A475B8">
              <w:rPr>
                <w:color w:val="000000" w:themeColor="text1"/>
                <w:lang w:eastAsia="en-AU"/>
              </w:rPr>
              <w:t>500</w:t>
            </w:r>
          </w:p>
        </w:tc>
        <w:tc>
          <w:tcPr>
            <w:tcW w:w="907" w:type="dxa"/>
            <w:tcBorders>
              <w:top w:val="single" w:sz="6"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w:t>
            </w:r>
            <w:r>
              <w:rPr>
                <w:color w:val="000000" w:themeColor="text1"/>
                <w:lang w:eastAsia="en-AU"/>
              </w:rPr>
              <w:t> 500</w:t>
            </w:r>
            <w:r w:rsidRPr="00146287">
              <w:rPr>
                <w:color w:val="000000"/>
                <w:lang w:eastAsia="en-AU"/>
              </w:rPr>
              <w:t>–</w:t>
            </w:r>
            <w:r>
              <w:rPr>
                <w:color w:val="000000"/>
                <w:lang w:eastAsia="en-AU"/>
              </w:rPr>
              <w:t>9 </w:t>
            </w:r>
            <w:r w:rsidRPr="00146287">
              <w:rPr>
                <w:color w:val="000000"/>
                <w:lang w:eastAsia="en-AU"/>
              </w:rPr>
              <w:t>500</w:t>
            </w:r>
            <w:r>
              <w:rPr>
                <w:color w:val="000000" w:themeColor="text1"/>
                <w:lang w:eastAsia="en-AU"/>
              </w:rPr>
              <w:t xml:space="preserve"> </w:t>
            </w:r>
          </w:p>
        </w:tc>
        <w:tc>
          <w:tcPr>
            <w:tcW w:w="907" w:type="dxa"/>
            <w:tcBorders>
              <w:top w:val="single" w:sz="6"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6</w:t>
            </w:r>
            <w:r>
              <w:rPr>
                <w:color w:val="000000" w:themeColor="text1"/>
                <w:lang w:eastAsia="en-AU"/>
              </w:rPr>
              <w:t> </w:t>
            </w:r>
            <w:r w:rsidRPr="00A475B8">
              <w:rPr>
                <w:color w:val="000000" w:themeColor="text1"/>
                <w:lang w:eastAsia="en-AU"/>
              </w:rPr>
              <w:t>900</w:t>
            </w:r>
          </w:p>
        </w:tc>
      </w:tr>
      <w:tr w:rsidR="00B958B1" w:rsidRPr="00A475B8" w:rsidTr="009F3B54">
        <w:trPr>
          <w:cantSplit/>
        </w:trPr>
        <w:tc>
          <w:tcPr>
            <w:tcW w:w="3155"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Quality</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p>
        </w:tc>
        <w:tc>
          <w:tcPr>
            <w:tcW w:w="907" w:type="dxa"/>
            <w:tcBorders>
              <w:top w:val="single" w:sz="6"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gridSpan w:val="2"/>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Guilty outcomes (guilty pleas and trial convictions) as a percentage of case completions</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single" w:sz="8"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93" w:type="dxa"/>
            <w:gridSpan w:val="2"/>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86</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88.4</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Head"/>
              <w:rPr>
                <w:lang w:eastAsia="en-AU"/>
              </w:rPr>
            </w:pPr>
            <w:r w:rsidRPr="0016616A">
              <w:rPr>
                <w:iCs/>
                <w:color w:val="000000" w:themeColor="text1"/>
                <w:lang w:eastAsia="en-AU"/>
              </w:rPr>
              <w:t>Timeliness</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gridSpan w:val="2"/>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Proportion of trials listed which did not proceed to adjournment on application of the Crown</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single" w:sz="8"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99</w:t>
            </w:r>
          </w:p>
        </w:tc>
        <w:tc>
          <w:tcPr>
            <w:tcW w:w="993" w:type="dxa"/>
            <w:gridSpan w:val="2"/>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99</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99</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99</w:t>
            </w:r>
          </w:p>
        </w:tc>
      </w:tr>
      <w:tr w:rsidR="00B958B1" w:rsidRPr="00A475B8" w:rsidTr="009F3B54">
        <w:trPr>
          <w:cantSplit/>
        </w:trPr>
        <w:tc>
          <w:tcPr>
            <w:tcW w:w="3155" w:type="dxa"/>
            <w:tcBorders>
              <w:top w:val="nil"/>
              <w:left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Cost</w:t>
            </w:r>
          </w:p>
        </w:tc>
        <w:tc>
          <w:tcPr>
            <w:tcW w:w="907" w:type="dxa"/>
            <w:tcBorders>
              <w:top w:val="nil"/>
              <w:left w:val="nil"/>
              <w:right w:val="nil"/>
            </w:tcBorders>
            <w:shd w:val="clear" w:color="auto" w:fill="auto"/>
            <w:hideMark/>
          </w:tcPr>
          <w:p w:rsidR="00B958B1" w:rsidRPr="00A475B8" w:rsidRDefault="00B958B1" w:rsidP="009F3B54">
            <w:pPr>
              <w:pStyle w:val="OGUoM"/>
              <w:rPr>
                <w:color w:val="000000" w:themeColor="text1"/>
                <w:lang w:eastAsia="en-AU"/>
              </w:rPr>
            </w:pPr>
          </w:p>
        </w:tc>
        <w:tc>
          <w:tcPr>
            <w:tcW w:w="907" w:type="dxa"/>
            <w:tcBorders>
              <w:top w:val="nil"/>
              <w:left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gridSpan w:val="2"/>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p>
        </w:tc>
      </w:tr>
      <w:tr w:rsidR="00B958B1" w:rsidRPr="007B3929"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Total output cost</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w:t>
            </w:r>
            <w:r>
              <w:rPr>
                <w:color w:val="000000" w:themeColor="text1"/>
                <w:lang w:eastAsia="en-AU"/>
              </w:rPr>
              <w:t> million</w:t>
            </w:r>
          </w:p>
        </w:tc>
        <w:tc>
          <w:tcPr>
            <w:tcW w:w="907" w:type="dxa"/>
            <w:tcBorders>
              <w:top w:val="nil"/>
              <w:left w:val="nil"/>
              <w:bottom w:val="nil"/>
              <w:right w:val="nil"/>
            </w:tcBorders>
            <w:shd w:val="clear" w:color="auto" w:fill="D9D9D9"/>
            <w:hideMark/>
          </w:tcPr>
          <w:p w:rsidR="00B958B1" w:rsidRPr="00BE4EFE" w:rsidRDefault="00B958B1" w:rsidP="009F3B54">
            <w:pPr>
              <w:pStyle w:val="OGTableofFigures"/>
              <w:rPr>
                <w:color w:val="000000" w:themeColor="text1"/>
                <w:lang w:eastAsia="en-AU"/>
              </w:rPr>
            </w:pPr>
            <w:r>
              <w:rPr>
                <w:color w:val="000000" w:themeColor="text1"/>
                <w:lang w:eastAsia="en-AU"/>
              </w:rPr>
              <w:t>66.5</w:t>
            </w:r>
          </w:p>
        </w:tc>
        <w:tc>
          <w:tcPr>
            <w:tcW w:w="993" w:type="dxa"/>
            <w:gridSpan w:val="2"/>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66.4</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66.2</w:t>
            </w:r>
          </w:p>
        </w:tc>
        <w:tc>
          <w:tcPr>
            <w:tcW w:w="907" w:type="dxa"/>
            <w:tcBorders>
              <w:top w:val="nil"/>
              <w:left w:val="nil"/>
              <w:bottom w:val="nil"/>
              <w:right w:val="nil"/>
            </w:tcBorders>
            <w:shd w:val="clear" w:color="auto" w:fill="auto"/>
            <w:hideMark/>
          </w:tcPr>
          <w:p w:rsidR="00B958B1" w:rsidRPr="00BE4EFE" w:rsidRDefault="00B958B1" w:rsidP="009F3B54">
            <w:pPr>
              <w:pStyle w:val="OGTableofFigures"/>
              <w:rPr>
                <w:lang w:eastAsia="en-AU"/>
              </w:rPr>
            </w:pPr>
            <w:r w:rsidRPr="00BE4EFE">
              <w:rPr>
                <w:lang w:eastAsia="en-AU"/>
              </w:rPr>
              <w:t>66.0</w:t>
            </w:r>
          </w:p>
        </w:tc>
      </w:tr>
      <w:tr w:rsidR="00B958B1" w:rsidRPr="00275EC0" w:rsidTr="009F3B54">
        <w:trPr>
          <w:cantSplit/>
        </w:trPr>
        <w:tc>
          <w:tcPr>
            <w:tcW w:w="7776" w:type="dxa"/>
            <w:gridSpan w:val="7"/>
            <w:tcBorders>
              <w:top w:val="nil"/>
              <w:left w:val="nil"/>
              <w:bottom w:val="single" w:sz="12" w:space="0" w:color="auto"/>
              <w:right w:val="nil"/>
            </w:tcBorders>
            <w:shd w:val="clear" w:color="auto" w:fill="auto"/>
            <w:vAlign w:val="center"/>
          </w:tcPr>
          <w:p w:rsidR="00B958B1" w:rsidRPr="00BE4EFE" w:rsidRDefault="00B958B1" w:rsidP="009F3B54">
            <w:pPr>
              <w:pStyle w:val="OGNotes"/>
            </w:pPr>
            <w:r w:rsidRPr="00737B1A">
              <w:t>The higher 2013</w:t>
            </w:r>
            <w:r w:rsidR="009F0F49">
              <w:noBreakHyphen/>
            </w:r>
            <w:r w:rsidRPr="00737B1A">
              <w:t>14 Target reflects</w:t>
            </w:r>
            <w:r>
              <w:t xml:space="preserve"> indexation</w:t>
            </w:r>
            <w:r w:rsidRPr="00737B1A">
              <w:t>.</w:t>
            </w:r>
          </w:p>
        </w:tc>
      </w:tr>
    </w:tbl>
    <w:bookmarkEnd w:id="123"/>
    <w:p w:rsidR="00B958B1" w:rsidRDefault="00B958B1" w:rsidP="009F3B54">
      <w:pPr>
        <w:pStyle w:val="Source"/>
      </w:pPr>
      <w:r>
        <w:t>Source: Department of Justice</w:t>
      </w:r>
    </w:p>
    <w:p w:rsidR="00B958B1" w:rsidRDefault="00B958B1" w:rsidP="009F3B54">
      <w:pPr>
        <w:pStyle w:val="Source"/>
      </w:pPr>
      <w:r>
        <w:fldChar w:fldCharType="begin"/>
      </w:r>
      <w:r>
        <w:instrText xml:space="preserve"> XE "</w:instrText>
      </w:r>
      <w:r w:rsidRPr="00D91548">
        <w:instrText>Department of Justice:Supporting Legal Processes and Law Reform</w:instrText>
      </w:r>
      <w:r>
        <w:instrText xml:space="preserve">" \r "BP3DOJSuppLegalProcesandLawRfrm" </w:instrText>
      </w:r>
      <w:r>
        <w:fldChar w:fldCharType="end"/>
      </w:r>
    </w:p>
    <w:p w:rsidR="00B958B1" w:rsidRPr="00A475B8" w:rsidRDefault="00B958B1" w:rsidP="009F3B54">
      <w:pPr>
        <w:pStyle w:val="OGHeading1"/>
        <w:rPr>
          <w:lang w:eastAsia="en-AU"/>
        </w:rPr>
      </w:pPr>
      <w:r w:rsidRPr="00A475B8">
        <w:br w:type="page"/>
      </w:r>
      <w:bookmarkStart w:id="125" w:name="BP3DOJPersIdentIndivRightandPartic"/>
      <w:r w:rsidRPr="00A475B8">
        <w:rPr>
          <w:lang w:eastAsia="en-AU"/>
        </w:rPr>
        <w:t>Personal Identity, Individual Rights and Participation in Civic Life</w:t>
      </w:r>
    </w:p>
    <w:p w:rsidR="00B958B1" w:rsidRPr="00A475B8" w:rsidRDefault="00B958B1" w:rsidP="009F3B54">
      <w:pPr>
        <w:pStyle w:val="OGText"/>
        <w:rPr>
          <w:lang w:eastAsia="en-AU"/>
        </w:rPr>
      </w:pPr>
      <w:r w:rsidRPr="00A475B8">
        <w:rPr>
          <w:lang w:eastAsia="en-AU"/>
        </w:rPr>
        <w:t>This output group delivers services that safeguard the rights of the Victorian community through the provision of services relating to rights and equal opportunity, identity protection, privacy regulation, advocacy and guardianship for Victorians with a disability or mental illness and the administration of the Victorian electoral system.</w:t>
      </w:r>
    </w:p>
    <w:p w:rsidR="00B958B1" w:rsidRPr="00A475B8" w:rsidRDefault="00B958B1" w:rsidP="009F3B54">
      <w:pPr>
        <w:pStyle w:val="OGText"/>
        <w:rPr>
          <w:lang w:eastAsia="en-AU"/>
        </w:rPr>
      </w:pPr>
      <w:r w:rsidRPr="00A475B8">
        <w:rPr>
          <w:lang w:eastAsia="en-AU"/>
        </w:rPr>
        <w:t>This output group contributes to the Department’s objective of protecting individual rights and encouraging community participation.</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A475B8" w:rsidTr="009F3B54">
        <w:trPr>
          <w:cantSplit/>
          <w:tblHeader/>
        </w:trPr>
        <w:tc>
          <w:tcPr>
            <w:tcW w:w="3155" w:type="dxa"/>
            <w:tcBorders>
              <w:top w:val="single" w:sz="4" w:space="0" w:color="auto"/>
              <w:left w:val="single" w:sz="4" w:space="0" w:color="auto"/>
              <w:bottom w:val="single" w:sz="4" w:space="0" w:color="auto"/>
              <w:right w:val="nil"/>
            </w:tcBorders>
            <w:shd w:val="clear" w:color="auto" w:fill="000000"/>
            <w:vAlign w:val="bottom"/>
          </w:tcPr>
          <w:p w:rsidR="00B958B1" w:rsidRPr="008840F3" w:rsidRDefault="00B958B1" w:rsidP="009F3B54">
            <w:pPr>
              <w:pStyle w:val="OGTabColLeft"/>
              <w:rPr>
                <w:i/>
                <w:color w:val="FFFFFF" w:themeColor="background1"/>
              </w:rPr>
            </w:pPr>
            <w:r w:rsidRPr="008840F3">
              <w:rPr>
                <w:color w:val="FFFFFF" w:themeColor="background1"/>
              </w:rPr>
              <w:t>Major Outputs/Deliverables</w:t>
            </w:r>
            <w:r w:rsidRPr="008840F3">
              <w:rPr>
                <w:color w:val="FFFFFF" w:themeColor="background1"/>
              </w:rPr>
              <w:br/>
            </w:r>
            <w:r w:rsidRPr="008840F3">
              <w:rPr>
                <w:b w:val="0"/>
                <w:i/>
                <w:color w:val="FFFFFF" w:themeColor="background1"/>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Centred"/>
              <w:rPr>
                <w:color w:val="FFFFFF" w:themeColor="background1"/>
              </w:rPr>
            </w:pPr>
            <w:r w:rsidRPr="008840F3">
              <w:rPr>
                <w:color w:val="FFFFFF" w:themeColor="background1"/>
              </w:rPr>
              <w:t xml:space="preserve">Unit of </w:t>
            </w:r>
            <w:r w:rsidRPr="008840F3">
              <w:rPr>
                <w:color w:val="FFFFFF" w:themeColor="background1"/>
              </w:rPr>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2013</w:t>
            </w:r>
            <w:r w:rsidR="009F0F49">
              <w:rPr>
                <w:color w:val="FFFFFF" w:themeColor="background1"/>
              </w:rPr>
              <w:noBreakHyphen/>
            </w:r>
            <w:r w:rsidRPr="008840F3">
              <w:rPr>
                <w:color w:val="FFFFFF" w:themeColor="background1"/>
              </w:rPr>
              <w:t>14 Target</w:t>
            </w:r>
          </w:p>
        </w:tc>
        <w:tc>
          <w:tcPr>
            <w:tcW w:w="993"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2012</w:t>
            </w:r>
            <w:r w:rsidR="009F0F49">
              <w:rPr>
                <w:color w:val="FFFFFF" w:themeColor="background1"/>
              </w:rPr>
              <w:noBreakHyphen/>
            </w:r>
            <w:r w:rsidRPr="008840F3">
              <w:rPr>
                <w:color w:val="FFFFFF" w:themeColor="background1"/>
              </w:rPr>
              <w:t>13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2012</w:t>
            </w:r>
            <w:r w:rsidR="009F0F49">
              <w:rPr>
                <w:color w:val="FFFFFF" w:themeColor="background1"/>
              </w:rPr>
              <w:noBreakHyphen/>
            </w:r>
            <w:r w:rsidRPr="008840F3">
              <w:rPr>
                <w:color w:val="FFFFFF" w:themeColor="background1"/>
              </w:rPr>
              <w:t>13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2011</w:t>
            </w:r>
            <w:r w:rsidR="009F0F49">
              <w:rPr>
                <w:color w:val="FFFFFF" w:themeColor="background1"/>
              </w:rPr>
              <w:noBreakHyphen/>
            </w:r>
            <w:r w:rsidRPr="008840F3">
              <w:rPr>
                <w:color w:val="FFFFFF" w:themeColor="background1"/>
              </w:rPr>
              <w:t>12 Actual</w:t>
            </w:r>
          </w:p>
        </w:tc>
      </w:tr>
      <w:tr w:rsidR="00B958B1" w:rsidRPr="00A475B8" w:rsidTr="009F3B54">
        <w:trPr>
          <w:cantSplit/>
        </w:trPr>
        <w:tc>
          <w:tcPr>
            <w:tcW w:w="7776" w:type="dxa"/>
            <w:gridSpan w:val="6"/>
            <w:tcBorders>
              <w:top w:val="nil"/>
              <w:left w:val="nil"/>
              <w:bottom w:val="nil"/>
              <w:right w:val="nil"/>
            </w:tcBorders>
            <w:shd w:val="clear" w:color="auto" w:fill="auto"/>
            <w:vAlign w:val="center"/>
            <w:hideMark/>
          </w:tcPr>
          <w:p w:rsidR="00B958B1" w:rsidRPr="00A475B8" w:rsidRDefault="00B958B1" w:rsidP="009F3B54">
            <w:pPr>
              <w:pStyle w:val="OGHeading2"/>
              <w:rPr>
                <w:bCs/>
                <w:color w:val="000000" w:themeColor="text1"/>
                <w:lang w:eastAsia="en-AU"/>
              </w:rPr>
            </w:pPr>
            <w:r w:rsidRPr="00A475B8">
              <w:rPr>
                <w:color w:val="000000" w:themeColor="text1"/>
                <w:lang w:eastAsia="en-AU"/>
              </w:rPr>
              <w:t>Protecting Community Rights</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Text"/>
              <w:rPr>
                <w:lang w:eastAsia="en-AU"/>
              </w:rPr>
            </w:pPr>
            <w:r w:rsidRPr="00A475B8">
              <w:rPr>
                <w:lang w:eastAsia="en-AU"/>
              </w:rPr>
              <w:t>This output protects community rights through education, engagement, capacity building and actively assisting parties to quickly and effectively resolve disputes through the Victorian Equal Opportunity and Human Rights Commission (VEOHRC), protecting the rights, interests and dignity of people with disabilities or mental illness through the Office of the Public Advocate (OPA), and providing for the registration of significant life events and protection of personal identify by the Victorian Registry of Births, Deaths and Marriages (BDM).</w:t>
            </w:r>
          </w:p>
        </w:tc>
      </w:tr>
      <w:tr w:rsidR="00B958B1" w:rsidRPr="00A475B8" w:rsidTr="009F3B54">
        <w:trPr>
          <w:cantSplit/>
        </w:trPr>
        <w:tc>
          <w:tcPr>
            <w:tcW w:w="3155" w:type="dxa"/>
            <w:tcBorders>
              <w:top w:val="nil"/>
              <w:left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Quantity</w:t>
            </w:r>
          </w:p>
        </w:tc>
        <w:tc>
          <w:tcPr>
            <w:tcW w:w="907" w:type="dxa"/>
            <w:tcBorders>
              <w:top w:val="nil"/>
              <w:left w:val="nil"/>
              <w:right w:val="nil"/>
            </w:tcBorders>
            <w:shd w:val="clear" w:color="auto" w:fill="auto"/>
            <w:vAlign w:val="center"/>
            <w:hideMark/>
          </w:tcPr>
          <w:p w:rsidR="00B958B1" w:rsidRPr="00A475B8" w:rsidRDefault="00B958B1" w:rsidP="009F3B54">
            <w:pPr>
              <w:pStyle w:val="OGUoM"/>
              <w:rPr>
                <w:color w:val="000000" w:themeColor="text1"/>
                <w:lang w:eastAsia="en-AU"/>
              </w:rPr>
            </w:pPr>
          </w:p>
        </w:tc>
        <w:tc>
          <w:tcPr>
            <w:tcW w:w="907" w:type="dxa"/>
            <w:tcBorders>
              <w:top w:val="nil"/>
              <w:left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single" w:sz="6"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Enquiries made by the community to VEOHRC for information and advice</w:t>
            </w:r>
          </w:p>
        </w:tc>
        <w:tc>
          <w:tcPr>
            <w:tcW w:w="907" w:type="dxa"/>
            <w:tcBorders>
              <w:top w:val="nil"/>
              <w:left w:val="nil"/>
              <w:bottom w:val="single" w:sz="6"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single" w:sz="6"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w:t>
            </w:r>
            <w:r>
              <w:rPr>
                <w:color w:val="000000" w:themeColor="text1"/>
                <w:lang w:eastAsia="en-AU"/>
              </w:rPr>
              <w:t> </w:t>
            </w:r>
            <w:r w:rsidRPr="00A475B8">
              <w:rPr>
                <w:color w:val="000000" w:themeColor="text1"/>
                <w:lang w:eastAsia="en-AU"/>
              </w:rPr>
              <w:t>500–</w:t>
            </w:r>
            <w:r>
              <w:rPr>
                <w:color w:val="000000"/>
                <w:lang w:eastAsia="en-AU"/>
              </w:rPr>
              <w:t>8 </w:t>
            </w:r>
            <w:r w:rsidRPr="00146287">
              <w:rPr>
                <w:color w:val="000000"/>
                <w:lang w:eastAsia="en-AU"/>
              </w:rPr>
              <w:t>000</w:t>
            </w:r>
          </w:p>
        </w:tc>
        <w:tc>
          <w:tcPr>
            <w:tcW w:w="993" w:type="dxa"/>
            <w:tcBorders>
              <w:top w:val="nil"/>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w:t>
            </w:r>
            <w:r>
              <w:rPr>
                <w:color w:val="000000" w:themeColor="text1"/>
                <w:lang w:eastAsia="en-AU"/>
              </w:rPr>
              <w:t> </w:t>
            </w:r>
            <w:r w:rsidRPr="00A475B8">
              <w:rPr>
                <w:color w:val="000000" w:themeColor="text1"/>
                <w:lang w:eastAsia="en-AU"/>
              </w:rPr>
              <w:t>500</w:t>
            </w:r>
          </w:p>
        </w:tc>
        <w:tc>
          <w:tcPr>
            <w:tcW w:w="907" w:type="dxa"/>
            <w:tcBorders>
              <w:top w:val="nil"/>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w:t>
            </w:r>
            <w:r>
              <w:rPr>
                <w:color w:val="000000" w:themeColor="text1"/>
                <w:lang w:eastAsia="en-AU"/>
              </w:rPr>
              <w:t> 500</w:t>
            </w:r>
            <w:r w:rsidRPr="00A475B8">
              <w:rPr>
                <w:color w:val="000000" w:themeColor="text1"/>
                <w:lang w:eastAsia="en-AU"/>
              </w:rPr>
              <w:t>–</w:t>
            </w:r>
            <w:r>
              <w:rPr>
                <w:color w:val="000000"/>
                <w:lang w:eastAsia="en-AU"/>
              </w:rPr>
              <w:t>8 </w:t>
            </w:r>
            <w:r w:rsidRPr="00146287">
              <w:rPr>
                <w:color w:val="000000"/>
                <w:lang w:eastAsia="en-AU"/>
              </w:rPr>
              <w:t>000</w:t>
            </w:r>
          </w:p>
        </w:tc>
        <w:tc>
          <w:tcPr>
            <w:tcW w:w="907" w:type="dxa"/>
            <w:tcBorders>
              <w:top w:val="nil"/>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w:t>
            </w:r>
            <w:r>
              <w:rPr>
                <w:color w:val="000000" w:themeColor="text1"/>
                <w:lang w:eastAsia="en-AU"/>
              </w:rPr>
              <w:t> </w:t>
            </w:r>
            <w:r w:rsidRPr="00A475B8">
              <w:rPr>
                <w:color w:val="000000" w:themeColor="text1"/>
                <w:lang w:eastAsia="en-AU"/>
              </w:rPr>
              <w:t>940</w:t>
            </w:r>
          </w:p>
        </w:tc>
      </w:tr>
      <w:tr w:rsidR="00B958B1" w:rsidRPr="00A475B8" w:rsidTr="009F3B54">
        <w:trPr>
          <w:cantSplit/>
        </w:trPr>
        <w:tc>
          <w:tcPr>
            <w:tcW w:w="3155" w:type="dxa"/>
            <w:tcBorders>
              <w:top w:val="single" w:sz="6" w:space="0" w:color="auto"/>
              <w:left w:val="nil"/>
              <w:bottom w:val="single" w:sz="6"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Complaint files received and handled by VEOHRC</w:t>
            </w:r>
          </w:p>
        </w:tc>
        <w:tc>
          <w:tcPr>
            <w:tcW w:w="907" w:type="dxa"/>
            <w:tcBorders>
              <w:top w:val="single" w:sz="6" w:space="0" w:color="auto"/>
              <w:left w:val="nil"/>
              <w:bottom w:val="single" w:sz="6"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w:t>
            </w:r>
            <w:r>
              <w:rPr>
                <w:color w:val="000000" w:themeColor="text1"/>
                <w:lang w:eastAsia="en-AU"/>
              </w:rPr>
              <w:t> 050</w:t>
            </w:r>
            <w:r w:rsidRPr="00A475B8">
              <w:rPr>
                <w:color w:val="000000" w:themeColor="text1"/>
                <w:lang w:eastAsia="en-AU"/>
              </w:rPr>
              <w:t>–</w:t>
            </w:r>
            <w:r w:rsidRPr="00146287">
              <w:t>1</w:t>
            </w:r>
            <w:r>
              <w:t> </w:t>
            </w:r>
            <w:r w:rsidRPr="00146287">
              <w:rPr>
                <w:lang w:eastAsia="en-AU"/>
              </w:rPr>
              <w:t>200</w:t>
            </w:r>
          </w:p>
        </w:tc>
        <w:tc>
          <w:tcPr>
            <w:tcW w:w="993" w:type="dxa"/>
            <w:tcBorders>
              <w:top w:val="single" w:sz="6"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w:t>
            </w:r>
            <w:r>
              <w:rPr>
                <w:color w:val="000000" w:themeColor="text1"/>
                <w:lang w:eastAsia="en-AU"/>
              </w:rPr>
              <w:t> </w:t>
            </w:r>
            <w:r w:rsidRPr="00A475B8">
              <w:rPr>
                <w:color w:val="000000" w:themeColor="text1"/>
                <w:lang w:eastAsia="en-AU"/>
              </w:rPr>
              <w:t>050</w:t>
            </w:r>
          </w:p>
        </w:tc>
        <w:tc>
          <w:tcPr>
            <w:tcW w:w="907" w:type="dxa"/>
            <w:tcBorders>
              <w:top w:val="single" w:sz="6"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w:t>
            </w:r>
            <w:r>
              <w:rPr>
                <w:color w:val="000000" w:themeColor="text1"/>
                <w:lang w:eastAsia="en-AU"/>
              </w:rPr>
              <w:t> 050</w:t>
            </w:r>
            <w:r w:rsidRPr="00A475B8">
              <w:rPr>
                <w:color w:val="000000" w:themeColor="text1"/>
                <w:lang w:eastAsia="en-AU"/>
              </w:rPr>
              <w:t>–</w:t>
            </w:r>
            <w:r>
              <w:rPr>
                <w:color w:val="000000"/>
                <w:lang w:eastAsia="en-AU"/>
              </w:rPr>
              <w:t>1 </w:t>
            </w:r>
            <w:r w:rsidRPr="00146287">
              <w:rPr>
                <w:color w:val="000000"/>
                <w:lang w:eastAsia="en-AU"/>
              </w:rPr>
              <w:t>200</w:t>
            </w:r>
          </w:p>
        </w:tc>
        <w:tc>
          <w:tcPr>
            <w:tcW w:w="907" w:type="dxa"/>
            <w:tcBorders>
              <w:top w:val="single" w:sz="6"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3155" w:type="dxa"/>
            <w:tcBorders>
              <w:top w:val="single" w:sz="6" w:space="0" w:color="auto"/>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Proportion of finalised complaint files resolved through dispute resolution (VEOHRC)</w:t>
            </w:r>
          </w:p>
        </w:tc>
        <w:tc>
          <w:tcPr>
            <w:tcW w:w="907" w:type="dxa"/>
            <w:tcBorders>
              <w:top w:val="single" w:sz="6" w:space="0" w:color="auto"/>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single" w:sz="6" w:space="0" w:color="auto"/>
              <w:left w:val="nil"/>
              <w:bottom w:val="single" w:sz="8"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35</w:t>
            </w:r>
          </w:p>
        </w:tc>
        <w:tc>
          <w:tcPr>
            <w:tcW w:w="993" w:type="dxa"/>
            <w:tcBorders>
              <w:top w:val="single" w:sz="6" w:space="0" w:color="auto"/>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35</w:t>
            </w:r>
          </w:p>
        </w:tc>
        <w:tc>
          <w:tcPr>
            <w:tcW w:w="907" w:type="dxa"/>
            <w:tcBorders>
              <w:top w:val="single" w:sz="6" w:space="0" w:color="auto"/>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35</w:t>
            </w:r>
          </w:p>
        </w:tc>
        <w:tc>
          <w:tcPr>
            <w:tcW w:w="907" w:type="dxa"/>
            <w:tcBorders>
              <w:top w:val="single" w:sz="6" w:space="0" w:color="auto"/>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3155" w:type="dxa"/>
            <w:tcBorders>
              <w:top w:val="nil"/>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Public Advocate protective interventions for people with a disability</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single" w:sz="8"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w:t>
            </w:r>
            <w:r>
              <w:rPr>
                <w:color w:val="000000" w:themeColor="text1"/>
                <w:lang w:eastAsia="en-AU"/>
              </w:rPr>
              <w:t> </w:t>
            </w:r>
            <w:r w:rsidRPr="00A475B8">
              <w:rPr>
                <w:color w:val="000000" w:themeColor="text1"/>
                <w:lang w:eastAsia="en-AU"/>
              </w:rPr>
              <w:t>510</w:t>
            </w:r>
          </w:p>
        </w:tc>
        <w:tc>
          <w:tcPr>
            <w:tcW w:w="993"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w:t>
            </w:r>
            <w:r>
              <w:rPr>
                <w:color w:val="000000" w:themeColor="text1"/>
                <w:lang w:eastAsia="en-AU"/>
              </w:rPr>
              <w:t> </w:t>
            </w:r>
            <w:r w:rsidRPr="00A475B8">
              <w:rPr>
                <w:color w:val="000000" w:themeColor="text1"/>
                <w:lang w:eastAsia="en-AU"/>
              </w:rPr>
              <w:t>600</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w:t>
            </w:r>
            <w:r>
              <w:rPr>
                <w:color w:val="000000" w:themeColor="text1"/>
                <w:lang w:eastAsia="en-AU"/>
              </w:rPr>
              <w:t> </w:t>
            </w:r>
            <w:r w:rsidRPr="00A475B8">
              <w:rPr>
                <w:color w:val="000000" w:themeColor="text1"/>
                <w:lang w:eastAsia="en-AU"/>
              </w:rPr>
              <w:t>510</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w:t>
            </w:r>
            <w:r>
              <w:rPr>
                <w:color w:val="000000" w:themeColor="text1"/>
                <w:lang w:eastAsia="en-AU"/>
              </w:rPr>
              <w:t> </w:t>
            </w:r>
            <w:r w:rsidRPr="00A475B8">
              <w:rPr>
                <w:color w:val="000000" w:themeColor="text1"/>
                <w:lang w:eastAsia="en-AU"/>
              </w:rPr>
              <w:t>737</w:t>
            </w:r>
          </w:p>
        </w:tc>
      </w:tr>
      <w:tr w:rsidR="00B958B1" w:rsidRPr="00A475B8" w:rsidTr="009F3B54">
        <w:trPr>
          <w:cantSplit/>
        </w:trPr>
        <w:tc>
          <w:tcPr>
            <w:tcW w:w="3155" w:type="dxa"/>
            <w:tcBorders>
              <w:top w:val="single" w:sz="8" w:space="0" w:color="auto"/>
              <w:left w:val="nil"/>
              <w:bottom w:val="single" w:sz="6"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Community education/training programs, services and events delivered by VEOHRC</w:t>
            </w:r>
          </w:p>
        </w:tc>
        <w:tc>
          <w:tcPr>
            <w:tcW w:w="907" w:type="dxa"/>
            <w:tcBorders>
              <w:top w:val="single" w:sz="8" w:space="0" w:color="auto"/>
              <w:left w:val="nil"/>
              <w:bottom w:val="single" w:sz="6"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single" w:sz="8" w:space="0" w:color="auto"/>
              <w:left w:val="nil"/>
              <w:bottom w:val="single" w:sz="6"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Pr>
                <w:color w:val="000000" w:themeColor="text1"/>
                <w:lang w:eastAsia="en-AU"/>
              </w:rPr>
              <w:t>80</w:t>
            </w:r>
            <w:r w:rsidRPr="00A475B8">
              <w:rPr>
                <w:color w:val="000000" w:themeColor="text1"/>
                <w:lang w:eastAsia="en-AU"/>
              </w:rPr>
              <w:t>–</w:t>
            </w:r>
            <w:r w:rsidRPr="00146287">
              <w:rPr>
                <w:color w:val="000000"/>
                <w:lang w:eastAsia="en-AU"/>
              </w:rPr>
              <w:t>100</w:t>
            </w:r>
          </w:p>
        </w:tc>
        <w:tc>
          <w:tcPr>
            <w:tcW w:w="993" w:type="dxa"/>
            <w:tcBorders>
              <w:top w:val="single" w:sz="8"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07" w:type="dxa"/>
            <w:tcBorders>
              <w:top w:val="single" w:sz="8"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80</w:t>
            </w:r>
            <w:r w:rsidRPr="00A475B8">
              <w:rPr>
                <w:color w:val="000000" w:themeColor="text1"/>
                <w:lang w:eastAsia="en-AU"/>
              </w:rPr>
              <w:t>–</w:t>
            </w:r>
            <w:r w:rsidRPr="00146287">
              <w:rPr>
                <w:color w:val="000000"/>
                <w:lang w:eastAsia="en-AU"/>
              </w:rPr>
              <w:t>100</w:t>
            </w:r>
          </w:p>
        </w:tc>
        <w:tc>
          <w:tcPr>
            <w:tcW w:w="907" w:type="dxa"/>
            <w:tcBorders>
              <w:top w:val="single" w:sz="8"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99</w:t>
            </w:r>
          </w:p>
        </w:tc>
      </w:tr>
      <w:tr w:rsidR="00B958B1" w:rsidRPr="00A475B8" w:rsidTr="009F3B54">
        <w:trPr>
          <w:cantSplit/>
        </w:trPr>
        <w:tc>
          <w:tcPr>
            <w:tcW w:w="3155"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Quality</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p>
        </w:tc>
        <w:tc>
          <w:tcPr>
            <w:tcW w:w="907" w:type="dxa"/>
            <w:tcBorders>
              <w:top w:val="single" w:sz="6"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Births, Deaths and Marriages registration transaction error rate</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single" w:sz="8"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&lt;</w:t>
            </w:r>
            <w:r>
              <w:rPr>
                <w:color w:val="000000" w:themeColor="text1"/>
                <w:lang w:eastAsia="en-AU"/>
              </w:rPr>
              <w:t> </w:t>
            </w:r>
            <w:r w:rsidRPr="00A475B8">
              <w:rPr>
                <w:color w:val="000000" w:themeColor="text1"/>
                <w:lang w:eastAsia="en-AU"/>
              </w:rPr>
              <w:t>1.0</w:t>
            </w:r>
          </w:p>
        </w:tc>
        <w:tc>
          <w:tcPr>
            <w:tcW w:w="993"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&lt;</w:t>
            </w:r>
            <w:r>
              <w:rPr>
                <w:color w:val="000000" w:themeColor="text1"/>
                <w:lang w:eastAsia="en-AU"/>
              </w:rPr>
              <w:t> </w:t>
            </w:r>
            <w:r w:rsidRPr="00A475B8">
              <w:rPr>
                <w:color w:val="000000" w:themeColor="text1"/>
                <w:lang w:eastAsia="en-AU"/>
              </w:rPr>
              <w:t>1.0</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&lt;</w:t>
            </w:r>
            <w:r>
              <w:rPr>
                <w:color w:val="000000" w:themeColor="text1"/>
                <w:lang w:eastAsia="en-AU"/>
              </w:rPr>
              <w:t> </w:t>
            </w:r>
            <w:r w:rsidRPr="00A475B8">
              <w:rPr>
                <w:color w:val="000000" w:themeColor="text1"/>
                <w:lang w:eastAsia="en-AU"/>
              </w:rPr>
              <w:t>1.0</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0.2</w:t>
            </w:r>
          </w:p>
        </w:tc>
      </w:tr>
      <w:tr w:rsidR="00B958B1" w:rsidRPr="00A475B8" w:rsidTr="009F3B54">
        <w:trPr>
          <w:cantSplit/>
        </w:trPr>
        <w:tc>
          <w:tcPr>
            <w:tcW w:w="3155" w:type="dxa"/>
            <w:tcBorders>
              <w:top w:val="single" w:sz="8" w:space="0" w:color="auto"/>
              <w:left w:val="nil"/>
              <w:bottom w:val="single" w:sz="6"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Customer satisfaction rating: Community education/training programs, services and events delivered by VEOHRC</w:t>
            </w:r>
          </w:p>
        </w:tc>
        <w:tc>
          <w:tcPr>
            <w:tcW w:w="907" w:type="dxa"/>
            <w:tcBorders>
              <w:top w:val="single" w:sz="8" w:space="0" w:color="auto"/>
              <w:left w:val="nil"/>
              <w:bottom w:val="single" w:sz="6"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single" w:sz="8" w:space="0" w:color="auto"/>
              <w:left w:val="nil"/>
              <w:bottom w:val="single" w:sz="6"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93" w:type="dxa"/>
            <w:tcBorders>
              <w:top w:val="single" w:sz="8"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07" w:type="dxa"/>
            <w:tcBorders>
              <w:top w:val="single" w:sz="8"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07" w:type="dxa"/>
            <w:tcBorders>
              <w:top w:val="single" w:sz="8"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86</w:t>
            </w:r>
          </w:p>
        </w:tc>
      </w:tr>
      <w:tr w:rsidR="00B958B1" w:rsidRPr="00A475B8" w:rsidTr="009F3B54">
        <w:trPr>
          <w:cantSplit/>
        </w:trPr>
        <w:tc>
          <w:tcPr>
            <w:tcW w:w="3155"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Head"/>
              <w:rPr>
                <w:lang w:eastAsia="en-AU"/>
              </w:rPr>
            </w:pPr>
            <w:r w:rsidRPr="0016616A">
              <w:rPr>
                <w:iCs/>
                <w:color w:val="000000" w:themeColor="text1"/>
                <w:lang w:eastAsia="en-AU"/>
              </w:rPr>
              <w:t>Timeliness</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p>
        </w:tc>
        <w:tc>
          <w:tcPr>
            <w:tcW w:w="907" w:type="dxa"/>
            <w:tcBorders>
              <w:top w:val="single" w:sz="6"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Timely provision of Births, Deaths and Marriages certificates</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94.3</w:t>
            </w:r>
          </w:p>
        </w:tc>
      </w:tr>
      <w:tr w:rsidR="00B958B1" w:rsidRPr="00A475B8" w:rsidTr="009F3B54">
        <w:trPr>
          <w:cantSplit/>
        </w:trPr>
        <w:tc>
          <w:tcPr>
            <w:tcW w:w="3155" w:type="dxa"/>
            <w:tcBorders>
              <w:top w:val="single" w:sz="8" w:space="0" w:color="auto"/>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VEOHRC Complaints finalised within agreed timeframe</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single" w:sz="8"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93"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w:t>
            </w:r>
          </w:p>
        </w:tc>
      </w:tr>
      <w:tr w:rsidR="00B958B1" w:rsidRPr="00A475B8" w:rsidTr="009F3B54">
        <w:trPr>
          <w:cantSplit/>
        </w:trPr>
        <w:tc>
          <w:tcPr>
            <w:tcW w:w="3155" w:type="dxa"/>
            <w:tcBorders>
              <w:top w:val="single" w:sz="8" w:space="0" w:color="auto"/>
              <w:left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Cost</w:t>
            </w:r>
          </w:p>
        </w:tc>
        <w:tc>
          <w:tcPr>
            <w:tcW w:w="907" w:type="dxa"/>
            <w:tcBorders>
              <w:top w:val="single" w:sz="8" w:space="0" w:color="auto"/>
              <w:left w:val="nil"/>
              <w:right w:val="nil"/>
            </w:tcBorders>
            <w:shd w:val="clear" w:color="auto" w:fill="auto"/>
            <w:hideMark/>
          </w:tcPr>
          <w:p w:rsidR="00B958B1" w:rsidRPr="00A475B8" w:rsidRDefault="00B958B1" w:rsidP="009F3B54">
            <w:pPr>
              <w:pStyle w:val="OGUoM"/>
              <w:rPr>
                <w:color w:val="000000" w:themeColor="text1"/>
                <w:lang w:eastAsia="en-AU"/>
              </w:rPr>
            </w:pPr>
          </w:p>
        </w:tc>
        <w:tc>
          <w:tcPr>
            <w:tcW w:w="907" w:type="dxa"/>
            <w:tcBorders>
              <w:top w:val="single" w:sz="8" w:space="0" w:color="auto"/>
              <w:left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8"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F02D66" w:rsidTr="009F3B54">
        <w:trPr>
          <w:cantSplit/>
        </w:trPr>
        <w:tc>
          <w:tcPr>
            <w:tcW w:w="3155" w:type="dxa"/>
            <w:tcBorders>
              <w:top w:val="nil"/>
              <w:left w:val="nil"/>
              <w:right w:val="nil"/>
            </w:tcBorders>
            <w:shd w:val="clear" w:color="auto" w:fill="auto"/>
            <w:vAlign w:val="center"/>
            <w:hideMark/>
          </w:tcPr>
          <w:p w:rsidR="00B958B1" w:rsidRPr="00F02D66" w:rsidRDefault="00B958B1" w:rsidP="009F3B54">
            <w:pPr>
              <w:pStyle w:val="OGTabText"/>
              <w:rPr>
                <w:lang w:eastAsia="en-AU"/>
              </w:rPr>
            </w:pPr>
            <w:r w:rsidRPr="00F02D66">
              <w:rPr>
                <w:lang w:eastAsia="en-AU"/>
              </w:rPr>
              <w:t>Total output cost</w:t>
            </w:r>
          </w:p>
        </w:tc>
        <w:tc>
          <w:tcPr>
            <w:tcW w:w="907" w:type="dxa"/>
            <w:tcBorders>
              <w:top w:val="nil"/>
              <w:left w:val="nil"/>
              <w:right w:val="nil"/>
            </w:tcBorders>
            <w:shd w:val="clear" w:color="auto" w:fill="auto"/>
            <w:hideMark/>
          </w:tcPr>
          <w:p w:rsidR="00B958B1" w:rsidRPr="00F02D66" w:rsidRDefault="00B958B1" w:rsidP="009F3B54">
            <w:pPr>
              <w:pStyle w:val="OGUoM"/>
              <w:rPr>
                <w:lang w:eastAsia="en-AU"/>
              </w:rPr>
            </w:pPr>
            <w:r w:rsidRPr="00F02D66">
              <w:rPr>
                <w:lang w:eastAsia="en-AU"/>
              </w:rPr>
              <w:t>$</w:t>
            </w:r>
            <w:r>
              <w:rPr>
                <w:lang w:eastAsia="en-AU"/>
              </w:rPr>
              <w:t> million</w:t>
            </w:r>
          </w:p>
        </w:tc>
        <w:tc>
          <w:tcPr>
            <w:tcW w:w="907" w:type="dxa"/>
            <w:tcBorders>
              <w:top w:val="nil"/>
              <w:left w:val="nil"/>
              <w:right w:val="nil"/>
            </w:tcBorders>
            <w:shd w:val="clear" w:color="auto" w:fill="D9D9D9"/>
            <w:hideMark/>
          </w:tcPr>
          <w:p w:rsidR="00B958B1" w:rsidRPr="00F02D66" w:rsidRDefault="00B958B1" w:rsidP="009F3B54">
            <w:pPr>
              <w:pStyle w:val="OGTableofFigures"/>
              <w:rPr>
                <w:lang w:eastAsia="en-AU"/>
              </w:rPr>
            </w:pPr>
            <w:r w:rsidRPr="00F02D66">
              <w:rPr>
                <w:lang w:eastAsia="en-AU"/>
              </w:rPr>
              <w:t>32.7</w:t>
            </w:r>
          </w:p>
        </w:tc>
        <w:tc>
          <w:tcPr>
            <w:tcW w:w="993" w:type="dxa"/>
            <w:tcBorders>
              <w:top w:val="nil"/>
              <w:left w:val="nil"/>
              <w:right w:val="nil"/>
            </w:tcBorders>
            <w:shd w:val="clear" w:color="auto" w:fill="auto"/>
            <w:hideMark/>
          </w:tcPr>
          <w:p w:rsidR="00B958B1" w:rsidRPr="00F02D66" w:rsidRDefault="00B958B1" w:rsidP="009F3B54">
            <w:pPr>
              <w:pStyle w:val="OGTableofFigures"/>
              <w:rPr>
                <w:lang w:eastAsia="en-AU"/>
              </w:rPr>
            </w:pPr>
            <w:r>
              <w:rPr>
                <w:lang w:eastAsia="en-AU"/>
              </w:rPr>
              <w:t>36.0</w:t>
            </w:r>
          </w:p>
        </w:tc>
        <w:tc>
          <w:tcPr>
            <w:tcW w:w="907" w:type="dxa"/>
            <w:tcBorders>
              <w:top w:val="nil"/>
              <w:left w:val="nil"/>
              <w:right w:val="nil"/>
            </w:tcBorders>
            <w:shd w:val="clear" w:color="auto" w:fill="auto"/>
            <w:hideMark/>
          </w:tcPr>
          <w:p w:rsidR="00B958B1" w:rsidRPr="00F02D66" w:rsidRDefault="00B958B1" w:rsidP="009F3B54">
            <w:pPr>
              <w:pStyle w:val="OGTableofFigures"/>
              <w:rPr>
                <w:lang w:eastAsia="en-AU"/>
              </w:rPr>
            </w:pPr>
            <w:r w:rsidRPr="00F02D66">
              <w:rPr>
                <w:lang w:eastAsia="en-AU"/>
              </w:rPr>
              <w:t>35.5</w:t>
            </w:r>
          </w:p>
        </w:tc>
        <w:tc>
          <w:tcPr>
            <w:tcW w:w="907" w:type="dxa"/>
            <w:tcBorders>
              <w:top w:val="nil"/>
              <w:left w:val="nil"/>
              <w:right w:val="nil"/>
            </w:tcBorders>
            <w:shd w:val="clear" w:color="auto" w:fill="auto"/>
            <w:hideMark/>
          </w:tcPr>
          <w:p w:rsidR="00B958B1" w:rsidRPr="00F02D66" w:rsidRDefault="00B958B1" w:rsidP="009F3B54">
            <w:pPr>
              <w:pStyle w:val="OGTableofFigures"/>
              <w:rPr>
                <w:lang w:eastAsia="en-AU"/>
              </w:rPr>
            </w:pPr>
            <w:r w:rsidRPr="00F02D66">
              <w:rPr>
                <w:lang w:eastAsia="en-AU"/>
              </w:rPr>
              <w:t>36.9</w:t>
            </w:r>
          </w:p>
        </w:tc>
      </w:tr>
      <w:tr w:rsidR="00B958B1" w:rsidRPr="00F02D66" w:rsidTr="009F3B54">
        <w:trPr>
          <w:cantSplit/>
        </w:trPr>
        <w:tc>
          <w:tcPr>
            <w:tcW w:w="7776" w:type="dxa"/>
            <w:gridSpan w:val="6"/>
            <w:tcBorders>
              <w:left w:val="nil"/>
              <w:bottom w:val="single" w:sz="6" w:space="0" w:color="auto"/>
              <w:right w:val="nil"/>
            </w:tcBorders>
            <w:shd w:val="clear" w:color="auto" w:fill="auto"/>
            <w:vAlign w:val="center"/>
          </w:tcPr>
          <w:p w:rsidR="00B958B1" w:rsidRPr="00B80C68" w:rsidRDefault="00B958B1" w:rsidP="009F3B54">
            <w:pPr>
              <w:pStyle w:val="OGNotes"/>
            </w:pPr>
            <w:r>
              <w:t xml:space="preserve">The </w:t>
            </w:r>
            <w:r w:rsidRPr="00B80C68">
              <w:t>2013</w:t>
            </w:r>
            <w:r w:rsidR="009F0F49">
              <w:noBreakHyphen/>
            </w:r>
            <w:r w:rsidRPr="00B80C68">
              <w:t>14 Target</w:t>
            </w:r>
            <w:r>
              <w:t xml:space="preserve"> is lower than the 2012</w:t>
            </w:r>
            <w:r w:rsidR="009F0F49">
              <w:noBreakHyphen/>
            </w:r>
            <w:r>
              <w:t xml:space="preserve">13 Target due to the transfer of funds for the </w:t>
            </w:r>
            <w:r w:rsidRPr="00B80C68">
              <w:t>Freedom of Informatio</w:t>
            </w:r>
            <w:r>
              <w:t>n Commissioner to its own output in 2013</w:t>
            </w:r>
            <w:r w:rsidR="009F0F49">
              <w:noBreakHyphen/>
            </w:r>
            <w:r>
              <w:t>14</w:t>
            </w:r>
            <w:r w:rsidRPr="00B80C68">
              <w:t>.</w:t>
            </w:r>
          </w:p>
        </w:tc>
      </w:tr>
      <w:tr w:rsidR="00B958B1" w:rsidRPr="00A475B8" w:rsidTr="009F3B54">
        <w:trPr>
          <w:cantSplit/>
        </w:trPr>
        <w:tc>
          <w:tcPr>
            <w:tcW w:w="7776" w:type="dxa"/>
            <w:gridSpan w:val="6"/>
            <w:tcBorders>
              <w:top w:val="single" w:sz="8" w:space="0" w:color="auto"/>
              <w:left w:val="nil"/>
              <w:bottom w:val="nil"/>
              <w:right w:val="nil"/>
            </w:tcBorders>
            <w:shd w:val="clear" w:color="auto" w:fill="auto"/>
            <w:vAlign w:val="center"/>
            <w:hideMark/>
          </w:tcPr>
          <w:p w:rsidR="00B958B1" w:rsidRPr="00A475B8" w:rsidRDefault="00B958B1" w:rsidP="009F3B54">
            <w:pPr>
              <w:pStyle w:val="OGHeading2"/>
              <w:rPr>
                <w:bCs/>
                <w:color w:val="000000" w:themeColor="text1"/>
                <w:lang w:eastAsia="en-AU"/>
              </w:rPr>
            </w:pPr>
            <w:r w:rsidRPr="00A475B8">
              <w:rPr>
                <w:color w:val="000000" w:themeColor="text1"/>
                <w:lang w:eastAsia="en-AU"/>
              </w:rPr>
              <w:t>Privacy Regulation</w:t>
            </w:r>
          </w:p>
        </w:tc>
      </w:tr>
      <w:tr w:rsidR="00B958B1" w:rsidRPr="00A475B8" w:rsidTr="009F3B54">
        <w:trPr>
          <w:cantSplit/>
        </w:trPr>
        <w:tc>
          <w:tcPr>
            <w:tcW w:w="7776" w:type="dxa"/>
            <w:gridSpan w:val="6"/>
            <w:tcBorders>
              <w:top w:val="nil"/>
              <w:left w:val="nil"/>
              <w:bottom w:val="single" w:sz="6" w:space="0" w:color="auto"/>
              <w:right w:val="nil"/>
            </w:tcBorders>
            <w:shd w:val="clear" w:color="auto" w:fill="auto"/>
            <w:vAlign w:val="center"/>
            <w:hideMark/>
          </w:tcPr>
          <w:p w:rsidR="00B958B1" w:rsidRPr="00A475B8" w:rsidRDefault="00B958B1" w:rsidP="009F3B54">
            <w:pPr>
              <w:pStyle w:val="OGText"/>
              <w:rPr>
                <w:lang w:eastAsia="en-AU"/>
              </w:rPr>
            </w:pPr>
            <w:r w:rsidRPr="00A475B8">
              <w:rPr>
                <w:lang w:eastAsia="en-AU"/>
              </w:rPr>
              <w:t xml:space="preserve">The </w:t>
            </w:r>
            <w:r w:rsidRPr="00A475B8">
              <w:rPr>
                <w:i/>
                <w:iCs/>
                <w:lang w:eastAsia="en-AU"/>
              </w:rPr>
              <w:t>Information Privacy Act 2000</w:t>
            </w:r>
            <w:r w:rsidRPr="00A475B8">
              <w:rPr>
                <w:lang w:eastAsia="en-AU"/>
              </w:rPr>
              <w:t xml:space="preserve"> regulates the collection and handling of personal information by the Victorian public sector and local government. The Office of the Victorian Privacy </w:t>
            </w:r>
            <w:r w:rsidRPr="00EB5F76">
              <w:rPr>
                <w:lang w:eastAsia="en-AU"/>
              </w:rPr>
              <w:t>Commissioner (OVPC) receives and</w:t>
            </w:r>
            <w:r w:rsidRPr="00A475B8">
              <w:rPr>
                <w:lang w:eastAsia="en-AU"/>
              </w:rPr>
              <w:t xml:space="preserve"> deals with complaints of alleged breaches of privacy and promotes privacy protection through advocacy, education and training, audit and invest</w:t>
            </w:r>
            <w:r>
              <w:rPr>
                <w:lang w:eastAsia="en-AU"/>
              </w:rPr>
              <w:t>igation of breaches of the Act.</w:t>
            </w:r>
          </w:p>
        </w:tc>
      </w:tr>
      <w:tr w:rsidR="00B958B1" w:rsidRPr="00A475B8" w:rsidTr="009F3B54">
        <w:trPr>
          <w:cantSplit/>
        </w:trPr>
        <w:tc>
          <w:tcPr>
            <w:tcW w:w="3155"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Quantity</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p>
        </w:tc>
        <w:tc>
          <w:tcPr>
            <w:tcW w:w="907" w:type="dxa"/>
            <w:tcBorders>
              <w:top w:val="single" w:sz="6" w:space="0" w:color="auto"/>
              <w:left w:val="nil"/>
              <w:bottom w:val="nil"/>
              <w:right w:val="nil"/>
            </w:tcBorders>
            <w:shd w:val="clear" w:color="auto" w:fill="D9D9D9"/>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c>
          <w:tcPr>
            <w:tcW w:w="907"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c>
          <w:tcPr>
            <w:tcW w:w="907"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Compliance activities conducted</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w:t>
            </w:r>
            <w:r>
              <w:rPr>
                <w:color w:val="000000" w:themeColor="text1"/>
                <w:lang w:eastAsia="en-AU"/>
              </w:rPr>
              <w:t> </w:t>
            </w:r>
            <w:r w:rsidRPr="00A475B8">
              <w:rPr>
                <w:color w:val="000000" w:themeColor="text1"/>
                <w:lang w:eastAsia="en-AU"/>
              </w:rPr>
              <w:t>700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w:t>
            </w:r>
            <w:r>
              <w:rPr>
                <w:color w:val="000000" w:themeColor="text1"/>
                <w:lang w:eastAsia="en-AU"/>
              </w:rPr>
              <w:t> </w:t>
            </w:r>
            <w:r w:rsidRPr="00A475B8">
              <w:rPr>
                <w:color w:val="000000" w:themeColor="text1"/>
                <w:lang w:eastAsia="en-AU"/>
              </w:rPr>
              <w:t>700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w:t>
            </w:r>
            <w:r>
              <w:rPr>
                <w:color w:val="000000" w:themeColor="text1"/>
                <w:lang w:eastAsia="en-AU"/>
              </w:rPr>
              <w:t> </w:t>
            </w:r>
            <w:r w:rsidRPr="00A475B8">
              <w:rPr>
                <w:color w:val="000000" w:themeColor="text1"/>
                <w:lang w:eastAsia="en-AU"/>
              </w:rPr>
              <w:t>700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w:t>
            </w:r>
            <w:r>
              <w:rPr>
                <w:color w:val="000000" w:themeColor="text1"/>
                <w:lang w:eastAsia="en-AU"/>
              </w:rPr>
              <w:t> </w:t>
            </w:r>
            <w:r w:rsidRPr="00A475B8">
              <w:rPr>
                <w:color w:val="000000" w:themeColor="text1"/>
                <w:lang w:eastAsia="en-AU"/>
              </w:rPr>
              <w:t>860</w:t>
            </w:r>
          </w:p>
        </w:tc>
      </w:tr>
      <w:tr w:rsidR="00B958B1" w:rsidRPr="00A475B8" w:rsidTr="009F3B54">
        <w:trPr>
          <w:cantSplit/>
        </w:trPr>
        <w:tc>
          <w:tcPr>
            <w:tcW w:w="3155" w:type="dxa"/>
            <w:tcBorders>
              <w:top w:val="single" w:sz="8" w:space="0" w:color="auto"/>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 xml:space="preserve">Privacy </w:t>
            </w:r>
            <w:r>
              <w:rPr>
                <w:color w:val="000000" w:themeColor="text1"/>
                <w:lang w:eastAsia="en-AU"/>
              </w:rPr>
              <w:t>a</w:t>
            </w:r>
            <w:r w:rsidRPr="00A475B8">
              <w:rPr>
                <w:color w:val="000000" w:themeColor="text1"/>
                <w:lang w:eastAsia="en-AU"/>
              </w:rPr>
              <w:t>wareness activities conducted</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single" w:sz="8"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195</w:t>
            </w:r>
          </w:p>
        </w:tc>
        <w:tc>
          <w:tcPr>
            <w:tcW w:w="993"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195</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195</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279</w:t>
            </w:r>
          </w:p>
        </w:tc>
      </w:tr>
      <w:tr w:rsidR="00B958B1" w:rsidRPr="00A475B8" w:rsidTr="009F3B54">
        <w:trPr>
          <w:cantSplit/>
        </w:trPr>
        <w:tc>
          <w:tcPr>
            <w:tcW w:w="3155" w:type="dxa"/>
            <w:tcBorders>
              <w:top w:val="single" w:sz="8" w:space="0" w:color="auto"/>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Quality</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p>
        </w:tc>
        <w:tc>
          <w:tcPr>
            <w:tcW w:w="907" w:type="dxa"/>
            <w:tcBorders>
              <w:top w:val="single" w:sz="8"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Client feedback of satisfaction with complaint handling and training services provided</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level</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high</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high</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high</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high</w:t>
            </w:r>
          </w:p>
        </w:tc>
      </w:tr>
      <w:tr w:rsidR="00B958B1" w:rsidRPr="00A475B8" w:rsidTr="009F3B54">
        <w:trPr>
          <w:cantSplit/>
        </w:trPr>
        <w:tc>
          <w:tcPr>
            <w:tcW w:w="3155" w:type="dxa"/>
            <w:tcBorders>
              <w:top w:val="single" w:sz="8" w:space="0" w:color="auto"/>
              <w:left w:val="nil"/>
              <w:bottom w:val="nil"/>
              <w:right w:val="nil"/>
            </w:tcBorders>
            <w:shd w:val="clear" w:color="auto" w:fill="auto"/>
            <w:vAlign w:val="center"/>
            <w:hideMark/>
          </w:tcPr>
          <w:p w:rsidR="00B958B1" w:rsidRPr="00A475B8" w:rsidRDefault="00B958B1" w:rsidP="009F3B54">
            <w:pPr>
              <w:pStyle w:val="OGTabHead"/>
              <w:rPr>
                <w:lang w:eastAsia="en-AU"/>
              </w:rPr>
            </w:pPr>
            <w:r w:rsidRPr="0016616A">
              <w:rPr>
                <w:iCs/>
                <w:color w:val="000000" w:themeColor="text1"/>
                <w:lang w:eastAsia="en-AU"/>
              </w:rPr>
              <w:t>Timeliness</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p>
        </w:tc>
        <w:tc>
          <w:tcPr>
            <w:tcW w:w="907" w:type="dxa"/>
            <w:tcBorders>
              <w:top w:val="single" w:sz="8"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Statutory or agreed timelines met</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r>
      <w:tr w:rsidR="00B958B1" w:rsidRPr="00A475B8" w:rsidTr="009F3B54">
        <w:trPr>
          <w:cantSplit/>
        </w:trPr>
        <w:tc>
          <w:tcPr>
            <w:tcW w:w="3155" w:type="dxa"/>
            <w:tcBorders>
              <w:top w:val="single" w:sz="8" w:space="0" w:color="auto"/>
              <w:left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Cost</w:t>
            </w:r>
          </w:p>
        </w:tc>
        <w:tc>
          <w:tcPr>
            <w:tcW w:w="907" w:type="dxa"/>
            <w:tcBorders>
              <w:top w:val="single" w:sz="8" w:space="0" w:color="auto"/>
              <w:left w:val="nil"/>
              <w:right w:val="nil"/>
            </w:tcBorders>
            <w:shd w:val="clear" w:color="auto" w:fill="auto"/>
            <w:hideMark/>
          </w:tcPr>
          <w:p w:rsidR="00B958B1" w:rsidRPr="00A475B8" w:rsidRDefault="00B958B1" w:rsidP="009F3B54">
            <w:pPr>
              <w:pStyle w:val="OGUoM"/>
              <w:rPr>
                <w:color w:val="000000" w:themeColor="text1"/>
                <w:lang w:eastAsia="en-AU"/>
              </w:rPr>
            </w:pPr>
          </w:p>
        </w:tc>
        <w:tc>
          <w:tcPr>
            <w:tcW w:w="907" w:type="dxa"/>
            <w:tcBorders>
              <w:top w:val="single" w:sz="8" w:space="0" w:color="auto"/>
              <w:left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8"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Total output cost</w:t>
            </w:r>
          </w:p>
        </w:tc>
        <w:tc>
          <w:tcPr>
            <w:tcW w:w="907" w:type="dxa"/>
            <w:tcBorders>
              <w:top w:val="nil"/>
              <w:left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w:t>
            </w:r>
            <w:r>
              <w:rPr>
                <w:color w:val="000000" w:themeColor="text1"/>
                <w:lang w:eastAsia="en-AU"/>
              </w:rPr>
              <w:t> million</w:t>
            </w:r>
          </w:p>
        </w:tc>
        <w:tc>
          <w:tcPr>
            <w:tcW w:w="907" w:type="dxa"/>
            <w:tcBorders>
              <w:top w:val="nil"/>
              <w:left w:val="nil"/>
              <w:right w:val="nil"/>
            </w:tcBorders>
            <w:shd w:val="clear" w:color="auto" w:fill="D9D9D9"/>
            <w:hideMark/>
          </w:tcPr>
          <w:p w:rsidR="00B958B1" w:rsidRPr="009871B8" w:rsidRDefault="00B958B1" w:rsidP="009F3B54">
            <w:pPr>
              <w:pStyle w:val="OGTableofFigures"/>
              <w:rPr>
                <w:color w:val="000000" w:themeColor="text1"/>
                <w:lang w:eastAsia="en-AU"/>
              </w:rPr>
            </w:pPr>
            <w:r>
              <w:rPr>
                <w:color w:val="000000" w:themeColor="text1"/>
                <w:lang w:eastAsia="en-AU"/>
              </w:rPr>
              <w:t>2.3</w:t>
            </w:r>
          </w:p>
        </w:tc>
        <w:tc>
          <w:tcPr>
            <w:tcW w:w="993"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2.5</w:t>
            </w: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2.4</w:t>
            </w: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2.6</w:t>
            </w:r>
          </w:p>
        </w:tc>
      </w:tr>
      <w:tr w:rsidR="00B958B1" w:rsidRPr="006E7C6E" w:rsidTr="009F3B54">
        <w:trPr>
          <w:cantSplit/>
        </w:trPr>
        <w:tc>
          <w:tcPr>
            <w:tcW w:w="7776" w:type="dxa"/>
            <w:gridSpan w:val="6"/>
            <w:tcBorders>
              <w:left w:val="nil"/>
              <w:bottom w:val="single" w:sz="6" w:space="0" w:color="auto"/>
              <w:right w:val="nil"/>
            </w:tcBorders>
            <w:shd w:val="clear" w:color="auto" w:fill="auto"/>
            <w:vAlign w:val="center"/>
          </w:tcPr>
          <w:p w:rsidR="00B958B1" w:rsidRPr="00CA623B" w:rsidRDefault="00B958B1" w:rsidP="009F3B54">
            <w:pPr>
              <w:pStyle w:val="OGNotes"/>
            </w:pPr>
            <w:r w:rsidRPr="00CA623B">
              <w:t xml:space="preserve">The </w:t>
            </w:r>
            <w:r>
              <w:t>movement in output cost target between financial years reflects variations in carryover funding from 2011</w:t>
            </w:r>
            <w:r w:rsidR="009F0F49">
              <w:noBreakHyphen/>
            </w:r>
            <w:r>
              <w:t>12 into 2012</w:t>
            </w:r>
            <w:r w:rsidR="009F0F49">
              <w:noBreakHyphen/>
            </w:r>
            <w:r>
              <w:t>13</w:t>
            </w:r>
            <w:r w:rsidRPr="00CA623B">
              <w:t>.</w:t>
            </w:r>
          </w:p>
        </w:tc>
      </w:tr>
      <w:tr w:rsidR="00B958B1" w:rsidRPr="00A475B8" w:rsidTr="009F3B54">
        <w:trPr>
          <w:cantSplit/>
        </w:trPr>
        <w:tc>
          <w:tcPr>
            <w:tcW w:w="7776" w:type="dxa"/>
            <w:gridSpan w:val="6"/>
            <w:tcBorders>
              <w:top w:val="single" w:sz="6" w:space="0" w:color="auto"/>
              <w:left w:val="nil"/>
              <w:bottom w:val="nil"/>
              <w:right w:val="nil"/>
            </w:tcBorders>
            <w:shd w:val="clear" w:color="auto" w:fill="auto"/>
            <w:vAlign w:val="center"/>
            <w:hideMark/>
          </w:tcPr>
          <w:p w:rsidR="00B958B1" w:rsidRPr="00A475B8" w:rsidRDefault="00B958B1" w:rsidP="00175147">
            <w:pPr>
              <w:pStyle w:val="OGHeading2"/>
              <w:keepNext w:val="0"/>
              <w:rPr>
                <w:bCs/>
                <w:color w:val="000000" w:themeColor="text1"/>
                <w:lang w:eastAsia="en-AU"/>
              </w:rPr>
            </w:pPr>
            <w:r w:rsidRPr="00A475B8">
              <w:rPr>
                <w:color w:val="000000" w:themeColor="text1"/>
                <w:lang w:eastAsia="en-AU"/>
              </w:rPr>
              <w:t>State Electoral Roll and Elections</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175147">
            <w:pPr>
              <w:pStyle w:val="OGText"/>
              <w:keepNext w:val="0"/>
              <w:spacing w:before="60"/>
              <w:rPr>
                <w:lang w:eastAsia="en-AU"/>
              </w:rPr>
            </w:pPr>
            <w:r w:rsidRPr="00A475B8">
              <w:rPr>
                <w:lang w:eastAsia="en-AU"/>
              </w:rPr>
              <w:t>The Victorian Electoral Commission (VEC) maintains a high</w:t>
            </w:r>
            <w:r>
              <w:rPr>
                <w:lang w:eastAsia="en-AU"/>
              </w:rPr>
              <w:t>–</w:t>
            </w:r>
            <w:r w:rsidRPr="00A475B8">
              <w:rPr>
                <w:lang w:eastAsia="en-AU"/>
              </w:rPr>
              <w:t>quality electoral system that supports democracy in Victoria through the administration of an accurate and secure electoral roll, electoral services to ensure fair and equitable representation, the conduct of fair and impartial elections and encouraging greater participation in civic life through education and awareness activities and improving ease of access.</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Quantity</w:t>
            </w: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UoM"/>
              <w:rPr>
                <w:color w:val="000000" w:themeColor="text1"/>
                <w:lang w:eastAsia="en-AU"/>
              </w:rPr>
            </w:pP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State elections, municipal and statutory elections, by</w:t>
            </w:r>
            <w:r w:rsidR="009F0F49">
              <w:rPr>
                <w:color w:val="000000" w:themeColor="text1"/>
                <w:lang w:eastAsia="en-AU"/>
              </w:rPr>
              <w:noBreakHyphen/>
            </w:r>
            <w:r w:rsidRPr="00A475B8">
              <w:rPr>
                <w:color w:val="000000" w:themeColor="text1"/>
                <w:lang w:eastAsia="en-AU"/>
              </w:rPr>
              <w:t>elections, polls and electoral representation reviews</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24</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105</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110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19</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lower 2013</w:t>
            </w:r>
            <w:r w:rsidR="009F0F49">
              <w:noBreakHyphen/>
            </w:r>
            <w:r w:rsidRPr="00A475B8">
              <w:t xml:space="preserve">14 </w:t>
            </w:r>
            <w:r w:rsidRPr="00EB5F76">
              <w:t>Target reflects no scheduled</w:t>
            </w:r>
            <w:r w:rsidRPr="00A475B8">
              <w:t xml:space="preserve"> State or Council elections during the 2013</w:t>
            </w:r>
            <w:r w:rsidR="009F0F49">
              <w:noBreakHyphen/>
            </w:r>
            <w:r w:rsidRPr="00A475B8">
              <w:t>14 year.</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Quality</w:t>
            </w: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UoM"/>
              <w:rPr>
                <w:color w:val="000000" w:themeColor="text1"/>
                <w:lang w:eastAsia="en-AU"/>
              </w:rPr>
            </w:pP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Challenges to VEC conduct upheld in Court</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single" w:sz="8"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0</w:t>
            </w:r>
          </w:p>
        </w:tc>
        <w:tc>
          <w:tcPr>
            <w:tcW w:w="993"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0</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0</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0</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Head"/>
              <w:rPr>
                <w:lang w:eastAsia="en-AU"/>
              </w:rPr>
            </w:pPr>
            <w:r w:rsidRPr="0016616A">
              <w:rPr>
                <w:iCs/>
                <w:color w:val="000000" w:themeColor="text1"/>
                <w:lang w:eastAsia="en-AU"/>
              </w:rPr>
              <w:t>Timeliness</w:t>
            </w: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UoM"/>
              <w:rPr>
                <w:color w:val="000000" w:themeColor="text1"/>
                <w:lang w:eastAsia="en-AU"/>
              </w:rPr>
            </w:pP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Elector enrolment changes and new enrolments processed within set timeframes</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single" w:sz="8"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98</w:t>
            </w:r>
          </w:p>
        </w:tc>
        <w:tc>
          <w:tcPr>
            <w:tcW w:w="993"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99.5</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98</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99.5</w:t>
            </w:r>
          </w:p>
        </w:tc>
      </w:tr>
      <w:tr w:rsidR="00B958B1" w:rsidRPr="00A475B8" w:rsidTr="009F3B54">
        <w:trPr>
          <w:cantSplit/>
        </w:trPr>
        <w:tc>
          <w:tcPr>
            <w:tcW w:w="3155" w:type="dxa"/>
            <w:tcBorders>
              <w:top w:val="nil"/>
              <w:left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Cost</w:t>
            </w:r>
          </w:p>
        </w:tc>
        <w:tc>
          <w:tcPr>
            <w:tcW w:w="907" w:type="dxa"/>
            <w:tcBorders>
              <w:top w:val="nil"/>
              <w:left w:val="nil"/>
              <w:right w:val="nil"/>
            </w:tcBorders>
            <w:shd w:val="clear" w:color="auto" w:fill="auto"/>
            <w:vAlign w:val="center"/>
            <w:hideMark/>
          </w:tcPr>
          <w:p w:rsidR="00B958B1" w:rsidRPr="00A475B8" w:rsidRDefault="00B958B1" w:rsidP="009F3B54">
            <w:pPr>
              <w:pStyle w:val="OGUoM"/>
              <w:rPr>
                <w:color w:val="000000" w:themeColor="text1"/>
                <w:lang w:eastAsia="en-AU"/>
              </w:rPr>
            </w:pPr>
          </w:p>
        </w:tc>
        <w:tc>
          <w:tcPr>
            <w:tcW w:w="907" w:type="dxa"/>
            <w:tcBorders>
              <w:top w:val="nil"/>
              <w:left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Total output cost</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w:t>
            </w:r>
            <w:r>
              <w:rPr>
                <w:color w:val="000000" w:themeColor="text1"/>
                <w:lang w:eastAsia="en-AU"/>
              </w:rPr>
              <w:t> million</w:t>
            </w:r>
          </w:p>
        </w:tc>
        <w:tc>
          <w:tcPr>
            <w:tcW w:w="907" w:type="dxa"/>
            <w:tcBorders>
              <w:top w:val="nil"/>
              <w:left w:val="nil"/>
              <w:bottom w:val="nil"/>
              <w:right w:val="nil"/>
            </w:tcBorders>
            <w:shd w:val="clear" w:color="auto" w:fill="D9D9D9"/>
            <w:hideMark/>
          </w:tcPr>
          <w:p w:rsidR="00B958B1" w:rsidRPr="00511B24" w:rsidRDefault="00B958B1" w:rsidP="009F3B54">
            <w:pPr>
              <w:pStyle w:val="OGTableofFigures"/>
              <w:rPr>
                <w:color w:val="000000" w:themeColor="text1"/>
                <w:lang w:eastAsia="en-AU"/>
              </w:rPr>
            </w:pPr>
            <w:r>
              <w:rPr>
                <w:color w:val="000000" w:themeColor="text1"/>
                <w:lang w:eastAsia="en-AU"/>
              </w:rPr>
              <w:t>30.6</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46.9</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44.7</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23.7</w:t>
            </w:r>
          </w:p>
        </w:tc>
      </w:tr>
      <w:tr w:rsidR="00B958B1" w:rsidRPr="00867A7B" w:rsidTr="009F3B54">
        <w:trPr>
          <w:cantSplit/>
        </w:trPr>
        <w:tc>
          <w:tcPr>
            <w:tcW w:w="7776" w:type="dxa"/>
            <w:gridSpan w:val="6"/>
            <w:tcBorders>
              <w:top w:val="nil"/>
              <w:left w:val="nil"/>
              <w:bottom w:val="single" w:sz="12" w:space="0" w:color="auto"/>
              <w:right w:val="nil"/>
            </w:tcBorders>
            <w:shd w:val="clear" w:color="auto" w:fill="auto"/>
            <w:vAlign w:val="center"/>
          </w:tcPr>
          <w:p w:rsidR="00B958B1" w:rsidRPr="00867A7B" w:rsidRDefault="00B958B1" w:rsidP="009F3B54">
            <w:pPr>
              <w:pStyle w:val="OGNotes"/>
            </w:pPr>
            <w:r w:rsidRPr="00867A7B">
              <w:t xml:space="preserve">The </w:t>
            </w:r>
            <w:r>
              <w:t>T</w:t>
            </w:r>
            <w:r w:rsidRPr="00867A7B">
              <w:t>arget</w:t>
            </w:r>
            <w:r>
              <w:t xml:space="preserve"> is lower than the 2012</w:t>
            </w:r>
            <w:r w:rsidR="009F0F49">
              <w:noBreakHyphen/>
            </w:r>
            <w:r>
              <w:t>13 Target as the 2012</w:t>
            </w:r>
            <w:r w:rsidR="009F0F49">
              <w:noBreakHyphen/>
            </w:r>
            <w:r>
              <w:t xml:space="preserve">13 Target included  </w:t>
            </w:r>
            <w:r w:rsidRPr="00867A7B">
              <w:t>one off funding for 2012 Local Government elections</w:t>
            </w:r>
            <w:r>
              <w:t>.</w:t>
            </w:r>
          </w:p>
        </w:tc>
      </w:tr>
    </w:tbl>
    <w:bookmarkEnd w:id="125"/>
    <w:p w:rsidR="00B958B1" w:rsidRDefault="00B958B1" w:rsidP="009F3B54">
      <w:pPr>
        <w:pStyle w:val="Source"/>
      </w:pPr>
      <w:r>
        <w:t>Source: Department of Justice</w:t>
      </w:r>
    </w:p>
    <w:p w:rsidR="00B958B1" w:rsidRDefault="00B958B1" w:rsidP="009F3B54">
      <w:pPr>
        <w:pStyle w:val="Source"/>
      </w:pPr>
      <w:r>
        <w:fldChar w:fldCharType="begin"/>
      </w:r>
      <w:r>
        <w:instrText xml:space="preserve"> XE "</w:instrText>
      </w:r>
      <w:r w:rsidRPr="00A60635">
        <w:instrText>Department of Justice:Personal Identity, Individual Rights and Participation in Civic Life</w:instrText>
      </w:r>
      <w:r>
        <w:instrText xml:space="preserve">" \r "BP3DOJPersIdentIndivRightandPartic" </w:instrText>
      </w:r>
      <w:r>
        <w:fldChar w:fldCharType="end"/>
      </w:r>
    </w:p>
    <w:p w:rsidR="00B958B1" w:rsidRPr="00A475B8" w:rsidRDefault="00B958B1" w:rsidP="009F3B54">
      <w:pPr>
        <w:pStyle w:val="OGHeading1"/>
        <w:rPr>
          <w:lang w:eastAsia="en-AU"/>
        </w:rPr>
      </w:pPr>
      <w:r w:rsidRPr="00A475B8">
        <w:rPr>
          <w:rFonts w:ascii="Garamond" w:hAnsi="Garamond"/>
          <w:sz w:val="22"/>
          <w:szCs w:val="20"/>
        </w:rPr>
        <w:br w:type="page"/>
      </w:r>
      <w:bookmarkStart w:id="126" w:name="BP3DOJEnforcCorrectOrders"/>
      <w:r w:rsidRPr="00A475B8">
        <w:rPr>
          <w:lang w:eastAsia="en-AU"/>
        </w:rPr>
        <w:t>Enforcing and Managing Correctional Orders</w:t>
      </w:r>
    </w:p>
    <w:p w:rsidR="00B958B1" w:rsidRDefault="00B958B1" w:rsidP="009F3B54">
      <w:pPr>
        <w:pStyle w:val="OGText"/>
        <w:rPr>
          <w:lang w:eastAsia="en-AU"/>
        </w:rPr>
      </w:pPr>
      <w:r w:rsidRPr="00A475B8">
        <w:rPr>
          <w:lang w:eastAsia="en-AU"/>
        </w:rPr>
        <w:t>This output group relates to the management of the State’s correctional system.</w:t>
      </w:r>
      <w:r>
        <w:rPr>
          <w:lang w:eastAsia="en-AU"/>
        </w:rPr>
        <w:t xml:space="preserve"> It</w:t>
      </w:r>
      <w:r w:rsidRPr="00A475B8">
        <w:rPr>
          <w:lang w:eastAsia="en-AU"/>
        </w:rPr>
        <w:t xml:space="preserve"> contributes to the Department’s objective of promoting community safety through effective management of prisoners and offenders and provision of opportunities for rehabilitation and reparation.</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A475B8" w:rsidTr="009F3B54">
        <w:trPr>
          <w:cantSplit/>
          <w:tblHeader/>
        </w:trPr>
        <w:tc>
          <w:tcPr>
            <w:tcW w:w="3155" w:type="dxa"/>
            <w:tcBorders>
              <w:top w:val="single" w:sz="4" w:space="0" w:color="auto"/>
              <w:left w:val="single" w:sz="4" w:space="0" w:color="auto"/>
              <w:bottom w:val="single" w:sz="4" w:space="0" w:color="auto"/>
              <w:right w:val="nil"/>
            </w:tcBorders>
            <w:shd w:val="clear" w:color="auto" w:fill="000000"/>
            <w:vAlign w:val="bottom"/>
          </w:tcPr>
          <w:p w:rsidR="00B958B1" w:rsidRPr="008840F3" w:rsidRDefault="00B958B1" w:rsidP="009F3B54">
            <w:pPr>
              <w:pStyle w:val="OGTabColLeft"/>
              <w:rPr>
                <w:i/>
                <w:color w:val="FFFFFF" w:themeColor="background1"/>
              </w:rPr>
            </w:pPr>
            <w:r w:rsidRPr="008840F3">
              <w:rPr>
                <w:color w:val="FFFFFF" w:themeColor="background1"/>
              </w:rPr>
              <w:t>Major Outputs/Deliverables</w:t>
            </w:r>
            <w:r w:rsidRPr="008840F3">
              <w:rPr>
                <w:color w:val="FFFFFF" w:themeColor="background1"/>
              </w:rPr>
              <w:br/>
            </w:r>
            <w:r w:rsidRPr="008840F3">
              <w:rPr>
                <w:b w:val="0"/>
                <w:i/>
                <w:color w:val="FFFFFF" w:themeColor="background1"/>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Centred"/>
              <w:rPr>
                <w:color w:val="FFFFFF" w:themeColor="background1"/>
              </w:rPr>
            </w:pPr>
            <w:r w:rsidRPr="008840F3">
              <w:rPr>
                <w:color w:val="FFFFFF" w:themeColor="background1"/>
              </w:rPr>
              <w:t xml:space="preserve">Unit of </w:t>
            </w:r>
            <w:r w:rsidRPr="008840F3">
              <w:rPr>
                <w:color w:val="FFFFFF" w:themeColor="background1"/>
              </w:rPr>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2013</w:t>
            </w:r>
            <w:r w:rsidR="009F0F49">
              <w:rPr>
                <w:color w:val="FFFFFF" w:themeColor="background1"/>
              </w:rPr>
              <w:noBreakHyphen/>
            </w:r>
            <w:r w:rsidRPr="008840F3">
              <w:rPr>
                <w:color w:val="FFFFFF" w:themeColor="background1"/>
              </w:rPr>
              <w:t>14 Target</w:t>
            </w:r>
          </w:p>
        </w:tc>
        <w:tc>
          <w:tcPr>
            <w:tcW w:w="993"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2012</w:t>
            </w:r>
            <w:r w:rsidR="009F0F49">
              <w:rPr>
                <w:color w:val="FFFFFF" w:themeColor="background1"/>
              </w:rPr>
              <w:noBreakHyphen/>
            </w:r>
            <w:r w:rsidRPr="008840F3">
              <w:rPr>
                <w:color w:val="FFFFFF" w:themeColor="background1"/>
              </w:rPr>
              <w:t>13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2012</w:t>
            </w:r>
            <w:r w:rsidR="009F0F49">
              <w:rPr>
                <w:color w:val="FFFFFF" w:themeColor="background1"/>
              </w:rPr>
              <w:noBreakHyphen/>
            </w:r>
            <w:r w:rsidRPr="008840F3">
              <w:rPr>
                <w:color w:val="FFFFFF" w:themeColor="background1"/>
              </w:rPr>
              <w:t>13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2011</w:t>
            </w:r>
            <w:r w:rsidR="009F0F49">
              <w:rPr>
                <w:color w:val="FFFFFF" w:themeColor="background1"/>
              </w:rPr>
              <w:noBreakHyphen/>
            </w:r>
            <w:r w:rsidRPr="008840F3">
              <w:rPr>
                <w:color w:val="FFFFFF" w:themeColor="background1"/>
              </w:rPr>
              <w:t>12 Actual</w:t>
            </w:r>
          </w:p>
        </w:tc>
      </w:tr>
      <w:tr w:rsidR="00B958B1" w:rsidRPr="00A475B8" w:rsidTr="009F3B54">
        <w:trPr>
          <w:cantSplit/>
        </w:trPr>
        <w:tc>
          <w:tcPr>
            <w:tcW w:w="7776" w:type="dxa"/>
            <w:gridSpan w:val="6"/>
            <w:tcBorders>
              <w:top w:val="nil"/>
              <w:left w:val="nil"/>
              <w:bottom w:val="nil"/>
              <w:right w:val="nil"/>
            </w:tcBorders>
            <w:shd w:val="clear" w:color="auto" w:fill="auto"/>
            <w:vAlign w:val="center"/>
            <w:hideMark/>
          </w:tcPr>
          <w:p w:rsidR="00B958B1" w:rsidRPr="00A475B8" w:rsidRDefault="00B958B1" w:rsidP="009F3B54">
            <w:pPr>
              <w:pStyle w:val="OGHeading2"/>
              <w:rPr>
                <w:bCs/>
                <w:color w:val="000000" w:themeColor="text1"/>
                <w:lang w:eastAsia="en-AU"/>
              </w:rPr>
            </w:pPr>
            <w:r w:rsidRPr="00A475B8">
              <w:rPr>
                <w:color w:val="000000" w:themeColor="text1"/>
                <w:lang w:eastAsia="en-AU"/>
              </w:rPr>
              <w:t>Prisoner Supervision and Support</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 xml:space="preserve">This output relates to the safe, secure and humane containment of prisoners as well as the delivery of programs and effective case management to engage prisoners in positive behavioural change. </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Quantity</w:t>
            </w: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UoM"/>
              <w:rPr>
                <w:color w:val="000000" w:themeColor="text1"/>
                <w:lang w:eastAsia="en-AU"/>
              </w:rPr>
            </w:pP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Total annual daily average number of prisoners</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w:t>
            </w:r>
            <w:r>
              <w:rPr>
                <w:color w:val="000000" w:themeColor="text1"/>
                <w:lang w:eastAsia="en-AU"/>
              </w:rPr>
              <w:t> 150</w:t>
            </w:r>
            <w:r w:rsidRPr="00A475B8">
              <w:rPr>
                <w:color w:val="000000" w:themeColor="text1"/>
                <w:lang w:eastAsia="en-AU"/>
              </w:rPr>
              <w:t>–</w:t>
            </w:r>
            <w:r>
              <w:rPr>
                <w:color w:val="000000"/>
                <w:lang w:eastAsia="en-AU"/>
              </w:rPr>
              <w:t>5 </w:t>
            </w:r>
            <w:r w:rsidRPr="00146287">
              <w:rPr>
                <w:color w:val="000000"/>
                <w:lang w:eastAsia="en-AU"/>
              </w:rPr>
              <w:t>435</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w:t>
            </w:r>
            <w:r>
              <w:rPr>
                <w:color w:val="000000" w:themeColor="text1"/>
                <w:lang w:eastAsia="en-AU"/>
              </w:rPr>
              <w:t> </w:t>
            </w:r>
            <w:r w:rsidRPr="00A475B8">
              <w:rPr>
                <w:color w:val="000000" w:themeColor="text1"/>
                <w:lang w:eastAsia="en-AU"/>
              </w:rPr>
              <w:t>139</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w:t>
            </w:r>
            <w:r>
              <w:rPr>
                <w:color w:val="000000" w:themeColor="text1"/>
                <w:lang w:eastAsia="en-AU"/>
              </w:rPr>
              <w:t> 950</w:t>
            </w:r>
            <w:r w:rsidRPr="00A475B8">
              <w:rPr>
                <w:color w:val="000000" w:themeColor="text1"/>
                <w:lang w:eastAsia="en-AU"/>
              </w:rPr>
              <w:t>–</w:t>
            </w:r>
            <w:r w:rsidRPr="00146287">
              <w:rPr>
                <w:color w:val="000000"/>
                <w:lang w:eastAsia="en-AU"/>
              </w:rPr>
              <w:t>5 220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w:t>
            </w:r>
            <w:r>
              <w:rPr>
                <w:color w:val="000000" w:themeColor="text1"/>
                <w:lang w:eastAsia="en-AU"/>
              </w:rPr>
              <w:t> </w:t>
            </w:r>
            <w:r w:rsidRPr="00A475B8">
              <w:rPr>
                <w:color w:val="000000" w:themeColor="text1"/>
                <w:lang w:eastAsia="en-AU"/>
              </w:rPr>
              <w:t>831</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higher 2013</w:t>
            </w:r>
            <w:r w:rsidR="009F0F49">
              <w:noBreakHyphen/>
            </w:r>
            <w:r w:rsidRPr="00A475B8">
              <w:t>14 Target reflects funding for additional beds to meet increasing demand.</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Average daily prison utilisation rate of total prison capacity</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Pr>
                <w:color w:val="000000" w:themeColor="text1"/>
                <w:lang w:eastAsia="en-AU"/>
              </w:rPr>
              <w:t>90–</w:t>
            </w:r>
            <w:r w:rsidRPr="00A475B8">
              <w:rPr>
                <w:color w:val="000000" w:themeColor="text1"/>
                <w:lang w:eastAsia="en-AU"/>
              </w:rPr>
              <w:t>95</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94.8</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90–</w:t>
            </w:r>
            <w:r w:rsidRPr="00A475B8">
              <w:rPr>
                <w:color w:val="000000" w:themeColor="text1"/>
                <w:lang w:eastAsia="en-AU"/>
              </w:rPr>
              <w:t>95</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94.8</w:t>
            </w:r>
          </w:p>
        </w:tc>
      </w:tr>
      <w:tr w:rsidR="00B958B1" w:rsidRPr="00A475B8" w:rsidTr="009F3B54">
        <w:trPr>
          <w:cantSplit/>
        </w:trPr>
        <w:tc>
          <w:tcPr>
            <w:tcW w:w="3155" w:type="dxa"/>
            <w:tcBorders>
              <w:top w:val="single" w:sz="8" w:space="0" w:color="auto"/>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Quality</w:t>
            </w:r>
          </w:p>
        </w:tc>
        <w:tc>
          <w:tcPr>
            <w:tcW w:w="907" w:type="dxa"/>
            <w:tcBorders>
              <w:top w:val="single" w:sz="8" w:space="0" w:color="auto"/>
              <w:left w:val="nil"/>
              <w:bottom w:val="nil"/>
              <w:right w:val="nil"/>
            </w:tcBorders>
            <w:shd w:val="clear" w:color="auto" w:fill="auto"/>
            <w:vAlign w:val="center"/>
            <w:hideMark/>
          </w:tcPr>
          <w:p w:rsidR="00B958B1" w:rsidRPr="00A475B8" w:rsidRDefault="00B958B1" w:rsidP="009F3B54">
            <w:pPr>
              <w:pStyle w:val="OGUoM"/>
              <w:rPr>
                <w:color w:val="000000" w:themeColor="text1"/>
                <w:lang w:eastAsia="en-AU"/>
              </w:rPr>
            </w:pPr>
            <w:r w:rsidRPr="00A475B8">
              <w:rPr>
                <w:color w:val="000000" w:themeColor="text1"/>
                <w:lang w:eastAsia="en-AU"/>
              </w:rPr>
              <w:t> </w:t>
            </w:r>
          </w:p>
        </w:tc>
        <w:tc>
          <w:tcPr>
            <w:tcW w:w="907" w:type="dxa"/>
            <w:tcBorders>
              <w:top w:val="single" w:sz="8"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Proportion of benchmark measures in prison services agreement achieved</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single" w:sz="8"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93"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89.2</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87.1</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Rate of return to prison within two years</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&lt;</w:t>
            </w:r>
            <w:r>
              <w:rPr>
                <w:color w:val="000000" w:themeColor="text1"/>
                <w:lang w:eastAsia="en-AU"/>
              </w:rPr>
              <w:t> </w:t>
            </w:r>
            <w:r w:rsidRPr="00A475B8">
              <w:rPr>
                <w:color w:val="000000" w:themeColor="text1"/>
                <w:lang w:eastAsia="en-AU"/>
              </w:rPr>
              <w:t>39.3</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35.1</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&lt;</w:t>
            </w:r>
            <w:r>
              <w:rPr>
                <w:color w:val="000000" w:themeColor="text1"/>
                <w:lang w:eastAsia="en-AU"/>
              </w:rPr>
              <w:t> </w:t>
            </w:r>
            <w:r w:rsidRPr="00A475B8">
              <w:rPr>
                <w:color w:val="000000" w:themeColor="text1"/>
                <w:lang w:eastAsia="en-AU"/>
              </w:rPr>
              <w:t>39.7</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35.1</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2013</w:t>
            </w:r>
            <w:r w:rsidR="009F0F49">
              <w:noBreakHyphen/>
            </w:r>
            <w:r w:rsidRPr="00A475B8">
              <w:t xml:space="preserve">14 Target </w:t>
            </w:r>
            <w:r>
              <w:t>is</w:t>
            </w:r>
            <w:r w:rsidRPr="00A475B8">
              <w:t xml:space="preserve"> the ‘national average’ for this performance measure as reported in the latest Productivity Commission’s </w:t>
            </w:r>
            <w:r w:rsidRPr="002B797C">
              <w:rPr>
                <w:i w:val="0"/>
              </w:rPr>
              <w:t>Report on Government Services</w:t>
            </w:r>
            <w:r w:rsidRPr="00A475B8">
              <w:t>.</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Rate of prisoner participation in education</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&gt;</w:t>
            </w:r>
            <w:r>
              <w:rPr>
                <w:color w:val="000000" w:themeColor="text1"/>
                <w:lang w:eastAsia="en-AU"/>
              </w:rPr>
              <w:t> </w:t>
            </w:r>
            <w:r w:rsidRPr="00A475B8">
              <w:rPr>
                <w:color w:val="000000" w:themeColor="text1"/>
                <w:lang w:eastAsia="en-AU"/>
              </w:rPr>
              <w:t>33.8</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39</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&gt;</w:t>
            </w:r>
            <w:r>
              <w:rPr>
                <w:color w:val="000000" w:themeColor="text1"/>
                <w:lang w:eastAsia="en-AU"/>
              </w:rPr>
              <w:t> </w:t>
            </w:r>
            <w:r w:rsidRPr="00A475B8">
              <w:rPr>
                <w:color w:val="000000" w:themeColor="text1"/>
                <w:lang w:eastAsia="en-AU"/>
              </w:rPr>
              <w:t>35.0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37.2</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2013</w:t>
            </w:r>
            <w:r w:rsidR="009F0F49">
              <w:noBreakHyphen/>
            </w:r>
            <w:r w:rsidRPr="00A475B8">
              <w:t xml:space="preserve">14 Target </w:t>
            </w:r>
            <w:r>
              <w:t xml:space="preserve">is </w:t>
            </w:r>
            <w:r w:rsidRPr="00A475B8">
              <w:t xml:space="preserve"> the ‘national average’ for this performance measure as reported in the latest Productivity Commission’s </w:t>
            </w:r>
            <w:r w:rsidRPr="002B797C">
              <w:rPr>
                <w:i w:val="0"/>
              </w:rPr>
              <w:t>Report on Government Services</w:t>
            </w:r>
            <w:r w:rsidRPr="00A475B8">
              <w:t>.</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Proportion of eligible prisoners in employment</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&gt;</w:t>
            </w:r>
            <w:r>
              <w:rPr>
                <w:color w:val="000000" w:themeColor="text1"/>
                <w:lang w:eastAsia="en-AU"/>
              </w:rPr>
              <w:t> </w:t>
            </w:r>
            <w:r w:rsidRPr="00A475B8">
              <w:rPr>
                <w:color w:val="000000" w:themeColor="text1"/>
                <w:lang w:eastAsia="en-AU"/>
              </w:rPr>
              <w:t>72.3</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85.5</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&gt;</w:t>
            </w:r>
            <w:r>
              <w:rPr>
                <w:color w:val="000000" w:themeColor="text1"/>
                <w:lang w:eastAsia="en-AU"/>
              </w:rPr>
              <w:t> </w:t>
            </w:r>
            <w:r w:rsidRPr="00A475B8">
              <w:rPr>
                <w:color w:val="000000" w:themeColor="text1"/>
                <w:lang w:eastAsia="en-AU"/>
              </w:rPr>
              <w:t>80.5</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 xml:space="preserve">The </w:t>
            </w:r>
            <w:r>
              <w:t>2013</w:t>
            </w:r>
            <w:r w:rsidR="009F0F49">
              <w:noBreakHyphen/>
            </w:r>
            <w:r>
              <w:t>14 Target is</w:t>
            </w:r>
            <w:r w:rsidRPr="00A475B8">
              <w:t xml:space="preserve"> the ‘national average’ for this performance measure as reported in the latest Productivity Commission’s </w:t>
            </w:r>
            <w:r w:rsidRPr="002B797C">
              <w:rPr>
                <w:i w:val="0"/>
              </w:rPr>
              <w:t>Report on Government Services</w:t>
            </w:r>
            <w:r w:rsidRPr="00A475B8">
              <w:t>.</w:t>
            </w:r>
          </w:p>
        </w:tc>
      </w:tr>
      <w:tr w:rsidR="00B958B1" w:rsidRPr="00A475B8" w:rsidTr="009F3B54">
        <w:trPr>
          <w:cantSplit/>
        </w:trPr>
        <w:tc>
          <w:tcPr>
            <w:tcW w:w="3155" w:type="dxa"/>
            <w:tcBorders>
              <w:top w:val="nil"/>
              <w:left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Cost</w:t>
            </w:r>
          </w:p>
        </w:tc>
        <w:tc>
          <w:tcPr>
            <w:tcW w:w="907" w:type="dxa"/>
            <w:tcBorders>
              <w:top w:val="nil"/>
              <w:left w:val="nil"/>
              <w:right w:val="nil"/>
            </w:tcBorders>
            <w:shd w:val="clear" w:color="auto" w:fill="auto"/>
            <w:vAlign w:val="center"/>
            <w:hideMark/>
          </w:tcPr>
          <w:p w:rsidR="00B958B1" w:rsidRPr="00A475B8" w:rsidRDefault="00B958B1" w:rsidP="009F3B54">
            <w:pPr>
              <w:pStyle w:val="OGUoM"/>
              <w:rPr>
                <w:color w:val="000000" w:themeColor="text1"/>
                <w:lang w:eastAsia="en-AU"/>
              </w:rPr>
            </w:pPr>
          </w:p>
        </w:tc>
        <w:tc>
          <w:tcPr>
            <w:tcW w:w="907" w:type="dxa"/>
            <w:tcBorders>
              <w:top w:val="nil"/>
              <w:left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p>
        </w:tc>
      </w:tr>
      <w:tr w:rsidR="00B958B1" w:rsidRPr="006D30BA" w:rsidTr="009F3B54">
        <w:trPr>
          <w:cantSplit/>
        </w:trPr>
        <w:tc>
          <w:tcPr>
            <w:tcW w:w="3155" w:type="dxa"/>
            <w:tcBorders>
              <w:top w:val="nil"/>
              <w:left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Total output cost</w:t>
            </w:r>
          </w:p>
        </w:tc>
        <w:tc>
          <w:tcPr>
            <w:tcW w:w="907" w:type="dxa"/>
            <w:tcBorders>
              <w:top w:val="nil"/>
              <w:left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w:t>
            </w:r>
            <w:r>
              <w:rPr>
                <w:color w:val="000000" w:themeColor="text1"/>
                <w:lang w:eastAsia="en-AU"/>
              </w:rPr>
              <w:t> million</w:t>
            </w:r>
          </w:p>
        </w:tc>
        <w:tc>
          <w:tcPr>
            <w:tcW w:w="907" w:type="dxa"/>
            <w:tcBorders>
              <w:top w:val="nil"/>
              <w:left w:val="nil"/>
              <w:right w:val="nil"/>
            </w:tcBorders>
            <w:shd w:val="clear" w:color="auto" w:fill="D9D9D9"/>
            <w:hideMark/>
          </w:tcPr>
          <w:p w:rsidR="00B958B1" w:rsidRPr="00A475B8" w:rsidRDefault="00B958B1" w:rsidP="009F3B54">
            <w:pPr>
              <w:pStyle w:val="OGTableofFigures"/>
              <w:rPr>
                <w:color w:val="000000" w:themeColor="text1"/>
                <w:lang w:eastAsia="en-AU"/>
              </w:rPr>
            </w:pPr>
            <w:r>
              <w:rPr>
                <w:color w:val="000000" w:themeColor="text1"/>
                <w:lang w:eastAsia="en-AU"/>
              </w:rPr>
              <w:t>758.8</w:t>
            </w:r>
          </w:p>
        </w:tc>
        <w:tc>
          <w:tcPr>
            <w:tcW w:w="993"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706.6</w:t>
            </w: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691.1</w:t>
            </w:r>
          </w:p>
        </w:tc>
        <w:tc>
          <w:tcPr>
            <w:tcW w:w="907" w:type="dxa"/>
            <w:tcBorders>
              <w:top w:val="nil"/>
              <w:left w:val="nil"/>
              <w:right w:val="nil"/>
            </w:tcBorders>
            <w:shd w:val="clear" w:color="auto" w:fill="auto"/>
            <w:hideMark/>
          </w:tcPr>
          <w:p w:rsidR="00B958B1" w:rsidRPr="006D30BA" w:rsidRDefault="00B958B1" w:rsidP="009F3B54">
            <w:pPr>
              <w:pStyle w:val="OGTableofFigures"/>
              <w:rPr>
                <w:lang w:eastAsia="en-AU"/>
              </w:rPr>
            </w:pPr>
            <w:r w:rsidRPr="006D30BA">
              <w:rPr>
                <w:lang w:eastAsia="en-AU"/>
              </w:rPr>
              <w:t>594.1</w:t>
            </w:r>
          </w:p>
        </w:tc>
      </w:tr>
      <w:tr w:rsidR="00B958B1" w:rsidRPr="006D30BA" w:rsidTr="009F3B54">
        <w:trPr>
          <w:cantSplit/>
        </w:trPr>
        <w:tc>
          <w:tcPr>
            <w:tcW w:w="7776" w:type="dxa"/>
            <w:gridSpan w:val="6"/>
            <w:tcBorders>
              <w:left w:val="nil"/>
              <w:bottom w:val="single" w:sz="8" w:space="0" w:color="auto"/>
              <w:right w:val="nil"/>
            </w:tcBorders>
            <w:shd w:val="clear" w:color="auto" w:fill="auto"/>
            <w:vAlign w:val="center"/>
          </w:tcPr>
          <w:p w:rsidR="00B958B1" w:rsidRPr="006D30BA" w:rsidRDefault="00B958B1" w:rsidP="009F3B54">
            <w:pPr>
              <w:pStyle w:val="OGNotes"/>
            </w:pPr>
            <w:r w:rsidRPr="006D30BA">
              <w:t>The 2013</w:t>
            </w:r>
            <w:r w:rsidR="009F0F49">
              <w:noBreakHyphen/>
            </w:r>
            <w:r w:rsidRPr="006D30BA">
              <w:t xml:space="preserve">14 Target </w:t>
            </w:r>
            <w:r>
              <w:t>is higher than the 2012</w:t>
            </w:r>
            <w:r w:rsidR="009F0F49">
              <w:noBreakHyphen/>
            </w:r>
            <w:r>
              <w:t>13 Target due to incremental funding for prison expansion initiatives</w:t>
            </w:r>
            <w:r w:rsidRPr="006D30BA">
              <w:t>.</w:t>
            </w:r>
          </w:p>
        </w:tc>
      </w:tr>
      <w:tr w:rsidR="00B958B1" w:rsidRPr="00A475B8" w:rsidTr="009F3B54">
        <w:trPr>
          <w:cantSplit/>
        </w:trPr>
        <w:tc>
          <w:tcPr>
            <w:tcW w:w="7776" w:type="dxa"/>
            <w:gridSpan w:val="6"/>
            <w:tcBorders>
              <w:top w:val="nil"/>
              <w:left w:val="nil"/>
              <w:bottom w:val="nil"/>
              <w:right w:val="nil"/>
            </w:tcBorders>
            <w:shd w:val="clear" w:color="auto" w:fill="auto"/>
            <w:vAlign w:val="center"/>
            <w:hideMark/>
          </w:tcPr>
          <w:p w:rsidR="00B958B1" w:rsidRPr="00A475B8" w:rsidRDefault="00B958B1" w:rsidP="009F3B54">
            <w:pPr>
              <w:pStyle w:val="OGHeading2"/>
              <w:rPr>
                <w:bCs/>
                <w:color w:val="000000" w:themeColor="text1"/>
                <w:lang w:eastAsia="en-AU"/>
              </w:rPr>
            </w:pPr>
            <w:r w:rsidRPr="00A475B8">
              <w:rPr>
                <w:color w:val="000000" w:themeColor="text1"/>
                <w:lang w:eastAsia="en-AU"/>
              </w:rPr>
              <w:t>Community</w:t>
            </w:r>
            <w:r>
              <w:rPr>
                <w:color w:val="000000" w:themeColor="text1"/>
                <w:lang w:eastAsia="en-AU"/>
              </w:rPr>
              <w:t>–</w:t>
            </w:r>
            <w:r w:rsidRPr="00A475B8">
              <w:rPr>
                <w:color w:val="000000" w:themeColor="text1"/>
                <w:lang w:eastAsia="en-AU"/>
              </w:rPr>
              <w:t>Based Offender Supervision</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Text"/>
              <w:rPr>
                <w:lang w:eastAsia="en-AU"/>
              </w:rPr>
            </w:pPr>
            <w:r w:rsidRPr="00A475B8">
              <w:rPr>
                <w:lang w:eastAsia="en-AU"/>
              </w:rPr>
              <w:t>This output relates to the effective supervision of offenders in the</w:t>
            </w:r>
            <w:r>
              <w:rPr>
                <w:lang w:eastAsia="en-AU"/>
              </w:rPr>
              <w:t xml:space="preserve"> community, including ensuring </w:t>
            </w:r>
            <w:r w:rsidRPr="00A475B8">
              <w:rPr>
                <w:lang w:eastAsia="en-AU"/>
              </w:rPr>
              <w:t>compliance with orders of the court and Adult Parole Board, engagement in programs to reduce re</w:t>
            </w:r>
            <w:r w:rsidR="009F0F49">
              <w:rPr>
                <w:lang w:eastAsia="en-AU"/>
              </w:rPr>
              <w:noBreakHyphen/>
            </w:r>
            <w:r w:rsidRPr="00A475B8">
              <w:rPr>
                <w:lang w:eastAsia="en-AU"/>
              </w:rPr>
              <w:t>offending and reparation to the community.</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Quantity</w:t>
            </w: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UoM"/>
              <w:rPr>
                <w:color w:val="000000" w:themeColor="text1"/>
                <w:lang w:eastAsia="en-AU"/>
              </w:rPr>
            </w:pPr>
          </w:p>
        </w:tc>
        <w:tc>
          <w:tcPr>
            <w:tcW w:w="907" w:type="dxa"/>
            <w:tcBorders>
              <w:top w:val="nil"/>
              <w:left w:val="nil"/>
              <w:bottom w:val="nil"/>
              <w:right w:val="nil"/>
            </w:tcBorders>
            <w:shd w:val="clear" w:color="auto" w:fill="D9D9D9"/>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Average daily offenders under community</w:t>
            </w:r>
            <w:r w:rsidR="009F0F49">
              <w:rPr>
                <w:color w:val="000000" w:themeColor="text1"/>
                <w:lang w:eastAsia="en-AU"/>
              </w:rPr>
              <w:noBreakHyphen/>
            </w:r>
            <w:r w:rsidRPr="00A475B8">
              <w:rPr>
                <w:color w:val="000000" w:themeColor="text1"/>
                <w:lang w:eastAsia="en-AU"/>
              </w:rPr>
              <w:t>based supervision</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w:t>
            </w:r>
            <w:r>
              <w:rPr>
                <w:color w:val="000000" w:themeColor="text1"/>
                <w:lang w:eastAsia="en-AU"/>
              </w:rPr>
              <w:t> </w:t>
            </w:r>
            <w:r w:rsidRPr="00A475B8">
              <w:rPr>
                <w:color w:val="000000" w:themeColor="text1"/>
                <w:lang w:eastAsia="en-AU"/>
              </w:rPr>
              <w:t>798</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w:t>
            </w:r>
            <w:r>
              <w:rPr>
                <w:color w:val="000000" w:themeColor="text1"/>
                <w:lang w:eastAsia="en-AU"/>
              </w:rPr>
              <w:t> </w:t>
            </w:r>
            <w:r w:rsidRPr="00A475B8">
              <w:rPr>
                <w:color w:val="000000" w:themeColor="text1"/>
                <w:lang w:eastAsia="en-AU"/>
              </w:rPr>
              <w:t>232</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w:t>
            </w:r>
            <w:r>
              <w:rPr>
                <w:color w:val="000000" w:themeColor="text1"/>
                <w:lang w:eastAsia="en-AU"/>
              </w:rPr>
              <w:t> </w:t>
            </w:r>
            <w:r w:rsidRPr="00A475B8">
              <w:rPr>
                <w:color w:val="000000" w:themeColor="text1"/>
                <w:lang w:eastAsia="en-AU"/>
              </w:rPr>
              <w:t>798</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6</w:t>
            </w:r>
            <w:r>
              <w:rPr>
                <w:color w:val="000000" w:themeColor="text1"/>
                <w:lang w:eastAsia="en-AU"/>
              </w:rPr>
              <w:t> </w:t>
            </w:r>
            <w:r w:rsidRPr="00A475B8">
              <w:rPr>
                <w:color w:val="000000" w:themeColor="text1"/>
                <w:lang w:eastAsia="en-AU"/>
              </w:rPr>
              <w:t>821</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594367">
              <w:t>The 2012</w:t>
            </w:r>
            <w:r w:rsidR="009F0F49">
              <w:noBreakHyphen/>
            </w:r>
            <w:r w:rsidRPr="00594367">
              <w:t>13 Expected Outcome is</w:t>
            </w:r>
            <w:r>
              <w:t xml:space="preserve"> lower than the 2012</w:t>
            </w:r>
            <w:r w:rsidR="009F0F49">
              <w:noBreakHyphen/>
            </w:r>
            <w:r>
              <w:t xml:space="preserve">13 Target </w:t>
            </w:r>
            <w:r w:rsidRPr="00594367">
              <w:t>due to differences between the anticipated and actual increase in offenders under community</w:t>
            </w:r>
            <w:r>
              <w:t>–</w:t>
            </w:r>
            <w:r w:rsidRPr="00594367">
              <w:t>ba</w:t>
            </w:r>
            <w:r>
              <w:t xml:space="preserve">sed supervision as a result of </w:t>
            </w:r>
            <w:r w:rsidRPr="00594367">
              <w:t>sentencin</w:t>
            </w:r>
            <w:r>
              <w:t>g reforms</w:t>
            </w:r>
            <w:r w:rsidRPr="00594367">
              <w:t>.</w:t>
            </w:r>
          </w:p>
        </w:tc>
      </w:tr>
      <w:tr w:rsidR="00B958B1" w:rsidRPr="00A475B8" w:rsidTr="009F3B54">
        <w:trPr>
          <w:cantSplit/>
        </w:trPr>
        <w:tc>
          <w:tcPr>
            <w:tcW w:w="3155" w:type="dxa"/>
            <w:tcBorders>
              <w:top w:val="nil"/>
              <w:left w:val="nil"/>
              <w:bottom w:val="nil"/>
              <w:right w:val="nil"/>
            </w:tcBorders>
            <w:shd w:val="clear" w:color="auto" w:fill="auto"/>
            <w:hideMark/>
          </w:tcPr>
          <w:p w:rsidR="00B958B1" w:rsidRPr="00A475B8" w:rsidRDefault="00B958B1" w:rsidP="009F3B54">
            <w:pPr>
              <w:pStyle w:val="OGTabText"/>
              <w:rPr>
                <w:color w:val="000000" w:themeColor="text1"/>
                <w:lang w:eastAsia="en-AU"/>
              </w:rPr>
            </w:pPr>
            <w:r w:rsidRPr="00A475B8">
              <w:rPr>
                <w:color w:val="000000" w:themeColor="text1"/>
                <w:lang w:eastAsia="en-AU"/>
              </w:rPr>
              <w:t>Community</w:t>
            </w:r>
            <w:r>
              <w:rPr>
                <w:color w:val="000000" w:themeColor="text1"/>
                <w:lang w:eastAsia="en-AU"/>
              </w:rPr>
              <w:t>–</w:t>
            </w:r>
            <w:r w:rsidRPr="00A475B8">
              <w:rPr>
                <w:color w:val="000000" w:themeColor="text1"/>
                <w:lang w:eastAsia="en-AU"/>
              </w:rPr>
              <w:t>work hours performed</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r>
              <w:rPr>
                <w:color w:val="000000" w:themeColor="text1"/>
                <w:lang w:eastAsia="en-AU"/>
              </w:rPr>
              <w:t xml:space="preserve"> </w:t>
            </w:r>
            <w:r w:rsidRPr="00146287">
              <w:rPr>
                <w:color w:val="000000"/>
                <w:lang w:eastAsia="en-AU"/>
              </w:rPr>
              <w:t>(‘000)</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Pr>
                <w:color w:val="000000" w:themeColor="text1"/>
                <w:lang w:eastAsia="en-AU"/>
              </w:rPr>
              <w:t>650</w:t>
            </w:r>
            <w:r w:rsidRPr="00A475B8">
              <w:rPr>
                <w:color w:val="000000" w:themeColor="text1"/>
                <w:lang w:eastAsia="en-AU"/>
              </w:rPr>
              <w:t>–</w:t>
            </w:r>
            <w:r w:rsidRPr="00146287">
              <w:rPr>
                <w:color w:val="000000"/>
                <w:lang w:eastAsia="en-AU"/>
              </w:rPr>
              <w:t>750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610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850</w:t>
            </w:r>
            <w:r w:rsidRPr="00A475B8">
              <w:rPr>
                <w:color w:val="000000" w:themeColor="text1"/>
                <w:lang w:eastAsia="en-AU"/>
              </w:rPr>
              <w:t>–</w:t>
            </w:r>
            <w:r w:rsidRPr="00146287">
              <w:rPr>
                <w:color w:val="000000"/>
                <w:lang w:eastAsia="en-AU"/>
              </w:rPr>
              <w:t>950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713.1</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 xml:space="preserve">13 Expected Outcome </w:t>
            </w:r>
            <w:r>
              <w:t>is</w:t>
            </w:r>
            <w:r w:rsidRPr="00A475B8">
              <w:t xml:space="preserve"> lower than the 2012</w:t>
            </w:r>
            <w:r w:rsidR="009F0F49">
              <w:noBreakHyphen/>
            </w:r>
            <w:r w:rsidRPr="00A475B8">
              <w:t>13 Target as a result of</w:t>
            </w:r>
            <w:r>
              <w:t xml:space="preserve"> the number of</w:t>
            </w:r>
            <w:r w:rsidRPr="00A475B8">
              <w:t xml:space="preserve"> community</w:t>
            </w:r>
            <w:r>
              <w:t>–</w:t>
            </w:r>
            <w:r w:rsidRPr="00A475B8">
              <w:t>work hours being ordered by the court</w:t>
            </w:r>
            <w:r>
              <w:t>s</w:t>
            </w:r>
            <w:r w:rsidRPr="00A475B8">
              <w:t xml:space="preserve">, as well as a decline in the number of fine default orders commenced. </w:t>
            </w:r>
            <w:r w:rsidRPr="006B7E51">
              <w:t>The 2013</w:t>
            </w:r>
            <w:r w:rsidR="009F0F49">
              <w:noBreakHyphen/>
            </w:r>
            <w:r w:rsidRPr="006B7E51">
              <w:t xml:space="preserve">14 Target reflects </w:t>
            </w:r>
            <w:r>
              <w:t xml:space="preserve">the </w:t>
            </w:r>
            <w:r w:rsidRPr="006B7E51">
              <w:t>hours</w:t>
            </w:r>
            <w:r>
              <w:t xml:space="preserve"> expected to be</w:t>
            </w:r>
            <w:r w:rsidRPr="006B7E51">
              <w:t xml:space="preserve"> ordered by the courts and the </w:t>
            </w:r>
            <w:r>
              <w:t xml:space="preserve">expected </w:t>
            </w:r>
            <w:r w:rsidRPr="006B7E51">
              <w:t>volume of fine default orders.</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Quality</w:t>
            </w: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UoM"/>
              <w:rPr>
                <w:color w:val="000000" w:themeColor="text1"/>
                <w:lang w:eastAsia="en-AU"/>
              </w:rPr>
            </w:pPr>
          </w:p>
        </w:tc>
        <w:tc>
          <w:tcPr>
            <w:tcW w:w="907" w:type="dxa"/>
            <w:tcBorders>
              <w:top w:val="nil"/>
              <w:left w:val="nil"/>
              <w:bottom w:val="nil"/>
              <w:right w:val="nil"/>
            </w:tcBorders>
            <w:shd w:val="clear" w:color="auto" w:fill="D9D9D9"/>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Rate of return to corrective services within two years of discharge from a community corrections order</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&lt;</w:t>
            </w:r>
            <w:r>
              <w:rPr>
                <w:color w:val="000000" w:themeColor="text1"/>
                <w:lang w:eastAsia="en-AU"/>
              </w:rPr>
              <w:t> </w:t>
            </w:r>
            <w:r w:rsidRPr="00A475B8">
              <w:rPr>
                <w:color w:val="000000" w:themeColor="text1"/>
                <w:lang w:eastAsia="en-AU"/>
              </w:rPr>
              <w:t>24.1</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21.5</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&lt;</w:t>
            </w:r>
            <w:r>
              <w:rPr>
                <w:color w:val="000000" w:themeColor="text1"/>
                <w:lang w:eastAsia="en-AU"/>
              </w:rPr>
              <w:t> </w:t>
            </w:r>
            <w:r w:rsidRPr="00A475B8">
              <w:rPr>
                <w:color w:val="000000" w:themeColor="text1"/>
                <w:lang w:eastAsia="en-AU"/>
              </w:rPr>
              <w:t>25.1</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21.3</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2013</w:t>
            </w:r>
            <w:r w:rsidR="009F0F49">
              <w:noBreakHyphen/>
            </w:r>
            <w:r w:rsidRPr="00A475B8">
              <w:t xml:space="preserve">14 Target </w:t>
            </w:r>
            <w:r>
              <w:t>is</w:t>
            </w:r>
            <w:r w:rsidRPr="00A475B8">
              <w:t xml:space="preserve"> the ‘national average’ for this performance measure as reported in the latest Productivity Commission’s </w:t>
            </w:r>
            <w:r w:rsidRPr="002B797C">
              <w:rPr>
                <w:i w:val="0"/>
              </w:rPr>
              <w:t>Report on Government Services</w:t>
            </w:r>
            <w:r w:rsidRPr="00A475B8">
              <w:t>.</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Offenders with a supervised order that has been successfully completed</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Pr>
                <w:color w:val="000000" w:themeColor="text1"/>
                <w:lang w:eastAsia="en-AU"/>
              </w:rPr>
              <w:t>60</w:t>
            </w:r>
            <w:r w:rsidRPr="00A475B8">
              <w:rPr>
                <w:color w:val="000000" w:themeColor="text1"/>
                <w:lang w:eastAsia="en-AU"/>
              </w:rPr>
              <w:t>–</w:t>
            </w:r>
            <w:r w:rsidRPr="00146287">
              <w:rPr>
                <w:color w:val="000000"/>
                <w:lang w:eastAsia="en-AU"/>
              </w:rPr>
              <w:t>65</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64</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73</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67.8</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13 Expected Outcome and 2013</w:t>
            </w:r>
            <w:r w:rsidR="009F0F49">
              <w:noBreakHyphen/>
            </w:r>
            <w:r w:rsidRPr="00A475B8">
              <w:t>14 Target are lower than the 2012</w:t>
            </w:r>
            <w:r w:rsidR="009F0F49">
              <w:noBreakHyphen/>
            </w:r>
            <w:r w:rsidRPr="00A475B8">
              <w:t xml:space="preserve">13 Target due to the stricter enforcement of conditions associated with orders, </w:t>
            </w:r>
            <w:r>
              <w:t>including</w:t>
            </w:r>
            <w:r w:rsidRPr="00A475B8">
              <w:t xml:space="preserve"> as a result of legislative changes to parole and associated changes with community corrections case management.</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Offenders with an unsupervised order that has been successfully completed</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D52595" w:rsidRDefault="00B958B1" w:rsidP="009F3B54">
            <w:pPr>
              <w:pStyle w:val="OGTableofFigures"/>
              <w:rPr>
                <w:color w:val="000000" w:themeColor="text1"/>
                <w:lang w:eastAsia="en-AU"/>
              </w:rPr>
            </w:pPr>
            <w:r w:rsidRPr="00D52595">
              <w:rPr>
                <w:color w:val="000000" w:themeColor="text1"/>
                <w:lang w:eastAsia="en-AU"/>
              </w:rPr>
              <w:t>61</w:t>
            </w:r>
          </w:p>
        </w:tc>
        <w:tc>
          <w:tcPr>
            <w:tcW w:w="993" w:type="dxa"/>
            <w:tcBorders>
              <w:top w:val="nil"/>
              <w:left w:val="nil"/>
              <w:bottom w:val="nil"/>
              <w:right w:val="nil"/>
            </w:tcBorders>
            <w:shd w:val="clear" w:color="auto" w:fill="auto"/>
            <w:hideMark/>
          </w:tcPr>
          <w:p w:rsidR="00B958B1" w:rsidRPr="00D52595" w:rsidRDefault="00B958B1" w:rsidP="009F3B54">
            <w:pPr>
              <w:pStyle w:val="OGTableofFigures"/>
              <w:rPr>
                <w:color w:val="000000" w:themeColor="text1"/>
                <w:lang w:eastAsia="en-AU"/>
              </w:rPr>
            </w:pPr>
            <w:r w:rsidRPr="00D52595">
              <w:rPr>
                <w:color w:val="000000" w:themeColor="text1"/>
                <w:lang w:eastAsia="en-AU"/>
              </w:rPr>
              <w:t>60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61</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51.7</w:t>
            </w:r>
          </w:p>
        </w:tc>
      </w:tr>
      <w:tr w:rsidR="00B958B1" w:rsidRPr="00A475B8" w:rsidTr="009F3B54">
        <w:trPr>
          <w:cantSplit/>
        </w:trPr>
        <w:tc>
          <w:tcPr>
            <w:tcW w:w="3155" w:type="dxa"/>
            <w:tcBorders>
              <w:top w:val="single" w:sz="8" w:space="0" w:color="auto"/>
              <w:left w:val="nil"/>
              <w:bottom w:val="nil"/>
              <w:right w:val="nil"/>
            </w:tcBorders>
            <w:shd w:val="clear" w:color="auto" w:fill="auto"/>
            <w:vAlign w:val="center"/>
            <w:hideMark/>
          </w:tcPr>
          <w:p w:rsidR="00B958B1" w:rsidRPr="00A475B8" w:rsidRDefault="00B958B1" w:rsidP="009F3B54">
            <w:pPr>
              <w:pStyle w:val="OGTabHead"/>
              <w:rPr>
                <w:lang w:eastAsia="en-AU"/>
              </w:rPr>
            </w:pPr>
            <w:r w:rsidRPr="0016616A">
              <w:rPr>
                <w:iCs/>
                <w:color w:val="000000" w:themeColor="text1"/>
                <w:lang w:eastAsia="en-AU"/>
              </w:rPr>
              <w:t>Timeliness</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p>
        </w:tc>
        <w:tc>
          <w:tcPr>
            <w:tcW w:w="907" w:type="dxa"/>
            <w:tcBorders>
              <w:top w:val="single" w:sz="8"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Offenders with a treatment or personal development program condition who have been appropriately referred to a program within set timelines</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single" w:sz="8"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95</w:t>
            </w:r>
          </w:p>
        </w:tc>
        <w:tc>
          <w:tcPr>
            <w:tcW w:w="993"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92.1</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95</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93.4</w:t>
            </w:r>
          </w:p>
        </w:tc>
      </w:tr>
      <w:tr w:rsidR="00B958B1" w:rsidRPr="00A475B8" w:rsidTr="009F3B54">
        <w:trPr>
          <w:cantSplit/>
        </w:trPr>
        <w:tc>
          <w:tcPr>
            <w:tcW w:w="3155" w:type="dxa"/>
            <w:tcBorders>
              <w:top w:val="nil"/>
              <w:left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Cost</w:t>
            </w:r>
          </w:p>
        </w:tc>
        <w:tc>
          <w:tcPr>
            <w:tcW w:w="907" w:type="dxa"/>
            <w:tcBorders>
              <w:top w:val="nil"/>
              <w:left w:val="nil"/>
              <w:right w:val="nil"/>
            </w:tcBorders>
            <w:shd w:val="clear" w:color="auto" w:fill="auto"/>
            <w:hideMark/>
          </w:tcPr>
          <w:p w:rsidR="00B958B1" w:rsidRPr="00A475B8" w:rsidRDefault="00B958B1" w:rsidP="009F3B54">
            <w:pPr>
              <w:pStyle w:val="OGUoM"/>
              <w:rPr>
                <w:i/>
                <w:iCs/>
                <w:color w:val="000000" w:themeColor="text1"/>
                <w:lang w:eastAsia="en-AU"/>
              </w:rPr>
            </w:pPr>
          </w:p>
        </w:tc>
        <w:tc>
          <w:tcPr>
            <w:tcW w:w="907" w:type="dxa"/>
            <w:tcBorders>
              <w:top w:val="nil"/>
              <w:left w:val="nil"/>
              <w:right w:val="nil"/>
            </w:tcBorders>
            <w:shd w:val="clear" w:color="auto" w:fill="D9D9D9"/>
            <w:hideMark/>
          </w:tcPr>
          <w:p w:rsidR="00B958B1" w:rsidRPr="00A475B8" w:rsidRDefault="00B958B1" w:rsidP="009F3B54">
            <w:pPr>
              <w:pStyle w:val="OGTableofFigures"/>
              <w:rPr>
                <w:i/>
                <w:iCs/>
                <w:color w:val="000000" w:themeColor="text1"/>
                <w:lang w:eastAsia="en-AU"/>
              </w:rPr>
            </w:pPr>
            <w:r w:rsidRPr="00A475B8">
              <w:rPr>
                <w:i/>
                <w:iCs/>
                <w:color w:val="000000" w:themeColor="text1"/>
                <w:lang w:eastAsia="en-AU"/>
              </w:rPr>
              <w:t> </w:t>
            </w:r>
          </w:p>
        </w:tc>
        <w:tc>
          <w:tcPr>
            <w:tcW w:w="993" w:type="dxa"/>
            <w:tcBorders>
              <w:top w:val="nil"/>
              <w:left w:val="nil"/>
              <w:right w:val="nil"/>
            </w:tcBorders>
            <w:shd w:val="clear" w:color="auto" w:fill="auto"/>
            <w:hideMark/>
          </w:tcPr>
          <w:p w:rsidR="00B958B1" w:rsidRPr="00A475B8" w:rsidRDefault="00B958B1" w:rsidP="009F3B54">
            <w:pPr>
              <w:pStyle w:val="OGTableofFigures"/>
              <w:rPr>
                <w:i/>
                <w:iCs/>
                <w:color w:val="000000" w:themeColor="text1"/>
                <w:lang w:eastAsia="en-AU"/>
              </w:rPr>
            </w:pPr>
          </w:p>
        </w:tc>
        <w:tc>
          <w:tcPr>
            <w:tcW w:w="907" w:type="dxa"/>
            <w:tcBorders>
              <w:top w:val="nil"/>
              <w:left w:val="nil"/>
              <w:right w:val="nil"/>
            </w:tcBorders>
            <w:shd w:val="clear" w:color="auto" w:fill="auto"/>
            <w:hideMark/>
          </w:tcPr>
          <w:p w:rsidR="00B958B1" w:rsidRPr="00A475B8" w:rsidRDefault="00B958B1" w:rsidP="009F3B54">
            <w:pPr>
              <w:pStyle w:val="OGTableofFigures"/>
              <w:rPr>
                <w:i/>
                <w:iCs/>
                <w:color w:val="000000" w:themeColor="text1"/>
                <w:lang w:eastAsia="en-AU"/>
              </w:rPr>
            </w:pPr>
          </w:p>
        </w:tc>
        <w:tc>
          <w:tcPr>
            <w:tcW w:w="907" w:type="dxa"/>
            <w:tcBorders>
              <w:top w:val="nil"/>
              <w:left w:val="nil"/>
              <w:right w:val="nil"/>
            </w:tcBorders>
            <w:shd w:val="clear" w:color="auto" w:fill="auto"/>
            <w:hideMark/>
          </w:tcPr>
          <w:p w:rsidR="00B958B1" w:rsidRPr="00A475B8" w:rsidRDefault="00B958B1" w:rsidP="009F3B54">
            <w:pPr>
              <w:pStyle w:val="OGTableofFigures"/>
              <w:rPr>
                <w:i/>
                <w:iCs/>
                <w:color w:val="000000" w:themeColor="text1"/>
                <w:lang w:eastAsia="en-AU"/>
              </w:rPr>
            </w:pP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Total output cost</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w:t>
            </w:r>
            <w:r>
              <w:rPr>
                <w:color w:val="000000" w:themeColor="text1"/>
                <w:lang w:eastAsia="en-AU"/>
              </w:rPr>
              <w:t> million</w:t>
            </w:r>
          </w:p>
        </w:tc>
        <w:tc>
          <w:tcPr>
            <w:tcW w:w="907" w:type="dxa"/>
            <w:tcBorders>
              <w:top w:val="nil"/>
              <w:left w:val="nil"/>
              <w:bottom w:val="nil"/>
              <w:right w:val="nil"/>
            </w:tcBorders>
            <w:shd w:val="clear" w:color="auto" w:fill="D9D9D9"/>
            <w:hideMark/>
          </w:tcPr>
          <w:p w:rsidR="00B958B1" w:rsidRPr="00457FA8" w:rsidRDefault="00B958B1" w:rsidP="009F3B54">
            <w:pPr>
              <w:pStyle w:val="OGTableofFigures"/>
              <w:rPr>
                <w:color w:val="FF0000"/>
                <w:lang w:eastAsia="en-AU"/>
              </w:rPr>
            </w:pPr>
            <w:r>
              <w:rPr>
                <w:color w:val="000000" w:themeColor="text1"/>
                <w:lang w:eastAsia="en-AU"/>
              </w:rPr>
              <w:t>128.3</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119.8</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123.2</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95.5</w:t>
            </w:r>
          </w:p>
        </w:tc>
      </w:tr>
      <w:tr w:rsidR="00B958B1" w:rsidRPr="006F155B" w:rsidTr="009F3B54">
        <w:trPr>
          <w:cantSplit/>
        </w:trPr>
        <w:tc>
          <w:tcPr>
            <w:tcW w:w="7776" w:type="dxa"/>
            <w:gridSpan w:val="6"/>
            <w:tcBorders>
              <w:top w:val="nil"/>
              <w:left w:val="nil"/>
              <w:bottom w:val="single" w:sz="12" w:space="0" w:color="auto"/>
              <w:right w:val="nil"/>
            </w:tcBorders>
            <w:shd w:val="clear" w:color="auto" w:fill="auto"/>
            <w:vAlign w:val="center"/>
          </w:tcPr>
          <w:p w:rsidR="00B958B1" w:rsidRPr="006F155B" w:rsidRDefault="00B958B1" w:rsidP="009F3B54">
            <w:pPr>
              <w:pStyle w:val="OGNotes"/>
            </w:pPr>
            <w:r w:rsidRPr="006F155B">
              <w:t xml:space="preserve">The </w:t>
            </w:r>
            <w:r>
              <w:t xml:space="preserve"> </w:t>
            </w:r>
            <w:r w:rsidRPr="006F155B">
              <w:t>2013</w:t>
            </w:r>
            <w:r w:rsidR="009F0F49">
              <w:noBreakHyphen/>
            </w:r>
            <w:r w:rsidRPr="006F155B">
              <w:t>14 Target reflects provisional carryover from 2012</w:t>
            </w:r>
            <w:r w:rsidR="009F0F49">
              <w:noBreakHyphen/>
            </w:r>
            <w:r w:rsidRPr="006F155B">
              <w:t>13 for various community corrections initiatives.</w:t>
            </w:r>
          </w:p>
        </w:tc>
      </w:tr>
    </w:tbl>
    <w:bookmarkEnd w:id="126"/>
    <w:p w:rsidR="00B958B1" w:rsidRDefault="00B958B1" w:rsidP="009F3B54">
      <w:pPr>
        <w:pStyle w:val="Source"/>
      </w:pPr>
      <w:r>
        <w:t>Source: Department of Justice</w:t>
      </w:r>
    </w:p>
    <w:p w:rsidR="00B958B1" w:rsidRDefault="00B958B1" w:rsidP="009F3B54">
      <w:pPr>
        <w:pStyle w:val="Source"/>
      </w:pPr>
      <w:r>
        <w:fldChar w:fldCharType="begin"/>
      </w:r>
      <w:r>
        <w:instrText xml:space="preserve"> XE "</w:instrText>
      </w:r>
      <w:r w:rsidRPr="000C6605">
        <w:instrText>Department of Justice:Enforcing and Managing Correctional Orders</w:instrText>
      </w:r>
      <w:r>
        <w:instrText xml:space="preserve">" \r "BP3DOJEnforcCorrectOrders" </w:instrText>
      </w:r>
      <w:r>
        <w:fldChar w:fldCharType="end"/>
      </w:r>
    </w:p>
    <w:p w:rsidR="00B958B1" w:rsidRPr="00A475B8" w:rsidRDefault="00B958B1" w:rsidP="009F3B54">
      <w:pPr>
        <w:pStyle w:val="OGHeading1"/>
        <w:rPr>
          <w:lang w:eastAsia="en-AU"/>
        </w:rPr>
      </w:pPr>
      <w:r w:rsidRPr="00A475B8">
        <w:rPr>
          <w:color w:val="000000" w:themeColor="text1"/>
        </w:rPr>
        <w:br w:type="page"/>
      </w:r>
      <w:bookmarkStart w:id="127" w:name="BP3DOJSuppStateFireEmergency"/>
      <w:r w:rsidRPr="00A475B8">
        <w:rPr>
          <w:lang w:eastAsia="en-AU"/>
        </w:rPr>
        <w:t>Supporting the State’s Fire and Emergency Services</w:t>
      </w:r>
    </w:p>
    <w:p w:rsidR="00B958B1" w:rsidRPr="00A475B8" w:rsidRDefault="00B958B1" w:rsidP="009F3B54">
      <w:pPr>
        <w:pStyle w:val="OGText"/>
        <w:rPr>
          <w:lang w:eastAsia="en-AU"/>
        </w:rPr>
      </w:pPr>
      <w:r w:rsidRPr="00A475B8">
        <w:rPr>
          <w:lang w:eastAsia="en-AU"/>
        </w:rPr>
        <w:t>This output group supports the delivery of a coordinated, all</w:t>
      </w:r>
      <w:r w:rsidR="009F0F49">
        <w:rPr>
          <w:lang w:eastAsia="en-AU"/>
        </w:rPr>
        <w:noBreakHyphen/>
      </w:r>
      <w:r w:rsidRPr="00A475B8">
        <w:rPr>
          <w:lang w:eastAsia="en-AU"/>
        </w:rPr>
        <w:t>hazards approach to emergency management, focusing on risk mitigation and active partnership with the Victorian community.</w:t>
      </w:r>
    </w:p>
    <w:p w:rsidR="00B958B1" w:rsidRPr="00A475B8" w:rsidRDefault="00B958B1" w:rsidP="009F3B54">
      <w:pPr>
        <w:pStyle w:val="OGText"/>
        <w:rPr>
          <w:lang w:eastAsia="en-AU"/>
        </w:rPr>
      </w:pPr>
      <w:r w:rsidRPr="00A475B8">
        <w:rPr>
          <w:lang w:eastAsia="en-AU"/>
        </w:rPr>
        <w:t>This output group contributes to the Department’s objective of minimising injury and property loss through a coordinated and integrated emergency response.</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A475B8" w:rsidTr="009F3B54">
        <w:trPr>
          <w:cantSplit/>
          <w:tblHeader/>
        </w:trPr>
        <w:tc>
          <w:tcPr>
            <w:tcW w:w="3155" w:type="dxa"/>
            <w:tcBorders>
              <w:top w:val="single" w:sz="4" w:space="0" w:color="auto"/>
              <w:left w:val="single" w:sz="4" w:space="0" w:color="auto"/>
              <w:bottom w:val="single" w:sz="4" w:space="0" w:color="auto"/>
              <w:right w:val="nil"/>
            </w:tcBorders>
            <w:shd w:val="clear" w:color="auto" w:fill="000000"/>
            <w:vAlign w:val="bottom"/>
          </w:tcPr>
          <w:p w:rsidR="00B958B1" w:rsidRPr="008840F3" w:rsidRDefault="00B958B1" w:rsidP="009F3B54">
            <w:pPr>
              <w:pStyle w:val="OGTabColLeft"/>
              <w:rPr>
                <w:i/>
                <w:color w:val="FFFFFF" w:themeColor="background1"/>
              </w:rPr>
            </w:pPr>
            <w:r w:rsidRPr="008840F3">
              <w:rPr>
                <w:color w:val="FFFFFF" w:themeColor="background1"/>
              </w:rPr>
              <w:t>Major Outputs/Deliverables</w:t>
            </w:r>
            <w:r w:rsidRPr="008840F3">
              <w:rPr>
                <w:color w:val="FFFFFF" w:themeColor="background1"/>
              </w:rPr>
              <w:br/>
            </w:r>
            <w:r w:rsidRPr="008840F3">
              <w:rPr>
                <w:b w:val="0"/>
                <w:i/>
                <w:color w:val="FFFFFF" w:themeColor="background1"/>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Centred"/>
              <w:rPr>
                <w:color w:val="FFFFFF" w:themeColor="background1"/>
              </w:rPr>
            </w:pPr>
            <w:r w:rsidRPr="008840F3">
              <w:rPr>
                <w:color w:val="FFFFFF" w:themeColor="background1"/>
              </w:rPr>
              <w:t xml:space="preserve">Unit of </w:t>
            </w:r>
            <w:r w:rsidRPr="008840F3">
              <w:rPr>
                <w:color w:val="FFFFFF" w:themeColor="background1"/>
              </w:rPr>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2013</w:t>
            </w:r>
            <w:r w:rsidR="009F0F49">
              <w:rPr>
                <w:color w:val="FFFFFF" w:themeColor="background1"/>
              </w:rPr>
              <w:noBreakHyphen/>
            </w:r>
            <w:r w:rsidRPr="008840F3">
              <w:rPr>
                <w:color w:val="FFFFFF" w:themeColor="background1"/>
              </w:rPr>
              <w:t>14 Target</w:t>
            </w:r>
          </w:p>
        </w:tc>
        <w:tc>
          <w:tcPr>
            <w:tcW w:w="993"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2012</w:t>
            </w:r>
            <w:r w:rsidR="009F0F49">
              <w:rPr>
                <w:color w:val="FFFFFF" w:themeColor="background1"/>
              </w:rPr>
              <w:noBreakHyphen/>
            </w:r>
            <w:r w:rsidRPr="008840F3">
              <w:rPr>
                <w:color w:val="FFFFFF" w:themeColor="background1"/>
              </w:rPr>
              <w:t>13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2012</w:t>
            </w:r>
            <w:r w:rsidR="009F0F49">
              <w:rPr>
                <w:color w:val="FFFFFF" w:themeColor="background1"/>
              </w:rPr>
              <w:noBreakHyphen/>
            </w:r>
            <w:r w:rsidRPr="008840F3">
              <w:rPr>
                <w:color w:val="FFFFFF" w:themeColor="background1"/>
              </w:rPr>
              <w:t>13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2011</w:t>
            </w:r>
            <w:r w:rsidR="009F0F49">
              <w:rPr>
                <w:color w:val="FFFFFF" w:themeColor="background1"/>
              </w:rPr>
              <w:noBreakHyphen/>
            </w:r>
            <w:r w:rsidRPr="008840F3">
              <w:rPr>
                <w:color w:val="FFFFFF" w:themeColor="background1"/>
              </w:rPr>
              <w:t>12 Actual</w:t>
            </w:r>
          </w:p>
        </w:tc>
      </w:tr>
      <w:tr w:rsidR="00B958B1" w:rsidRPr="00A475B8" w:rsidTr="009F3B54">
        <w:trPr>
          <w:cantSplit/>
        </w:trPr>
        <w:tc>
          <w:tcPr>
            <w:tcW w:w="7776" w:type="dxa"/>
            <w:gridSpan w:val="6"/>
            <w:tcBorders>
              <w:top w:val="nil"/>
              <w:left w:val="nil"/>
              <w:right w:val="nil"/>
            </w:tcBorders>
            <w:shd w:val="clear" w:color="auto" w:fill="auto"/>
            <w:vAlign w:val="center"/>
            <w:hideMark/>
          </w:tcPr>
          <w:p w:rsidR="00B958B1" w:rsidRPr="00A475B8" w:rsidRDefault="00B958B1" w:rsidP="009F3B54">
            <w:pPr>
              <w:pStyle w:val="OGHeading2"/>
              <w:rPr>
                <w:bCs/>
                <w:color w:val="000000" w:themeColor="text1"/>
                <w:lang w:eastAsia="en-AU"/>
              </w:rPr>
            </w:pPr>
            <w:r w:rsidRPr="00A475B8">
              <w:rPr>
                <w:color w:val="000000" w:themeColor="text1"/>
                <w:lang w:eastAsia="en-AU"/>
              </w:rPr>
              <w:t>Emergency Management Capability</w:t>
            </w:r>
          </w:p>
        </w:tc>
      </w:tr>
      <w:tr w:rsidR="00B958B1" w:rsidRPr="00A475B8" w:rsidTr="009F3B54">
        <w:trPr>
          <w:cantSplit/>
          <w:trHeight w:val="1785"/>
        </w:trPr>
        <w:tc>
          <w:tcPr>
            <w:tcW w:w="7776" w:type="dxa"/>
            <w:gridSpan w:val="6"/>
            <w:tcBorders>
              <w:top w:val="nil"/>
              <w:left w:val="nil"/>
              <w:bottom w:val="single" w:sz="6" w:space="0" w:color="auto"/>
              <w:right w:val="nil"/>
            </w:tcBorders>
            <w:shd w:val="clear" w:color="auto" w:fill="auto"/>
            <w:vAlign w:val="center"/>
            <w:hideMark/>
          </w:tcPr>
          <w:p w:rsidR="00B958B1" w:rsidRPr="00A475B8" w:rsidRDefault="00B958B1" w:rsidP="009F3B54">
            <w:pPr>
              <w:pStyle w:val="OGText"/>
              <w:rPr>
                <w:lang w:eastAsia="en-AU"/>
              </w:rPr>
            </w:pPr>
            <w:r w:rsidRPr="00A475B8">
              <w:rPr>
                <w:lang w:eastAsia="en-AU"/>
              </w:rPr>
              <w:t>This output provides for the management of emergencies by developing and adopting emergency prevention and mitigation strategies, providing fire suppression and</w:t>
            </w:r>
            <w:r>
              <w:rPr>
                <w:lang w:eastAsia="en-AU"/>
              </w:rPr>
              <w:t xml:space="preserve"> road–crash rescue services and</w:t>
            </w:r>
            <w:r w:rsidRPr="00A475B8">
              <w:rPr>
                <w:lang w:eastAsia="en-AU"/>
              </w:rPr>
              <w:t xml:space="preserve"> supporting local government and communities in disaster mitigation and recovery. </w:t>
            </w:r>
          </w:p>
          <w:p w:rsidR="00B958B1" w:rsidRPr="00A475B8" w:rsidRDefault="00B958B1" w:rsidP="009F3B54">
            <w:pPr>
              <w:pStyle w:val="OGText"/>
              <w:rPr>
                <w:lang w:eastAsia="en-AU"/>
              </w:rPr>
            </w:pPr>
            <w:r w:rsidRPr="00A475B8">
              <w:rPr>
                <w:lang w:eastAsia="en-AU"/>
              </w:rPr>
              <w:t>Key components of this output reduce the level of risk to the community of emergencies occurring and the adverse effects of emergency events, such as death and injury rates.</w:t>
            </w:r>
          </w:p>
        </w:tc>
      </w:tr>
      <w:tr w:rsidR="00B958B1" w:rsidRPr="00A475B8" w:rsidTr="009F3B54">
        <w:trPr>
          <w:cantSplit/>
        </w:trPr>
        <w:tc>
          <w:tcPr>
            <w:tcW w:w="3155"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Quantity</w:t>
            </w:r>
          </w:p>
        </w:tc>
        <w:tc>
          <w:tcPr>
            <w:tcW w:w="907" w:type="dxa"/>
            <w:tcBorders>
              <w:top w:val="single" w:sz="6" w:space="0" w:color="auto"/>
              <w:left w:val="nil"/>
              <w:bottom w:val="nil"/>
              <w:right w:val="nil"/>
            </w:tcBorders>
            <w:shd w:val="clear" w:color="auto" w:fill="auto"/>
            <w:vAlign w:val="center"/>
            <w:hideMark/>
          </w:tcPr>
          <w:p w:rsidR="00B958B1" w:rsidRPr="00A475B8" w:rsidRDefault="00B958B1" w:rsidP="009F3B54">
            <w:pPr>
              <w:pStyle w:val="OGUoM"/>
              <w:rPr>
                <w:color w:val="000000" w:themeColor="text1"/>
                <w:lang w:eastAsia="en-AU"/>
              </w:rPr>
            </w:pPr>
          </w:p>
        </w:tc>
        <w:tc>
          <w:tcPr>
            <w:tcW w:w="907" w:type="dxa"/>
            <w:tcBorders>
              <w:top w:val="single" w:sz="6" w:space="0" w:color="auto"/>
              <w:left w:val="nil"/>
              <w:bottom w:val="nil"/>
              <w:right w:val="nil"/>
            </w:tcBorders>
            <w:shd w:val="clear" w:color="auto" w:fill="D9D9D9"/>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c>
          <w:tcPr>
            <w:tcW w:w="907"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c>
          <w:tcPr>
            <w:tcW w:w="907"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Permanent operational staff</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w:t>
            </w:r>
            <w:r>
              <w:rPr>
                <w:color w:val="000000" w:themeColor="text1"/>
                <w:lang w:eastAsia="en-AU"/>
              </w:rPr>
              <w:t> </w:t>
            </w:r>
            <w:r w:rsidRPr="00A475B8">
              <w:rPr>
                <w:color w:val="000000" w:themeColor="text1"/>
                <w:lang w:eastAsia="en-AU"/>
              </w:rPr>
              <w:t>732</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w:t>
            </w:r>
            <w:r>
              <w:rPr>
                <w:color w:val="000000" w:themeColor="text1"/>
                <w:lang w:eastAsia="en-AU"/>
              </w:rPr>
              <w:t> </w:t>
            </w:r>
            <w:r w:rsidRPr="00A475B8">
              <w:rPr>
                <w:color w:val="000000" w:themeColor="text1"/>
                <w:lang w:eastAsia="en-AU"/>
              </w:rPr>
              <w:t>732</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w:t>
            </w:r>
            <w:r>
              <w:rPr>
                <w:color w:val="000000" w:themeColor="text1"/>
                <w:lang w:eastAsia="en-AU"/>
              </w:rPr>
              <w:t> </w:t>
            </w:r>
            <w:r w:rsidRPr="00A475B8">
              <w:rPr>
                <w:color w:val="000000" w:themeColor="text1"/>
                <w:lang w:eastAsia="en-AU"/>
              </w:rPr>
              <w:t>683</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rPr>
                <w:szCs w:val="15"/>
              </w:rPr>
            </w:pPr>
            <w:r w:rsidRPr="00A475B8">
              <w:t>The 2013</w:t>
            </w:r>
            <w:r w:rsidR="009F0F49">
              <w:noBreakHyphen/>
            </w:r>
            <w:r w:rsidRPr="00A475B8">
              <w:t>14 Target is higher than the 2012</w:t>
            </w:r>
            <w:r w:rsidR="009F0F49">
              <w:noBreakHyphen/>
            </w:r>
            <w:r w:rsidRPr="00A475B8">
              <w:t>13 Target as it reflects anticipated operational requirements.</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Permanent support staff</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w:t>
            </w:r>
            <w:r>
              <w:rPr>
                <w:color w:val="000000" w:themeColor="text1"/>
                <w:lang w:eastAsia="en-AU"/>
              </w:rPr>
              <w:t> </w:t>
            </w:r>
            <w:r w:rsidRPr="00A475B8">
              <w:rPr>
                <w:color w:val="000000" w:themeColor="text1"/>
                <w:lang w:eastAsia="en-AU"/>
              </w:rPr>
              <w:t>430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w:t>
            </w:r>
            <w:r>
              <w:rPr>
                <w:color w:val="000000" w:themeColor="text1"/>
                <w:lang w:eastAsia="en-AU"/>
              </w:rPr>
              <w:t> </w:t>
            </w:r>
            <w:r w:rsidRPr="00A475B8">
              <w:rPr>
                <w:color w:val="000000" w:themeColor="text1"/>
                <w:lang w:eastAsia="en-AU"/>
              </w:rPr>
              <w:t>535</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w:t>
            </w:r>
            <w:r>
              <w:rPr>
                <w:color w:val="000000" w:themeColor="text1"/>
                <w:lang w:eastAsia="en-AU"/>
              </w:rPr>
              <w:t> </w:t>
            </w:r>
            <w:r w:rsidRPr="00A475B8">
              <w:rPr>
                <w:color w:val="000000" w:themeColor="text1"/>
                <w:lang w:eastAsia="en-AU"/>
              </w:rPr>
              <w:t>634</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t>T</w:t>
            </w:r>
            <w:r w:rsidRPr="00A475B8">
              <w:t>he 2012</w:t>
            </w:r>
            <w:r w:rsidR="009F0F49">
              <w:noBreakHyphen/>
            </w:r>
            <w:r w:rsidRPr="00A475B8">
              <w:t>13 Expected Outcome is lower than the 2012</w:t>
            </w:r>
            <w:r w:rsidR="009F0F49">
              <w:noBreakHyphen/>
            </w:r>
            <w:r w:rsidRPr="00A475B8">
              <w:t>13 Target</w:t>
            </w:r>
            <w:r>
              <w:t xml:space="preserve"> as the 2012</w:t>
            </w:r>
            <w:r w:rsidR="009F0F49">
              <w:noBreakHyphen/>
            </w:r>
            <w:r>
              <w:t>13 Target was overstated by 80 in error</w:t>
            </w:r>
            <w:r w:rsidRPr="00A475B8">
              <w:t>. The 2013</w:t>
            </w:r>
            <w:r w:rsidR="009F0F49">
              <w:noBreakHyphen/>
            </w:r>
            <w:r w:rsidRPr="00A475B8">
              <w:t>14 Target</w:t>
            </w:r>
            <w:r>
              <w:t xml:space="preserve"> is lower than the 2012</w:t>
            </w:r>
            <w:r w:rsidR="009F0F49">
              <w:noBreakHyphen/>
            </w:r>
            <w:r>
              <w:t>13 Target as it</w:t>
            </w:r>
            <w:r w:rsidRPr="00A475B8">
              <w:t xml:space="preserve"> reflects anticipated operational requirements.</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Volunteers – Operational</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43</w:t>
            </w:r>
            <w:r>
              <w:rPr>
                <w:color w:val="000000" w:themeColor="text1"/>
                <w:lang w:eastAsia="en-AU"/>
              </w:rPr>
              <w:t> 000–</w:t>
            </w:r>
            <w:r w:rsidRPr="00A475B8">
              <w:rPr>
                <w:color w:val="000000" w:themeColor="text1"/>
                <w:lang w:eastAsia="en-AU"/>
              </w:rPr>
              <w:t>44</w:t>
            </w:r>
            <w:r>
              <w:rPr>
                <w:color w:val="000000" w:themeColor="text1"/>
                <w:lang w:eastAsia="en-AU"/>
              </w:rPr>
              <w:t> </w:t>
            </w:r>
            <w:r w:rsidRPr="00A475B8">
              <w:rPr>
                <w:color w:val="000000" w:themeColor="text1"/>
                <w:lang w:eastAsia="en-AU"/>
              </w:rPr>
              <w:t>000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42</w:t>
            </w:r>
            <w:r>
              <w:rPr>
                <w:color w:val="000000" w:themeColor="text1"/>
                <w:lang w:eastAsia="en-AU"/>
              </w:rPr>
              <w:t> </w:t>
            </w:r>
            <w:r w:rsidRPr="00A475B8">
              <w:rPr>
                <w:color w:val="000000" w:themeColor="text1"/>
                <w:lang w:eastAsia="en-AU"/>
              </w:rPr>
              <w:t>270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43</w:t>
            </w:r>
            <w:r>
              <w:rPr>
                <w:color w:val="000000" w:themeColor="text1"/>
                <w:lang w:eastAsia="en-AU"/>
              </w:rPr>
              <w:t> </w:t>
            </w:r>
            <w:r w:rsidRPr="00A475B8">
              <w:rPr>
                <w:color w:val="000000" w:themeColor="text1"/>
                <w:lang w:eastAsia="en-AU"/>
              </w:rPr>
              <w:t>377</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2013</w:t>
            </w:r>
            <w:r w:rsidR="009F0F49">
              <w:noBreakHyphen/>
            </w:r>
            <w:r w:rsidRPr="00A475B8">
              <w:t>14 Target range reflects the fluctuating demand drivers inherent in emergency services activities. The range is based on historic performance for this measure.</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Volunteers – Support</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18</w:t>
            </w:r>
            <w:r>
              <w:rPr>
                <w:color w:val="000000" w:themeColor="text1"/>
                <w:lang w:eastAsia="en-AU"/>
              </w:rPr>
              <w:t> </w:t>
            </w:r>
            <w:r w:rsidRPr="00A475B8">
              <w:rPr>
                <w:color w:val="000000" w:themeColor="text1"/>
                <w:lang w:eastAsia="en-AU"/>
              </w:rPr>
              <w:t>000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18</w:t>
            </w:r>
            <w:r>
              <w:rPr>
                <w:color w:val="000000" w:themeColor="text1"/>
                <w:lang w:eastAsia="en-AU"/>
              </w:rPr>
              <w:t> </w:t>
            </w:r>
            <w:r w:rsidRPr="00A475B8">
              <w:rPr>
                <w:color w:val="000000" w:themeColor="text1"/>
                <w:lang w:eastAsia="en-AU"/>
              </w:rPr>
              <w:t>000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18</w:t>
            </w:r>
            <w:r>
              <w:rPr>
                <w:color w:val="000000" w:themeColor="text1"/>
                <w:lang w:eastAsia="en-AU"/>
              </w:rPr>
              <w:t> </w:t>
            </w:r>
            <w:r w:rsidRPr="00A475B8">
              <w:rPr>
                <w:color w:val="000000" w:themeColor="text1"/>
                <w:lang w:eastAsia="en-AU"/>
              </w:rPr>
              <w:t>000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3155" w:type="dxa"/>
            <w:tcBorders>
              <w:top w:val="single" w:sz="8" w:space="0" w:color="auto"/>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Quality</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p>
        </w:tc>
        <w:tc>
          <w:tcPr>
            <w:tcW w:w="907" w:type="dxa"/>
            <w:tcBorders>
              <w:top w:val="single" w:sz="8"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Road</w:t>
            </w:r>
            <w:r>
              <w:rPr>
                <w:color w:val="000000" w:themeColor="text1"/>
                <w:lang w:eastAsia="en-AU"/>
              </w:rPr>
              <w:t>–</w:t>
            </w:r>
            <w:r w:rsidRPr="00A475B8">
              <w:rPr>
                <w:color w:val="000000" w:themeColor="text1"/>
                <w:lang w:eastAsia="en-AU"/>
              </w:rPr>
              <w:t>crash rescue accredited brigades/units</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130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130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131</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lower 2013</w:t>
            </w:r>
            <w:r w:rsidR="009F0F49">
              <w:noBreakHyphen/>
            </w:r>
            <w:r w:rsidRPr="00A475B8">
              <w:t>14 Target reflects the standardisation of counting rules and definitions of ‘accredited brigades/units’ across emergency services organisations in Victoria.</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Level 3 Incident Controller trained staff and volunteers</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129</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145</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129</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6"/>
            <w:tcBorders>
              <w:top w:val="nil"/>
              <w:left w:val="nil"/>
              <w:bottom w:val="single" w:sz="6"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13 Expected Outcome is higher than the 2012</w:t>
            </w:r>
            <w:r w:rsidR="009F0F49">
              <w:noBreakHyphen/>
            </w:r>
            <w:r w:rsidRPr="00A475B8">
              <w:t>13 Target as the training and accreditation program for level 3 Incident Controllers is progressing ahead of schedule.</w:t>
            </w:r>
          </w:p>
        </w:tc>
      </w:tr>
      <w:tr w:rsidR="00B958B1" w:rsidRPr="00A475B8" w:rsidTr="009F3B54">
        <w:trPr>
          <w:cantSplit/>
        </w:trPr>
        <w:tc>
          <w:tcPr>
            <w:tcW w:w="3155" w:type="dxa"/>
            <w:tcBorders>
              <w:top w:val="single" w:sz="6" w:space="0" w:color="auto"/>
              <w:left w:val="nil"/>
              <w:bottom w:val="single" w:sz="6"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Structural fire confined to room of origin</w:t>
            </w:r>
          </w:p>
        </w:tc>
        <w:tc>
          <w:tcPr>
            <w:tcW w:w="907" w:type="dxa"/>
            <w:tcBorders>
              <w:top w:val="single" w:sz="6" w:space="0" w:color="auto"/>
              <w:left w:val="nil"/>
              <w:bottom w:val="single" w:sz="6"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80</w:t>
            </w:r>
          </w:p>
        </w:tc>
        <w:tc>
          <w:tcPr>
            <w:tcW w:w="993" w:type="dxa"/>
            <w:tcBorders>
              <w:top w:val="single" w:sz="6"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81.5</w:t>
            </w:r>
          </w:p>
        </w:tc>
        <w:tc>
          <w:tcPr>
            <w:tcW w:w="907" w:type="dxa"/>
            <w:tcBorders>
              <w:top w:val="single" w:sz="6"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80</w:t>
            </w:r>
          </w:p>
        </w:tc>
        <w:tc>
          <w:tcPr>
            <w:tcW w:w="907" w:type="dxa"/>
            <w:tcBorders>
              <w:top w:val="single" w:sz="6" w:space="0" w:color="auto"/>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3155" w:type="dxa"/>
            <w:tcBorders>
              <w:top w:val="single" w:sz="6" w:space="0" w:color="auto"/>
              <w:left w:val="nil"/>
              <w:right w:val="nil"/>
            </w:tcBorders>
            <w:shd w:val="clear" w:color="auto" w:fill="auto"/>
            <w:vAlign w:val="center"/>
            <w:hideMark/>
          </w:tcPr>
          <w:p w:rsidR="00B958B1" w:rsidRPr="00A475B8" w:rsidRDefault="00B958B1" w:rsidP="00175147">
            <w:pPr>
              <w:pStyle w:val="OGTabHead"/>
              <w:pageBreakBefore/>
              <w:rPr>
                <w:lang w:eastAsia="en-AU"/>
              </w:rPr>
            </w:pPr>
            <w:r w:rsidRPr="0016616A">
              <w:rPr>
                <w:iCs/>
                <w:color w:val="000000" w:themeColor="text1"/>
                <w:lang w:eastAsia="en-AU"/>
              </w:rPr>
              <w:t>Timeliness</w:t>
            </w:r>
          </w:p>
        </w:tc>
        <w:tc>
          <w:tcPr>
            <w:tcW w:w="907" w:type="dxa"/>
            <w:tcBorders>
              <w:top w:val="single" w:sz="6" w:space="0" w:color="auto"/>
              <w:left w:val="nil"/>
              <w:right w:val="nil"/>
            </w:tcBorders>
            <w:shd w:val="clear" w:color="auto" w:fill="auto"/>
            <w:vAlign w:val="center"/>
            <w:hideMark/>
          </w:tcPr>
          <w:p w:rsidR="00B958B1" w:rsidRPr="00A475B8" w:rsidRDefault="00B958B1" w:rsidP="009F3B54">
            <w:pPr>
              <w:pStyle w:val="OGUoM"/>
              <w:rPr>
                <w:color w:val="000000" w:themeColor="text1"/>
                <w:lang w:eastAsia="en-AU"/>
              </w:rPr>
            </w:pPr>
            <w:r w:rsidRPr="00A475B8">
              <w:rPr>
                <w:color w:val="000000" w:themeColor="text1"/>
                <w:lang w:eastAsia="en-AU"/>
              </w:rPr>
              <w:t> </w:t>
            </w:r>
          </w:p>
        </w:tc>
        <w:tc>
          <w:tcPr>
            <w:tcW w:w="907" w:type="dxa"/>
            <w:tcBorders>
              <w:top w:val="single" w:sz="6" w:space="0" w:color="auto"/>
              <w:left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6"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6"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6"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single" w:sz="6"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 xml:space="preserve">Emergency response times meeting benchmarks – structural fires </w:t>
            </w:r>
          </w:p>
        </w:tc>
        <w:tc>
          <w:tcPr>
            <w:tcW w:w="907" w:type="dxa"/>
            <w:tcBorders>
              <w:top w:val="nil"/>
              <w:left w:val="nil"/>
              <w:bottom w:val="single" w:sz="6"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single" w:sz="6"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93" w:type="dxa"/>
            <w:tcBorders>
              <w:top w:val="nil"/>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89</w:t>
            </w:r>
          </w:p>
        </w:tc>
        <w:tc>
          <w:tcPr>
            <w:tcW w:w="907" w:type="dxa"/>
            <w:tcBorders>
              <w:top w:val="nil"/>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07" w:type="dxa"/>
            <w:tcBorders>
              <w:top w:val="nil"/>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3155"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Emergency response times meeting benchmarks – road accident rescue response</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single" w:sz="6"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93"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92</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3155" w:type="dxa"/>
            <w:tcBorders>
              <w:top w:val="single" w:sz="8" w:space="0" w:color="auto"/>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Emergency response times meeting benchmarks – emergency medical response</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single" w:sz="8"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93"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07" w:type="dxa"/>
            <w:tcBorders>
              <w:top w:val="single" w:sz="8"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3155" w:type="dxa"/>
            <w:tcBorders>
              <w:top w:val="single" w:sz="8" w:space="0" w:color="auto"/>
              <w:left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Cost</w:t>
            </w:r>
          </w:p>
        </w:tc>
        <w:tc>
          <w:tcPr>
            <w:tcW w:w="907" w:type="dxa"/>
            <w:tcBorders>
              <w:top w:val="single" w:sz="8" w:space="0" w:color="auto"/>
              <w:left w:val="nil"/>
              <w:right w:val="nil"/>
            </w:tcBorders>
            <w:shd w:val="clear" w:color="auto" w:fill="auto"/>
            <w:hideMark/>
          </w:tcPr>
          <w:p w:rsidR="00B958B1" w:rsidRPr="00A475B8" w:rsidRDefault="00B958B1" w:rsidP="009F3B54">
            <w:pPr>
              <w:pStyle w:val="OGUoM"/>
              <w:rPr>
                <w:color w:val="000000" w:themeColor="text1"/>
                <w:lang w:eastAsia="en-AU"/>
              </w:rPr>
            </w:pPr>
          </w:p>
        </w:tc>
        <w:tc>
          <w:tcPr>
            <w:tcW w:w="907" w:type="dxa"/>
            <w:tcBorders>
              <w:top w:val="single" w:sz="8" w:space="0" w:color="auto"/>
              <w:left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8"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Total output cost</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w:t>
            </w:r>
            <w:r>
              <w:rPr>
                <w:color w:val="000000" w:themeColor="text1"/>
                <w:lang w:eastAsia="en-AU"/>
              </w:rPr>
              <w:t> million</w:t>
            </w:r>
          </w:p>
        </w:tc>
        <w:tc>
          <w:tcPr>
            <w:tcW w:w="907" w:type="dxa"/>
            <w:tcBorders>
              <w:top w:val="nil"/>
              <w:left w:val="nil"/>
              <w:bottom w:val="nil"/>
              <w:right w:val="nil"/>
            </w:tcBorders>
            <w:shd w:val="clear" w:color="auto" w:fill="D9D9D9"/>
            <w:hideMark/>
          </w:tcPr>
          <w:p w:rsidR="00B958B1" w:rsidRPr="0083143C" w:rsidRDefault="00B958B1" w:rsidP="009F3B54">
            <w:pPr>
              <w:pStyle w:val="OGTableofFigures"/>
              <w:rPr>
                <w:color w:val="000000" w:themeColor="text1"/>
                <w:lang w:eastAsia="en-AU"/>
              </w:rPr>
            </w:pPr>
            <w:r>
              <w:rPr>
                <w:color w:val="000000" w:themeColor="text1"/>
                <w:lang w:eastAsia="en-AU"/>
              </w:rPr>
              <w:t>871.3</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265.2</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296.8</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236</w:t>
            </w:r>
            <w:r>
              <w:rPr>
                <w:color w:val="000000" w:themeColor="text1"/>
                <w:lang w:eastAsia="en-AU"/>
              </w:rPr>
              <w:t>.0</w:t>
            </w:r>
          </w:p>
        </w:tc>
      </w:tr>
      <w:tr w:rsidR="00B958B1" w:rsidRPr="0083143C" w:rsidTr="009F3B54">
        <w:trPr>
          <w:cantSplit/>
        </w:trPr>
        <w:tc>
          <w:tcPr>
            <w:tcW w:w="7776" w:type="dxa"/>
            <w:gridSpan w:val="6"/>
            <w:tcBorders>
              <w:top w:val="nil"/>
              <w:left w:val="nil"/>
              <w:bottom w:val="single" w:sz="12" w:space="0" w:color="auto"/>
              <w:right w:val="nil"/>
            </w:tcBorders>
            <w:shd w:val="clear" w:color="auto" w:fill="auto"/>
            <w:vAlign w:val="center"/>
          </w:tcPr>
          <w:p w:rsidR="00B958B1" w:rsidRDefault="00B958B1" w:rsidP="009F3B54">
            <w:pPr>
              <w:pStyle w:val="OGNotes"/>
            </w:pPr>
            <w:r w:rsidRPr="0083143C">
              <w:t xml:space="preserve">The </w:t>
            </w:r>
            <w:r>
              <w:t>2013</w:t>
            </w:r>
            <w:r w:rsidR="009F0F49">
              <w:noBreakHyphen/>
            </w:r>
            <w:r>
              <w:t>14</w:t>
            </w:r>
            <w:r w:rsidRPr="0083143C">
              <w:t xml:space="preserve"> </w:t>
            </w:r>
            <w:r>
              <w:t xml:space="preserve">Target reflects funding for the Fire Services Property Levy which was previously funded directly to fire agencies from the insurance industry. </w:t>
            </w:r>
          </w:p>
          <w:p w:rsidR="00B958B1" w:rsidRPr="0083143C" w:rsidRDefault="00B958B1" w:rsidP="009F3B54">
            <w:pPr>
              <w:pStyle w:val="OGNotes"/>
            </w:pPr>
            <w:r>
              <w:t>The 2012</w:t>
            </w:r>
            <w:r w:rsidR="009F0F49">
              <w:noBreakHyphen/>
            </w:r>
            <w:r>
              <w:t xml:space="preserve">13 </w:t>
            </w:r>
            <w:r w:rsidRPr="0083143C">
              <w:t xml:space="preserve">Expected Outcome </w:t>
            </w:r>
            <w:r>
              <w:t xml:space="preserve">reflects change in accounting treatment </w:t>
            </w:r>
            <w:r w:rsidRPr="0083143C">
              <w:t>and consequent transfer of funding for the Location Based Telephone Solution to asset funding.</w:t>
            </w:r>
            <w:r>
              <w:t xml:space="preserve"> </w:t>
            </w:r>
          </w:p>
        </w:tc>
      </w:tr>
    </w:tbl>
    <w:bookmarkEnd w:id="127"/>
    <w:p w:rsidR="00B958B1" w:rsidRDefault="00B958B1" w:rsidP="009F3B54">
      <w:pPr>
        <w:pStyle w:val="Source"/>
      </w:pPr>
      <w:r>
        <w:t>Source: Department of Justice</w:t>
      </w:r>
    </w:p>
    <w:p w:rsidR="00B958B1" w:rsidRDefault="00B958B1" w:rsidP="009F3B54">
      <w:pPr>
        <w:pStyle w:val="Source"/>
      </w:pPr>
      <w:r>
        <w:fldChar w:fldCharType="begin"/>
      </w:r>
      <w:r>
        <w:instrText xml:space="preserve"> XE "</w:instrText>
      </w:r>
      <w:r w:rsidRPr="00DA739C">
        <w:instrText>Department of Justice:Supporting the State’s Fire and Emergency Services</w:instrText>
      </w:r>
      <w:r>
        <w:instrText xml:space="preserve">" \r "BP3DOJSuppStateFireEmergency" </w:instrText>
      </w:r>
      <w:r>
        <w:fldChar w:fldCharType="end"/>
      </w:r>
    </w:p>
    <w:p w:rsidR="00B958B1" w:rsidRPr="00A475B8" w:rsidRDefault="00B958B1" w:rsidP="009F3B54">
      <w:pPr>
        <w:pStyle w:val="OGHeading1"/>
        <w:rPr>
          <w:lang w:eastAsia="en-AU"/>
        </w:rPr>
      </w:pPr>
      <w:r w:rsidRPr="00A475B8">
        <w:br w:type="page"/>
      </w:r>
      <w:bookmarkStart w:id="128" w:name="BP3DOJIndustRegandSupport"/>
      <w:r w:rsidRPr="00A475B8">
        <w:t>Industry Regulation and Support</w:t>
      </w:r>
    </w:p>
    <w:p w:rsidR="00B958B1" w:rsidRPr="00A475B8" w:rsidRDefault="00B958B1" w:rsidP="009F3B54">
      <w:pPr>
        <w:pStyle w:val="OGText"/>
        <w:rPr>
          <w:lang w:eastAsia="en-AU"/>
        </w:rPr>
      </w:pPr>
      <w:r w:rsidRPr="00A475B8">
        <w:rPr>
          <w:lang w:eastAsia="en-AU"/>
        </w:rPr>
        <w:t>This output group delivers activities relating to regulating the gambling and liquor industries, harm minimisation</w:t>
      </w:r>
      <w:r>
        <w:rPr>
          <w:lang w:eastAsia="en-AU"/>
        </w:rPr>
        <w:t>,</w:t>
      </w:r>
      <w:r w:rsidRPr="00A475B8">
        <w:rPr>
          <w:lang w:eastAsia="en-AU"/>
        </w:rPr>
        <w:t xml:space="preserve"> and support and development of the racing industry. This output group also promotes the empowerment of consumers and businesses to know their </w:t>
      </w:r>
      <w:r w:rsidRPr="006B7E51">
        <w:rPr>
          <w:lang w:eastAsia="en-AU"/>
        </w:rPr>
        <w:t>rights and responsibilities to promote a well</w:t>
      </w:r>
      <w:r w:rsidR="009F0F49">
        <w:rPr>
          <w:lang w:eastAsia="en-AU"/>
        </w:rPr>
        <w:noBreakHyphen/>
      </w:r>
      <w:r w:rsidRPr="006B7E51">
        <w:rPr>
          <w:lang w:eastAsia="en-AU"/>
        </w:rPr>
        <w:t>functioning market economy</w:t>
      </w:r>
      <w:r>
        <w:rPr>
          <w:lang w:eastAsia="en-AU"/>
        </w:rPr>
        <w:t xml:space="preserve">. </w:t>
      </w:r>
      <w:r w:rsidRPr="006B7E51">
        <w:rPr>
          <w:lang w:eastAsia="en-AU"/>
        </w:rPr>
        <w:t>There is a specific</w:t>
      </w:r>
      <w:r w:rsidRPr="00A475B8">
        <w:rPr>
          <w:lang w:eastAsia="en-AU"/>
        </w:rPr>
        <w:t xml:space="preserve"> focus on the needs of vulnerable and disadvantaged consumers.</w:t>
      </w:r>
    </w:p>
    <w:p w:rsidR="00B958B1" w:rsidRPr="00A475B8" w:rsidRDefault="00B958B1" w:rsidP="009F3B54">
      <w:pPr>
        <w:pStyle w:val="OGText"/>
        <w:rPr>
          <w:lang w:eastAsia="en-AU"/>
        </w:rPr>
      </w:pPr>
      <w:r w:rsidRPr="00A475B8">
        <w:rPr>
          <w:lang w:eastAsia="en-AU"/>
        </w:rPr>
        <w:t xml:space="preserve">This output group contributes to the Department’s objective </w:t>
      </w:r>
      <w:r>
        <w:rPr>
          <w:lang w:eastAsia="en-AU"/>
        </w:rPr>
        <w:t>to</w:t>
      </w:r>
      <w:r w:rsidRPr="00A475B8">
        <w:rPr>
          <w:lang w:eastAsia="en-AU"/>
        </w:rPr>
        <w:t xml:space="preserve"> promot</w:t>
      </w:r>
      <w:r>
        <w:rPr>
          <w:lang w:eastAsia="en-AU"/>
        </w:rPr>
        <w:t>e</w:t>
      </w:r>
      <w:r w:rsidRPr="00A475B8">
        <w:rPr>
          <w:lang w:eastAsia="en-AU"/>
        </w:rPr>
        <w:t xml:space="preserve"> responsible industry behaviour and an informed community through effective regulation, education, monitoring and enforcement.</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A475B8" w:rsidTr="009F3B54">
        <w:trPr>
          <w:cantSplit/>
          <w:tblHeader/>
        </w:trPr>
        <w:tc>
          <w:tcPr>
            <w:tcW w:w="3155" w:type="dxa"/>
            <w:tcBorders>
              <w:top w:val="single" w:sz="4" w:space="0" w:color="auto"/>
              <w:left w:val="single" w:sz="4" w:space="0" w:color="auto"/>
              <w:bottom w:val="single" w:sz="4" w:space="0" w:color="auto"/>
              <w:right w:val="nil"/>
            </w:tcBorders>
            <w:shd w:val="clear" w:color="auto" w:fill="000000"/>
            <w:vAlign w:val="bottom"/>
          </w:tcPr>
          <w:p w:rsidR="00B958B1" w:rsidRPr="008840F3" w:rsidRDefault="00B958B1" w:rsidP="009F3B54">
            <w:pPr>
              <w:pStyle w:val="OGTabColLeft"/>
              <w:rPr>
                <w:i/>
                <w:color w:val="FFFFFF" w:themeColor="background1"/>
              </w:rPr>
            </w:pPr>
            <w:r w:rsidRPr="008840F3">
              <w:rPr>
                <w:color w:val="FFFFFF" w:themeColor="background1"/>
              </w:rPr>
              <w:t>Major Outputs/Deliverables</w:t>
            </w:r>
            <w:r w:rsidRPr="008840F3">
              <w:rPr>
                <w:color w:val="FFFFFF" w:themeColor="background1"/>
              </w:rPr>
              <w:br/>
            </w:r>
            <w:r w:rsidRPr="008840F3">
              <w:rPr>
                <w:b w:val="0"/>
                <w:i/>
                <w:color w:val="FFFFFF" w:themeColor="background1"/>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Centred"/>
              <w:rPr>
                <w:color w:val="FFFFFF" w:themeColor="background1"/>
              </w:rPr>
            </w:pPr>
            <w:r w:rsidRPr="008840F3">
              <w:rPr>
                <w:color w:val="FFFFFF" w:themeColor="background1"/>
              </w:rPr>
              <w:t xml:space="preserve">Unit of </w:t>
            </w:r>
            <w:r w:rsidRPr="008840F3">
              <w:rPr>
                <w:color w:val="FFFFFF" w:themeColor="background1"/>
              </w:rPr>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2013</w:t>
            </w:r>
            <w:r w:rsidR="009F0F49">
              <w:rPr>
                <w:color w:val="FFFFFF" w:themeColor="background1"/>
              </w:rPr>
              <w:noBreakHyphen/>
            </w:r>
            <w:r w:rsidRPr="008840F3">
              <w:rPr>
                <w:color w:val="FFFFFF" w:themeColor="background1"/>
              </w:rPr>
              <w:t>14 Target</w:t>
            </w:r>
          </w:p>
        </w:tc>
        <w:tc>
          <w:tcPr>
            <w:tcW w:w="993"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2012</w:t>
            </w:r>
            <w:r w:rsidR="009F0F49">
              <w:rPr>
                <w:color w:val="FFFFFF" w:themeColor="background1"/>
              </w:rPr>
              <w:noBreakHyphen/>
            </w:r>
            <w:r w:rsidRPr="008840F3">
              <w:rPr>
                <w:color w:val="FFFFFF" w:themeColor="background1"/>
              </w:rPr>
              <w:t>13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2012</w:t>
            </w:r>
            <w:r w:rsidR="009F0F49">
              <w:rPr>
                <w:color w:val="FFFFFF" w:themeColor="background1"/>
              </w:rPr>
              <w:noBreakHyphen/>
            </w:r>
            <w:r w:rsidRPr="008840F3">
              <w:rPr>
                <w:color w:val="FFFFFF" w:themeColor="background1"/>
              </w:rPr>
              <w:t>13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2011</w:t>
            </w:r>
            <w:r w:rsidR="009F0F49">
              <w:rPr>
                <w:color w:val="FFFFFF" w:themeColor="background1"/>
              </w:rPr>
              <w:noBreakHyphen/>
            </w:r>
            <w:r w:rsidRPr="008840F3">
              <w:rPr>
                <w:color w:val="FFFFFF" w:themeColor="background1"/>
              </w:rPr>
              <w:t>12 Actual</w:t>
            </w:r>
          </w:p>
        </w:tc>
      </w:tr>
      <w:tr w:rsidR="00B958B1" w:rsidRPr="00A475B8" w:rsidTr="009F3B54">
        <w:trPr>
          <w:cantSplit/>
        </w:trPr>
        <w:tc>
          <w:tcPr>
            <w:tcW w:w="7776" w:type="dxa"/>
            <w:gridSpan w:val="6"/>
            <w:tcBorders>
              <w:top w:val="nil"/>
              <w:left w:val="nil"/>
              <w:bottom w:val="nil"/>
              <w:right w:val="nil"/>
            </w:tcBorders>
            <w:shd w:val="clear" w:color="auto" w:fill="auto"/>
            <w:vAlign w:val="center"/>
            <w:hideMark/>
          </w:tcPr>
          <w:p w:rsidR="00B958B1" w:rsidRPr="00A475B8" w:rsidRDefault="00B958B1" w:rsidP="009F3B54">
            <w:pPr>
              <w:pStyle w:val="OGHeading2"/>
              <w:rPr>
                <w:bCs/>
                <w:color w:val="000000" w:themeColor="text1"/>
                <w:lang w:eastAsia="en-AU"/>
              </w:rPr>
            </w:pPr>
            <w:r w:rsidRPr="00A475B8">
              <w:rPr>
                <w:color w:val="000000" w:themeColor="text1"/>
                <w:lang w:eastAsia="en-AU"/>
              </w:rPr>
              <w:t>Gambling and Liquor Regulation and Racing Industry Development</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6B7E51">
              <w:rPr>
                <w:color w:val="000000" w:themeColor="text1"/>
                <w:lang w:eastAsia="en-AU"/>
              </w:rPr>
              <w:t>This output provides for monitoring and regulation of gambling and liquor activities in Victoria. It also provides leadership and strategic policy advice to the Minister for Liquor and Gaming Regulation and the Minister for Racing on the regulation of the gambling, racing and liquor industries, problem gambling and harm minimisation in relation to liquor and gambling, as well as development support for the racing industry.</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Quantity</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p>
        </w:tc>
        <w:tc>
          <w:tcPr>
            <w:tcW w:w="907" w:type="dxa"/>
            <w:tcBorders>
              <w:top w:val="nil"/>
              <w:left w:val="nil"/>
              <w:bottom w:val="nil"/>
              <w:right w:val="nil"/>
            </w:tcBorders>
            <w:shd w:val="clear" w:color="auto" w:fill="D9D9D9"/>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Liquor and gambling compliance activities (VCGLR)</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25</w:t>
            </w:r>
            <w:r>
              <w:rPr>
                <w:color w:val="000000" w:themeColor="text1"/>
                <w:lang w:eastAsia="en-AU"/>
              </w:rPr>
              <w:t> </w:t>
            </w:r>
            <w:r w:rsidRPr="00A475B8">
              <w:rPr>
                <w:color w:val="000000" w:themeColor="text1"/>
                <w:lang w:eastAsia="en-AU"/>
              </w:rPr>
              <w:t>000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3D5473">
              <w:t>New performance measure for 2013</w:t>
            </w:r>
            <w:r w:rsidR="009F0F49">
              <w:noBreakHyphen/>
            </w:r>
            <w:r w:rsidRPr="003D5473">
              <w:t>14 reports the level of liquor and gambling compliance activity delivered by the VCGLR.</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Liquor and gambling licensing activities (VCGLR)</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Pr>
                <w:color w:val="000000" w:themeColor="text1"/>
                <w:lang w:eastAsia="en-AU"/>
              </w:rPr>
              <w:t>43 </w:t>
            </w:r>
            <w:r w:rsidRPr="00A475B8">
              <w:rPr>
                <w:color w:val="000000" w:themeColor="text1"/>
                <w:lang w:eastAsia="en-AU"/>
              </w:rPr>
              <w:t>000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3D5473">
              <w:t>New performance measure for 2013</w:t>
            </w:r>
            <w:r w:rsidR="009F0F49">
              <w:noBreakHyphen/>
            </w:r>
            <w:r w:rsidRPr="003D5473">
              <w:t>14 reports the level of liquor and gambling licensing activity delivered by the VCGLR.</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Liquor and gambling information and advice (VCGLR)</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Pr>
                <w:color w:val="000000" w:themeColor="text1"/>
                <w:lang w:eastAsia="en-AU"/>
              </w:rPr>
              <w:t>128 </w:t>
            </w:r>
            <w:r w:rsidRPr="00A475B8">
              <w:rPr>
                <w:color w:val="000000" w:themeColor="text1"/>
                <w:lang w:eastAsia="en-AU"/>
              </w:rPr>
              <w:t>000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3D5473">
              <w:t>New performance measure for 2013</w:t>
            </w:r>
            <w:r w:rsidR="009F0F49">
              <w:noBreakHyphen/>
            </w:r>
            <w:r w:rsidRPr="003D5473">
              <w:t>14 reports the level of liquor and gambling information and advice activities delivered by the VCGLR.</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Office of Liquor, Gaming and Racing briefings processed</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700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876</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Default="00B958B1" w:rsidP="009F3B54">
            <w:pPr>
              <w:pStyle w:val="OGNotes"/>
            </w:pPr>
            <w:r w:rsidRPr="00A475B8">
              <w:t>The 2012</w:t>
            </w:r>
            <w:r w:rsidR="009F0F49">
              <w:noBreakHyphen/>
            </w:r>
            <w:r w:rsidRPr="00A475B8">
              <w:t xml:space="preserve">13 Expected Outcome </w:t>
            </w:r>
            <w:r>
              <w:t>and 2013</w:t>
            </w:r>
            <w:r w:rsidR="009F0F49">
              <w:noBreakHyphen/>
            </w:r>
            <w:r>
              <w:t>14 Target are</w:t>
            </w:r>
            <w:r w:rsidRPr="00A475B8">
              <w:t xml:space="preserve"> lower than the 2012</w:t>
            </w:r>
            <w:r w:rsidR="009F0F49">
              <w:noBreakHyphen/>
            </w:r>
            <w:r w:rsidRPr="00A475B8">
              <w:t xml:space="preserve">13 Target due to the transfer of responsibility for the Problem Gambling Strategy to the newly created Victorian Responsible Gambling Foundation (VRGF) on 2 July 2012. </w:t>
            </w:r>
          </w:p>
          <w:p w:rsidR="00B958B1" w:rsidRPr="00A475B8" w:rsidRDefault="00B958B1" w:rsidP="009F3B54">
            <w:pPr>
              <w:pStyle w:val="OGNotes"/>
            </w:pPr>
            <w:r>
              <w:t>This performance measure renames the 2012</w:t>
            </w:r>
            <w:r w:rsidR="009F0F49">
              <w:noBreakHyphen/>
            </w:r>
            <w:r>
              <w:t>13 performance measure ‘Office of Gaming and Racing briefings processed’. The new measure reports on the same activity as the previous measure however has been amended for increased clarity.</w:t>
            </w:r>
          </w:p>
        </w:tc>
      </w:tr>
      <w:tr w:rsidR="00B958B1" w:rsidRPr="00A475B8" w:rsidTr="009F3B54">
        <w:trPr>
          <w:cantSplit/>
        </w:trPr>
        <w:tc>
          <w:tcPr>
            <w:tcW w:w="3155" w:type="dxa"/>
            <w:tcBorders>
              <w:top w:val="nil"/>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Racing industry development initiatives delivered</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single" w:sz="8"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w:t>
            </w:r>
          </w:p>
        </w:tc>
        <w:tc>
          <w:tcPr>
            <w:tcW w:w="993"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keepNext/>
              <w:rPr>
                <w:color w:val="000000" w:themeColor="text1"/>
                <w:lang w:eastAsia="en-AU"/>
              </w:rPr>
            </w:pPr>
            <w:r w:rsidRPr="00A475B8">
              <w:rPr>
                <w:color w:val="000000" w:themeColor="text1"/>
                <w:lang w:eastAsia="en-AU"/>
              </w:rPr>
              <w:t>Racing matters processed (including licences, permits, appeals, registrations and grant applications)</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274</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274</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240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297</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13 Expected Outcome is higher than the 2012</w:t>
            </w:r>
            <w:r w:rsidR="009F0F49">
              <w:noBreakHyphen/>
            </w:r>
            <w:r w:rsidRPr="00A475B8">
              <w:t>13 Target due to a higher than anticipated number of applications for grants funding and Calcutta Sweepstakes Permits. The higher 2013</w:t>
            </w:r>
            <w:r w:rsidR="009F0F49">
              <w:noBreakHyphen/>
            </w:r>
            <w:r w:rsidRPr="00A475B8">
              <w:t>14 Target reflects historic performance for this measure.</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Quality</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iCs/>
                <w:color w:val="000000" w:themeColor="text1"/>
                <w:lang w:eastAsia="en-AU"/>
              </w:rPr>
              <w:t>Liquor and gambling licensing client satisfaction (VCGLR)</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4041B7">
              <w:t>New performance measure for 2013</w:t>
            </w:r>
            <w:r w:rsidR="009F0F49">
              <w:noBreakHyphen/>
            </w:r>
            <w:r w:rsidRPr="004041B7">
              <w:t>14 measures client satisfaction with liquor and gambling services provided by the VCGLR.</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Head"/>
              <w:rPr>
                <w:lang w:eastAsia="en-AU"/>
              </w:rPr>
            </w:pPr>
            <w:r w:rsidRPr="0016616A">
              <w:rPr>
                <w:iCs/>
                <w:color w:val="000000" w:themeColor="text1"/>
                <w:lang w:eastAsia="en-AU"/>
              </w:rPr>
              <w:t>Timeliness</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p>
        </w:tc>
        <w:tc>
          <w:tcPr>
            <w:tcW w:w="907" w:type="dxa"/>
            <w:tcBorders>
              <w:top w:val="nil"/>
              <w:left w:val="nil"/>
              <w:bottom w:val="nil"/>
              <w:right w:val="nil"/>
            </w:tcBorders>
            <w:shd w:val="clear" w:color="auto" w:fill="D9D9D9"/>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Liquor and gambling information and advice responsiveness (VCGLR)</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96</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4041B7">
              <w:t>New performance measure for 2013</w:t>
            </w:r>
            <w:r w:rsidR="009F0F49">
              <w:noBreakHyphen/>
            </w:r>
            <w:r w:rsidRPr="004041B7">
              <w:t>14 measures the responsiveness of liquor and gambling information and advice provided by the VCGLR.</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Liquor and gambling compliance inspection outcomes provided within set timeframes (VCGLR)</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98</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4041B7">
              <w:t>New performance measure for 2013</w:t>
            </w:r>
            <w:r w:rsidR="009F0F49">
              <w:noBreakHyphen/>
            </w:r>
            <w:r w:rsidRPr="004041B7">
              <w:t>14 measures the responsiveness of liquor and gambling compliance inspection outcomes delivered by the VCGLR.</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Gamblers Help Service clients who receive a service within five days of referral</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95</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99</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97</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13 Expected Outcome is above the 2012</w:t>
            </w:r>
            <w:r w:rsidR="009F0F49">
              <w:noBreakHyphen/>
            </w:r>
            <w:r w:rsidRPr="00A475B8">
              <w:t>13 Target due to the resolution of system processing issues and the embedding of consistent data recording practices. The higher 2013</w:t>
            </w:r>
            <w:r w:rsidR="009F0F49">
              <w:noBreakHyphen/>
            </w:r>
            <w:r w:rsidRPr="00A475B8">
              <w:t>14 Target reflects historic performance for this measure.</w:t>
            </w:r>
          </w:p>
        </w:tc>
      </w:tr>
      <w:tr w:rsidR="00B958B1" w:rsidRPr="00A475B8" w:rsidTr="009F3B54">
        <w:trPr>
          <w:cantSplit/>
        </w:trPr>
        <w:tc>
          <w:tcPr>
            <w:tcW w:w="3155" w:type="dxa"/>
            <w:tcBorders>
              <w:top w:val="nil"/>
              <w:left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Cost</w:t>
            </w:r>
          </w:p>
        </w:tc>
        <w:tc>
          <w:tcPr>
            <w:tcW w:w="907" w:type="dxa"/>
            <w:tcBorders>
              <w:top w:val="nil"/>
              <w:left w:val="nil"/>
              <w:right w:val="nil"/>
            </w:tcBorders>
            <w:shd w:val="clear" w:color="auto" w:fill="auto"/>
            <w:vAlign w:val="center"/>
            <w:hideMark/>
          </w:tcPr>
          <w:p w:rsidR="00B958B1" w:rsidRPr="00A475B8" w:rsidRDefault="00B958B1" w:rsidP="009F3B54">
            <w:pPr>
              <w:pStyle w:val="OGUoM"/>
              <w:rPr>
                <w:color w:val="000000" w:themeColor="text1"/>
                <w:lang w:eastAsia="en-AU"/>
              </w:rPr>
            </w:pPr>
          </w:p>
        </w:tc>
        <w:tc>
          <w:tcPr>
            <w:tcW w:w="907" w:type="dxa"/>
            <w:tcBorders>
              <w:top w:val="nil"/>
              <w:left w:val="nil"/>
              <w:right w:val="nil"/>
            </w:tcBorders>
            <w:shd w:val="clear" w:color="auto" w:fill="D9D9D9"/>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c>
          <w:tcPr>
            <w:tcW w:w="907" w:type="dxa"/>
            <w:tcBorders>
              <w:top w:val="nil"/>
              <w:left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c>
          <w:tcPr>
            <w:tcW w:w="907" w:type="dxa"/>
            <w:tcBorders>
              <w:top w:val="nil"/>
              <w:left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Total output cost</w:t>
            </w:r>
          </w:p>
        </w:tc>
        <w:tc>
          <w:tcPr>
            <w:tcW w:w="907" w:type="dxa"/>
            <w:tcBorders>
              <w:top w:val="nil"/>
              <w:left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w:t>
            </w:r>
            <w:r>
              <w:rPr>
                <w:color w:val="000000" w:themeColor="text1"/>
                <w:lang w:eastAsia="en-AU"/>
              </w:rPr>
              <w:t> million</w:t>
            </w:r>
          </w:p>
        </w:tc>
        <w:tc>
          <w:tcPr>
            <w:tcW w:w="907" w:type="dxa"/>
            <w:tcBorders>
              <w:top w:val="nil"/>
              <w:left w:val="nil"/>
              <w:right w:val="nil"/>
            </w:tcBorders>
            <w:shd w:val="clear" w:color="auto" w:fill="D9D9D9"/>
            <w:hideMark/>
          </w:tcPr>
          <w:p w:rsidR="00B958B1" w:rsidRPr="00A475B8" w:rsidRDefault="00B958B1" w:rsidP="009F3B54">
            <w:pPr>
              <w:pStyle w:val="OGTableofFigures"/>
              <w:rPr>
                <w:color w:val="000000" w:themeColor="text1"/>
                <w:lang w:eastAsia="en-AU"/>
              </w:rPr>
            </w:pPr>
            <w:r>
              <w:rPr>
                <w:color w:val="000000" w:themeColor="text1"/>
                <w:lang w:eastAsia="en-AU"/>
              </w:rPr>
              <w:t>109.1</w:t>
            </w:r>
          </w:p>
        </w:tc>
        <w:tc>
          <w:tcPr>
            <w:tcW w:w="993"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112.1</w:t>
            </w: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140.8</w:t>
            </w:r>
          </w:p>
        </w:tc>
        <w:tc>
          <w:tcPr>
            <w:tcW w:w="907" w:type="dxa"/>
            <w:tcBorders>
              <w:top w:val="nil"/>
              <w:left w:val="nil"/>
              <w:right w:val="nil"/>
            </w:tcBorders>
            <w:shd w:val="clear" w:color="auto" w:fill="auto"/>
            <w:hideMark/>
          </w:tcPr>
          <w:p w:rsidR="00B958B1" w:rsidRPr="00327861" w:rsidRDefault="00B958B1" w:rsidP="009F3B54">
            <w:pPr>
              <w:pStyle w:val="OGTableofFigures"/>
              <w:rPr>
                <w:lang w:eastAsia="en-AU"/>
              </w:rPr>
            </w:pPr>
            <w:r w:rsidRPr="00327861">
              <w:rPr>
                <w:lang w:eastAsia="en-AU"/>
              </w:rPr>
              <w:t>98.2</w:t>
            </w:r>
          </w:p>
        </w:tc>
      </w:tr>
      <w:tr w:rsidR="00B958B1" w:rsidRPr="00AC44D2" w:rsidTr="009F3B54">
        <w:trPr>
          <w:cantSplit/>
        </w:trPr>
        <w:tc>
          <w:tcPr>
            <w:tcW w:w="7776" w:type="dxa"/>
            <w:gridSpan w:val="6"/>
            <w:tcBorders>
              <w:left w:val="nil"/>
              <w:bottom w:val="single" w:sz="6" w:space="0" w:color="auto"/>
              <w:right w:val="nil"/>
            </w:tcBorders>
            <w:shd w:val="clear" w:color="auto" w:fill="auto"/>
            <w:vAlign w:val="center"/>
          </w:tcPr>
          <w:p w:rsidR="00B958B1" w:rsidRPr="00327861" w:rsidRDefault="00B958B1" w:rsidP="009F3B54">
            <w:pPr>
              <w:pStyle w:val="OGNotes"/>
            </w:pPr>
            <w:r w:rsidRPr="00B163A7">
              <w:t>The 2012</w:t>
            </w:r>
            <w:r w:rsidR="009F0F49">
              <w:noBreakHyphen/>
            </w:r>
            <w:r w:rsidRPr="00B163A7">
              <w:t>13 Expected Outcome and the 2013</w:t>
            </w:r>
            <w:r w:rsidR="009F0F49">
              <w:noBreakHyphen/>
            </w:r>
            <w:r w:rsidRPr="00B163A7">
              <w:t xml:space="preserve">14 Target reflect </w:t>
            </w:r>
            <w:r>
              <w:t>an adjustment of timing of anticipated grant payments and the transfer of funding for financial counselling to the Promoting and Protecting Consumer Interests output.</w:t>
            </w:r>
          </w:p>
        </w:tc>
      </w:tr>
      <w:tr w:rsidR="00B958B1" w:rsidRPr="00A475B8" w:rsidTr="009F3B54">
        <w:trPr>
          <w:cantSplit/>
        </w:trPr>
        <w:tc>
          <w:tcPr>
            <w:tcW w:w="7776" w:type="dxa"/>
            <w:gridSpan w:val="6"/>
            <w:tcBorders>
              <w:top w:val="single" w:sz="6" w:space="0" w:color="auto"/>
              <w:left w:val="nil"/>
              <w:bottom w:val="nil"/>
              <w:right w:val="nil"/>
            </w:tcBorders>
            <w:shd w:val="clear" w:color="auto" w:fill="auto"/>
            <w:vAlign w:val="center"/>
            <w:hideMark/>
          </w:tcPr>
          <w:p w:rsidR="00B958B1" w:rsidRPr="00A475B8" w:rsidRDefault="00B958B1" w:rsidP="009F3B54">
            <w:pPr>
              <w:pStyle w:val="OGHeading2"/>
              <w:rPr>
                <w:bCs/>
                <w:color w:val="000000" w:themeColor="text1"/>
                <w:lang w:eastAsia="en-AU"/>
              </w:rPr>
            </w:pPr>
            <w:r w:rsidRPr="00A475B8">
              <w:rPr>
                <w:color w:val="000000" w:themeColor="text1"/>
                <w:lang w:eastAsia="en-AU"/>
              </w:rPr>
              <w:t>Promoting and Protecting Consumer Interests</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TabText"/>
              <w:keepNext/>
              <w:rPr>
                <w:color w:val="000000" w:themeColor="text1"/>
                <w:lang w:eastAsia="en-AU"/>
              </w:rPr>
            </w:pPr>
            <w:r w:rsidRPr="006204EE">
              <w:rPr>
                <w:color w:val="000000" w:themeColor="text1"/>
                <w:lang w:eastAsia="en-AU"/>
              </w:rPr>
              <w:t>This output provides information and education to consumers and traders, dispute resolution services, management of registers and licences for occupations and industries, and action to promote and enforce compliance with the consumer laws whil</w:t>
            </w:r>
            <w:r>
              <w:rPr>
                <w:color w:val="000000" w:themeColor="text1"/>
                <w:lang w:eastAsia="en-AU"/>
              </w:rPr>
              <w:t>e</w:t>
            </w:r>
            <w:r w:rsidRPr="006204EE">
              <w:rPr>
                <w:color w:val="000000" w:themeColor="text1"/>
                <w:lang w:eastAsia="en-AU"/>
              </w:rPr>
              <w:t xml:space="preserve"> also ensuring that the consumer protection framework is modern and effective. Increased awareness of consumer and business rights and obligations fosters a marketplace where traders are likely to comply and consumers are likely to make decisions that promote their interests.</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Quantity</w:t>
            </w: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UoM"/>
              <w:rPr>
                <w:color w:val="000000" w:themeColor="text1"/>
                <w:lang w:eastAsia="en-AU"/>
              </w:rPr>
            </w:pPr>
          </w:p>
        </w:tc>
        <w:tc>
          <w:tcPr>
            <w:tcW w:w="907" w:type="dxa"/>
            <w:tcBorders>
              <w:top w:val="nil"/>
              <w:left w:val="nil"/>
              <w:bottom w:val="nil"/>
              <w:right w:val="nil"/>
            </w:tcBorders>
            <w:shd w:val="clear" w:color="auto" w:fill="D9D9D9"/>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keepNext/>
              <w:rPr>
                <w:color w:val="000000" w:themeColor="text1"/>
                <w:lang w:eastAsia="en-AU"/>
              </w:rPr>
            </w:pPr>
            <w:r w:rsidRPr="00A475B8">
              <w:rPr>
                <w:color w:val="000000" w:themeColor="text1"/>
                <w:lang w:eastAsia="en-AU"/>
              </w:rPr>
              <w:t>Information and advice provided to consumers and traders delivered by Consumer Affairs Victoria (CAV)</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520</w:t>
            </w:r>
            <w:r>
              <w:rPr>
                <w:color w:val="000000" w:themeColor="text1"/>
                <w:lang w:eastAsia="en-AU"/>
              </w:rPr>
              <w:t> </w:t>
            </w:r>
            <w:r w:rsidRPr="00A475B8">
              <w:rPr>
                <w:color w:val="000000" w:themeColor="text1"/>
                <w:lang w:eastAsia="en-AU"/>
              </w:rPr>
              <w:t>000</w:t>
            </w:r>
            <w:r>
              <w:rPr>
                <w:color w:val="000000" w:themeColor="text1"/>
                <w:lang w:eastAsia="en-AU"/>
              </w:rPr>
              <w:t> </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501</w:t>
            </w:r>
            <w:r>
              <w:rPr>
                <w:color w:val="000000" w:themeColor="text1"/>
                <w:lang w:eastAsia="en-AU"/>
              </w:rPr>
              <w:t> </w:t>
            </w:r>
            <w:r w:rsidRPr="00A475B8">
              <w:rPr>
                <w:color w:val="000000" w:themeColor="text1"/>
                <w:lang w:eastAsia="en-AU"/>
              </w:rPr>
              <w:t>850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560</w:t>
            </w:r>
            <w:r>
              <w:rPr>
                <w:color w:val="000000" w:themeColor="text1"/>
                <w:lang w:eastAsia="en-AU"/>
              </w:rPr>
              <w:t> </w:t>
            </w:r>
            <w:r w:rsidRPr="00A475B8">
              <w:rPr>
                <w:color w:val="000000" w:themeColor="text1"/>
                <w:lang w:eastAsia="en-AU"/>
              </w:rPr>
              <w:t>000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590</w:t>
            </w:r>
            <w:r>
              <w:rPr>
                <w:color w:val="000000" w:themeColor="text1"/>
                <w:lang w:eastAsia="en-AU"/>
              </w:rPr>
              <w:t> </w:t>
            </w:r>
            <w:r w:rsidRPr="00A475B8">
              <w:rPr>
                <w:color w:val="000000" w:themeColor="text1"/>
                <w:lang w:eastAsia="en-AU"/>
              </w:rPr>
              <w:t>449</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13 Expected Outcome is lower than the 2012</w:t>
            </w:r>
            <w:r w:rsidR="009F0F49">
              <w:noBreakHyphen/>
            </w:r>
            <w:r w:rsidRPr="00A475B8">
              <w:t xml:space="preserve">13 Target, due to </w:t>
            </w:r>
            <w:r>
              <w:t xml:space="preserve">a higher than expected </w:t>
            </w:r>
            <w:r w:rsidRPr="00A475B8">
              <w:t>reduction in the number of telephone calls as a result of the transfer of the Business Names function to the Commonwealth and an increased focus on directing enquiries to the Consumer Affairs website rather than the call centre. The 2013</w:t>
            </w:r>
            <w:r w:rsidR="009F0F49">
              <w:noBreakHyphen/>
            </w:r>
            <w:r w:rsidRPr="00A475B8">
              <w:t>14 Target reflects the fluctuating demand drivers inherent in the reported activity.</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Inspections, compliance monitoring and enforcement activities delivered by CAV</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10</w:t>
            </w:r>
            <w:r>
              <w:rPr>
                <w:color w:val="000000" w:themeColor="text1"/>
                <w:lang w:eastAsia="en-AU"/>
              </w:rPr>
              <w:t> </w:t>
            </w:r>
            <w:r w:rsidRPr="00A475B8">
              <w:rPr>
                <w:color w:val="000000" w:themeColor="text1"/>
                <w:lang w:eastAsia="en-AU"/>
              </w:rPr>
              <w:t>000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w:t>
            </w:r>
            <w:r>
              <w:rPr>
                <w:color w:val="000000" w:themeColor="text1"/>
                <w:lang w:eastAsia="en-AU"/>
              </w:rPr>
              <w:t> </w:t>
            </w:r>
            <w:r w:rsidRPr="00A475B8">
              <w:rPr>
                <w:color w:val="000000" w:themeColor="text1"/>
                <w:lang w:eastAsia="en-AU"/>
              </w:rPr>
              <w:t>780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w:t>
            </w:r>
            <w:r>
              <w:rPr>
                <w:color w:val="000000" w:themeColor="text1"/>
                <w:lang w:eastAsia="en-AU"/>
              </w:rPr>
              <w:t> </w:t>
            </w:r>
            <w:r w:rsidRPr="00A475B8">
              <w:rPr>
                <w:color w:val="000000" w:themeColor="text1"/>
                <w:lang w:eastAsia="en-AU"/>
              </w:rPr>
              <w:t>200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w:t>
            </w:r>
            <w:r>
              <w:rPr>
                <w:color w:val="000000" w:themeColor="text1"/>
                <w:lang w:eastAsia="en-AU"/>
              </w:rPr>
              <w:t> </w:t>
            </w:r>
            <w:r w:rsidRPr="00A475B8">
              <w:rPr>
                <w:color w:val="000000" w:themeColor="text1"/>
                <w:lang w:eastAsia="en-AU"/>
              </w:rPr>
              <w:t>417</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13 Expected Outcome is higher than the 2012</w:t>
            </w:r>
            <w:r w:rsidR="009F0F49">
              <w:noBreakHyphen/>
            </w:r>
            <w:r w:rsidRPr="00A475B8">
              <w:t>13 Target due to a focus on increasing the number of compliance assistance visits. The higher 2013</w:t>
            </w:r>
            <w:r w:rsidR="009F0F49">
              <w:noBreakHyphen/>
            </w:r>
            <w:r w:rsidRPr="00A475B8">
              <w:t xml:space="preserve">14 Target reflects historic performance for this measure. </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Registration and licensing transactions delivered by CAV</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450</w:t>
            </w:r>
            <w:r>
              <w:rPr>
                <w:color w:val="000000" w:themeColor="text1"/>
                <w:lang w:eastAsia="en-AU"/>
              </w:rPr>
              <w:t> </w:t>
            </w:r>
            <w:r w:rsidRPr="00A475B8">
              <w:rPr>
                <w:color w:val="000000" w:themeColor="text1"/>
                <w:lang w:eastAsia="en-AU"/>
              </w:rPr>
              <w:t>000</w:t>
            </w:r>
            <w:r>
              <w:rPr>
                <w:color w:val="000000" w:themeColor="text1"/>
                <w:lang w:eastAsia="en-AU"/>
              </w:rPr>
              <w:t> </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453</w:t>
            </w:r>
            <w:r>
              <w:rPr>
                <w:color w:val="000000" w:themeColor="text1"/>
                <w:lang w:eastAsia="en-AU"/>
              </w:rPr>
              <w:t> </w:t>
            </w:r>
            <w:r w:rsidRPr="00A475B8">
              <w:rPr>
                <w:color w:val="000000" w:themeColor="text1"/>
                <w:lang w:eastAsia="en-AU"/>
              </w:rPr>
              <w:t>100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450</w:t>
            </w:r>
            <w:r>
              <w:rPr>
                <w:color w:val="000000" w:themeColor="text1"/>
                <w:lang w:eastAsia="en-AU"/>
              </w:rPr>
              <w:t> </w:t>
            </w:r>
            <w:r w:rsidRPr="00A475B8">
              <w:rPr>
                <w:color w:val="000000" w:themeColor="text1"/>
                <w:lang w:eastAsia="en-AU"/>
              </w:rPr>
              <w:t>000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650</w:t>
            </w:r>
            <w:r>
              <w:rPr>
                <w:color w:val="000000" w:themeColor="text1"/>
                <w:lang w:eastAsia="en-AU"/>
              </w:rPr>
              <w:t> </w:t>
            </w:r>
            <w:r w:rsidRPr="00A475B8">
              <w:rPr>
                <w:color w:val="000000" w:themeColor="text1"/>
                <w:lang w:eastAsia="en-AU"/>
              </w:rPr>
              <w:t>002</w:t>
            </w:r>
          </w:p>
        </w:tc>
      </w:tr>
      <w:tr w:rsidR="00B958B1" w:rsidRPr="00A475B8" w:rsidTr="009F3B54">
        <w:trPr>
          <w:cantSplit/>
        </w:trPr>
        <w:tc>
          <w:tcPr>
            <w:tcW w:w="3155" w:type="dxa"/>
            <w:tcBorders>
              <w:top w:val="single" w:sz="8" w:space="0" w:color="auto"/>
              <w:left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Quality</w:t>
            </w:r>
          </w:p>
        </w:tc>
        <w:tc>
          <w:tcPr>
            <w:tcW w:w="907" w:type="dxa"/>
            <w:tcBorders>
              <w:top w:val="single" w:sz="8" w:space="0" w:color="auto"/>
              <w:left w:val="nil"/>
              <w:right w:val="nil"/>
            </w:tcBorders>
            <w:shd w:val="clear" w:color="auto" w:fill="auto"/>
            <w:vAlign w:val="center"/>
            <w:hideMark/>
          </w:tcPr>
          <w:p w:rsidR="00B958B1" w:rsidRPr="00A475B8" w:rsidRDefault="00B958B1" w:rsidP="009F3B54">
            <w:pPr>
              <w:pStyle w:val="OGUoM"/>
              <w:rPr>
                <w:color w:val="000000" w:themeColor="text1"/>
                <w:lang w:eastAsia="en-AU"/>
              </w:rPr>
            </w:pPr>
            <w:r w:rsidRPr="00A475B8">
              <w:rPr>
                <w:color w:val="000000" w:themeColor="text1"/>
                <w:lang w:eastAsia="en-AU"/>
              </w:rPr>
              <w:t> </w:t>
            </w:r>
          </w:p>
        </w:tc>
        <w:tc>
          <w:tcPr>
            <w:tcW w:w="907" w:type="dxa"/>
            <w:tcBorders>
              <w:top w:val="single" w:sz="8" w:space="0" w:color="auto"/>
              <w:left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8"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8" w:space="0" w:color="auto"/>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single" w:sz="4"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Customer satisfaction with services provided</w:t>
            </w:r>
          </w:p>
        </w:tc>
        <w:tc>
          <w:tcPr>
            <w:tcW w:w="907" w:type="dxa"/>
            <w:tcBorders>
              <w:top w:val="nil"/>
              <w:left w:val="nil"/>
              <w:bottom w:val="single" w:sz="4"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single" w:sz="4"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93" w:type="dxa"/>
            <w:tcBorders>
              <w:top w:val="nil"/>
              <w:left w:val="nil"/>
              <w:bottom w:val="single" w:sz="4"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94</w:t>
            </w:r>
          </w:p>
        </w:tc>
        <w:tc>
          <w:tcPr>
            <w:tcW w:w="907" w:type="dxa"/>
            <w:tcBorders>
              <w:top w:val="nil"/>
              <w:left w:val="nil"/>
              <w:bottom w:val="single" w:sz="4"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07" w:type="dxa"/>
            <w:tcBorders>
              <w:top w:val="nil"/>
              <w:left w:val="nil"/>
              <w:bottom w:val="single" w:sz="4"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95</w:t>
            </w:r>
          </w:p>
        </w:tc>
      </w:tr>
      <w:tr w:rsidR="00B958B1" w:rsidRPr="00A475B8" w:rsidTr="009F3B54">
        <w:trPr>
          <w:cantSplit/>
        </w:trPr>
        <w:tc>
          <w:tcPr>
            <w:tcW w:w="3155" w:type="dxa"/>
            <w:tcBorders>
              <w:top w:val="single" w:sz="4" w:space="0" w:color="auto"/>
              <w:left w:val="nil"/>
              <w:bottom w:val="nil"/>
              <w:right w:val="nil"/>
            </w:tcBorders>
            <w:shd w:val="clear" w:color="auto" w:fill="auto"/>
            <w:vAlign w:val="center"/>
            <w:hideMark/>
          </w:tcPr>
          <w:p w:rsidR="00B958B1" w:rsidRPr="00A475B8" w:rsidRDefault="00B958B1" w:rsidP="009F3B54">
            <w:pPr>
              <w:pStyle w:val="OGTabHead"/>
              <w:rPr>
                <w:lang w:eastAsia="en-AU"/>
              </w:rPr>
            </w:pPr>
            <w:r w:rsidRPr="0016616A">
              <w:rPr>
                <w:iCs/>
                <w:color w:val="000000" w:themeColor="text1"/>
                <w:lang w:eastAsia="en-AU"/>
              </w:rPr>
              <w:t>Timeliness</w:t>
            </w:r>
          </w:p>
        </w:tc>
        <w:tc>
          <w:tcPr>
            <w:tcW w:w="907" w:type="dxa"/>
            <w:tcBorders>
              <w:top w:val="single" w:sz="4" w:space="0" w:color="auto"/>
              <w:left w:val="nil"/>
              <w:bottom w:val="nil"/>
              <w:right w:val="nil"/>
            </w:tcBorders>
            <w:shd w:val="clear" w:color="auto" w:fill="auto"/>
            <w:vAlign w:val="center"/>
            <w:hideMark/>
          </w:tcPr>
          <w:p w:rsidR="00B958B1" w:rsidRPr="00A475B8" w:rsidRDefault="00B958B1" w:rsidP="009F3B54">
            <w:pPr>
              <w:pStyle w:val="OGUoM"/>
              <w:rPr>
                <w:color w:val="000000" w:themeColor="text1"/>
                <w:lang w:eastAsia="en-AU"/>
              </w:rPr>
            </w:pPr>
            <w:r w:rsidRPr="00A475B8">
              <w:rPr>
                <w:color w:val="000000" w:themeColor="text1"/>
                <w:lang w:eastAsia="en-AU"/>
              </w:rPr>
              <w:t> </w:t>
            </w:r>
          </w:p>
        </w:tc>
        <w:tc>
          <w:tcPr>
            <w:tcW w:w="907" w:type="dxa"/>
            <w:tcBorders>
              <w:top w:val="single" w:sz="4"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4"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4"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4"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Services provided within agreed timeframes</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95.9</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87.7</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13 Expected Outcome is higher than the 2012</w:t>
            </w:r>
            <w:r w:rsidR="009F0F49">
              <w:noBreakHyphen/>
            </w:r>
            <w:r w:rsidRPr="00A475B8">
              <w:t xml:space="preserve">13 Target </w:t>
            </w:r>
            <w:r>
              <w:t>due to</w:t>
            </w:r>
            <w:r w:rsidRPr="00A475B8">
              <w:t xml:space="preserve"> a change in the service delivery model that promotes the Consumer Affairs website as first point of contact for information.</w:t>
            </w:r>
          </w:p>
        </w:tc>
      </w:tr>
      <w:tr w:rsidR="00B958B1" w:rsidRPr="00A475B8" w:rsidTr="009F3B54">
        <w:trPr>
          <w:cantSplit/>
        </w:trPr>
        <w:tc>
          <w:tcPr>
            <w:tcW w:w="3155" w:type="dxa"/>
            <w:tcBorders>
              <w:top w:val="nil"/>
              <w:left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Cost</w:t>
            </w:r>
          </w:p>
        </w:tc>
        <w:tc>
          <w:tcPr>
            <w:tcW w:w="907" w:type="dxa"/>
            <w:tcBorders>
              <w:top w:val="nil"/>
              <w:left w:val="nil"/>
              <w:right w:val="nil"/>
            </w:tcBorders>
            <w:shd w:val="clear" w:color="auto" w:fill="auto"/>
            <w:vAlign w:val="center"/>
            <w:hideMark/>
          </w:tcPr>
          <w:p w:rsidR="00B958B1" w:rsidRPr="00A475B8" w:rsidRDefault="00B958B1" w:rsidP="009F3B54">
            <w:pPr>
              <w:pStyle w:val="OGUoM"/>
              <w:rPr>
                <w:color w:val="000000" w:themeColor="text1"/>
                <w:lang w:eastAsia="en-AU"/>
              </w:rPr>
            </w:pPr>
          </w:p>
        </w:tc>
        <w:tc>
          <w:tcPr>
            <w:tcW w:w="907" w:type="dxa"/>
            <w:tcBorders>
              <w:top w:val="nil"/>
              <w:left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Total output cost</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w:t>
            </w:r>
            <w:r>
              <w:rPr>
                <w:color w:val="000000" w:themeColor="text1"/>
                <w:lang w:eastAsia="en-AU"/>
              </w:rPr>
              <w:t> million</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Pr>
                <w:color w:val="000000" w:themeColor="text1"/>
                <w:lang w:eastAsia="en-AU"/>
              </w:rPr>
              <w:t>88.0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94.7</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78.1</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117.9</w:t>
            </w:r>
          </w:p>
        </w:tc>
      </w:tr>
      <w:tr w:rsidR="00B958B1" w:rsidRPr="00616033" w:rsidTr="009F3B54">
        <w:trPr>
          <w:cantSplit/>
        </w:trPr>
        <w:tc>
          <w:tcPr>
            <w:tcW w:w="7776" w:type="dxa"/>
            <w:gridSpan w:val="6"/>
            <w:tcBorders>
              <w:top w:val="nil"/>
              <w:left w:val="nil"/>
              <w:bottom w:val="single" w:sz="12" w:space="0" w:color="auto"/>
              <w:right w:val="nil"/>
            </w:tcBorders>
            <w:shd w:val="clear" w:color="auto" w:fill="auto"/>
            <w:vAlign w:val="center"/>
          </w:tcPr>
          <w:p w:rsidR="00B958B1" w:rsidRPr="00950EF5" w:rsidRDefault="00B958B1" w:rsidP="009F3B54">
            <w:pPr>
              <w:pStyle w:val="OGNotes"/>
              <w:rPr>
                <w:highlight w:val="yellow"/>
              </w:rPr>
            </w:pPr>
            <w:r w:rsidRPr="00613525">
              <w:t>The 2012</w:t>
            </w:r>
            <w:r w:rsidR="009F0F49">
              <w:noBreakHyphen/>
            </w:r>
            <w:r w:rsidRPr="00613525">
              <w:t>13 Expected Outcome and the 2013</w:t>
            </w:r>
            <w:r w:rsidR="009F0F49">
              <w:noBreakHyphen/>
            </w:r>
            <w:r w:rsidRPr="00613525">
              <w:t>14 Target reflect new funding for the Fire Services Levy Monitor and the transfer of funding for financial counselling from the Gambling and Liquor Regulation and Racing Industry Development output.</w:t>
            </w:r>
          </w:p>
        </w:tc>
      </w:tr>
    </w:tbl>
    <w:bookmarkEnd w:id="128"/>
    <w:p w:rsidR="00B958B1" w:rsidRDefault="00B958B1" w:rsidP="009F3B54">
      <w:pPr>
        <w:pStyle w:val="Source"/>
      </w:pPr>
      <w:r>
        <w:t>Source: Department of Justice</w:t>
      </w:r>
    </w:p>
    <w:p w:rsidR="00B958B1" w:rsidRDefault="00B958B1" w:rsidP="009F3B54">
      <w:pPr>
        <w:pStyle w:val="Source"/>
      </w:pPr>
      <w:r>
        <w:fldChar w:fldCharType="begin"/>
      </w:r>
      <w:r>
        <w:instrText xml:space="preserve"> XE "</w:instrText>
      </w:r>
      <w:r w:rsidRPr="003E5EAD">
        <w:instrText>Department of Justice:Industry Regulation and Support</w:instrText>
      </w:r>
      <w:r>
        <w:instrText xml:space="preserve">" \r "BP3DOJIndustRegandSupport" </w:instrText>
      </w:r>
      <w:r>
        <w:fldChar w:fldCharType="end"/>
      </w:r>
    </w:p>
    <w:p w:rsidR="00B958B1" w:rsidRPr="00A475B8" w:rsidRDefault="00B958B1" w:rsidP="009F3B54">
      <w:pPr>
        <w:pStyle w:val="OGHeading1"/>
        <w:rPr>
          <w:lang w:eastAsia="en-AU"/>
        </w:rPr>
      </w:pPr>
      <w:r w:rsidRPr="00A475B8">
        <w:br w:type="page"/>
      </w:r>
      <w:bookmarkStart w:id="129" w:name="BP3DOJPubSectIntegrity"/>
      <w:r w:rsidRPr="00A475B8">
        <w:rPr>
          <w:lang w:eastAsia="en-AU"/>
        </w:rPr>
        <w:t>Public Sector Integrity</w:t>
      </w:r>
    </w:p>
    <w:p w:rsidR="00B958B1" w:rsidRPr="00A475B8" w:rsidRDefault="00B958B1" w:rsidP="009F3B54">
      <w:pPr>
        <w:pStyle w:val="OGText"/>
        <w:rPr>
          <w:lang w:eastAsia="en-AU"/>
        </w:rPr>
      </w:pPr>
      <w:r w:rsidRPr="00A475B8">
        <w:rPr>
          <w:lang w:eastAsia="en-AU"/>
        </w:rPr>
        <w:t xml:space="preserve">This output group focuses on achieving a high </w:t>
      </w:r>
      <w:r w:rsidRPr="00026FFF">
        <w:rPr>
          <w:lang w:eastAsia="en-AU"/>
        </w:rPr>
        <w:t>standard of public</w:t>
      </w:r>
      <w:r w:rsidRPr="00A475B8">
        <w:rPr>
          <w:lang w:eastAsia="en-AU"/>
        </w:rPr>
        <w:t xml:space="preserve"> sector integrity.</w:t>
      </w:r>
    </w:p>
    <w:p w:rsidR="00B958B1" w:rsidRPr="00A475B8" w:rsidRDefault="00B958B1" w:rsidP="009F3B54">
      <w:pPr>
        <w:pStyle w:val="OGText"/>
        <w:rPr>
          <w:lang w:eastAsia="en-AU"/>
        </w:rPr>
      </w:pPr>
      <w:r w:rsidRPr="00A475B8">
        <w:rPr>
          <w:lang w:eastAsia="en-AU"/>
        </w:rPr>
        <w:t>The Independent Broad</w:t>
      </w:r>
      <w:r w:rsidR="009F0F49">
        <w:rPr>
          <w:lang w:eastAsia="en-AU"/>
        </w:rPr>
        <w:noBreakHyphen/>
      </w:r>
      <w:r w:rsidRPr="00A475B8">
        <w:rPr>
          <w:lang w:eastAsia="en-AU"/>
        </w:rPr>
        <w:t>based Anti</w:t>
      </w:r>
      <w:r w:rsidR="009F0F49">
        <w:rPr>
          <w:lang w:eastAsia="en-AU"/>
        </w:rPr>
        <w:noBreakHyphen/>
      </w:r>
      <w:r w:rsidRPr="00A475B8">
        <w:rPr>
          <w:lang w:eastAsia="en-AU"/>
        </w:rPr>
        <w:t>corruption Commission (IBAC) aims to identify and investigate serious corrupt conduct within the Victorian public sector and misconduct in Victoria Police. The Victorian Inspectorate monitors the IBAC.</w:t>
      </w:r>
    </w:p>
    <w:p w:rsidR="00B958B1" w:rsidRPr="00A475B8" w:rsidRDefault="00B958B1" w:rsidP="009F3B54">
      <w:pPr>
        <w:pStyle w:val="OGText"/>
        <w:rPr>
          <w:lang w:eastAsia="en-AU"/>
        </w:rPr>
      </w:pPr>
      <w:r w:rsidRPr="00A475B8">
        <w:rPr>
          <w:lang w:eastAsia="en-AU"/>
        </w:rPr>
        <w:t>The Freedom of Information (FOI) Commissioner aims to enhance Victorian government openness, transparency and access to information by promoting the object and operation of FOI legislation, and reviewing and handling FOI decisions and complaints.</w:t>
      </w:r>
    </w:p>
    <w:p w:rsidR="00B958B1" w:rsidRPr="00A475B8" w:rsidRDefault="00B958B1" w:rsidP="009F3B54">
      <w:pPr>
        <w:pStyle w:val="OGText"/>
        <w:rPr>
          <w:lang w:eastAsia="en-AU"/>
        </w:rPr>
      </w:pPr>
      <w:r w:rsidRPr="00A475B8">
        <w:rPr>
          <w:lang w:eastAsia="en-AU"/>
        </w:rPr>
        <w:t>This output group contributes to the Department’s objective of promoting and monitoring integrity within the public sector.</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A475B8" w:rsidTr="009F3B54">
        <w:trPr>
          <w:cantSplit/>
          <w:tblHeader/>
        </w:trPr>
        <w:tc>
          <w:tcPr>
            <w:tcW w:w="3155" w:type="dxa"/>
            <w:tcBorders>
              <w:top w:val="single" w:sz="4" w:space="0" w:color="auto"/>
              <w:left w:val="single" w:sz="4" w:space="0" w:color="auto"/>
              <w:bottom w:val="single" w:sz="4" w:space="0" w:color="auto"/>
              <w:right w:val="nil"/>
            </w:tcBorders>
            <w:shd w:val="clear" w:color="auto" w:fill="000000"/>
            <w:vAlign w:val="bottom"/>
          </w:tcPr>
          <w:p w:rsidR="00B958B1" w:rsidRPr="008840F3" w:rsidRDefault="00B958B1" w:rsidP="009F3B54">
            <w:pPr>
              <w:pStyle w:val="OGTabColLeft"/>
              <w:rPr>
                <w:i/>
                <w:color w:val="FFFFFF" w:themeColor="background1"/>
              </w:rPr>
            </w:pPr>
            <w:r w:rsidRPr="008840F3">
              <w:rPr>
                <w:color w:val="FFFFFF" w:themeColor="background1"/>
              </w:rPr>
              <w:t>Major Outputs/Deliverables</w:t>
            </w:r>
            <w:r w:rsidRPr="008840F3">
              <w:rPr>
                <w:color w:val="FFFFFF" w:themeColor="background1"/>
              </w:rPr>
              <w:br/>
            </w:r>
            <w:r w:rsidRPr="008840F3">
              <w:rPr>
                <w:b w:val="0"/>
                <w:i/>
                <w:color w:val="FFFFFF" w:themeColor="background1"/>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Centred"/>
              <w:rPr>
                <w:color w:val="FFFFFF" w:themeColor="background1"/>
              </w:rPr>
            </w:pPr>
            <w:r w:rsidRPr="008840F3">
              <w:rPr>
                <w:color w:val="FFFFFF" w:themeColor="background1"/>
              </w:rPr>
              <w:t xml:space="preserve">Unit of </w:t>
            </w:r>
            <w:r w:rsidRPr="008840F3">
              <w:rPr>
                <w:color w:val="FFFFFF" w:themeColor="background1"/>
              </w:rPr>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2013</w:t>
            </w:r>
            <w:r w:rsidR="009F0F49">
              <w:rPr>
                <w:color w:val="FFFFFF" w:themeColor="background1"/>
              </w:rPr>
              <w:noBreakHyphen/>
            </w:r>
            <w:r w:rsidRPr="008840F3">
              <w:rPr>
                <w:color w:val="FFFFFF" w:themeColor="background1"/>
              </w:rPr>
              <w:t>14 Target</w:t>
            </w:r>
          </w:p>
        </w:tc>
        <w:tc>
          <w:tcPr>
            <w:tcW w:w="993"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2012</w:t>
            </w:r>
            <w:r w:rsidR="009F0F49">
              <w:rPr>
                <w:color w:val="FFFFFF" w:themeColor="background1"/>
              </w:rPr>
              <w:noBreakHyphen/>
            </w:r>
            <w:r w:rsidRPr="008840F3">
              <w:rPr>
                <w:color w:val="FFFFFF" w:themeColor="background1"/>
              </w:rPr>
              <w:t>13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2012</w:t>
            </w:r>
            <w:r w:rsidR="009F0F49">
              <w:rPr>
                <w:color w:val="FFFFFF" w:themeColor="background1"/>
              </w:rPr>
              <w:noBreakHyphen/>
            </w:r>
            <w:r w:rsidRPr="008840F3">
              <w:rPr>
                <w:color w:val="FFFFFF" w:themeColor="background1"/>
              </w:rPr>
              <w:t>13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8840F3" w:rsidRDefault="00B958B1" w:rsidP="009F3B54">
            <w:pPr>
              <w:pStyle w:val="OGTabColRight"/>
              <w:rPr>
                <w:color w:val="FFFFFF" w:themeColor="background1"/>
              </w:rPr>
            </w:pPr>
            <w:r w:rsidRPr="008840F3">
              <w:rPr>
                <w:color w:val="FFFFFF" w:themeColor="background1"/>
              </w:rPr>
              <w:t>2011</w:t>
            </w:r>
            <w:r w:rsidR="009F0F49">
              <w:rPr>
                <w:color w:val="FFFFFF" w:themeColor="background1"/>
              </w:rPr>
              <w:noBreakHyphen/>
            </w:r>
            <w:r w:rsidRPr="008840F3">
              <w:rPr>
                <w:color w:val="FFFFFF" w:themeColor="background1"/>
              </w:rPr>
              <w:t>12 Actual</w:t>
            </w:r>
          </w:p>
        </w:tc>
      </w:tr>
      <w:tr w:rsidR="00B958B1" w:rsidRPr="00A475B8" w:rsidTr="009F3B54">
        <w:trPr>
          <w:cantSplit/>
        </w:trPr>
        <w:tc>
          <w:tcPr>
            <w:tcW w:w="7776" w:type="dxa"/>
            <w:gridSpan w:val="6"/>
            <w:tcBorders>
              <w:top w:val="nil"/>
              <w:left w:val="nil"/>
              <w:bottom w:val="nil"/>
              <w:right w:val="nil"/>
            </w:tcBorders>
            <w:shd w:val="clear" w:color="auto" w:fill="auto"/>
            <w:vAlign w:val="center"/>
            <w:hideMark/>
          </w:tcPr>
          <w:p w:rsidR="00B958B1" w:rsidRPr="00A475B8" w:rsidRDefault="00B958B1" w:rsidP="009F3B54">
            <w:pPr>
              <w:pStyle w:val="OGHeading2"/>
              <w:rPr>
                <w:bCs/>
                <w:color w:val="000000" w:themeColor="text1"/>
                <w:lang w:eastAsia="en-AU"/>
              </w:rPr>
            </w:pPr>
            <w:r w:rsidRPr="00A475B8">
              <w:rPr>
                <w:color w:val="000000" w:themeColor="text1"/>
                <w:lang w:eastAsia="en-AU"/>
              </w:rPr>
              <w:t>Anti</w:t>
            </w:r>
            <w:r w:rsidR="009F0F49">
              <w:rPr>
                <w:color w:val="000000" w:themeColor="text1"/>
                <w:lang w:eastAsia="en-AU"/>
              </w:rPr>
              <w:noBreakHyphen/>
            </w:r>
            <w:r w:rsidRPr="00A475B8">
              <w:rPr>
                <w:color w:val="000000" w:themeColor="text1"/>
                <w:lang w:eastAsia="en-AU"/>
              </w:rPr>
              <w:t>Corruption and Public Sector Integrity</w:t>
            </w:r>
          </w:p>
        </w:tc>
      </w:tr>
      <w:tr w:rsidR="00B958B1" w:rsidRPr="00A475B8" w:rsidTr="009F3B54">
        <w:trPr>
          <w:cantSplit/>
          <w:trHeight w:val="3326"/>
        </w:trPr>
        <w:tc>
          <w:tcPr>
            <w:tcW w:w="7776" w:type="dxa"/>
            <w:gridSpan w:val="6"/>
            <w:tcBorders>
              <w:top w:val="nil"/>
              <w:left w:val="nil"/>
              <w:bottom w:val="single" w:sz="6" w:space="0" w:color="auto"/>
              <w:right w:val="nil"/>
            </w:tcBorders>
            <w:shd w:val="clear" w:color="auto" w:fill="auto"/>
            <w:vAlign w:val="center"/>
            <w:hideMark/>
          </w:tcPr>
          <w:p w:rsidR="00B958B1" w:rsidRPr="00A475B8" w:rsidRDefault="00B958B1" w:rsidP="009F3B54">
            <w:pPr>
              <w:pStyle w:val="OGText"/>
              <w:rPr>
                <w:lang w:eastAsia="en-AU"/>
              </w:rPr>
            </w:pPr>
            <w:r w:rsidRPr="00A475B8">
              <w:rPr>
                <w:lang w:eastAsia="en-AU"/>
              </w:rPr>
              <w:t>This output provides for the activities of the Independent Broad</w:t>
            </w:r>
            <w:r w:rsidR="009F0F49">
              <w:rPr>
                <w:lang w:eastAsia="en-AU"/>
              </w:rPr>
              <w:noBreakHyphen/>
            </w:r>
            <w:r w:rsidRPr="00A475B8">
              <w:rPr>
                <w:lang w:eastAsia="en-AU"/>
              </w:rPr>
              <w:t>based Anti</w:t>
            </w:r>
            <w:r w:rsidR="009F0F49">
              <w:rPr>
                <w:lang w:eastAsia="en-AU"/>
              </w:rPr>
              <w:noBreakHyphen/>
            </w:r>
            <w:r w:rsidRPr="00A475B8">
              <w:rPr>
                <w:lang w:eastAsia="en-AU"/>
              </w:rPr>
              <w:t>corruption Commission (IBAC). The role of IBAC is to prevent public sector corruption and to educate the public sector and community at large about corruption and its detrimental impact.</w:t>
            </w:r>
          </w:p>
          <w:p w:rsidR="00B958B1" w:rsidRPr="00A475B8" w:rsidRDefault="00B958B1" w:rsidP="009F3B54">
            <w:pPr>
              <w:pStyle w:val="OGText"/>
              <w:rPr>
                <w:lang w:eastAsia="en-AU"/>
              </w:rPr>
            </w:pPr>
            <w:r w:rsidRPr="00A475B8">
              <w:rPr>
                <w:lang w:eastAsia="en-AU"/>
              </w:rPr>
              <w:t>The IBAC has functions and powers to expose and investigate allegations of serious corrupt conduct by public bodies or officers, and to investigate allegations of police personnel misconduct.</w:t>
            </w:r>
          </w:p>
          <w:p w:rsidR="00B958B1" w:rsidRPr="00A475B8" w:rsidRDefault="00B958B1" w:rsidP="009F3B54">
            <w:pPr>
              <w:pStyle w:val="OGText"/>
              <w:rPr>
                <w:lang w:eastAsia="en-AU"/>
              </w:rPr>
            </w:pPr>
            <w:r w:rsidRPr="00A475B8">
              <w:rPr>
                <w:lang w:eastAsia="en-AU"/>
              </w:rPr>
              <w:t>The IBAC’s functions also include educating the community on corruption prevention and improving the capacity of the pub</w:t>
            </w:r>
            <w:r>
              <w:rPr>
                <w:lang w:eastAsia="en-AU"/>
              </w:rPr>
              <w:t>lic sector to prevent corrupt</w:t>
            </w:r>
            <w:r w:rsidRPr="00A475B8">
              <w:rPr>
                <w:lang w:eastAsia="en-AU"/>
              </w:rPr>
              <w:t xml:space="preserve"> conduct and police personnel misconduct.</w:t>
            </w:r>
          </w:p>
          <w:p w:rsidR="00B958B1" w:rsidRPr="00A475B8" w:rsidRDefault="00B958B1" w:rsidP="009F3B54">
            <w:pPr>
              <w:pStyle w:val="OGText"/>
              <w:rPr>
                <w:lang w:eastAsia="en-AU"/>
              </w:rPr>
            </w:pPr>
            <w:r w:rsidRPr="00A475B8">
              <w:rPr>
                <w:lang w:eastAsia="en-AU"/>
              </w:rPr>
              <w:t>The IBAC became fully operational on 10 February 2013. Therefore, the performance results are for a part of the 2012</w:t>
            </w:r>
            <w:r w:rsidR="009F0F49">
              <w:rPr>
                <w:lang w:eastAsia="en-AU"/>
              </w:rPr>
              <w:noBreakHyphen/>
            </w:r>
            <w:r w:rsidRPr="00A475B8">
              <w:rPr>
                <w:lang w:eastAsia="en-AU"/>
              </w:rPr>
              <w:t>13 reporting period only.</w:t>
            </w:r>
          </w:p>
        </w:tc>
      </w:tr>
      <w:tr w:rsidR="00B958B1" w:rsidRPr="00A475B8" w:rsidTr="009F3B54">
        <w:trPr>
          <w:cantSplit/>
        </w:trPr>
        <w:tc>
          <w:tcPr>
            <w:tcW w:w="3155"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Quantity</w:t>
            </w:r>
          </w:p>
        </w:tc>
        <w:tc>
          <w:tcPr>
            <w:tcW w:w="907" w:type="dxa"/>
            <w:tcBorders>
              <w:top w:val="single" w:sz="6" w:space="0" w:color="auto"/>
              <w:left w:val="nil"/>
              <w:bottom w:val="nil"/>
              <w:right w:val="nil"/>
            </w:tcBorders>
            <w:shd w:val="clear" w:color="auto" w:fill="auto"/>
            <w:vAlign w:val="center"/>
            <w:hideMark/>
          </w:tcPr>
          <w:p w:rsidR="00B958B1" w:rsidRPr="00A475B8" w:rsidRDefault="00B958B1" w:rsidP="009F3B54">
            <w:pPr>
              <w:pStyle w:val="OGUoM"/>
              <w:rPr>
                <w:color w:val="000000" w:themeColor="text1"/>
                <w:lang w:eastAsia="en-AU"/>
              </w:rPr>
            </w:pPr>
          </w:p>
        </w:tc>
        <w:tc>
          <w:tcPr>
            <w:tcW w:w="907" w:type="dxa"/>
            <w:tcBorders>
              <w:top w:val="single" w:sz="6"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Corruption prevention initiatives delivered by IBAC</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60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70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13 Expected Outcome is lower than the 2012</w:t>
            </w:r>
            <w:r w:rsidR="009F0F49">
              <w:noBreakHyphen/>
            </w:r>
            <w:r w:rsidRPr="00A475B8">
              <w:t xml:space="preserve">13 Target as the IBAC was not operational for the full year and therefore the anticipated number of initiatives delivered was lower. </w:t>
            </w:r>
          </w:p>
        </w:tc>
      </w:tr>
      <w:tr w:rsidR="00B958B1" w:rsidRPr="00A475B8" w:rsidTr="009F3B54">
        <w:trPr>
          <w:cantSplit/>
        </w:trPr>
        <w:tc>
          <w:tcPr>
            <w:tcW w:w="3155" w:type="dxa"/>
            <w:tcBorders>
              <w:top w:val="nil"/>
              <w:left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Quality</w:t>
            </w:r>
          </w:p>
        </w:tc>
        <w:tc>
          <w:tcPr>
            <w:tcW w:w="907" w:type="dxa"/>
            <w:tcBorders>
              <w:top w:val="nil"/>
              <w:left w:val="nil"/>
              <w:right w:val="nil"/>
            </w:tcBorders>
            <w:shd w:val="clear" w:color="auto" w:fill="auto"/>
            <w:vAlign w:val="center"/>
            <w:hideMark/>
          </w:tcPr>
          <w:p w:rsidR="00B958B1" w:rsidRPr="00A475B8" w:rsidRDefault="00B958B1" w:rsidP="009F3B54">
            <w:pPr>
              <w:pStyle w:val="OGUoM"/>
              <w:rPr>
                <w:color w:val="000000" w:themeColor="text1"/>
                <w:lang w:eastAsia="en-AU"/>
              </w:rPr>
            </w:pPr>
            <w:r w:rsidRPr="00A475B8">
              <w:rPr>
                <w:color w:val="000000" w:themeColor="text1"/>
                <w:lang w:eastAsia="en-AU"/>
              </w:rPr>
              <w:t> </w:t>
            </w:r>
          </w:p>
        </w:tc>
        <w:tc>
          <w:tcPr>
            <w:tcW w:w="907" w:type="dxa"/>
            <w:tcBorders>
              <w:top w:val="nil"/>
              <w:left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single" w:sz="6"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Recipients of corruption prevention initiatives satisfied</w:t>
            </w:r>
          </w:p>
        </w:tc>
        <w:tc>
          <w:tcPr>
            <w:tcW w:w="907" w:type="dxa"/>
            <w:tcBorders>
              <w:top w:val="nil"/>
              <w:left w:val="nil"/>
              <w:bottom w:val="single" w:sz="6"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single" w:sz="6"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&gt;</w:t>
            </w:r>
            <w:r>
              <w:rPr>
                <w:color w:val="000000" w:themeColor="text1"/>
                <w:lang w:eastAsia="en-AU"/>
              </w:rPr>
              <w:t> </w:t>
            </w:r>
            <w:r w:rsidRPr="00A475B8">
              <w:rPr>
                <w:color w:val="000000" w:themeColor="text1"/>
                <w:lang w:eastAsia="en-AU"/>
              </w:rPr>
              <w:t>90.0</w:t>
            </w:r>
          </w:p>
        </w:tc>
        <w:tc>
          <w:tcPr>
            <w:tcW w:w="993" w:type="dxa"/>
            <w:tcBorders>
              <w:top w:val="nil"/>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07" w:type="dxa"/>
            <w:tcBorders>
              <w:top w:val="nil"/>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90</w:t>
            </w:r>
          </w:p>
        </w:tc>
        <w:tc>
          <w:tcPr>
            <w:tcW w:w="907" w:type="dxa"/>
            <w:tcBorders>
              <w:top w:val="nil"/>
              <w:left w:val="nil"/>
              <w:bottom w:val="single" w:sz="6"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 </w:t>
            </w:r>
          </w:p>
        </w:tc>
      </w:tr>
      <w:tr w:rsidR="00B958B1" w:rsidRPr="00A475B8" w:rsidTr="009F3B54">
        <w:trPr>
          <w:cantSplit/>
        </w:trPr>
        <w:tc>
          <w:tcPr>
            <w:tcW w:w="3155"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Head"/>
              <w:rPr>
                <w:lang w:eastAsia="en-AU"/>
              </w:rPr>
            </w:pPr>
            <w:r w:rsidRPr="0016616A">
              <w:rPr>
                <w:iCs/>
                <w:color w:val="000000" w:themeColor="text1"/>
                <w:lang w:eastAsia="en-AU"/>
              </w:rPr>
              <w:t>Timeliness</w:t>
            </w:r>
          </w:p>
        </w:tc>
        <w:tc>
          <w:tcPr>
            <w:tcW w:w="907" w:type="dxa"/>
            <w:tcBorders>
              <w:top w:val="single" w:sz="6" w:space="0" w:color="auto"/>
              <w:left w:val="nil"/>
              <w:bottom w:val="nil"/>
              <w:right w:val="nil"/>
            </w:tcBorders>
            <w:shd w:val="clear" w:color="auto" w:fill="auto"/>
            <w:vAlign w:val="center"/>
            <w:hideMark/>
          </w:tcPr>
          <w:p w:rsidR="00B958B1" w:rsidRPr="00A475B8" w:rsidRDefault="00B958B1" w:rsidP="009F3B54">
            <w:pPr>
              <w:pStyle w:val="OGUoM"/>
              <w:rPr>
                <w:color w:val="000000" w:themeColor="text1"/>
                <w:lang w:eastAsia="en-AU"/>
              </w:rPr>
            </w:pPr>
            <w:r w:rsidRPr="00A475B8">
              <w:rPr>
                <w:color w:val="000000" w:themeColor="text1"/>
                <w:lang w:eastAsia="en-AU"/>
              </w:rPr>
              <w:t> </w:t>
            </w:r>
          </w:p>
        </w:tc>
        <w:tc>
          <w:tcPr>
            <w:tcW w:w="907" w:type="dxa"/>
            <w:tcBorders>
              <w:top w:val="single" w:sz="6" w:space="0" w:color="auto"/>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single" w:sz="6" w:space="0" w:color="auto"/>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keepNext/>
              <w:rPr>
                <w:color w:val="000000" w:themeColor="text1"/>
                <w:lang w:eastAsia="en-AU"/>
              </w:rPr>
            </w:pPr>
            <w:r w:rsidRPr="00A475B8">
              <w:rPr>
                <w:color w:val="000000" w:themeColor="text1"/>
                <w:lang w:eastAsia="en-AU"/>
              </w:rPr>
              <w:t>Proportion of complaints or notifications received and assessed within 60</w:t>
            </w:r>
            <w:r>
              <w:rPr>
                <w:color w:val="000000" w:themeColor="text1"/>
                <w:lang w:eastAsia="en-AU"/>
              </w:rPr>
              <w:t> </w:t>
            </w:r>
            <w:r w:rsidRPr="00A475B8">
              <w:rPr>
                <w:color w:val="000000" w:themeColor="text1"/>
                <w:lang w:eastAsia="en-AU"/>
              </w:rPr>
              <w:t>days</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&gt;</w:t>
            </w:r>
            <w:r>
              <w:rPr>
                <w:color w:val="000000" w:themeColor="text1"/>
                <w:lang w:eastAsia="en-AU"/>
              </w:rPr>
              <w:t> </w:t>
            </w:r>
            <w:r w:rsidRPr="00A475B8">
              <w:rPr>
                <w:color w:val="000000" w:themeColor="text1"/>
                <w:lang w:eastAsia="en-AU"/>
              </w:rPr>
              <w:t>75.0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8B718B">
              <w:t>New performance measure for 2013</w:t>
            </w:r>
            <w:r w:rsidR="009F0F49">
              <w:noBreakHyphen/>
            </w:r>
            <w:r w:rsidRPr="008B718B">
              <w:t>14 reports against the timeliness of services provided directly to the community by IBAC.</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Proportion of IBAC investigations completed within 12</w:t>
            </w:r>
            <w:r>
              <w:rPr>
                <w:color w:val="000000" w:themeColor="text1"/>
                <w:lang w:eastAsia="en-AU"/>
              </w:rPr>
              <w:t> </w:t>
            </w:r>
            <w:r w:rsidRPr="00A475B8">
              <w:rPr>
                <w:color w:val="000000" w:themeColor="text1"/>
                <w:lang w:eastAsia="en-AU"/>
              </w:rPr>
              <w:t>months</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&gt;</w:t>
            </w:r>
            <w:r>
              <w:rPr>
                <w:color w:val="000000" w:themeColor="text1"/>
                <w:lang w:eastAsia="en-AU"/>
              </w:rPr>
              <w:t> </w:t>
            </w:r>
            <w:r w:rsidRPr="00A475B8">
              <w:rPr>
                <w:color w:val="000000" w:themeColor="text1"/>
                <w:lang w:eastAsia="en-AU"/>
              </w:rPr>
              <w:t>60.0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C07391">
              <w:t>New performance measure for 2013</w:t>
            </w:r>
            <w:r w:rsidR="009F0F49">
              <w:noBreakHyphen/>
            </w:r>
            <w:r w:rsidRPr="00C07391">
              <w:t>14 reports against the timeliness of services provided directly to the community by IBAC.</w:t>
            </w:r>
          </w:p>
        </w:tc>
      </w:tr>
      <w:tr w:rsidR="00B958B1" w:rsidRPr="00A475B8" w:rsidTr="009F3B54">
        <w:trPr>
          <w:cantSplit/>
        </w:trPr>
        <w:tc>
          <w:tcPr>
            <w:tcW w:w="3155" w:type="dxa"/>
            <w:tcBorders>
              <w:top w:val="nil"/>
              <w:left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Cost</w:t>
            </w:r>
          </w:p>
        </w:tc>
        <w:tc>
          <w:tcPr>
            <w:tcW w:w="907" w:type="dxa"/>
            <w:tcBorders>
              <w:top w:val="nil"/>
              <w:left w:val="nil"/>
              <w:right w:val="nil"/>
            </w:tcBorders>
            <w:shd w:val="clear" w:color="auto" w:fill="auto"/>
            <w:vAlign w:val="center"/>
            <w:hideMark/>
          </w:tcPr>
          <w:p w:rsidR="00B958B1" w:rsidRPr="00A475B8" w:rsidRDefault="00B958B1" w:rsidP="009F3B54">
            <w:pPr>
              <w:pStyle w:val="OGUoM"/>
              <w:rPr>
                <w:color w:val="000000" w:themeColor="text1"/>
                <w:lang w:eastAsia="en-AU"/>
              </w:rPr>
            </w:pPr>
            <w:r w:rsidRPr="00A475B8">
              <w:rPr>
                <w:color w:val="000000" w:themeColor="text1"/>
                <w:lang w:eastAsia="en-AU"/>
              </w:rPr>
              <w:t> </w:t>
            </w:r>
          </w:p>
        </w:tc>
        <w:tc>
          <w:tcPr>
            <w:tcW w:w="907" w:type="dxa"/>
            <w:tcBorders>
              <w:top w:val="nil"/>
              <w:left w:val="nil"/>
              <w:right w:val="nil"/>
            </w:tcBorders>
            <w:shd w:val="clear" w:color="auto" w:fill="D9D9D9"/>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nil"/>
              <w:left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nil"/>
              <w:left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2A22F7" w:rsidTr="009F3B54">
        <w:trPr>
          <w:cantSplit/>
        </w:trPr>
        <w:tc>
          <w:tcPr>
            <w:tcW w:w="3155" w:type="dxa"/>
            <w:tcBorders>
              <w:top w:val="nil"/>
              <w:left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Total output cost</w:t>
            </w:r>
          </w:p>
        </w:tc>
        <w:tc>
          <w:tcPr>
            <w:tcW w:w="907" w:type="dxa"/>
            <w:tcBorders>
              <w:top w:val="nil"/>
              <w:left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w:t>
            </w:r>
            <w:r>
              <w:rPr>
                <w:color w:val="000000" w:themeColor="text1"/>
                <w:lang w:eastAsia="en-AU"/>
              </w:rPr>
              <w:t> million</w:t>
            </w:r>
          </w:p>
        </w:tc>
        <w:tc>
          <w:tcPr>
            <w:tcW w:w="907" w:type="dxa"/>
            <w:tcBorders>
              <w:top w:val="nil"/>
              <w:left w:val="nil"/>
              <w:right w:val="nil"/>
            </w:tcBorders>
            <w:shd w:val="clear" w:color="auto" w:fill="D9D9D9"/>
            <w:hideMark/>
          </w:tcPr>
          <w:p w:rsidR="00B958B1" w:rsidRPr="005610D5" w:rsidRDefault="00B958B1" w:rsidP="009F3B54">
            <w:pPr>
              <w:pStyle w:val="OGTableofFigures"/>
              <w:rPr>
                <w:color w:val="000000" w:themeColor="text1"/>
                <w:lang w:eastAsia="en-AU"/>
              </w:rPr>
            </w:pPr>
            <w:r>
              <w:rPr>
                <w:color w:val="000000" w:themeColor="text1"/>
                <w:lang w:eastAsia="en-AU"/>
              </w:rPr>
              <w:t>48.8</w:t>
            </w:r>
          </w:p>
        </w:tc>
        <w:tc>
          <w:tcPr>
            <w:tcW w:w="993"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r>
              <w:rPr>
                <w:color w:val="000000" w:themeColor="text1"/>
                <w:lang w:eastAsia="en-AU"/>
              </w:rPr>
              <w:t>35.1</w:t>
            </w:r>
          </w:p>
        </w:tc>
        <w:tc>
          <w:tcPr>
            <w:tcW w:w="907" w:type="dxa"/>
            <w:tcBorders>
              <w:top w:val="nil"/>
              <w:left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34</w:t>
            </w:r>
            <w:r>
              <w:rPr>
                <w:color w:val="000000" w:themeColor="text1"/>
                <w:lang w:eastAsia="en-AU"/>
              </w:rPr>
              <w:t>.0</w:t>
            </w:r>
          </w:p>
        </w:tc>
        <w:tc>
          <w:tcPr>
            <w:tcW w:w="907" w:type="dxa"/>
            <w:tcBorders>
              <w:top w:val="nil"/>
              <w:left w:val="nil"/>
              <w:right w:val="nil"/>
            </w:tcBorders>
            <w:shd w:val="clear" w:color="auto" w:fill="auto"/>
            <w:hideMark/>
          </w:tcPr>
          <w:p w:rsidR="00B958B1" w:rsidRPr="002A22F7" w:rsidRDefault="00B958B1" w:rsidP="009F3B54">
            <w:pPr>
              <w:pStyle w:val="OGTableofFigures"/>
              <w:rPr>
                <w:lang w:eastAsia="en-AU"/>
              </w:rPr>
            </w:pPr>
            <w:r w:rsidRPr="002A22F7">
              <w:rPr>
                <w:lang w:eastAsia="en-AU"/>
              </w:rPr>
              <w:t>25.4</w:t>
            </w:r>
          </w:p>
        </w:tc>
      </w:tr>
      <w:tr w:rsidR="00B958B1" w:rsidRPr="005610D5" w:rsidTr="009F3B54">
        <w:trPr>
          <w:cantSplit/>
        </w:trPr>
        <w:tc>
          <w:tcPr>
            <w:tcW w:w="7776" w:type="dxa"/>
            <w:gridSpan w:val="6"/>
            <w:tcBorders>
              <w:left w:val="nil"/>
              <w:bottom w:val="single" w:sz="8" w:space="0" w:color="auto"/>
              <w:right w:val="nil"/>
            </w:tcBorders>
            <w:shd w:val="clear" w:color="auto" w:fill="auto"/>
            <w:vAlign w:val="center"/>
          </w:tcPr>
          <w:p w:rsidR="00B958B1" w:rsidRPr="005610D5" w:rsidRDefault="00B958B1" w:rsidP="009F3B54">
            <w:pPr>
              <w:pStyle w:val="OGNotes"/>
            </w:pPr>
            <w:r w:rsidRPr="005610D5">
              <w:t>The higher 2013</w:t>
            </w:r>
            <w:r w:rsidR="009F0F49">
              <w:noBreakHyphen/>
            </w:r>
            <w:r w:rsidRPr="005610D5">
              <w:t>14 Target reflects incremental funding for Victorian Integrity system reforms which had a phased start</w:t>
            </w:r>
            <w:r>
              <w:t>–</w:t>
            </w:r>
            <w:r w:rsidRPr="005610D5">
              <w:t>up during 2012</w:t>
            </w:r>
            <w:r w:rsidR="009F0F49">
              <w:noBreakHyphen/>
            </w:r>
            <w:r w:rsidRPr="005610D5">
              <w:t>13.</w:t>
            </w:r>
          </w:p>
        </w:tc>
      </w:tr>
      <w:tr w:rsidR="00B958B1" w:rsidRPr="00A475B8" w:rsidTr="009F3B54">
        <w:trPr>
          <w:cantSplit/>
        </w:trPr>
        <w:tc>
          <w:tcPr>
            <w:tcW w:w="7776" w:type="dxa"/>
            <w:gridSpan w:val="6"/>
            <w:tcBorders>
              <w:top w:val="nil"/>
              <w:left w:val="nil"/>
              <w:right w:val="nil"/>
            </w:tcBorders>
            <w:shd w:val="clear" w:color="auto" w:fill="auto"/>
            <w:vAlign w:val="center"/>
            <w:hideMark/>
          </w:tcPr>
          <w:p w:rsidR="00B958B1" w:rsidRPr="00A475B8" w:rsidRDefault="00B958B1" w:rsidP="009F3B54">
            <w:pPr>
              <w:pStyle w:val="OGHeading2"/>
              <w:rPr>
                <w:bCs/>
                <w:color w:val="000000" w:themeColor="text1"/>
                <w:lang w:eastAsia="en-AU"/>
              </w:rPr>
            </w:pPr>
            <w:r w:rsidRPr="00A475B8">
              <w:rPr>
                <w:color w:val="000000" w:themeColor="text1"/>
                <w:lang w:eastAsia="en-AU"/>
              </w:rPr>
              <w:t>Freedom of Information Commissioner</w:t>
            </w:r>
          </w:p>
        </w:tc>
      </w:tr>
      <w:tr w:rsidR="00B958B1" w:rsidRPr="00A475B8" w:rsidTr="009F3B54">
        <w:trPr>
          <w:cantSplit/>
        </w:trPr>
        <w:tc>
          <w:tcPr>
            <w:tcW w:w="7776" w:type="dxa"/>
            <w:gridSpan w:val="6"/>
            <w:tcBorders>
              <w:top w:val="nil"/>
              <w:left w:val="nil"/>
              <w:bottom w:val="single" w:sz="6" w:space="0" w:color="auto"/>
              <w:right w:val="nil"/>
            </w:tcBorders>
            <w:shd w:val="clear" w:color="auto" w:fill="auto"/>
            <w:vAlign w:val="center"/>
            <w:hideMark/>
          </w:tcPr>
          <w:p w:rsidR="00B958B1" w:rsidRPr="00A475B8" w:rsidRDefault="00B958B1" w:rsidP="009F3B54">
            <w:pPr>
              <w:pStyle w:val="OGText"/>
              <w:rPr>
                <w:lang w:eastAsia="en-AU"/>
              </w:rPr>
            </w:pPr>
            <w:r w:rsidRPr="00A475B8">
              <w:rPr>
                <w:lang w:eastAsia="en-AU"/>
              </w:rPr>
              <w:t xml:space="preserve">This output involves activities conducted by the Freedom of Information (FOI) Commissioner. The FOI Commissioner works to enhance Victorian government openness, transparency and access to information. </w:t>
            </w:r>
          </w:p>
          <w:p w:rsidR="00B958B1" w:rsidRPr="00A475B8" w:rsidRDefault="002951DE" w:rsidP="009F3B54">
            <w:pPr>
              <w:pStyle w:val="OGText"/>
              <w:rPr>
                <w:lang w:eastAsia="en-AU"/>
              </w:rPr>
            </w:pPr>
            <w:hyperlink r:id="rId27" w:history="1">
              <w:r w:rsidR="00B958B1" w:rsidRPr="00A475B8">
                <w:rPr>
                  <w:lang w:eastAsia="en-AU"/>
                </w:rPr>
                <w:t xml:space="preserve">The Commissioner plays an important role in promoting the object and operation of the </w:t>
              </w:r>
              <w:r w:rsidR="00B958B1" w:rsidRPr="00E247A5">
                <w:rPr>
                  <w:i/>
                  <w:lang w:eastAsia="en-AU"/>
                </w:rPr>
                <w:t>Freedom of Information Act 1982</w:t>
              </w:r>
              <w:r w:rsidR="00B958B1" w:rsidRPr="00A475B8">
                <w:rPr>
                  <w:lang w:eastAsia="en-AU"/>
                </w:rPr>
                <w:t>, reviewing FOI decisions, handling FOI complaints, monitoring compliance with the Act and providing advice, education and guidance to the public and agencies in relation to the Commissioner’s functions and any professional standards set by the Minister.</w:t>
              </w:r>
            </w:hyperlink>
          </w:p>
          <w:p w:rsidR="00B958B1" w:rsidRPr="008354EF" w:rsidRDefault="00B958B1" w:rsidP="009F3B54">
            <w:pPr>
              <w:pStyle w:val="OGText"/>
              <w:rPr>
                <w:i/>
              </w:rPr>
            </w:pPr>
            <w:r w:rsidRPr="008354EF">
              <w:rPr>
                <w:i/>
              </w:rPr>
              <w:t>The office of the FOI Commissioner became operational on 1 December 2012. Therefore, the performance results are for a part of the 2012</w:t>
            </w:r>
            <w:r w:rsidR="009F0F49">
              <w:rPr>
                <w:i/>
              </w:rPr>
              <w:noBreakHyphen/>
            </w:r>
            <w:r w:rsidRPr="008354EF">
              <w:rPr>
                <w:i/>
              </w:rPr>
              <w:t>13 reporting period only.</w:t>
            </w:r>
          </w:p>
          <w:p w:rsidR="00B958B1" w:rsidRPr="00A475B8" w:rsidRDefault="00B958B1" w:rsidP="009F3B54">
            <w:pPr>
              <w:pStyle w:val="OGText"/>
              <w:rPr>
                <w:lang w:eastAsia="en-AU"/>
              </w:rPr>
            </w:pPr>
            <w:r w:rsidRPr="008354EF">
              <w:rPr>
                <w:i/>
              </w:rPr>
              <w:t>These performance measures have been transferred directly from the ‘Protecting Community Rights’ output.</w:t>
            </w:r>
          </w:p>
        </w:tc>
      </w:tr>
      <w:tr w:rsidR="00B958B1" w:rsidRPr="00A475B8" w:rsidTr="009F3B54">
        <w:trPr>
          <w:cantSplit/>
        </w:trPr>
        <w:tc>
          <w:tcPr>
            <w:tcW w:w="3155"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Quantity</w:t>
            </w:r>
          </w:p>
        </w:tc>
        <w:tc>
          <w:tcPr>
            <w:tcW w:w="907" w:type="dxa"/>
            <w:tcBorders>
              <w:top w:val="single" w:sz="6" w:space="0" w:color="auto"/>
              <w:left w:val="nil"/>
              <w:bottom w:val="nil"/>
              <w:right w:val="nil"/>
            </w:tcBorders>
            <w:shd w:val="clear" w:color="auto" w:fill="auto"/>
            <w:vAlign w:val="center"/>
            <w:hideMark/>
          </w:tcPr>
          <w:p w:rsidR="00B958B1" w:rsidRPr="00A475B8" w:rsidRDefault="00B958B1" w:rsidP="009F3B54">
            <w:pPr>
              <w:pStyle w:val="OGUoM"/>
              <w:rPr>
                <w:color w:val="000000" w:themeColor="text1"/>
                <w:lang w:eastAsia="en-AU"/>
              </w:rPr>
            </w:pPr>
          </w:p>
        </w:tc>
        <w:tc>
          <w:tcPr>
            <w:tcW w:w="907" w:type="dxa"/>
            <w:tcBorders>
              <w:top w:val="single" w:sz="6" w:space="0" w:color="auto"/>
              <w:left w:val="nil"/>
              <w:bottom w:val="nil"/>
              <w:right w:val="nil"/>
            </w:tcBorders>
            <w:shd w:val="clear" w:color="auto" w:fill="D9D9D9"/>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c>
          <w:tcPr>
            <w:tcW w:w="907"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c>
          <w:tcPr>
            <w:tcW w:w="907" w:type="dxa"/>
            <w:tcBorders>
              <w:top w:val="single" w:sz="6" w:space="0" w:color="auto"/>
              <w:left w:val="nil"/>
              <w:bottom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Reviews completed by FOI Commissioner</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400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155</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13 Expected Outcome Is lower than the 2012</w:t>
            </w:r>
            <w:r w:rsidR="009F0F49">
              <w:noBreakHyphen/>
            </w:r>
            <w:r w:rsidRPr="00A475B8">
              <w:t xml:space="preserve">13 Target due to a lower </w:t>
            </w:r>
            <w:r>
              <w:t xml:space="preserve">than anticipated </w:t>
            </w:r>
            <w:r w:rsidRPr="00A475B8">
              <w:t>number of review requests received during the first three months of operation</w:t>
            </w:r>
            <w:r>
              <w:t xml:space="preserve">s. </w:t>
            </w:r>
            <w:r w:rsidRPr="00A475B8">
              <w:t>The higher 2013</w:t>
            </w:r>
            <w:r w:rsidR="009F0F49">
              <w:noBreakHyphen/>
            </w:r>
            <w:r w:rsidRPr="00A475B8">
              <w:t>14 Target reflects the anticipated level of activity for a full year, post establishment.</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 xml:space="preserve">Complaints completed by FOI Commissioner </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150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96</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higher 2013</w:t>
            </w:r>
            <w:r w:rsidR="009F0F49">
              <w:noBreakHyphen/>
            </w:r>
            <w:r w:rsidRPr="00A475B8">
              <w:t>14 Target reflects the anticipated level of activity post establishment.</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175147">
            <w:pPr>
              <w:pStyle w:val="OGTabText"/>
              <w:rPr>
                <w:color w:val="000000" w:themeColor="text1"/>
                <w:lang w:eastAsia="en-AU"/>
              </w:rPr>
            </w:pPr>
            <w:r w:rsidRPr="00A475B8">
              <w:rPr>
                <w:color w:val="000000" w:themeColor="text1"/>
                <w:lang w:eastAsia="en-AU"/>
              </w:rPr>
              <w:t>Education and training activities delivered by FOI Commissioner</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number</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20</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35</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20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13 Expected Outcome is higher than the 2012</w:t>
            </w:r>
            <w:r w:rsidR="009F0F49">
              <w:noBreakHyphen/>
            </w:r>
            <w:r w:rsidRPr="00A475B8">
              <w:t xml:space="preserve">13 Target as education and training was </w:t>
            </w:r>
            <w:r w:rsidRPr="00390EE0">
              <w:t>a major</w:t>
            </w:r>
            <w:r w:rsidRPr="00A475B8">
              <w:t xml:space="preserve"> focus of activities in the successful establishment of the new regime and educating agencies and applicants. </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Quality</w:t>
            </w: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UoM"/>
              <w:rPr>
                <w:color w:val="000000" w:themeColor="text1"/>
                <w:lang w:eastAsia="en-AU"/>
              </w:rPr>
            </w:pPr>
            <w:r w:rsidRPr="00A475B8">
              <w:rPr>
                <w:color w:val="000000" w:themeColor="text1"/>
                <w:lang w:eastAsia="en-AU"/>
              </w:rPr>
              <w:t> </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A475B8" w:rsidTr="009F3B54">
        <w:trPr>
          <w:cantSplit/>
        </w:trPr>
        <w:tc>
          <w:tcPr>
            <w:tcW w:w="3155" w:type="dxa"/>
            <w:tcBorders>
              <w:top w:val="nil"/>
              <w:left w:val="nil"/>
              <w:bottom w:val="single" w:sz="8" w:space="0" w:color="auto"/>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 xml:space="preserve">Satisfaction with services performed (FOI Commissioner) </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level</w:t>
            </w:r>
          </w:p>
        </w:tc>
        <w:tc>
          <w:tcPr>
            <w:tcW w:w="907" w:type="dxa"/>
            <w:tcBorders>
              <w:top w:val="nil"/>
              <w:left w:val="nil"/>
              <w:bottom w:val="single" w:sz="8" w:space="0" w:color="auto"/>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high</w:t>
            </w:r>
          </w:p>
        </w:tc>
        <w:tc>
          <w:tcPr>
            <w:tcW w:w="993"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high</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high</w:t>
            </w:r>
          </w:p>
        </w:tc>
        <w:tc>
          <w:tcPr>
            <w:tcW w:w="907" w:type="dxa"/>
            <w:tcBorders>
              <w:top w:val="nil"/>
              <w:left w:val="nil"/>
              <w:bottom w:val="single" w:sz="8" w:space="0" w:color="auto"/>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175147">
            <w:pPr>
              <w:pStyle w:val="OGTabHead"/>
              <w:pageBreakBefore/>
              <w:rPr>
                <w:lang w:eastAsia="en-AU"/>
              </w:rPr>
            </w:pPr>
            <w:r w:rsidRPr="0016616A">
              <w:rPr>
                <w:iCs/>
                <w:color w:val="000000" w:themeColor="text1"/>
                <w:lang w:eastAsia="en-AU"/>
              </w:rPr>
              <w:t>Timeliness</w:t>
            </w:r>
          </w:p>
        </w:tc>
        <w:tc>
          <w:tcPr>
            <w:tcW w:w="907" w:type="dxa"/>
            <w:tcBorders>
              <w:top w:val="nil"/>
              <w:left w:val="nil"/>
              <w:bottom w:val="nil"/>
              <w:right w:val="nil"/>
            </w:tcBorders>
            <w:shd w:val="clear" w:color="auto" w:fill="auto"/>
            <w:vAlign w:val="center"/>
            <w:hideMark/>
          </w:tcPr>
          <w:p w:rsidR="00B958B1" w:rsidRPr="00A475B8" w:rsidRDefault="00B958B1" w:rsidP="009F3B54">
            <w:pPr>
              <w:pStyle w:val="OGUoM"/>
              <w:rPr>
                <w:color w:val="000000" w:themeColor="text1"/>
                <w:lang w:eastAsia="en-AU"/>
              </w:rPr>
            </w:pP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Text"/>
              <w:rPr>
                <w:color w:val="000000" w:themeColor="text1"/>
                <w:lang w:eastAsia="en-AU"/>
              </w:rPr>
            </w:pPr>
            <w:r w:rsidRPr="00A475B8">
              <w:rPr>
                <w:color w:val="000000" w:themeColor="text1"/>
                <w:lang w:eastAsia="en-AU"/>
              </w:rPr>
              <w:t>Statutory and other agreed timelines met (FOI Commissioner)</w:t>
            </w:r>
          </w:p>
        </w:tc>
        <w:tc>
          <w:tcPr>
            <w:tcW w:w="907" w:type="dxa"/>
            <w:tcBorders>
              <w:top w:val="nil"/>
              <w:left w:val="nil"/>
              <w:bottom w:val="nil"/>
              <w:right w:val="nil"/>
            </w:tcBorders>
            <w:shd w:val="clear" w:color="auto" w:fill="auto"/>
            <w:hideMark/>
          </w:tcPr>
          <w:p w:rsidR="00B958B1" w:rsidRPr="00A475B8" w:rsidRDefault="00B958B1" w:rsidP="009F3B54">
            <w:pPr>
              <w:pStyle w:val="OGUoM"/>
              <w:rPr>
                <w:color w:val="000000" w:themeColor="text1"/>
                <w:lang w:eastAsia="en-AU"/>
              </w:rPr>
            </w:pPr>
            <w:r w:rsidRPr="00A475B8">
              <w:rPr>
                <w:color w:val="000000" w:themeColor="text1"/>
                <w:lang w:eastAsia="en-AU"/>
              </w:rPr>
              <w:t>per cent</w:t>
            </w:r>
          </w:p>
        </w:tc>
        <w:tc>
          <w:tcPr>
            <w:tcW w:w="907" w:type="dxa"/>
            <w:tcBorders>
              <w:top w:val="nil"/>
              <w:left w:val="nil"/>
              <w:bottom w:val="nil"/>
              <w:right w:val="nil"/>
            </w:tcBorders>
            <w:shd w:val="clear" w:color="auto" w:fill="D9D9D9"/>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100</w:t>
            </w:r>
          </w:p>
        </w:tc>
        <w:tc>
          <w:tcPr>
            <w:tcW w:w="993" w:type="dxa"/>
            <w:tcBorders>
              <w:top w:val="nil"/>
              <w:left w:val="nil"/>
              <w:bottom w:val="nil"/>
              <w:right w:val="nil"/>
            </w:tcBorders>
            <w:shd w:val="clear" w:color="auto" w:fill="auto"/>
            <w:hideMark/>
          </w:tcPr>
          <w:p w:rsidR="00B958B1" w:rsidRPr="00390EE0" w:rsidRDefault="00B958B1" w:rsidP="009F3B54">
            <w:pPr>
              <w:pStyle w:val="OGTableofFigures"/>
              <w:rPr>
                <w:color w:val="000000" w:themeColor="text1"/>
                <w:lang w:eastAsia="en-AU"/>
              </w:rPr>
            </w:pPr>
            <w:r w:rsidRPr="00390EE0">
              <w:rPr>
                <w:color w:val="000000" w:themeColor="text1"/>
                <w:lang w:eastAsia="en-AU"/>
              </w:rPr>
              <w:t>85</w:t>
            </w:r>
          </w:p>
        </w:tc>
        <w:tc>
          <w:tcPr>
            <w:tcW w:w="907" w:type="dxa"/>
            <w:tcBorders>
              <w:top w:val="nil"/>
              <w:left w:val="nil"/>
              <w:bottom w:val="nil"/>
              <w:right w:val="nil"/>
            </w:tcBorders>
            <w:shd w:val="clear" w:color="auto" w:fill="auto"/>
            <w:hideMark/>
          </w:tcPr>
          <w:p w:rsidR="00B958B1" w:rsidRPr="00390EE0" w:rsidRDefault="00B958B1" w:rsidP="009F3B54">
            <w:pPr>
              <w:pStyle w:val="OGTableofFigures"/>
              <w:rPr>
                <w:color w:val="000000" w:themeColor="text1"/>
                <w:lang w:eastAsia="en-AU"/>
              </w:rPr>
            </w:pPr>
            <w:r w:rsidRPr="00390EE0">
              <w:rPr>
                <w:color w:val="000000" w:themeColor="text1"/>
                <w:lang w:eastAsia="en-AU"/>
              </w:rPr>
              <w:t>100</w:t>
            </w:r>
          </w:p>
        </w:tc>
        <w:tc>
          <w:tcPr>
            <w:tcW w:w="907" w:type="dxa"/>
            <w:tcBorders>
              <w:top w:val="nil"/>
              <w:left w:val="nil"/>
              <w:bottom w:val="nil"/>
              <w:right w:val="nil"/>
            </w:tcBorders>
            <w:shd w:val="clear" w:color="auto" w:fill="auto"/>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nm</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The 2012</w:t>
            </w:r>
            <w:r w:rsidR="009F0F49">
              <w:noBreakHyphen/>
            </w:r>
            <w:r w:rsidRPr="00A475B8">
              <w:t>13 Expected Outcome is lower than the 2012</w:t>
            </w:r>
            <w:r w:rsidR="009F0F49">
              <w:noBreakHyphen/>
            </w:r>
            <w:r w:rsidRPr="00A475B8">
              <w:t>13 Target due to additional time required to educate applicants and agencies in the requirements of the new regime and the review of some matters being more complex than anticipated.</w:t>
            </w:r>
          </w:p>
        </w:tc>
      </w:tr>
      <w:tr w:rsidR="00B958B1" w:rsidRPr="00A475B8" w:rsidTr="00175147">
        <w:trPr>
          <w:cantSplit/>
        </w:trPr>
        <w:tc>
          <w:tcPr>
            <w:tcW w:w="3155" w:type="dxa"/>
            <w:tcBorders>
              <w:top w:val="nil"/>
              <w:left w:val="nil"/>
              <w:right w:val="nil"/>
            </w:tcBorders>
            <w:shd w:val="clear" w:color="auto" w:fill="auto"/>
            <w:vAlign w:val="center"/>
            <w:hideMark/>
          </w:tcPr>
          <w:p w:rsidR="00B958B1" w:rsidRPr="00A475B8" w:rsidRDefault="00B958B1" w:rsidP="009F3B54">
            <w:pPr>
              <w:pStyle w:val="OGTabHead"/>
              <w:rPr>
                <w:color w:val="000000" w:themeColor="text1"/>
                <w:lang w:eastAsia="en-AU"/>
              </w:rPr>
            </w:pPr>
            <w:r w:rsidRPr="00A475B8">
              <w:rPr>
                <w:iCs/>
                <w:color w:val="000000" w:themeColor="text1"/>
                <w:lang w:eastAsia="en-AU"/>
              </w:rPr>
              <w:t>Cost</w:t>
            </w:r>
          </w:p>
        </w:tc>
        <w:tc>
          <w:tcPr>
            <w:tcW w:w="907" w:type="dxa"/>
            <w:tcBorders>
              <w:top w:val="nil"/>
              <w:left w:val="nil"/>
              <w:right w:val="nil"/>
            </w:tcBorders>
            <w:shd w:val="clear" w:color="auto" w:fill="auto"/>
            <w:vAlign w:val="center"/>
            <w:hideMark/>
          </w:tcPr>
          <w:p w:rsidR="00B958B1" w:rsidRPr="00A475B8" w:rsidRDefault="00B958B1" w:rsidP="009F3B54">
            <w:pPr>
              <w:pStyle w:val="OGUoM"/>
              <w:rPr>
                <w:color w:val="000000" w:themeColor="text1"/>
                <w:lang w:eastAsia="en-AU"/>
              </w:rPr>
            </w:pPr>
            <w:r w:rsidRPr="00A475B8">
              <w:rPr>
                <w:color w:val="000000" w:themeColor="text1"/>
                <w:lang w:eastAsia="en-AU"/>
              </w:rPr>
              <w:t> </w:t>
            </w:r>
          </w:p>
        </w:tc>
        <w:tc>
          <w:tcPr>
            <w:tcW w:w="907" w:type="dxa"/>
            <w:tcBorders>
              <w:top w:val="nil"/>
              <w:left w:val="nil"/>
              <w:right w:val="nil"/>
            </w:tcBorders>
            <w:shd w:val="clear" w:color="auto" w:fill="D9D9D9"/>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93" w:type="dxa"/>
            <w:tcBorders>
              <w:top w:val="nil"/>
              <w:left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nil"/>
              <w:left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c>
          <w:tcPr>
            <w:tcW w:w="907" w:type="dxa"/>
            <w:tcBorders>
              <w:top w:val="nil"/>
              <w:left w:val="nil"/>
              <w:right w:val="nil"/>
            </w:tcBorders>
            <w:shd w:val="clear" w:color="auto" w:fill="auto"/>
            <w:vAlign w:val="center"/>
            <w:hideMark/>
          </w:tcPr>
          <w:p w:rsidR="00B958B1" w:rsidRPr="00A475B8" w:rsidRDefault="00B958B1" w:rsidP="009F3B54">
            <w:pPr>
              <w:pStyle w:val="OGTableofFigures"/>
              <w:rPr>
                <w:color w:val="000000" w:themeColor="text1"/>
                <w:lang w:eastAsia="en-AU"/>
              </w:rPr>
            </w:pPr>
            <w:r w:rsidRPr="00A475B8">
              <w:rPr>
                <w:color w:val="000000" w:themeColor="text1"/>
                <w:lang w:eastAsia="en-AU"/>
              </w:rPr>
              <w:t> </w:t>
            </w:r>
          </w:p>
        </w:tc>
      </w:tr>
      <w:tr w:rsidR="00B958B1" w:rsidRPr="004A330D" w:rsidTr="00175147">
        <w:trPr>
          <w:cantSplit/>
        </w:trPr>
        <w:tc>
          <w:tcPr>
            <w:tcW w:w="3155" w:type="dxa"/>
            <w:tcBorders>
              <w:top w:val="nil"/>
              <w:left w:val="nil"/>
              <w:bottom w:val="single" w:sz="12" w:space="0" w:color="auto"/>
              <w:right w:val="nil"/>
            </w:tcBorders>
            <w:shd w:val="clear" w:color="auto" w:fill="auto"/>
            <w:vAlign w:val="center"/>
            <w:hideMark/>
          </w:tcPr>
          <w:p w:rsidR="00B958B1" w:rsidRPr="004A330D" w:rsidRDefault="00B958B1" w:rsidP="009F3B54">
            <w:pPr>
              <w:pStyle w:val="OGTabText"/>
              <w:rPr>
                <w:lang w:eastAsia="en-AU"/>
              </w:rPr>
            </w:pPr>
            <w:r w:rsidRPr="004A330D">
              <w:rPr>
                <w:lang w:eastAsia="en-AU"/>
              </w:rPr>
              <w:t>Total output cost</w:t>
            </w:r>
          </w:p>
        </w:tc>
        <w:tc>
          <w:tcPr>
            <w:tcW w:w="907" w:type="dxa"/>
            <w:tcBorders>
              <w:top w:val="nil"/>
              <w:left w:val="nil"/>
              <w:bottom w:val="single" w:sz="12" w:space="0" w:color="auto"/>
              <w:right w:val="nil"/>
            </w:tcBorders>
            <w:shd w:val="clear" w:color="auto" w:fill="auto"/>
            <w:hideMark/>
          </w:tcPr>
          <w:p w:rsidR="00B958B1" w:rsidRPr="004A330D" w:rsidRDefault="00B958B1" w:rsidP="009F3B54">
            <w:pPr>
              <w:pStyle w:val="OGUoM"/>
              <w:rPr>
                <w:lang w:eastAsia="en-AU"/>
              </w:rPr>
            </w:pPr>
            <w:r w:rsidRPr="004A330D">
              <w:rPr>
                <w:lang w:eastAsia="en-AU"/>
              </w:rPr>
              <w:t>$</w:t>
            </w:r>
            <w:r>
              <w:rPr>
                <w:lang w:eastAsia="en-AU"/>
              </w:rPr>
              <w:t> million</w:t>
            </w:r>
          </w:p>
        </w:tc>
        <w:tc>
          <w:tcPr>
            <w:tcW w:w="907" w:type="dxa"/>
            <w:tcBorders>
              <w:top w:val="nil"/>
              <w:left w:val="nil"/>
              <w:bottom w:val="single" w:sz="12" w:space="0" w:color="auto"/>
              <w:right w:val="nil"/>
            </w:tcBorders>
            <w:shd w:val="clear" w:color="auto" w:fill="D9D9D9"/>
            <w:hideMark/>
          </w:tcPr>
          <w:p w:rsidR="00B958B1" w:rsidRPr="004A330D" w:rsidRDefault="00B958B1" w:rsidP="009F3B54">
            <w:pPr>
              <w:pStyle w:val="OGTableofFigures"/>
              <w:rPr>
                <w:lang w:eastAsia="en-AU"/>
              </w:rPr>
            </w:pPr>
            <w:r w:rsidRPr="004A330D">
              <w:rPr>
                <w:lang w:eastAsia="en-AU"/>
              </w:rPr>
              <w:t>3.5</w:t>
            </w:r>
          </w:p>
        </w:tc>
        <w:tc>
          <w:tcPr>
            <w:tcW w:w="993" w:type="dxa"/>
            <w:tcBorders>
              <w:top w:val="nil"/>
              <w:left w:val="nil"/>
              <w:bottom w:val="single" w:sz="12" w:space="0" w:color="auto"/>
              <w:right w:val="nil"/>
            </w:tcBorders>
            <w:shd w:val="clear" w:color="auto" w:fill="auto"/>
            <w:hideMark/>
          </w:tcPr>
          <w:p w:rsidR="00B958B1" w:rsidRPr="004A330D" w:rsidRDefault="00B958B1" w:rsidP="009F3B54">
            <w:pPr>
              <w:pStyle w:val="OGTableofFigures"/>
              <w:rPr>
                <w:lang w:eastAsia="en-AU"/>
              </w:rPr>
            </w:pPr>
            <w:r>
              <w:rPr>
                <w:lang w:eastAsia="en-AU"/>
              </w:rPr>
              <w:t>nm</w:t>
            </w:r>
          </w:p>
        </w:tc>
        <w:tc>
          <w:tcPr>
            <w:tcW w:w="907" w:type="dxa"/>
            <w:tcBorders>
              <w:top w:val="nil"/>
              <w:left w:val="nil"/>
              <w:bottom w:val="single" w:sz="12" w:space="0" w:color="auto"/>
              <w:right w:val="nil"/>
            </w:tcBorders>
            <w:shd w:val="clear" w:color="auto" w:fill="auto"/>
            <w:hideMark/>
          </w:tcPr>
          <w:p w:rsidR="00B958B1" w:rsidRPr="004A330D" w:rsidRDefault="00B958B1" w:rsidP="009F3B54">
            <w:pPr>
              <w:pStyle w:val="OGTableofFigures"/>
              <w:rPr>
                <w:lang w:eastAsia="en-AU"/>
              </w:rPr>
            </w:pPr>
            <w:r w:rsidRPr="004A330D">
              <w:rPr>
                <w:lang w:eastAsia="en-AU"/>
              </w:rPr>
              <w:t>nm</w:t>
            </w:r>
          </w:p>
        </w:tc>
        <w:tc>
          <w:tcPr>
            <w:tcW w:w="907" w:type="dxa"/>
            <w:tcBorders>
              <w:top w:val="nil"/>
              <w:left w:val="nil"/>
              <w:bottom w:val="single" w:sz="12" w:space="0" w:color="auto"/>
              <w:right w:val="nil"/>
            </w:tcBorders>
            <w:shd w:val="clear" w:color="auto" w:fill="auto"/>
            <w:hideMark/>
          </w:tcPr>
          <w:p w:rsidR="00B958B1" w:rsidRPr="004A330D" w:rsidRDefault="00B958B1" w:rsidP="009F3B54">
            <w:pPr>
              <w:pStyle w:val="OGTableofFigures"/>
              <w:rPr>
                <w:lang w:eastAsia="en-AU"/>
              </w:rPr>
            </w:pPr>
            <w:r w:rsidRPr="004A330D">
              <w:rPr>
                <w:lang w:eastAsia="en-AU"/>
              </w:rPr>
              <w:t>nm</w:t>
            </w:r>
          </w:p>
        </w:tc>
      </w:tr>
    </w:tbl>
    <w:bookmarkEnd w:id="129"/>
    <w:p w:rsidR="00B958B1" w:rsidRDefault="00B958B1" w:rsidP="009F3B54">
      <w:pPr>
        <w:pStyle w:val="Source"/>
      </w:pPr>
      <w:r>
        <w:t>Source: Department of Justice</w:t>
      </w:r>
    </w:p>
    <w:p w:rsidR="00B958B1" w:rsidRPr="004A330D" w:rsidRDefault="00B958B1" w:rsidP="009F3B54">
      <w:pPr>
        <w:pStyle w:val="Source"/>
        <w:rPr>
          <w:lang w:eastAsia="en-AU"/>
        </w:rPr>
      </w:pPr>
      <w:r>
        <w:rPr>
          <w:lang w:eastAsia="en-AU"/>
        </w:rPr>
        <w:fldChar w:fldCharType="begin"/>
      </w:r>
      <w:r>
        <w:instrText xml:space="preserve"> XE "</w:instrText>
      </w:r>
      <w:r w:rsidRPr="00DD6D28">
        <w:instrText>Department of Justice:Public Sector Integrity</w:instrText>
      </w:r>
      <w:r>
        <w:instrText xml:space="preserve">" \r "BP3DOJPubSectIntegrity" </w:instrText>
      </w:r>
      <w:r>
        <w:rPr>
          <w:lang w:eastAsia="en-AU"/>
        </w:rPr>
        <w:fldChar w:fldCharType="end"/>
      </w:r>
    </w:p>
    <w:p w:rsidR="00B958B1" w:rsidRPr="00A475B8" w:rsidRDefault="00B958B1" w:rsidP="009F3B54">
      <w:pPr>
        <w:rPr>
          <w:lang w:eastAsia="en-AU"/>
        </w:rPr>
      </w:pPr>
    </w:p>
    <w:p w:rsidR="00B958B1" w:rsidRDefault="00B958B1" w:rsidP="00497606"/>
    <w:p w:rsidR="00B958B1" w:rsidRDefault="00B958B1" w:rsidP="00C45CC5">
      <w:pPr>
        <w:sectPr w:rsidR="00B958B1" w:rsidSect="004B42A1">
          <w:footerReference w:type="even" r:id="rId28"/>
          <w:footerReference w:type="default" r:id="rId29"/>
          <w:pgSz w:w="9979" w:h="14181" w:code="138"/>
          <w:pgMar w:top="1138" w:right="1138" w:bottom="1138" w:left="1138" w:header="720" w:footer="720" w:gutter="0"/>
          <w:cols w:space="708"/>
          <w:docGrid w:linePitch="360"/>
        </w:sectPr>
      </w:pPr>
    </w:p>
    <w:p w:rsidR="00B958B1" w:rsidRDefault="00B958B1" w:rsidP="009F3B54">
      <w:pPr>
        <w:pStyle w:val="Heading1"/>
      </w:pPr>
      <w:bookmarkStart w:id="130" w:name="_Toc355107721"/>
      <w:bookmarkStart w:id="131" w:name="_Toc355362285"/>
      <w:r>
        <w:t>Department of Premier and Cabinet</w:t>
      </w:r>
      <w:bookmarkEnd w:id="130"/>
      <w:bookmarkEnd w:id="131"/>
    </w:p>
    <w:p w:rsidR="00B958B1" w:rsidRDefault="00B958B1" w:rsidP="009F3B54">
      <w:pPr>
        <w:pStyle w:val="Heading2"/>
      </w:pPr>
      <w:r>
        <w:t>Ministerial portfolios</w:t>
      </w:r>
    </w:p>
    <w:p w:rsidR="00B958B1" w:rsidRDefault="00B958B1" w:rsidP="009F3B54">
      <w:r>
        <w:t>The Department supports the ministerial portfolios of the Premier, Arts, Multicultural Affairs and Citizenship, Aboriginal Affairs and Veterans’ Affairs.</w:t>
      </w:r>
    </w:p>
    <w:p w:rsidR="00B958B1" w:rsidRDefault="00B958B1" w:rsidP="009F3B54">
      <w:pPr>
        <w:pStyle w:val="Heading2"/>
      </w:pPr>
      <w:r>
        <w:t>Departmental mission statement</w:t>
      </w:r>
    </w:p>
    <w:p w:rsidR="00B958B1" w:rsidRDefault="00B958B1" w:rsidP="009F3B54">
      <w:r>
        <w:t>The Department of Premier and Cabinet’s mission is to display exemplary leadership and innovation to support the Victorian Government in achieving strong public policy and service delivery outcomes for all Victorians.</w:t>
      </w:r>
    </w:p>
    <w:p w:rsidR="00B958B1" w:rsidRDefault="00B958B1" w:rsidP="009F3B54">
      <w:pPr>
        <w:pStyle w:val="Heading2"/>
      </w:pPr>
      <w:r>
        <w:t>Departmental objectives, indicators, and outputs</w:t>
      </w:r>
    </w:p>
    <w:p w:rsidR="00B958B1" w:rsidRDefault="00B958B1" w:rsidP="009F3B54">
      <w:r>
        <w:t>The Department of Premier and Cabinet’s objectives, indicators, and linked outputs are:</w:t>
      </w:r>
    </w:p>
    <w:tbl>
      <w:tblPr>
        <w:tblW w:w="7776" w:type="dxa"/>
        <w:tblInd w:w="29" w:type="dxa"/>
        <w:tblBorders>
          <w:bottom w:val="single" w:sz="12" w:space="0" w:color="auto"/>
          <w:insideH w:val="single" w:sz="6" w:space="0" w:color="auto"/>
        </w:tblBorders>
        <w:tblLayout w:type="fixed"/>
        <w:tblCellMar>
          <w:left w:w="43" w:type="dxa"/>
          <w:right w:w="43" w:type="dxa"/>
        </w:tblCellMar>
        <w:tblLook w:val="04A0" w:firstRow="1" w:lastRow="0" w:firstColumn="1" w:lastColumn="0" w:noHBand="0" w:noVBand="1"/>
      </w:tblPr>
      <w:tblGrid>
        <w:gridCol w:w="2592"/>
        <w:gridCol w:w="2592"/>
        <w:gridCol w:w="2592"/>
      </w:tblGrid>
      <w:tr w:rsidR="00B958B1" w:rsidTr="009F3B54">
        <w:trPr>
          <w:cantSplit/>
          <w:tblHeader/>
        </w:trPr>
        <w:tc>
          <w:tcPr>
            <w:tcW w:w="2592" w:type="dxa"/>
            <w:shd w:val="clear" w:color="auto" w:fill="000000"/>
          </w:tcPr>
          <w:p w:rsidR="00B958B1" w:rsidRPr="00975E17" w:rsidRDefault="00B958B1" w:rsidP="009F3B54">
            <w:pPr>
              <w:pStyle w:val="TabletextheadingLeft0"/>
            </w:pPr>
            <w:r w:rsidRPr="00975E17">
              <w:t>Departmental objectives</w:t>
            </w:r>
          </w:p>
        </w:tc>
        <w:tc>
          <w:tcPr>
            <w:tcW w:w="2592" w:type="dxa"/>
            <w:shd w:val="clear" w:color="auto" w:fill="000000"/>
          </w:tcPr>
          <w:p w:rsidR="00B958B1" w:rsidRPr="00975E17" w:rsidRDefault="00B958B1" w:rsidP="009F3B54">
            <w:pPr>
              <w:pStyle w:val="TabletextheadingLeft0"/>
            </w:pPr>
            <w:r w:rsidRPr="00975E17">
              <w:t>Indicators</w:t>
            </w:r>
          </w:p>
        </w:tc>
        <w:tc>
          <w:tcPr>
            <w:tcW w:w="2592" w:type="dxa"/>
            <w:shd w:val="clear" w:color="auto" w:fill="000000"/>
          </w:tcPr>
          <w:p w:rsidR="00B958B1" w:rsidRPr="00975E17" w:rsidRDefault="00B958B1" w:rsidP="009F3B54">
            <w:pPr>
              <w:pStyle w:val="TabletextheadingLeft0"/>
            </w:pPr>
            <w:r w:rsidRPr="00975E17">
              <w:t>Outputs</w:t>
            </w:r>
          </w:p>
        </w:tc>
      </w:tr>
      <w:tr w:rsidR="00B958B1" w:rsidTr="009F3B54">
        <w:trPr>
          <w:cantSplit/>
        </w:trPr>
        <w:tc>
          <w:tcPr>
            <w:tcW w:w="2592" w:type="dxa"/>
            <w:tcBorders>
              <w:bottom w:val="single" w:sz="6" w:space="0" w:color="auto"/>
            </w:tcBorders>
            <w:shd w:val="clear" w:color="auto" w:fill="auto"/>
          </w:tcPr>
          <w:p w:rsidR="00B958B1" w:rsidRPr="000B58D1" w:rsidRDefault="00B958B1" w:rsidP="009F3B54">
            <w:pPr>
              <w:pStyle w:val="Tabletextnoindent"/>
            </w:pPr>
            <w:r w:rsidRPr="000B58D1">
              <w:t>Supporting high</w:t>
            </w:r>
            <w:r w:rsidR="009F0F49">
              <w:noBreakHyphen/>
            </w:r>
            <w:r w:rsidRPr="000B58D1">
              <w:t>quality Government decision</w:t>
            </w:r>
            <w:r w:rsidR="009F0F49">
              <w:noBreakHyphen/>
            </w:r>
            <w:r w:rsidRPr="000B58D1">
              <w:t>making and implementation</w:t>
            </w:r>
          </w:p>
        </w:tc>
        <w:tc>
          <w:tcPr>
            <w:tcW w:w="2592" w:type="dxa"/>
            <w:tcBorders>
              <w:bottom w:val="single" w:sz="6" w:space="0" w:color="auto"/>
            </w:tcBorders>
            <w:shd w:val="clear" w:color="auto" w:fill="auto"/>
          </w:tcPr>
          <w:p w:rsidR="00B958B1" w:rsidRPr="000B58D1" w:rsidRDefault="00B958B1" w:rsidP="009F3B54">
            <w:pPr>
              <w:pStyle w:val="Tabletextnoindent"/>
            </w:pPr>
            <w:r w:rsidRPr="000B58D1">
              <w:t>DPC leads policy development on key priority issues</w:t>
            </w:r>
          </w:p>
          <w:p w:rsidR="00B958B1" w:rsidRPr="000B58D1" w:rsidRDefault="00B958B1" w:rsidP="009F3B54">
            <w:pPr>
              <w:pStyle w:val="Tabletextnoindent"/>
            </w:pPr>
            <w:r w:rsidRPr="000B58D1">
              <w:t>DPC responds effectively to significant state issues</w:t>
            </w:r>
          </w:p>
        </w:tc>
        <w:tc>
          <w:tcPr>
            <w:tcW w:w="2592" w:type="dxa"/>
            <w:tcBorders>
              <w:bottom w:val="single" w:sz="6" w:space="0" w:color="auto"/>
            </w:tcBorders>
            <w:shd w:val="clear" w:color="auto" w:fill="auto"/>
          </w:tcPr>
          <w:p w:rsidR="00B958B1" w:rsidRPr="000B58D1" w:rsidRDefault="00B958B1" w:rsidP="009F3B54">
            <w:pPr>
              <w:pStyle w:val="Tabletextnoindent"/>
            </w:pPr>
            <w:r w:rsidRPr="000B58D1">
              <w:t>Provision of policy analysis, advice and coordination</w:t>
            </w:r>
          </w:p>
          <w:p w:rsidR="00B958B1" w:rsidRPr="000B58D1" w:rsidRDefault="00B958B1" w:rsidP="009F3B54">
            <w:pPr>
              <w:pStyle w:val="Tabletextnoindent"/>
            </w:pPr>
            <w:r w:rsidRPr="000B58D1">
              <w:t>Monitor and coordinate delivery of responses to significant issues</w:t>
            </w:r>
          </w:p>
        </w:tc>
      </w:tr>
      <w:tr w:rsidR="00B958B1" w:rsidTr="009F3B54">
        <w:trPr>
          <w:cantSplit/>
        </w:trPr>
        <w:tc>
          <w:tcPr>
            <w:tcW w:w="2592" w:type="dxa"/>
            <w:tcBorders>
              <w:top w:val="single" w:sz="6" w:space="0" w:color="auto"/>
              <w:bottom w:val="single" w:sz="6" w:space="0" w:color="auto"/>
            </w:tcBorders>
            <w:shd w:val="clear" w:color="auto" w:fill="auto"/>
          </w:tcPr>
          <w:p w:rsidR="00B958B1" w:rsidRPr="000B58D1" w:rsidRDefault="00B958B1" w:rsidP="009F3B54">
            <w:pPr>
              <w:pStyle w:val="Tabletextnoindent"/>
            </w:pPr>
            <w:r w:rsidRPr="000B58D1">
              <w:t>Developing and promoting a thriving Victorian arts and cultural sector</w:t>
            </w:r>
          </w:p>
        </w:tc>
        <w:tc>
          <w:tcPr>
            <w:tcW w:w="2592" w:type="dxa"/>
            <w:tcBorders>
              <w:top w:val="single" w:sz="6" w:space="0" w:color="auto"/>
              <w:bottom w:val="single" w:sz="6" w:space="0" w:color="auto"/>
            </w:tcBorders>
            <w:shd w:val="clear" w:color="auto" w:fill="auto"/>
          </w:tcPr>
          <w:p w:rsidR="00B958B1" w:rsidRPr="000B58D1" w:rsidRDefault="00B958B1" w:rsidP="009F3B54">
            <w:pPr>
              <w:pStyle w:val="Tabletextnoindent"/>
            </w:pPr>
            <w:r w:rsidRPr="000B58D1">
              <w:t>Victoria's reputation as an international centre for arts and culture is enhanced</w:t>
            </w:r>
          </w:p>
          <w:p w:rsidR="00B958B1" w:rsidRPr="000B58D1" w:rsidRDefault="00B958B1" w:rsidP="009F3B54">
            <w:pPr>
              <w:pStyle w:val="Tabletextnoindent"/>
            </w:pPr>
            <w:r w:rsidRPr="000B58D1">
              <w:t xml:space="preserve">Access to arts and cultural programs is improved, particularly for school children, youth, families and regional communities </w:t>
            </w:r>
          </w:p>
          <w:p w:rsidR="00B958B1" w:rsidRPr="000B58D1" w:rsidRDefault="00B958B1" w:rsidP="009F3B54">
            <w:pPr>
              <w:pStyle w:val="Tabletextnoindent"/>
            </w:pPr>
            <w:r w:rsidRPr="000B58D1">
              <w:t>Victoria’s cultural venues and state</w:t>
            </w:r>
            <w:r w:rsidR="009F0F49">
              <w:noBreakHyphen/>
            </w:r>
            <w:r w:rsidRPr="000B58D1">
              <w:t>owned facilities are maintained to provide continuously improving services to Victorians</w:t>
            </w:r>
          </w:p>
        </w:tc>
        <w:tc>
          <w:tcPr>
            <w:tcW w:w="2592" w:type="dxa"/>
            <w:tcBorders>
              <w:top w:val="single" w:sz="6" w:space="0" w:color="auto"/>
              <w:bottom w:val="single" w:sz="6" w:space="0" w:color="auto"/>
            </w:tcBorders>
            <w:shd w:val="clear" w:color="auto" w:fill="auto"/>
          </w:tcPr>
          <w:p w:rsidR="00B958B1" w:rsidRPr="000B58D1" w:rsidRDefault="00B958B1" w:rsidP="009F3B54">
            <w:pPr>
              <w:pStyle w:val="Tabletextnoindent"/>
            </w:pPr>
            <w:r w:rsidRPr="000B58D1">
              <w:t>Support access, industry development and innovation</w:t>
            </w:r>
          </w:p>
          <w:p w:rsidR="00B958B1" w:rsidRPr="000B58D1" w:rsidRDefault="00B958B1" w:rsidP="009F3B54">
            <w:pPr>
              <w:pStyle w:val="Tabletextnoindent"/>
            </w:pPr>
            <w:r w:rsidRPr="000B58D1">
              <w:t>Support access, industry development and innovation</w:t>
            </w:r>
          </w:p>
          <w:p w:rsidR="00B958B1" w:rsidRPr="000B58D1" w:rsidRDefault="00B958B1" w:rsidP="009F3B54">
            <w:pPr>
              <w:pStyle w:val="Tabletextnoindent"/>
            </w:pPr>
            <w:r w:rsidRPr="000B58D1">
              <w:t>Support cultural infrastructure and facilities</w:t>
            </w:r>
          </w:p>
        </w:tc>
      </w:tr>
      <w:tr w:rsidR="00B958B1" w:rsidTr="009F3B54">
        <w:trPr>
          <w:cantSplit/>
        </w:trPr>
        <w:tc>
          <w:tcPr>
            <w:tcW w:w="2592" w:type="dxa"/>
            <w:tcBorders>
              <w:top w:val="single" w:sz="6" w:space="0" w:color="auto"/>
            </w:tcBorders>
            <w:shd w:val="clear" w:color="auto" w:fill="auto"/>
          </w:tcPr>
          <w:p w:rsidR="00B958B1" w:rsidRPr="000B58D1" w:rsidRDefault="00B958B1" w:rsidP="009F3B54">
            <w:pPr>
              <w:pStyle w:val="Tabletextnoindent"/>
            </w:pPr>
            <w:r w:rsidRPr="000B58D1">
              <w:t>Supporting and promoting full participation in strong and vibrant communities</w:t>
            </w:r>
          </w:p>
        </w:tc>
        <w:tc>
          <w:tcPr>
            <w:tcW w:w="2592" w:type="dxa"/>
            <w:tcBorders>
              <w:top w:val="single" w:sz="6" w:space="0" w:color="auto"/>
            </w:tcBorders>
            <w:shd w:val="clear" w:color="auto" w:fill="auto"/>
          </w:tcPr>
          <w:p w:rsidR="00B958B1" w:rsidRPr="000B58D1" w:rsidRDefault="00B958B1" w:rsidP="009F3B54">
            <w:pPr>
              <w:pStyle w:val="Tabletextnoindent"/>
            </w:pPr>
            <w:r w:rsidRPr="000B58D1">
              <w:t>Culturally, linguistically and religiously diverse communities are better able to participate in and contribute to the social, cultural, economic and democratic life of Victoria</w:t>
            </w:r>
          </w:p>
          <w:p w:rsidR="00B958B1" w:rsidRPr="000B58D1" w:rsidRDefault="00B958B1" w:rsidP="009F3B54">
            <w:pPr>
              <w:pStyle w:val="Tabletextnoindent"/>
            </w:pPr>
            <w:r w:rsidRPr="000B58D1">
              <w:t>Capacity building activities undertaken with Aboriginal community groups: cultural heritage management</w:t>
            </w:r>
          </w:p>
          <w:p w:rsidR="00B958B1" w:rsidRPr="000B58D1" w:rsidRDefault="00B958B1" w:rsidP="009F3B54">
            <w:pPr>
              <w:pStyle w:val="Tabletextnoindent"/>
            </w:pPr>
            <w:r w:rsidRPr="000B58D1">
              <w:t>Level of participation in Anzac celebration and visits to Shrine of Remembrance</w:t>
            </w:r>
          </w:p>
        </w:tc>
        <w:tc>
          <w:tcPr>
            <w:tcW w:w="2592" w:type="dxa"/>
            <w:tcBorders>
              <w:top w:val="single" w:sz="6" w:space="0" w:color="auto"/>
            </w:tcBorders>
            <w:shd w:val="clear" w:color="auto" w:fill="auto"/>
          </w:tcPr>
          <w:p w:rsidR="00B958B1" w:rsidRPr="000B58D1" w:rsidRDefault="00B958B1" w:rsidP="009F3B54">
            <w:pPr>
              <w:pStyle w:val="Tabletextnoindent"/>
            </w:pPr>
            <w:r w:rsidRPr="000B58D1">
              <w:t>Coordinate and support the Government’s approach and responsiveness to a multicultural Victoria</w:t>
            </w:r>
          </w:p>
          <w:p w:rsidR="00B958B1" w:rsidRPr="000B58D1" w:rsidRDefault="00B958B1" w:rsidP="009F3B54">
            <w:pPr>
              <w:pStyle w:val="Tabletextnoindent"/>
            </w:pPr>
            <w:r w:rsidRPr="000B58D1">
              <w:t>Strengthen Aboriginal cultural heritage and Aboriginal community engagement</w:t>
            </w:r>
          </w:p>
          <w:p w:rsidR="00B958B1" w:rsidRPr="000B58D1" w:rsidRDefault="00B958B1" w:rsidP="009F3B54">
            <w:pPr>
              <w:pStyle w:val="Tabletextnoindent"/>
            </w:pPr>
            <w:r>
              <w:t>Promotion and support for</w:t>
            </w:r>
            <w:r w:rsidRPr="000B58D1">
              <w:t xml:space="preserve"> participation in commemoration activities and veteran welfare </w:t>
            </w:r>
          </w:p>
        </w:tc>
      </w:tr>
      <w:tr w:rsidR="00B958B1" w:rsidTr="009F3B54">
        <w:trPr>
          <w:cantSplit/>
        </w:trPr>
        <w:tc>
          <w:tcPr>
            <w:tcW w:w="2592" w:type="dxa"/>
            <w:shd w:val="clear" w:color="auto" w:fill="auto"/>
          </w:tcPr>
          <w:p w:rsidR="00B958B1" w:rsidRPr="000B58D1" w:rsidRDefault="00B958B1" w:rsidP="009F3B54">
            <w:pPr>
              <w:pStyle w:val="Tabletextnoindent"/>
            </w:pPr>
            <w:r w:rsidRPr="000B58D1">
              <w:t>Promoting an effective, accountable and professional public administration</w:t>
            </w:r>
          </w:p>
        </w:tc>
        <w:tc>
          <w:tcPr>
            <w:tcW w:w="2592" w:type="dxa"/>
            <w:shd w:val="clear" w:color="auto" w:fill="auto"/>
          </w:tcPr>
          <w:p w:rsidR="00B958B1" w:rsidRPr="000B58D1" w:rsidRDefault="00B958B1" w:rsidP="009F3B54">
            <w:pPr>
              <w:pStyle w:val="Tabletextnoindent"/>
            </w:pPr>
            <w:r w:rsidRPr="000B58D1">
              <w:t>The Governor is supported effectively in the exercising of his functions and powers</w:t>
            </w:r>
          </w:p>
          <w:p w:rsidR="00B958B1" w:rsidRPr="000B58D1" w:rsidRDefault="00B958B1" w:rsidP="009F3B54">
            <w:pPr>
              <w:pStyle w:val="Tabletextnoindent"/>
            </w:pPr>
            <w:r w:rsidRPr="000B58D1">
              <w:t>A centre for excellence that fosters an efficient, ethical and responsible public sector</w:t>
            </w:r>
          </w:p>
          <w:p w:rsidR="00B958B1" w:rsidRPr="000B58D1" w:rsidRDefault="00B958B1" w:rsidP="009F3B54">
            <w:pPr>
              <w:pStyle w:val="Tabletextnoindent"/>
            </w:pPr>
            <w:r w:rsidRPr="000B58D1">
              <w:t>Fairness, integrity and respect for human rights and administrative excellence in the Victorian public sector are effectively promoted</w:t>
            </w:r>
          </w:p>
          <w:p w:rsidR="00B958B1" w:rsidRPr="000B58D1" w:rsidRDefault="00B958B1" w:rsidP="009F3B54">
            <w:pPr>
              <w:pStyle w:val="Tabletextnoindent"/>
            </w:pPr>
            <w:r w:rsidRPr="000B58D1">
              <w:t xml:space="preserve">Services provided to the State relating to the development, drafting, publication and implementation of legislation are comprehensive, integrated and of </w:t>
            </w:r>
            <w:r>
              <w:t>a high</w:t>
            </w:r>
            <w:r w:rsidR="009F0F49">
              <w:noBreakHyphen/>
            </w:r>
            <w:r w:rsidRPr="000B58D1">
              <w:t>quality</w:t>
            </w:r>
          </w:p>
        </w:tc>
        <w:tc>
          <w:tcPr>
            <w:tcW w:w="2592" w:type="dxa"/>
            <w:shd w:val="clear" w:color="auto" w:fill="auto"/>
          </w:tcPr>
          <w:p w:rsidR="00B958B1" w:rsidRPr="000B58D1" w:rsidRDefault="00B958B1" w:rsidP="009F3B54">
            <w:pPr>
              <w:pStyle w:val="Tabletextnoindent"/>
            </w:pPr>
            <w:r w:rsidRPr="000B58D1">
              <w:t>Advice and support to the Governor</w:t>
            </w:r>
          </w:p>
          <w:p w:rsidR="00B958B1" w:rsidRPr="000B58D1" w:rsidRDefault="00B958B1" w:rsidP="009F3B54">
            <w:pPr>
              <w:pStyle w:val="Tabletextnoindent"/>
            </w:pPr>
            <w:r w:rsidRPr="000B58D1">
              <w:t>Identify opportunities to improve efficiency and effectiveness of government services</w:t>
            </w:r>
          </w:p>
          <w:p w:rsidR="00B958B1" w:rsidRPr="000B58D1" w:rsidRDefault="00B958B1" w:rsidP="009F3B54">
            <w:pPr>
              <w:pStyle w:val="Tabletextnoindent"/>
            </w:pPr>
            <w:r w:rsidRPr="000B58D1">
              <w:t xml:space="preserve">Oversight of administrative actions </w:t>
            </w:r>
          </w:p>
          <w:p w:rsidR="00B958B1" w:rsidRPr="000B58D1" w:rsidRDefault="00B958B1" w:rsidP="009F3B54">
            <w:pPr>
              <w:pStyle w:val="Tabletextnoindent"/>
            </w:pPr>
            <w:r w:rsidRPr="000B58D1">
              <w:t>Effective preparation of Victorian legislation</w:t>
            </w:r>
          </w:p>
        </w:tc>
      </w:tr>
    </w:tbl>
    <w:p w:rsidR="00B958B1" w:rsidRPr="00EA2E45" w:rsidRDefault="00B958B1" w:rsidP="009F3B54">
      <w:pPr>
        <w:pStyle w:val="Source"/>
      </w:pPr>
      <w:r w:rsidRPr="00EA2E45">
        <w:t xml:space="preserve">Source: Department </w:t>
      </w:r>
      <w:r>
        <w:t>o</w:t>
      </w:r>
      <w:r w:rsidRPr="00EA2E45">
        <w:t>f Premier and Cabinet</w:t>
      </w:r>
    </w:p>
    <w:p w:rsidR="00B958B1" w:rsidRDefault="00B958B1" w:rsidP="009F3B54">
      <w:pPr>
        <w:pStyle w:val="Heading2"/>
      </w:pPr>
      <w:r>
        <w:br w:type="page"/>
        <w:t>Changes to the output structure</w:t>
      </w:r>
    </w:p>
    <w:p w:rsidR="00B958B1" w:rsidRDefault="00B958B1" w:rsidP="009F3B54">
      <w:r>
        <w:t>The Department has made some changes to its output structure for 2013</w:t>
      </w:r>
      <w:r w:rsidR="009F0F49">
        <w:noBreakHyphen/>
      </w:r>
      <w:r>
        <w:t>14 as shown in the table below:</w:t>
      </w:r>
    </w:p>
    <w:tbl>
      <w:tblPr>
        <w:tblW w:w="7776" w:type="dxa"/>
        <w:tblInd w:w="29" w:type="dxa"/>
        <w:tblBorders>
          <w:bottom w:val="single" w:sz="12" w:space="0" w:color="auto"/>
        </w:tblBorders>
        <w:tblLayout w:type="fixed"/>
        <w:tblCellMar>
          <w:left w:w="43" w:type="dxa"/>
          <w:right w:w="43" w:type="dxa"/>
        </w:tblCellMar>
        <w:tblLook w:val="04A0" w:firstRow="1" w:lastRow="0" w:firstColumn="1" w:lastColumn="0" w:noHBand="0" w:noVBand="1"/>
      </w:tblPr>
      <w:tblGrid>
        <w:gridCol w:w="2592"/>
        <w:gridCol w:w="2592"/>
        <w:gridCol w:w="2592"/>
      </w:tblGrid>
      <w:tr w:rsidR="00B958B1" w:rsidTr="009F3B54">
        <w:trPr>
          <w:cantSplit/>
        </w:trPr>
        <w:tc>
          <w:tcPr>
            <w:tcW w:w="2592" w:type="dxa"/>
            <w:shd w:val="clear" w:color="auto" w:fill="000000"/>
          </w:tcPr>
          <w:p w:rsidR="00B958B1" w:rsidRDefault="00B958B1" w:rsidP="009F3B54">
            <w:pPr>
              <w:pStyle w:val="TabletextheadingLeft0"/>
              <w:keepNext/>
            </w:pPr>
            <w:r>
              <w:t>2012</w:t>
            </w:r>
            <w:r w:rsidR="009F0F49">
              <w:noBreakHyphen/>
            </w:r>
            <w:r>
              <w:t>13 outputs</w:t>
            </w:r>
          </w:p>
        </w:tc>
        <w:tc>
          <w:tcPr>
            <w:tcW w:w="2592" w:type="dxa"/>
            <w:shd w:val="clear" w:color="auto" w:fill="000000"/>
          </w:tcPr>
          <w:p w:rsidR="00B958B1" w:rsidRDefault="00B958B1" w:rsidP="009F3B54">
            <w:pPr>
              <w:pStyle w:val="TabletextheadingLeft0"/>
              <w:keepNext/>
            </w:pPr>
            <w:r>
              <w:t>Reason</w:t>
            </w:r>
          </w:p>
        </w:tc>
        <w:tc>
          <w:tcPr>
            <w:tcW w:w="2592" w:type="dxa"/>
            <w:shd w:val="clear" w:color="auto" w:fill="000000"/>
          </w:tcPr>
          <w:p w:rsidR="00B958B1" w:rsidRDefault="00B958B1" w:rsidP="009F3B54">
            <w:pPr>
              <w:pStyle w:val="TabletextheadingLeft0"/>
              <w:keepNext/>
            </w:pPr>
            <w:r>
              <w:t>2013</w:t>
            </w:r>
            <w:r w:rsidR="009F0F49">
              <w:noBreakHyphen/>
            </w:r>
            <w:r>
              <w:t>14 outputs</w:t>
            </w:r>
          </w:p>
        </w:tc>
      </w:tr>
      <w:tr w:rsidR="00B958B1" w:rsidTr="009F3B54">
        <w:trPr>
          <w:cantSplit/>
        </w:trPr>
        <w:tc>
          <w:tcPr>
            <w:tcW w:w="2592" w:type="dxa"/>
            <w:tcBorders>
              <w:bottom w:val="nil"/>
            </w:tcBorders>
            <w:shd w:val="clear" w:color="auto" w:fill="auto"/>
          </w:tcPr>
          <w:p w:rsidR="00B958B1" w:rsidRPr="004217DB" w:rsidRDefault="00B958B1" w:rsidP="009F3B54">
            <w:pPr>
              <w:pStyle w:val="Tabletextnoindent"/>
            </w:pPr>
            <w:r w:rsidRPr="004217DB">
              <w:t xml:space="preserve">Strategic Policy Advice and </w:t>
            </w:r>
            <w:r>
              <w:t>Projects</w:t>
            </w:r>
          </w:p>
          <w:p w:rsidR="00B958B1" w:rsidRPr="004217DB" w:rsidRDefault="00B958B1" w:rsidP="009F3B54">
            <w:pPr>
              <w:pStyle w:val="Tabletextnoindent"/>
            </w:pPr>
            <w:r w:rsidRPr="004217DB">
              <w:t>Government Information Services and Support</w:t>
            </w:r>
          </w:p>
        </w:tc>
        <w:tc>
          <w:tcPr>
            <w:tcW w:w="2592" w:type="dxa"/>
            <w:tcBorders>
              <w:bottom w:val="nil"/>
            </w:tcBorders>
            <w:shd w:val="clear" w:color="auto" w:fill="auto"/>
          </w:tcPr>
          <w:p w:rsidR="00B958B1" w:rsidRPr="00651249" w:rsidRDefault="00B958B1" w:rsidP="009F3B54">
            <w:pPr>
              <w:pStyle w:val="Tabletextnoindent"/>
            </w:pPr>
            <w:r>
              <w:t>Strategic Advice and Support output group restructured to better align DPC’s outputs to its corporate objectives</w:t>
            </w:r>
          </w:p>
        </w:tc>
        <w:tc>
          <w:tcPr>
            <w:tcW w:w="2592" w:type="dxa"/>
            <w:tcBorders>
              <w:bottom w:val="nil"/>
            </w:tcBorders>
            <w:shd w:val="clear" w:color="auto" w:fill="auto"/>
          </w:tcPr>
          <w:p w:rsidR="00B958B1" w:rsidRDefault="00B958B1" w:rsidP="009F3B54">
            <w:pPr>
              <w:pStyle w:val="Tabletextnoindent"/>
            </w:pPr>
            <w:r w:rsidRPr="004217DB">
              <w:t>Strategic Advice</w:t>
            </w:r>
            <w:r>
              <w:t xml:space="preserve"> and Government Support</w:t>
            </w:r>
          </w:p>
          <w:p w:rsidR="00B958B1" w:rsidRPr="004217DB" w:rsidRDefault="00B958B1" w:rsidP="009F3B54">
            <w:pPr>
              <w:pStyle w:val="Tabletextnoindent"/>
            </w:pPr>
          </w:p>
        </w:tc>
      </w:tr>
      <w:tr w:rsidR="00B958B1" w:rsidTr="009F3B54">
        <w:trPr>
          <w:cantSplit/>
        </w:trPr>
        <w:tc>
          <w:tcPr>
            <w:tcW w:w="2592" w:type="dxa"/>
            <w:tcBorders>
              <w:bottom w:val="nil"/>
            </w:tcBorders>
            <w:shd w:val="clear" w:color="auto" w:fill="DDDDDD"/>
          </w:tcPr>
          <w:p w:rsidR="00B958B1" w:rsidRPr="004217DB" w:rsidRDefault="00B958B1" w:rsidP="009F3B54">
            <w:pPr>
              <w:pStyle w:val="Tabletextnoindent"/>
            </w:pPr>
            <w:r w:rsidRPr="004217DB">
              <w:t>Protocol and Special Events</w:t>
            </w:r>
          </w:p>
        </w:tc>
        <w:tc>
          <w:tcPr>
            <w:tcW w:w="2592" w:type="dxa"/>
            <w:tcBorders>
              <w:bottom w:val="nil"/>
            </w:tcBorders>
            <w:shd w:val="clear" w:color="auto" w:fill="DDDDDD"/>
          </w:tcPr>
          <w:p w:rsidR="00B958B1" w:rsidRDefault="00B958B1" w:rsidP="009F3B54">
            <w:pPr>
              <w:pStyle w:val="Tabletextnoindent"/>
            </w:pPr>
            <w:r>
              <w:t>Strategic Advice and Support output group restructured to better align DPC’s outputs to its corporate objectives</w:t>
            </w:r>
          </w:p>
        </w:tc>
        <w:tc>
          <w:tcPr>
            <w:tcW w:w="2592" w:type="dxa"/>
            <w:tcBorders>
              <w:bottom w:val="nil"/>
            </w:tcBorders>
            <w:shd w:val="clear" w:color="auto" w:fill="DDDDDD"/>
          </w:tcPr>
          <w:p w:rsidR="00B958B1" w:rsidRPr="004217DB" w:rsidRDefault="00B958B1" w:rsidP="009F3B54">
            <w:pPr>
              <w:pStyle w:val="Tabletextnoindent"/>
            </w:pPr>
            <w:r>
              <w:t>Government</w:t>
            </w:r>
            <w:r w:rsidR="009F0F49">
              <w:noBreakHyphen/>
            </w:r>
            <w:r>
              <w:t>wide Leadership and Implementation</w:t>
            </w:r>
          </w:p>
        </w:tc>
      </w:tr>
      <w:tr w:rsidR="00B958B1" w:rsidTr="009F3B54">
        <w:trPr>
          <w:cantSplit/>
        </w:trPr>
        <w:tc>
          <w:tcPr>
            <w:tcW w:w="2592" w:type="dxa"/>
            <w:tcBorders>
              <w:bottom w:val="nil"/>
            </w:tcBorders>
            <w:shd w:val="clear" w:color="auto" w:fill="auto"/>
          </w:tcPr>
          <w:p w:rsidR="00B958B1" w:rsidRDefault="00B958B1" w:rsidP="009F3B54">
            <w:pPr>
              <w:pStyle w:val="Tabletextnoindent"/>
            </w:pPr>
            <w:r w:rsidRPr="004217DB">
              <w:t>Arts Development and Access</w:t>
            </w:r>
          </w:p>
        </w:tc>
        <w:tc>
          <w:tcPr>
            <w:tcW w:w="2592" w:type="dxa"/>
            <w:tcBorders>
              <w:bottom w:val="nil"/>
            </w:tcBorders>
            <w:shd w:val="clear" w:color="auto" w:fill="auto"/>
          </w:tcPr>
          <w:p w:rsidR="00B958B1" w:rsidRPr="00441577" w:rsidRDefault="00B958B1" w:rsidP="009F3B54">
            <w:pPr>
              <w:pStyle w:val="Tabletextnoindent"/>
              <w:rPr>
                <w:highlight w:val="yellow"/>
              </w:rPr>
            </w:pPr>
            <w:r>
              <w:t>Output expanded to better reflect the Government’s priority focus on the industry development and tourism roles of the arts</w:t>
            </w:r>
          </w:p>
        </w:tc>
        <w:tc>
          <w:tcPr>
            <w:tcW w:w="2592" w:type="dxa"/>
            <w:tcBorders>
              <w:bottom w:val="nil"/>
            </w:tcBorders>
            <w:shd w:val="clear" w:color="auto" w:fill="auto"/>
          </w:tcPr>
          <w:p w:rsidR="00B958B1" w:rsidRPr="004217DB" w:rsidRDefault="00B958B1" w:rsidP="009F3B54">
            <w:pPr>
              <w:pStyle w:val="Tabletextnoindent"/>
            </w:pPr>
            <w:r w:rsidRPr="004217DB">
              <w:t>Access, Industry Development and Innovation</w:t>
            </w:r>
          </w:p>
        </w:tc>
      </w:tr>
      <w:tr w:rsidR="00B958B1" w:rsidTr="009F3B54">
        <w:trPr>
          <w:cantSplit/>
        </w:trPr>
        <w:tc>
          <w:tcPr>
            <w:tcW w:w="2592" w:type="dxa"/>
            <w:tcBorders>
              <w:top w:val="nil"/>
              <w:bottom w:val="nil"/>
            </w:tcBorders>
            <w:shd w:val="clear" w:color="auto" w:fill="DDDDDD"/>
          </w:tcPr>
          <w:p w:rsidR="00B958B1" w:rsidRDefault="00B958B1" w:rsidP="009F3B54">
            <w:pPr>
              <w:pStyle w:val="Tabletextnoindent"/>
            </w:pPr>
            <w:r w:rsidRPr="004217DB">
              <w:t>Portfolio Services and Policy</w:t>
            </w:r>
          </w:p>
        </w:tc>
        <w:tc>
          <w:tcPr>
            <w:tcW w:w="2592" w:type="dxa"/>
            <w:tcBorders>
              <w:top w:val="nil"/>
              <w:bottom w:val="nil"/>
            </w:tcBorders>
            <w:shd w:val="clear" w:color="auto" w:fill="DDDDDD"/>
          </w:tcPr>
          <w:p w:rsidR="00B958B1" w:rsidRPr="00441577" w:rsidRDefault="00B958B1" w:rsidP="009F3B54">
            <w:pPr>
              <w:pStyle w:val="Tabletextnoindent"/>
              <w:rPr>
                <w:highlight w:val="yellow"/>
              </w:rPr>
            </w:pPr>
            <w:r>
              <w:t>Better reflection of the Government’s priority to focus on the industry development and tourism roles of the arts</w:t>
            </w:r>
          </w:p>
        </w:tc>
        <w:tc>
          <w:tcPr>
            <w:tcW w:w="2592" w:type="dxa"/>
            <w:tcBorders>
              <w:top w:val="nil"/>
              <w:bottom w:val="nil"/>
            </w:tcBorders>
            <w:shd w:val="clear" w:color="auto" w:fill="DDDDDD"/>
          </w:tcPr>
          <w:p w:rsidR="00B958B1" w:rsidRPr="004217DB" w:rsidRDefault="00B958B1" w:rsidP="009F3B54">
            <w:pPr>
              <w:pStyle w:val="Tabletextnoindent"/>
            </w:pPr>
            <w:r w:rsidRPr="004217DB">
              <w:t>Access, Industry Development and Innovation</w:t>
            </w:r>
            <w:r>
              <w:t>; Arts Portfolio Agencies</w:t>
            </w:r>
          </w:p>
        </w:tc>
      </w:tr>
      <w:tr w:rsidR="00B958B1" w:rsidTr="009F3B54">
        <w:trPr>
          <w:cantSplit/>
        </w:trPr>
        <w:tc>
          <w:tcPr>
            <w:tcW w:w="2592" w:type="dxa"/>
            <w:tcBorders>
              <w:bottom w:val="nil"/>
            </w:tcBorders>
            <w:shd w:val="clear" w:color="auto" w:fill="FFFFFF" w:themeFill="background1"/>
          </w:tcPr>
          <w:p w:rsidR="00B958B1" w:rsidRDefault="00B958B1" w:rsidP="009F3B54">
            <w:pPr>
              <w:pStyle w:val="Tabletextnoindent"/>
            </w:pPr>
            <w:r>
              <w:t>Office of the Victorian Government Architect</w:t>
            </w:r>
          </w:p>
        </w:tc>
        <w:tc>
          <w:tcPr>
            <w:tcW w:w="2592" w:type="dxa"/>
            <w:tcBorders>
              <w:bottom w:val="nil"/>
            </w:tcBorders>
            <w:shd w:val="clear" w:color="auto" w:fill="FFFFFF" w:themeFill="background1"/>
          </w:tcPr>
          <w:p w:rsidR="00B958B1" w:rsidRDefault="00B958B1" w:rsidP="009F3B54">
            <w:pPr>
              <w:pStyle w:val="Tabletextnoindent"/>
            </w:pPr>
            <w:r>
              <w:t xml:space="preserve">Machinery of government </w:t>
            </w:r>
          </w:p>
        </w:tc>
        <w:tc>
          <w:tcPr>
            <w:tcW w:w="2592" w:type="dxa"/>
            <w:tcBorders>
              <w:bottom w:val="nil"/>
            </w:tcBorders>
            <w:shd w:val="clear" w:color="auto" w:fill="FFFFFF" w:themeFill="background1"/>
          </w:tcPr>
          <w:p w:rsidR="00B958B1" w:rsidRPr="00726F66" w:rsidRDefault="00B958B1" w:rsidP="009F3B54">
            <w:pPr>
              <w:pStyle w:val="Tabletextnoindent"/>
            </w:pPr>
            <w:r>
              <w:t>Refer to Department of Transport, Planning and Local Infrastructure output statement</w:t>
            </w:r>
          </w:p>
        </w:tc>
      </w:tr>
      <w:tr w:rsidR="00B958B1" w:rsidTr="009F3B54">
        <w:trPr>
          <w:cantSplit/>
        </w:trPr>
        <w:tc>
          <w:tcPr>
            <w:tcW w:w="2592" w:type="dxa"/>
            <w:tcBorders>
              <w:top w:val="nil"/>
              <w:bottom w:val="nil"/>
            </w:tcBorders>
            <w:shd w:val="clear" w:color="auto" w:fill="DDDDDD"/>
          </w:tcPr>
          <w:p w:rsidR="00B958B1" w:rsidRPr="004217DB" w:rsidRDefault="00B958B1" w:rsidP="009F3B54">
            <w:pPr>
              <w:pStyle w:val="Tabletextnoindent"/>
            </w:pPr>
            <w:r>
              <w:t>Indigenous Community and Cultural Development</w:t>
            </w:r>
          </w:p>
        </w:tc>
        <w:tc>
          <w:tcPr>
            <w:tcW w:w="2592" w:type="dxa"/>
            <w:tcBorders>
              <w:top w:val="nil"/>
              <w:bottom w:val="nil"/>
            </w:tcBorders>
            <w:shd w:val="clear" w:color="auto" w:fill="DDDDDD"/>
          </w:tcPr>
          <w:p w:rsidR="00B958B1" w:rsidRDefault="00B958B1" w:rsidP="009F3B54">
            <w:pPr>
              <w:pStyle w:val="Tabletextnoindent"/>
            </w:pPr>
            <w:r>
              <w:t xml:space="preserve">Machinery of government </w:t>
            </w:r>
          </w:p>
        </w:tc>
        <w:tc>
          <w:tcPr>
            <w:tcW w:w="2592" w:type="dxa"/>
            <w:tcBorders>
              <w:top w:val="nil"/>
              <w:bottom w:val="nil"/>
            </w:tcBorders>
            <w:shd w:val="clear" w:color="auto" w:fill="DDDDDD"/>
          </w:tcPr>
          <w:p w:rsidR="00B958B1" w:rsidRPr="004217DB" w:rsidRDefault="00B958B1" w:rsidP="009F3B54">
            <w:pPr>
              <w:pStyle w:val="Tabletextnoindent"/>
            </w:pPr>
            <w:r w:rsidRPr="00726F66">
              <w:t xml:space="preserve">Aboriginal </w:t>
            </w:r>
            <w:r>
              <w:t>Affairs</w:t>
            </w:r>
          </w:p>
        </w:tc>
      </w:tr>
      <w:tr w:rsidR="00B958B1" w:rsidTr="009F3B54">
        <w:trPr>
          <w:cantSplit/>
        </w:trPr>
        <w:tc>
          <w:tcPr>
            <w:tcW w:w="2592" w:type="dxa"/>
            <w:tcBorders>
              <w:top w:val="nil"/>
            </w:tcBorders>
            <w:shd w:val="clear" w:color="auto" w:fill="auto"/>
          </w:tcPr>
          <w:p w:rsidR="00B958B1" w:rsidRDefault="00B958B1" w:rsidP="009F3B54">
            <w:pPr>
              <w:pStyle w:val="Tabletextnoindent"/>
            </w:pPr>
            <w:r>
              <w:t>Veterans’ Affairs</w:t>
            </w:r>
          </w:p>
        </w:tc>
        <w:tc>
          <w:tcPr>
            <w:tcW w:w="2592" w:type="dxa"/>
            <w:tcBorders>
              <w:top w:val="nil"/>
            </w:tcBorders>
            <w:shd w:val="clear" w:color="auto" w:fill="auto"/>
          </w:tcPr>
          <w:p w:rsidR="00B958B1" w:rsidRDefault="00B958B1" w:rsidP="009F3B54">
            <w:pPr>
              <w:pStyle w:val="Tabletextnoindent"/>
            </w:pPr>
            <w:r>
              <w:t>Machinery of government</w:t>
            </w:r>
          </w:p>
        </w:tc>
        <w:tc>
          <w:tcPr>
            <w:tcW w:w="2592" w:type="dxa"/>
            <w:tcBorders>
              <w:top w:val="nil"/>
            </w:tcBorders>
            <w:shd w:val="clear" w:color="auto" w:fill="auto"/>
          </w:tcPr>
          <w:p w:rsidR="00B958B1" w:rsidRPr="00726F66" w:rsidRDefault="00B958B1" w:rsidP="009F3B54">
            <w:pPr>
              <w:pStyle w:val="Tabletextnoindent"/>
            </w:pPr>
            <w:r w:rsidRPr="00726F66">
              <w:t>Veterans' Affairs</w:t>
            </w:r>
          </w:p>
        </w:tc>
      </w:tr>
    </w:tbl>
    <w:p w:rsidR="00B958B1" w:rsidRPr="00EA2E45" w:rsidRDefault="00B958B1" w:rsidP="009F3B54">
      <w:pPr>
        <w:pStyle w:val="Source"/>
      </w:pPr>
      <w:r w:rsidRPr="00EA2E45">
        <w:t xml:space="preserve">Source: Department </w:t>
      </w:r>
      <w:r>
        <w:t>o</w:t>
      </w:r>
      <w:r w:rsidRPr="00EA2E45">
        <w:t>f Premier and Cabinet</w:t>
      </w:r>
    </w:p>
    <w:p w:rsidR="00B958B1" w:rsidRDefault="00B958B1" w:rsidP="009F3B54">
      <w:pPr>
        <w:pStyle w:val="Source"/>
      </w:pPr>
    </w:p>
    <w:p w:rsidR="00B958B1" w:rsidRDefault="00B958B1" w:rsidP="009F3B54">
      <w:r>
        <w:br w:type="page"/>
        <w:t>The following table summarises the Department’s total output cost.</w:t>
      </w:r>
    </w:p>
    <w:p w:rsidR="00B958B1" w:rsidRDefault="00B958B1" w:rsidP="009F3B54">
      <w:pPr>
        <w:pStyle w:val="Tableheading"/>
      </w:pPr>
      <w:r>
        <w:t>Table 2.17:</w:t>
      </w:r>
      <w:r>
        <w:tab/>
        <w:t>Output summary</w:t>
      </w:r>
    </w:p>
    <w:p w:rsidR="00B958B1" w:rsidRPr="00FD70C3" w:rsidRDefault="00B958B1" w:rsidP="009F3B5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334"/>
        <w:gridCol w:w="780"/>
        <w:gridCol w:w="780"/>
        <w:gridCol w:w="780"/>
        <w:gridCol w:w="1102"/>
      </w:tblGrid>
      <w:tr w:rsidR="00B958B1" w:rsidRPr="00FD70C3" w:rsidTr="009F3B54">
        <w:tc>
          <w:tcPr>
            <w:tcW w:w="4334" w:type="dxa"/>
            <w:tcBorders>
              <w:top w:val="single" w:sz="6" w:space="0" w:color="auto"/>
              <w:left w:val="single" w:sz="6" w:space="0" w:color="auto"/>
              <w:bottom w:val="nil"/>
              <w:right w:val="nil"/>
            </w:tcBorders>
            <w:shd w:val="clear" w:color="auto" w:fill="000000"/>
          </w:tcPr>
          <w:p w:rsidR="00B958B1" w:rsidRPr="00FD70C3" w:rsidRDefault="00B958B1" w:rsidP="009F3B54">
            <w:pPr>
              <w:pStyle w:val="Tabletext"/>
              <w:rPr>
                <w:rFonts w:eastAsiaTheme="minorEastAsia"/>
                <w:lang w:eastAsia="en-AU"/>
              </w:rPr>
            </w:pPr>
            <w:r w:rsidRPr="00FD70C3">
              <w:rPr>
                <w:rFonts w:eastAsiaTheme="minorEastAsia"/>
                <w:lang w:eastAsia="en-AU"/>
              </w:rPr>
              <w:t xml:space="preserve">  </w:t>
            </w:r>
          </w:p>
        </w:tc>
        <w:tc>
          <w:tcPr>
            <w:tcW w:w="780" w:type="dxa"/>
            <w:tcBorders>
              <w:top w:val="single" w:sz="6" w:space="0" w:color="auto"/>
              <w:left w:val="nil"/>
              <w:bottom w:val="nil"/>
              <w:right w:val="nil"/>
            </w:tcBorders>
            <w:shd w:val="clear" w:color="auto" w:fill="000000"/>
          </w:tcPr>
          <w:p w:rsidR="00B958B1" w:rsidRPr="00FD70C3" w:rsidRDefault="00B958B1" w:rsidP="009F3B54">
            <w:pPr>
              <w:pStyle w:val="Tabletextheading"/>
              <w:rPr>
                <w:rFonts w:eastAsiaTheme="minorEastAsia"/>
                <w:lang w:eastAsia="en-AU"/>
              </w:rPr>
            </w:pPr>
            <w:r w:rsidRPr="00FD70C3">
              <w:rPr>
                <w:rFonts w:eastAsiaTheme="minorEastAsia"/>
                <w:lang w:eastAsia="en-AU"/>
              </w:rPr>
              <w:t>2012</w:t>
            </w:r>
            <w:r w:rsidR="009F0F49">
              <w:rPr>
                <w:rFonts w:eastAsiaTheme="minorEastAsia"/>
                <w:lang w:eastAsia="en-AU"/>
              </w:rPr>
              <w:noBreakHyphen/>
            </w:r>
            <w:r w:rsidRPr="00FD70C3">
              <w:rPr>
                <w:rFonts w:eastAsiaTheme="minorEastAsia"/>
                <w:lang w:eastAsia="en-AU"/>
              </w:rPr>
              <w:t>13</w:t>
            </w:r>
          </w:p>
        </w:tc>
        <w:tc>
          <w:tcPr>
            <w:tcW w:w="780" w:type="dxa"/>
            <w:tcBorders>
              <w:top w:val="single" w:sz="6" w:space="0" w:color="auto"/>
              <w:left w:val="nil"/>
              <w:bottom w:val="nil"/>
              <w:right w:val="nil"/>
            </w:tcBorders>
            <w:shd w:val="clear" w:color="auto" w:fill="000000"/>
          </w:tcPr>
          <w:p w:rsidR="00B958B1" w:rsidRPr="00FD70C3" w:rsidRDefault="00B958B1" w:rsidP="009F3B54">
            <w:pPr>
              <w:pStyle w:val="Tabletextheading"/>
              <w:rPr>
                <w:rFonts w:eastAsiaTheme="minorEastAsia"/>
                <w:lang w:eastAsia="en-AU"/>
              </w:rPr>
            </w:pPr>
            <w:r w:rsidRPr="00FD70C3">
              <w:rPr>
                <w:rFonts w:eastAsiaTheme="minorEastAsia"/>
                <w:lang w:eastAsia="en-AU"/>
              </w:rPr>
              <w:t>2012</w:t>
            </w:r>
            <w:r w:rsidR="009F0F49">
              <w:rPr>
                <w:rFonts w:eastAsiaTheme="minorEastAsia"/>
                <w:lang w:eastAsia="en-AU"/>
              </w:rPr>
              <w:noBreakHyphen/>
            </w:r>
            <w:r w:rsidRPr="00FD70C3">
              <w:rPr>
                <w:rFonts w:eastAsiaTheme="minorEastAsia"/>
                <w:lang w:eastAsia="en-AU"/>
              </w:rPr>
              <w:t>13</w:t>
            </w:r>
          </w:p>
        </w:tc>
        <w:tc>
          <w:tcPr>
            <w:tcW w:w="780" w:type="dxa"/>
            <w:tcBorders>
              <w:top w:val="single" w:sz="6" w:space="0" w:color="auto"/>
              <w:left w:val="nil"/>
              <w:bottom w:val="nil"/>
              <w:right w:val="nil"/>
            </w:tcBorders>
            <w:shd w:val="clear" w:color="auto" w:fill="000000"/>
          </w:tcPr>
          <w:p w:rsidR="00B958B1" w:rsidRPr="00FD70C3" w:rsidRDefault="00B958B1" w:rsidP="009F3B54">
            <w:pPr>
              <w:pStyle w:val="Tabletextheading"/>
              <w:rPr>
                <w:rFonts w:eastAsiaTheme="minorEastAsia"/>
                <w:lang w:eastAsia="en-AU"/>
              </w:rPr>
            </w:pPr>
            <w:r w:rsidRPr="00FD70C3">
              <w:rPr>
                <w:rFonts w:eastAsiaTheme="minorEastAsia"/>
                <w:lang w:eastAsia="en-AU"/>
              </w:rPr>
              <w:t>2013</w:t>
            </w:r>
            <w:r w:rsidR="009F0F49">
              <w:rPr>
                <w:rFonts w:eastAsiaTheme="minorEastAsia"/>
                <w:lang w:eastAsia="en-AU"/>
              </w:rPr>
              <w:noBreakHyphen/>
            </w:r>
            <w:r w:rsidRPr="00FD70C3">
              <w:rPr>
                <w:rFonts w:eastAsiaTheme="minorEastAsia"/>
                <w:lang w:eastAsia="en-AU"/>
              </w:rPr>
              <w:t>14</w:t>
            </w:r>
          </w:p>
        </w:tc>
        <w:tc>
          <w:tcPr>
            <w:tcW w:w="1102" w:type="dxa"/>
            <w:tcBorders>
              <w:top w:val="single" w:sz="6" w:space="0" w:color="auto"/>
              <w:left w:val="nil"/>
              <w:bottom w:val="nil"/>
              <w:right w:val="single" w:sz="6" w:space="0" w:color="auto"/>
            </w:tcBorders>
            <w:shd w:val="clear" w:color="auto" w:fill="000000"/>
          </w:tcPr>
          <w:p w:rsidR="00B958B1" w:rsidRPr="00FD70C3" w:rsidRDefault="00B958B1" w:rsidP="009F3B54">
            <w:pPr>
              <w:pStyle w:val="Tabletextheading"/>
              <w:rPr>
                <w:rFonts w:eastAsiaTheme="minorEastAsia"/>
                <w:vertAlign w:val="superscript"/>
                <w:lang w:eastAsia="en-AU"/>
              </w:rPr>
            </w:pPr>
            <w:r w:rsidRPr="00FD70C3">
              <w:rPr>
                <w:rFonts w:eastAsiaTheme="minorEastAsia"/>
                <w:lang w:eastAsia="en-AU"/>
              </w:rPr>
              <w:t xml:space="preserve">Variation </w:t>
            </w:r>
            <w:r w:rsidRPr="00FD70C3">
              <w:rPr>
                <w:rFonts w:eastAsiaTheme="minorEastAsia"/>
                <w:vertAlign w:val="superscript"/>
                <w:lang w:eastAsia="en-AU"/>
              </w:rPr>
              <w:t>(a)</w:t>
            </w:r>
          </w:p>
        </w:tc>
      </w:tr>
      <w:tr w:rsidR="00B958B1" w:rsidRPr="00FD70C3" w:rsidTr="009F3B54">
        <w:tc>
          <w:tcPr>
            <w:tcW w:w="4334" w:type="dxa"/>
            <w:tcBorders>
              <w:top w:val="nil"/>
              <w:left w:val="single" w:sz="6" w:space="0" w:color="auto"/>
              <w:bottom w:val="single" w:sz="6" w:space="0" w:color="auto"/>
              <w:right w:val="nil"/>
            </w:tcBorders>
            <w:shd w:val="clear" w:color="auto" w:fill="000000"/>
          </w:tcPr>
          <w:p w:rsidR="00B958B1" w:rsidRPr="00FD70C3" w:rsidRDefault="00B958B1" w:rsidP="009F3B54">
            <w:pPr>
              <w:pStyle w:val="Tabletext"/>
              <w:rPr>
                <w:rFonts w:eastAsiaTheme="minorEastAsia"/>
                <w:lang w:eastAsia="en-AU"/>
              </w:rPr>
            </w:pPr>
            <w:r w:rsidRPr="00FD70C3">
              <w:rPr>
                <w:rFonts w:eastAsiaTheme="minorEastAsia"/>
                <w:lang w:eastAsia="en-AU"/>
              </w:rPr>
              <w:t xml:space="preserve">  </w:t>
            </w:r>
          </w:p>
        </w:tc>
        <w:tc>
          <w:tcPr>
            <w:tcW w:w="780" w:type="dxa"/>
            <w:tcBorders>
              <w:top w:val="nil"/>
              <w:left w:val="nil"/>
              <w:bottom w:val="single" w:sz="6" w:space="0" w:color="auto"/>
              <w:right w:val="nil"/>
            </w:tcBorders>
            <w:shd w:val="clear" w:color="auto" w:fill="000000"/>
          </w:tcPr>
          <w:p w:rsidR="00B958B1" w:rsidRPr="00FD70C3" w:rsidRDefault="00B958B1" w:rsidP="009F3B54">
            <w:pPr>
              <w:pStyle w:val="Tabletextheading"/>
              <w:rPr>
                <w:rFonts w:eastAsiaTheme="minorEastAsia"/>
                <w:lang w:eastAsia="en-AU"/>
              </w:rPr>
            </w:pPr>
            <w:r w:rsidRPr="00FD70C3">
              <w:rPr>
                <w:rFonts w:eastAsiaTheme="minorEastAsia"/>
                <w:lang w:eastAsia="en-AU"/>
              </w:rPr>
              <w:t>Budget</w:t>
            </w:r>
          </w:p>
        </w:tc>
        <w:tc>
          <w:tcPr>
            <w:tcW w:w="780" w:type="dxa"/>
            <w:tcBorders>
              <w:top w:val="nil"/>
              <w:left w:val="nil"/>
              <w:bottom w:val="single" w:sz="6" w:space="0" w:color="auto"/>
              <w:right w:val="nil"/>
            </w:tcBorders>
            <w:shd w:val="clear" w:color="auto" w:fill="000000"/>
          </w:tcPr>
          <w:p w:rsidR="00B958B1" w:rsidRPr="00FD70C3" w:rsidRDefault="00B958B1" w:rsidP="009F3B54">
            <w:pPr>
              <w:pStyle w:val="Tabletextheading"/>
              <w:rPr>
                <w:rFonts w:eastAsiaTheme="minorEastAsia"/>
                <w:lang w:eastAsia="en-AU"/>
              </w:rPr>
            </w:pPr>
            <w:r w:rsidRPr="00FD70C3">
              <w:rPr>
                <w:rFonts w:eastAsiaTheme="minorEastAsia"/>
                <w:lang w:eastAsia="en-AU"/>
              </w:rPr>
              <w:t>Revised</w:t>
            </w:r>
          </w:p>
        </w:tc>
        <w:tc>
          <w:tcPr>
            <w:tcW w:w="780" w:type="dxa"/>
            <w:tcBorders>
              <w:top w:val="nil"/>
              <w:left w:val="nil"/>
              <w:bottom w:val="single" w:sz="6" w:space="0" w:color="auto"/>
              <w:right w:val="nil"/>
            </w:tcBorders>
            <w:shd w:val="clear" w:color="auto" w:fill="000000"/>
          </w:tcPr>
          <w:p w:rsidR="00B958B1" w:rsidRPr="00FD70C3" w:rsidRDefault="00B958B1" w:rsidP="009F3B54">
            <w:pPr>
              <w:pStyle w:val="Tabletextheading"/>
              <w:rPr>
                <w:rFonts w:eastAsiaTheme="minorEastAsia"/>
                <w:lang w:eastAsia="en-AU"/>
              </w:rPr>
            </w:pPr>
            <w:r w:rsidRPr="00FD70C3">
              <w:rPr>
                <w:rFonts w:eastAsiaTheme="minorEastAsia"/>
                <w:lang w:eastAsia="en-AU"/>
              </w:rPr>
              <w:t>Budget</w:t>
            </w:r>
          </w:p>
        </w:tc>
        <w:tc>
          <w:tcPr>
            <w:tcW w:w="1102" w:type="dxa"/>
            <w:tcBorders>
              <w:top w:val="nil"/>
              <w:left w:val="nil"/>
              <w:bottom w:val="single" w:sz="6" w:space="0" w:color="auto"/>
              <w:right w:val="single" w:sz="6" w:space="0" w:color="auto"/>
            </w:tcBorders>
            <w:shd w:val="clear" w:color="auto" w:fill="000000"/>
          </w:tcPr>
          <w:p w:rsidR="00B958B1" w:rsidRPr="00FD70C3" w:rsidRDefault="00B958B1" w:rsidP="009F3B54">
            <w:pPr>
              <w:pStyle w:val="Tabletextheading"/>
              <w:rPr>
                <w:rFonts w:eastAsiaTheme="minorEastAsia"/>
                <w:lang w:eastAsia="en-AU"/>
              </w:rPr>
            </w:pPr>
            <w:r w:rsidRPr="00FD70C3">
              <w:rPr>
                <w:rFonts w:eastAsiaTheme="minorEastAsia"/>
                <w:lang w:eastAsia="en-AU"/>
              </w:rPr>
              <w:t>%</w:t>
            </w:r>
          </w:p>
        </w:tc>
      </w:tr>
      <w:tr w:rsidR="00B958B1" w:rsidRPr="00FD70C3" w:rsidTr="009F3B54">
        <w:tc>
          <w:tcPr>
            <w:tcW w:w="4334" w:type="dxa"/>
            <w:tcBorders>
              <w:top w:val="single" w:sz="6" w:space="0" w:color="auto"/>
              <w:left w:val="nil"/>
              <w:bottom w:val="nil"/>
              <w:right w:val="nil"/>
            </w:tcBorders>
          </w:tcPr>
          <w:p w:rsidR="00B958B1" w:rsidRPr="00FD70C3" w:rsidRDefault="00B958B1" w:rsidP="009F3B54">
            <w:pPr>
              <w:pStyle w:val="Tabletext"/>
              <w:rPr>
                <w:rFonts w:eastAsiaTheme="minorEastAsia"/>
                <w:color w:val="000000"/>
                <w:vertAlign w:val="superscript"/>
                <w:lang w:eastAsia="en-AU"/>
              </w:rPr>
            </w:pPr>
            <w:r w:rsidRPr="00FD70C3">
              <w:rPr>
                <w:rFonts w:eastAsiaTheme="minorEastAsia"/>
                <w:color w:val="000000"/>
                <w:lang w:eastAsia="en-AU"/>
              </w:rPr>
              <w:t xml:space="preserve">Strategic Advice and Support </w:t>
            </w:r>
            <w:r w:rsidRPr="00FD70C3">
              <w:rPr>
                <w:rFonts w:eastAsiaTheme="minorEastAsia"/>
                <w:color w:val="000000"/>
                <w:vertAlign w:val="superscript"/>
                <w:lang w:eastAsia="en-AU"/>
              </w:rPr>
              <w:t>(b)</w:t>
            </w:r>
          </w:p>
        </w:tc>
        <w:tc>
          <w:tcPr>
            <w:tcW w:w="780" w:type="dxa"/>
            <w:tcBorders>
              <w:top w:val="single" w:sz="6" w:space="0" w:color="auto"/>
              <w:left w:val="nil"/>
              <w:bottom w:val="nil"/>
              <w:right w:val="nil"/>
            </w:tcBorders>
          </w:tcPr>
          <w:p w:rsidR="00B958B1" w:rsidRPr="00FD70C3" w:rsidRDefault="00B958B1" w:rsidP="009F3B54">
            <w:pPr>
              <w:pStyle w:val="TableofFigures"/>
              <w:rPr>
                <w:rFonts w:eastAsiaTheme="minorEastAsia"/>
                <w:color w:val="000000"/>
                <w:lang w:eastAsia="en-AU"/>
              </w:rPr>
            </w:pPr>
            <w:r w:rsidRPr="00FD70C3">
              <w:rPr>
                <w:rFonts w:eastAsiaTheme="minorEastAsia"/>
                <w:color w:val="000000"/>
                <w:lang w:eastAsia="en-AU"/>
              </w:rPr>
              <w:t>92.7</w:t>
            </w:r>
          </w:p>
        </w:tc>
        <w:tc>
          <w:tcPr>
            <w:tcW w:w="780" w:type="dxa"/>
            <w:tcBorders>
              <w:top w:val="single" w:sz="6" w:space="0" w:color="auto"/>
              <w:left w:val="nil"/>
              <w:bottom w:val="nil"/>
              <w:right w:val="nil"/>
            </w:tcBorders>
          </w:tcPr>
          <w:p w:rsidR="00B958B1" w:rsidRPr="00FD70C3" w:rsidRDefault="00B958B1" w:rsidP="009F3B54">
            <w:pPr>
              <w:pStyle w:val="TableofFigures"/>
              <w:rPr>
                <w:rFonts w:eastAsiaTheme="minorEastAsia"/>
                <w:color w:val="000000"/>
                <w:lang w:eastAsia="en-AU"/>
              </w:rPr>
            </w:pPr>
            <w:r w:rsidRPr="00FD70C3">
              <w:rPr>
                <w:rFonts w:eastAsiaTheme="minorEastAsia"/>
                <w:color w:val="000000"/>
                <w:lang w:eastAsia="en-AU"/>
              </w:rPr>
              <w:t>97.8</w:t>
            </w:r>
          </w:p>
        </w:tc>
        <w:tc>
          <w:tcPr>
            <w:tcW w:w="780" w:type="dxa"/>
            <w:tcBorders>
              <w:top w:val="single" w:sz="6" w:space="0" w:color="auto"/>
              <w:left w:val="nil"/>
              <w:bottom w:val="nil"/>
              <w:right w:val="nil"/>
            </w:tcBorders>
          </w:tcPr>
          <w:p w:rsidR="00B958B1" w:rsidRPr="00FD70C3" w:rsidRDefault="00B958B1" w:rsidP="009F3B54">
            <w:pPr>
              <w:pStyle w:val="TableofFigures"/>
              <w:rPr>
                <w:rFonts w:eastAsiaTheme="minorEastAsia"/>
                <w:color w:val="000000"/>
                <w:lang w:eastAsia="en-AU"/>
              </w:rPr>
            </w:pPr>
            <w:r w:rsidRPr="00FD70C3">
              <w:rPr>
                <w:rFonts w:eastAsiaTheme="minorEastAsia"/>
                <w:color w:val="000000"/>
                <w:lang w:eastAsia="en-AU"/>
              </w:rPr>
              <w:t>99.1</w:t>
            </w:r>
          </w:p>
        </w:tc>
        <w:tc>
          <w:tcPr>
            <w:tcW w:w="1102" w:type="dxa"/>
            <w:tcBorders>
              <w:top w:val="single" w:sz="6" w:space="0" w:color="auto"/>
              <w:left w:val="nil"/>
              <w:bottom w:val="nil"/>
              <w:right w:val="nil"/>
            </w:tcBorders>
          </w:tcPr>
          <w:p w:rsidR="00B958B1" w:rsidRPr="00FD70C3" w:rsidRDefault="00B958B1" w:rsidP="009F3B54">
            <w:pPr>
              <w:pStyle w:val="TableofFigures"/>
              <w:rPr>
                <w:rFonts w:eastAsiaTheme="minorEastAsia"/>
                <w:color w:val="000000"/>
                <w:lang w:eastAsia="en-AU"/>
              </w:rPr>
            </w:pPr>
            <w:r w:rsidRPr="00FD70C3">
              <w:rPr>
                <w:rFonts w:eastAsiaTheme="minorEastAsia"/>
                <w:color w:val="000000"/>
                <w:lang w:eastAsia="en-AU"/>
              </w:rPr>
              <w:t>6.9</w:t>
            </w:r>
          </w:p>
        </w:tc>
      </w:tr>
      <w:tr w:rsidR="00B958B1" w:rsidRPr="00FD70C3" w:rsidTr="009F3B54">
        <w:tc>
          <w:tcPr>
            <w:tcW w:w="4334" w:type="dxa"/>
            <w:tcBorders>
              <w:top w:val="nil"/>
              <w:left w:val="nil"/>
              <w:bottom w:val="nil"/>
              <w:right w:val="nil"/>
            </w:tcBorders>
          </w:tcPr>
          <w:p w:rsidR="00B958B1" w:rsidRPr="00FD70C3" w:rsidRDefault="00B958B1" w:rsidP="009F3B54">
            <w:pPr>
              <w:pStyle w:val="Tabletext"/>
              <w:rPr>
                <w:rFonts w:eastAsiaTheme="minorEastAsia"/>
                <w:color w:val="000000"/>
                <w:lang w:eastAsia="en-AU"/>
              </w:rPr>
            </w:pPr>
            <w:r w:rsidRPr="00FD70C3">
              <w:rPr>
                <w:rFonts w:eastAsiaTheme="minorEastAsia"/>
                <w:color w:val="000000"/>
                <w:lang w:eastAsia="en-AU"/>
              </w:rPr>
              <w:t>Arts and Cultural Development</w:t>
            </w:r>
          </w:p>
        </w:tc>
        <w:tc>
          <w:tcPr>
            <w:tcW w:w="780" w:type="dxa"/>
            <w:tcBorders>
              <w:top w:val="nil"/>
              <w:left w:val="nil"/>
              <w:bottom w:val="nil"/>
              <w:right w:val="nil"/>
            </w:tcBorders>
          </w:tcPr>
          <w:p w:rsidR="00B958B1" w:rsidRPr="00FD70C3" w:rsidRDefault="00B958B1" w:rsidP="009F3B54">
            <w:pPr>
              <w:pStyle w:val="TableofFigures"/>
              <w:rPr>
                <w:rFonts w:eastAsiaTheme="minorEastAsia"/>
                <w:color w:val="000000"/>
                <w:lang w:eastAsia="en-AU"/>
              </w:rPr>
            </w:pPr>
            <w:r w:rsidRPr="00FD70C3">
              <w:rPr>
                <w:rFonts w:eastAsiaTheme="minorEastAsia"/>
                <w:color w:val="000000"/>
                <w:lang w:eastAsia="en-AU"/>
              </w:rPr>
              <w:t>473.2</w:t>
            </w:r>
          </w:p>
        </w:tc>
        <w:tc>
          <w:tcPr>
            <w:tcW w:w="780" w:type="dxa"/>
            <w:tcBorders>
              <w:top w:val="nil"/>
              <w:left w:val="nil"/>
              <w:bottom w:val="nil"/>
              <w:right w:val="nil"/>
            </w:tcBorders>
          </w:tcPr>
          <w:p w:rsidR="00B958B1" w:rsidRPr="00FD70C3" w:rsidRDefault="00B958B1" w:rsidP="009F3B54">
            <w:pPr>
              <w:pStyle w:val="TableofFigures"/>
              <w:rPr>
                <w:rFonts w:eastAsiaTheme="minorEastAsia"/>
                <w:color w:val="000000"/>
                <w:lang w:eastAsia="en-AU"/>
              </w:rPr>
            </w:pPr>
            <w:r w:rsidRPr="00FD70C3">
              <w:rPr>
                <w:rFonts w:eastAsiaTheme="minorEastAsia"/>
                <w:color w:val="000000"/>
                <w:lang w:eastAsia="en-AU"/>
              </w:rPr>
              <w:t>479.1</w:t>
            </w:r>
          </w:p>
        </w:tc>
        <w:tc>
          <w:tcPr>
            <w:tcW w:w="780" w:type="dxa"/>
            <w:tcBorders>
              <w:top w:val="nil"/>
              <w:left w:val="nil"/>
              <w:bottom w:val="nil"/>
              <w:right w:val="nil"/>
            </w:tcBorders>
          </w:tcPr>
          <w:p w:rsidR="00B958B1" w:rsidRPr="00FD70C3" w:rsidRDefault="00B958B1" w:rsidP="009F3B54">
            <w:pPr>
              <w:pStyle w:val="TableofFigures"/>
              <w:rPr>
                <w:rFonts w:eastAsiaTheme="minorEastAsia"/>
                <w:color w:val="000000"/>
                <w:lang w:eastAsia="en-AU"/>
              </w:rPr>
            </w:pPr>
            <w:r w:rsidRPr="00FD70C3">
              <w:rPr>
                <w:rFonts w:eastAsiaTheme="minorEastAsia"/>
                <w:color w:val="000000"/>
                <w:lang w:eastAsia="en-AU"/>
              </w:rPr>
              <w:t>480.6</w:t>
            </w:r>
          </w:p>
        </w:tc>
        <w:tc>
          <w:tcPr>
            <w:tcW w:w="1102" w:type="dxa"/>
            <w:tcBorders>
              <w:top w:val="nil"/>
              <w:left w:val="nil"/>
              <w:bottom w:val="nil"/>
              <w:right w:val="nil"/>
            </w:tcBorders>
          </w:tcPr>
          <w:p w:rsidR="00B958B1" w:rsidRPr="00FD70C3" w:rsidRDefault="00B958B1" w:rsidP="009F3B54">
            <w:pPr>
              <w:pStyle w:val="TableofFigures"/>
              <w:rPr>
                <w:rFonts w:eastAsiaTheme="minorEastAsia"/>
                <w:color w:val="000000"/>
                <w:lang w:eastAsia="en-AU"/>
              </w:rPr>
            </w:pPr>
            <w:r w:rsidRPr="00FD70C3">
              <w:rPr>
                <w:rFonts w:eastAsiaTheme="minorEastAsia"/>
                <w:color w:val="000000"/>
                <w:lang w:eastAsia="en-AU"/>
              </w:rPr>
              <w:t>1.6</w:t>
            </w:r>
          </w:p>
        </w:tc>
      </w:tr>
      <w:tr w:rsidR="00B958B1" w:rsidRPr="00FD70C3" w:rsidTr="009F3B54">
        <w:tc>
          <w:tcPr>
            <w:tcW w:w="4334" w:type="dxa"/>
            <w:tcBorders>
              <w:top w:val="nil"/>
              <w:left w:val="nil"/>
              <w:bottom w:val="nil"/>
              <w:right w:val="nil"/>
            </w:tcBorders>
          </w:tcPr>
          <w:p w:rsidR="00B958B1" w:rsidRPr="00FD70C3" w:rsidRDefault="00B958B1" w:rsidP="009F3B54">
            <w:pPr>
              <w:pStyle w:val="Tabletext"/>
              <w:rPr>
                <w:rFonts w:eastAsiaTheme="minorEastAsia"/>
                <w:color w:val="000000"/>
                <w:vertAlign w:val="superscript"/>
                <w:lang w:eastAsia="en-AU"/>
              </w:rPr>
            </w:pPr>
            <w:r w:rsidRPr="00FD70C3">
              <w:rPr>
                <w:rFonts w:eastAsiaTheme="minorEastAsia"/>
                <w:color w:val="000000"/>
                <w:lang w:eastAsia="en-AU"/>
              </w:rPr>
              <w:t xml:space="preserve">Supporting and Strengthening Communities </w:t>
            </w:r>
            <w:r w:rsidRPr="00FD70C3">
              <w:rPr>
                <w:rFonts w:eastAsiaTheme="minorEastAsia"/>
                <w:color w:val="000000"/>
                <w:vertAlign w:val="superscript"/>
                <w:lang w:eastAsia="en-AU"/>
              </w:rPr>
              <w:t>(c)</w:t>
            </w:r>
          </w:p>
        </w:tc>
        <w:tc>
          <w:tcPr>
            <w:tcW w:w="780" w:type="dxa"/>
            <w:tcBorders>
              <w:top w:val="nil"/>
              <w:left w:val="nil"/>
              <w:bottom w:val="nil"/>
              <w:right w:val="nil"/>
            </w:tcBorders>
            <w:shd w:val="solid" w:color="FFFFFF" w:fill="auto"/>
          </w:tcPr>
          <w:p w:rsidR="00B958B1" w:rsidRPr="00FD70C3" w:rsidRDefault="00B958B1" w:rsidP="009F3B54">
            <w:pPr>
              <w:pStyle w:val="TableofFigures"/>
              <w:rPr>
                <w:rFonts w:eastAsiaTheme="minorEastAsia"/>
                <w:color w:val="000000"/>
                <w:lang w:eastAsia="en-AU"/>
              </w:rPr>
            </w:pPr>
            <w:r w:rsidRPr="00FD70C3">
              <w:rPr>
                <w:rFonts w:eastAsiaTheme="minorEastAsia"/>
                <w:color w:val="000000"/>
                <w:lang w:eastAsia="en-AU"/>
              </w:rPr>
              <w:t>47.3</w:t>
            </w:r>
          </w:p>
        </w:tc>
        <w:tc>
          <w:tcPr>
            <w:tcW w:w="780" w:type="dxa"/>
            <w:tcBorders>
              <w:top w:val="nil"/>
              <w:left w:val="nil"/>
              <w:bottom w:val="nil"/>
              <w:right w:val="nil"/>
            </w:tcBorders>
            <w:shd w:val="solid" w:color="FFFFFF" w:fill="auto"/>
          </w:tcPr>
          <w:p w:rsidR="00B958B1" w:rsidRPr="00FD70C3" w:rsidRDefault="00B958B1" w:rsidP="009F3B54">
            <w:pPr>
              <w:pStyle w:val="TableofFigures"/>
              <w:rPr>
                <w:rFonts w:eastAsiaTheme="minorEastAsia"/>
                <w:color w:val="000000"/>
                <w:lang w:eastAsia="en-AU"/>
              </w:rPr>
            </w:pPr>
            <w:r w:rsidRPr="00FD70C3">
              <w:rPr>
                <w:rFonts w:eastAsiaTheme="minorEastAsia"/>
                <w:color w:val="000000"/>
                <w:lang w:eastAsia="en-AU"/>
              </w:rPr>
              <w:t>49.7</w:t>
            </w:r>
          </w:p>
        </w:tc>
        <w:tc>
          <w:tcPr>
            <w:tcW w:w="780" w:type="dxa"/>
            <w:tcBorders>
              <w:top w:val="nil"/>
              <w:left w:val="nil"/>
              <w:bottom w:val="nil"/>
              <w:right w:val="nil"/>
            </w:tcBorders>
            <w:shd w:val="solid" w:color="FFFFFF" w:fill="auto"/>
          </w:tcPr>
          <w:p w:rsidR="00B958B1" w:rsidRPr="00FD70C3" w:rsidRDefault="00B958B1" w:rsidP="009F3B54">
            <w:pPr>
              <w:pStyle w:val="TableofFigures"/>
              <w:rPr>
                <w:rFonts w:eastAsiaTheme="minorEastAsia"/>
                <w:color w:val="000000"/>
                <w:lang w:eastAsia="en-AU"/>
              </w:rPr>
            </w:pPr>
            <w:r w:rsidRPr="00FD70C3">
              <w:rPr>
                <w:rFonts w:eastAsiaTheme="minorEastAsia"/>
                <w:color w:val="000000"/>
                <w:lang w:eastAsia="en-AU"/>
              </w:rPr>
              <w:t>49.7</w:t>
            </w:r>
          </w:p>
        </w:tc>
        <w:tc>
          <w:tcPr>
            <w:tcW w:w="1102" w:type="dxa"/>
            <w:tcBorders>
              <w:top w:val="nil"/>
              <w:left w:val="nil"/>
              <w:bottom w:val="nil"/>
              <w:right w:val="nil"/>
            </w:tcBorders>
          </w:tcPr>
          <w:p w:rsidR="00B958B1" w:rsidRPr="00FD70C3" w:rsidRDefault="00B958B1" w:rsidP="009F3B54">
            <w:pPr>
              <w:pStyle w:val="TableofFigures"/>
              <w:rPr>
                <w:rFonts w:eastAsiaTheme="minorEastAsia"/>
                <w:color w:val="000000"/>
                <w:lang w:eastAsia="en-AU"/>
              </w:rPr>
            </w:pPr>
            <w:r w:rsidRPr="00FD70C3">
              <w:rPr>
                <w:rFonts w:eastAsiaTheme="minorEastAsia"/>
                <w:color w:val="000000"/>
                <w:lang w:eastAsia="en-AU"/>
              </w:rPr>
              <w:t>5.1</w:t>
            </w:r>
          </w:p>
        </w:tc>
      </w:tr>
      <w:tr w:rsidR="00B958B1" w:rsidRPr="00FD70C3" w:rsidTr="009F3B54">
        <w:tc>
          <w:tcPr>
            <w:tcW w:w="4334" w:type="dxa"/>
            <w:tcBorders>
              <w:top w:val="nil"/>
              <w:left w:val="nil"/>
              <w:bottom w:val="nil"/>
              <w:right w:val="nil"/>
            </w:tcBorders>
          </w:tcPr>
          <w:p w:rsidR="00B958B1" w:rsidRPr="00FD70C3" w:rsidRDefault="00B958B1" w:rsidP="009F3B54">
            <w:pPr>
              <w:pStyle w:val="Tabletext"/>
              <w:rPr>
                <w:rFonts w:eastAsiaTheme="minorEastAsia"/>
                <w:color w:val="000000"/>
                <w:vertAlign w:val="superscript"/>
                <w:lang w:eastAsia="en-AU"/>
              </w:rPr>
            </w:pPr>
            <w:r w:rsidRPr="00FD70C3">
              <w:rPr>
                <w:rFonts w:eastAsiaTheme="minorEastAsia"/>
                <w:color w:val="000000"/>
                <w:lang w:eastAsia="en-AU"/>
              </w:rPr>
              <w:t xml:space="preserve">Public Sector Management, Governance and Support </w:t>
            </w:r>
            <w:r w:rsidRPr="00FD70C3">
              <w:rPr>
                <w:rFonts w:eastAsiaTheme="minorEastAsia"/>
                <w:color w:val="000000"/>
                <w:vertAlign w:val="superscript"/>
                <w:lang w:eastAsia="en-AU"/>
              </w:rPr>
              <w:t>(d)</w:t>
            </w:r>
          </w:p>
        </w:tc>
        <w:tc>
          <w:tcPr>
            <w:tcW w:w="780" w:type="dxa"/>
            <w:tcBorders>
              <w:top w:val="nil"/>
              <w:left w:val="nil"/>
              <w:bottom w:val="nil"/>
              <w:right w:val="nil"/>
            </w:tcBorders>
          </w:tcPr>
          <w:p w:rsidR="00B958B1" w:rsidRPr="00FD70C3" w:rsidRDefault="00B958B1" w:rsidP="009F3B54">
            <w:pPr>
              <w:pStyle w:val="TableofFigures"/>
              <w:rPr>
                <w:rFonts w:eastAsiaTheme="minorEastAsia"/>
                <w:color w:val="000000"/>
                <w:lang w:eastAsia="en-AU"/>
              </w:rPr>
            </w:pPr>
            <w:r w:rsidRPr="00FD70C3">
              <w:rPr>
                <w:rFonts w:eastAsiaTheme="minorEastAsia"/>
                <w:color w:val="000000"/>
                <w:lang w:eastAsia="en-AU"/>
              </w:rPr>
              <w:t>32.8</w:t>
            </w:r>
          </w:p>
        </w:tc>
        <w:tc>
          <w:tcPr>
            <w:tcW w:w="780" w:type="dxa"/>
            <w:tcBorders>
              <w:top w:val="nil"/>
              <w:left w:val="nil"/>
              <w:bottom w:val="nil"/>
              <w:right w:val="nil"/>
            </w:tcBorders>
          </w:tcPr>
          <w:p w:rsidR="00B958B1" w:rsidRPr="00FD70C3" w:rsidRDefault="00B958B1" w:rsidP="009F3B54">
            <w:pPr>
              <w:pStyle w:val="TableofFigures"/>
              <w:rPr>
                <w:rFonts w:eastAsiaTheme="minorEastAsia"/>
                <w:color w:val="000000"/>
                <w:lang w:eastAsia="en-AU"/>
              </w:rPr>
            </w:pPr>
            <w:r w:rsidRPr="00FD70C3">
              <w:rPr>
                <w:rFonts w:eastAsiaTheme="minorEastAsia"/>
                <w:color w:val="000000"/>
                <w:lang w:eastAsia="en-AU"/>
              </w:rPr>
              <w:t>36.3</w:t>
            </w:r>
          </w:p>
        </w:tc>
        <w:tc>
          <w:tcPr>
            <w:tcW w:w="780" w:type="dxa"/>
            <w:tcBorders>
              <w:top w:val="nil"/>
              <w:left w:val="nil"/>
              <w:bottom w:val="nil"/>
              <w:right w:val="nil"/>
            </w:tcBorders>
          </w:tcPr>
          <w:p w:rsidR="00B958B1" w:rsidRPr="00FD70C3" w:rsidRDefault="00B958B1" w:rsidP="009F3B54">
            <w:pPr>
              <w:pStyle w:val="TableofFigures"/>
              <w:rPr>
                <w:rFonts w:eastAsiaTheme="minorEastAsia"/>
                <w:color w:val="000000"/>
                <w:lang w:eastAsia="en-AU"/>
              </w:rPr>
            </w:pPr>
            <w:r w:rsidRPr="00FD70C3">
              <w:rPr>
                <w:rFonts w:eastAsiaTheme="minorEastAsia"/>
                <w:color w:val="000000"/>
                <w:lang w:eastAsia="en-AU"/>
              </w:rPr>
              <w:t>32.3</w:t>
            </w:r>
          </w:p>
        </w:tc>
        <w:tc>
          <w:tcPr>
            <w:tcW w:w="1102" w:type="dxa"/>
            <w:tcBorders>
              <w:top w:val="nil"/>
              <w:left w:val="nil"/>
              <w:bottom w:val="nil"/>
              <w:right w:val="nil"/>
            </w:tcBorders>
          </w:tcPr>
          <w:p w:rsidR="00B958B1" w:rsidRPr="00FD70C3" w:rsidRDefault="009F0F49" w:rsidP="009F3B54">
            <w:pPr>
              <w:pStyle w:val="TableofFigures"/>
              <w:rPr>
                <w:rFonts w:eastAsiaTheme="minorEastAsia"/>
                <w:color w:val="000000"/>
                <w:lang w:eastAsia="en-AU"/>
              </w:rPr>
            </w:pPr>
            <w:r>
              <w:rPr>
                <w:rFonts w:eastAsiaTheme="minorEastAsia"/>
                <w:color w:val="000000"/>
                <w:lang w:eastAsia="en-AU"/>
              </w:rPr>
              <w:noBreakHyphen/>
            </w:r>
            <w:r w:rsidR="00B958B1" w:rsidRPr="00FD70C3">
              <w:rPr>
                <w:rFonts w:eastAsiaTheme="minorEastAsia"/>
                <w:color w:val="000000"/>
                <w:lang w:eastAsia="en-AU"/>
              </w:rPr>
              <w:t>1.5</w:t>
            </w:r>
          </w:p>
        </w:tc>
      </w:tr>
      <w:tr w:rsidR="00B958B1" w:rsidRPr="00FD70C3" w:rsidTr="009F3B54">
        <w:tc>
          <w:tcPr>
            <w:tcW w:w="4334" w:type="dxa"/>
            <w:tcBorders>
              <w:top w:val="single" w:sz="6" w:space="0" w:color="auto"/>
              <w:left w:val="nil"/>
              <w:bottom w:val="single" w:sz="12" w:space="0" w:color="auto"/>
              <w:right w:val="nil"/>
            </w:tcBorders>
          </w:tcPr>
          <w:p w:rsidR="00B958B1" w:rsidRPr="00FD70C3" w:rsidRDefault="00B958B1" w:rsidP="009F3B54">
            <w:pPr>
              <w:pStyle w:val="Tabletext"/>
              <w:rPr>
                <w:rFonts w:eastAsiaTheme="minorEastAsia"/>
                <w:b/>
                <w:bCs/>
                <w:color w:val="000000"/>
                <w:lang w:eastAsia="en-AU"/>
              </w:rPr>
            </w:pPr>
            <w:r w:rsidRPr="00FD70C3">
              <w:rPr>
                <w:rFonts w:eastAsiaTheme="minorEastAsia"/>
                <w:b/>
                <w:bCs/>
                <w:color w:val="000000"/>
                <w:lang w:eastAsia="en-AU"/>
              </w:rPr>
              <w:t>Total</w:t>
            </w:r>
          </w:p>
        </w:tc>
        <w:tc>
          <w:tcPr>
            <w:tcW w:w="780" w:type="dxa"/>
            <w:tcBorders>
              <w:top w:val="single" w:sz="6" w:space="0" w:color="auto"/>
              <w:left w:val="nil"/>
              <w:bottom w:val="single" w:sz="12" w:space="0" w:color="auto"/>
              <w:right w:val="nil"/>
            </w:tcBorders>
          </w:tcPr>
          <w:p w:rsidR="00B958B1" w:rsidRPr="00FD70C3" w:rsidRDefault="00B958B1" w:rsidP="009F3B54">
            <w:pPr>
              <w:pStyle w:val="TableofFigures"/>
              <w:rPr>
                <w:rFonts w:eastAsiaTheme="minorEastAsia"/>
                <w:b/>
                <w:bCs/>
                <w:color w:val="000000"/>
                <w:szCs w:val="22"/>
                <w:lang w:eastAsia="en-AU"/>
              </w:rPr>
            </w:pPr>
            <w:r w:rsidRPr="00FD70C3">
              <w:rPr>
                <w:rFonts w:eastAsiaTheme="minorEastAsia"/>
                <w:b/>
                <w:bCs/>
                <w:color w:val="000000"/>
                <w:szCs w:val="22"/>
                <w:lang w:eastAsia="en-AU"/>
              </w:rPr>
              <w:t>646.0</w:t>
            </w:r>
          </w:p>
        </w:tc>
        <w:tc>
          <w:tcPr>
            <w:tcW w:w="780" w:type="dxa"/>
            <w:tcBorders>
              <w:top w:val="single" w:sz="6" w:space="0" w:color="auto"/>
              <w:left w:val="nil"/>
              <w:bottom w:val="single" w:sz="12" w:space="0" w:color="auto"/>
              <w:right w:val="nil"/>
            </w:tcBorders>
          </w:tcPr>
          <w:p w:rsidR="00B958B1" w:rsidRPr="00FD70C3" w:rsidRDefault="00B958B1" w:rsidP="009F3B54">
            <w:pPr>
              <w:pStyle w:val="TableofFigures"/>
              <w:rPr>
                <w:rFonts w:eastAsiaTheme="minorEastAsia"/>
                <w:b/>
                <w:bCs/>
                <w:color w:val="000000"/>
                <w:szCs w:val="22"/>
                <w:lang w:eastAsia="en-AU"/>
              </w:rPr>
            </w:pPr>
            <w:r w:rsidRPr="00FD70C3">
              <w:rPr>
                <w:rFonts w:eastAsiaTheme="minorEastAsia"/>
                <w:b/>
                <w:bCs/>
                <w:color w:val="000000"/>
                <w:szCs w:val="22"/>
                <w:lang w:eastAsia="en-AU"/>
              </w:rPr>
              <w:t>662.9</w:t>
            </w:r>
          </w:p>
        </w:tc>
        <w:tc>
          <w:tcPr>
            <w:tcW w:w="780" w:type="dxa"/>
            <w:tcBorders>
              <w:top w:val="single" w:sz="6" w:space="0" w:color="auto"/>
              <w:left w:val="nil"/>
              <w:bottom w:val="single" w:sz="12" w:space="0" w:color="auto"/>
              <w:right w:val="nil"/>
            </w:tcBorders>
          </w:tcPr>
          <w:p w:rsidR="00B958B1" w:rsidRPr="00FD70C3" w:rsidRDefault="00B958B1" w:rsidP="009F3B54">
            <w:pPr>
              <w:pStyle w:val="TableofFigures"/>
              <w:rPr>
                <w:rFonts w:eastAsiaTheme="minorEastAsia"/>
                <w:b/>
                <w:bCs/>
                <w:color w:val="000000"/>
                <w:szCs w:val="22"/>
                <w:lang w:eastAsia="en-AU"/>
              </w:rPr>
            </w:pPr>
            <w:r w:rsidRPr="00FD70C3">
              <w:rPr>
                <w:rFonts w:eastAsiaTheme="minorEastAsia"/>
                <w:b/>
                <w:bCs/>
                <w:color w:val="000000"/>
                <w:szCs w:val="22"/>
                <w:lang w:eastAsia="en-AU"/>
              </w:rPr>
              <w:t>661.7</w:t>
            </w:r>
          </w:p>
        </w:tc>
        <w:tc>
          <w:tcPr>
            <w:tcW w:w="1102" w:type="dxa"/>
            <w:tcBorders>
              <w:top w:val="single" w:sz="6" w:space="0" w:color="auto"/>
              <w:left w:val="nil"/>
              <w:bottom w:val="single" w:sz="12" w:space="0" w:color="auto"/>
              <w:right w:val="nil"/>
            </w:tcBorders>
          </w:tcPr>
          <w:p w:rsidR="00B958B1" w:rsidRPr="00FD70C3" w:rsidRDefault="00B958B1" w:rsidP="009F3B54">
            <w:pPr>
              <w:pStyle w:val="TableofFigures"/>
              <w:rPr>
                <w:rFonts w:eastAsiaTheme="minorEastAsia"/>
                <w:b/>
                <w:bCs/>
                <w:color w:val="000000"/>
                <w:szCs w:val="22"/>
                <w:lang w:eastAsia="en-AU"/>
              </w:rPr>
            </w:pPr>
            <w:r w:rsidRPr="00FD70C3">
              <w:rPr>
                <w:rFonts w:eastAsiaTheme="minorEastAsia"/>
                <w:b/>
                <w:bCs/>
                <w:color w:val="000000"/>
                <w:szCs w:val="22"/>
                <w:lang w:eastAsia="en-AU"/>
              </w:rPr>
              <w:t>2.4</w:t>
            </w:r>
          </w:p>
        </w:tc>
      </w:tr>
    </w:tbl>
    <w:p w:rsidR="00B958B1" w:rsidRDefault="00B958B1" w:rsidP="009F3B54">
      <w:pPr>
        <w:pStyle w:val="Source"/>
      </w:pPr>
      <w:r w:rsidRPr="004544B5">
        <w:t>Source</w:t>
      </w:r>
      <w:r>
        <w:t>: Department of Premier and Cabinet</w:t>
      </w:r>
    </w:p>
    <w:p w:rsidR="00B958B1" w:rsidRDefault="00B958B1" w:rsidP="009F3B54">
      <w:pPr>
        <w:pStyle w:val="Notes"/>
      </w:pPr>
      <w:r>
        <w:fldChar w:fldCharType="begin"/>
      </w:r>
      <w:r>
        <w:instrText xml:space="preserve"> XE "</w:instrText>
      </w:r>
      <w:r w:rsidRPr="00FD73D6">
        <w:instrText>Department of Premier and Cabinet:Output summary</w:instrText>
      </w:r>
      <w:r>
        <w:instrText xml:space="preserve">" </w:instrText>
      </w:r>
      <w:r>
        <w:fldChar w:fldCharType="end"/>
      </w:r>
      <w:r>
        <w:t>Notes:</w:t>
      </w:r>
    </w:p>
    <w:p w:rsidR="00B958B1" w:rsidRDefault="00B958B1" w:rsidP="009F3B54">
      <w:pPr>
        <w:pStyle w:val="Notes"/>
      </w:pPr>
      <w:r>
        <w:t>(a)</w:t>
      </w:r>
      <w:r>
        <w:tab/>
        <w:t>Variation between 2012</w:t>
      </w:r>
      <w:r w:rsidR="009F0F49">
        <w:noBreakHyphen/>
      </w:r>
      <w:r>
        <w:t xml:space="preserve">13 budget and </w:t>
      </w:r>
      <w:r w:rsidRPr="007F24B2">
        <w:rPr>
          <w:i w:val="0"/>
        </w:rPr>
        <w:t>2013</w:t>
      </w:r>
      <w:r w:rsidR="009F0F49">
        <w:rPr>
          <w:i w:val="0"/>
        </w:rPr>
        <w:noBreakHyphen/>
      </w:r>
      <w:r w:rsidRPr="007F24B2">
        <w:rPr>
          <w:i w:val="0"/>
        </w:rPr>
        <w:t>14 Budget</w:t>
      </w:r>
      <w:r>
        <w:t>.</w:t>
      </w:r>
    </w:p>
    <w:p w:rsidR="00B958B1" w:rsidRDefault="00B958B1" w:rsidP="009F3B54">
      <w:pPr>
        <w:pStyle w:val="Notes"/>
      </w:pPr>
      <w:r>
        <w:t>(b)</w:t>
      </w:r>
      <w:r>
        <w:tab/>
        <w:t>The 2013</w:t>
      </w:r>
      <w:r w:rsidR="009F0F49">
        <w:noBreakHyphen/>
      </w:r>
      <w:r>
        <w:t xml:space="preserve">14 output group name </w:t>
      </w:r>
      <w:r w:rsidRPr="004544B5">
        <w:t>replaces</w:t>
      </w:r>
      <w:r>
        <w:t xml:space="preserve"> the 2012</w:t>
      </w:r>
      <w:r w:rsidR="009F0F49">
        <w:noBreakHyphen/>
      </w:r>
      <w:r>
        <w:t>13 name ‘Strategic Policy Advice and Support’. It has been amended as a result of a departmental review to better align DPC’s outputs to its corporate objecti</w:t>
      </w:r>
      <w:r w:rsidRPr="00CC432B">
        <w:t>ves. The 2013</w:t>
      </w:r>
      <w:r w:rsidR="009F0F49">
        <w:noBreakHyphen/>
      </w:r>
      <w:r w:rsidRPr="00CC432B">
        <w:t>14 Budget is the same as the 2012</w:t>
      </w:r>
      <w:r w:rsidR="009F0F49">
        <w:noBreakHyphen/>
      </w:r>
      <w:r w:rsidRPr="00CC432B">
        <w:t>13 Budget with the exception of carryovers.</w:t>
      </w:r>
      <w:r>
        <w:t xml:space="preserve"> The 2012</w:t>
      </w:r>
      <w:r w:rsidR="009F0F49">
        <w:noBreakHyphen/>
      </w:r>
      <w:r>
        <w:t>13 Budget did not include carryovers from 2011</w:t>
      </w:r>
      <w:r w:rsidR="009F0F49">
        <w:noBreakHyphen/>
      </w:r>
      <w:r>
        <w:t>12, but the 2013</w:t>
      </w:r>
      <w:r w:rsidR="009F0F49">
        <w:noBreakHyphen/>
      </w:r>
      <w:r>
        <w:t>14 Budget includes carryovers from 2012</w:t>
      </w:r>
      <w:r w:rsidR="009F0F49">
        <w:noBreakHyphen/>
      </w:r>
      <w:r>
        <w:t>13.</w:t>
      </w:r>
    </w:p>
    <w:p w:rsidR="00B958B1" w:rsidRPr="003F4CA6" w:rsidRDefault="00B958B1" w:rsidP="009F3B54">
      <w:pPr>
        <w:pStyle w:val="Notes"/>
      </w:pPr>
      <w:r w:rsidRPr="003F4CA6">
        <w:t>(c)</w:t>
      </w:r>
      <w:r w:rsidRPr="003F4CA6">
        <w:tab/>
      </w:r>
      <w:r w:rsidRPr="004E55EF">
        <w:t>The 2013</w:t>
      </w:r>
      <w:r w:rsidR="009F0F49">
        <w:noBreakHyphen/>
      </w:r>
      <w:r w:rsidRPr="004E55EF">
        <w:t>14 output group name replaces the 2012</w:t>
      </w:r>
      <w:r w:rsidR="009F0F49">
        <w:noBreakHyphen/>
      </w:r>
      <w:r w:rsidRPr="004E55EF">
        <w:t>13 name ‘Multicultural Affairs and Citizenship’. It has been amended as a result of machinery of government changes to also include the outputs ‘Aboriginal Affairs’ and ‘Veterans’ Affairs’.</w:t>
      </w:r>
      <w:r>
        <w:t xml:space="preserve"> </w:t>
      </w:r>
    </w:p>
    <w:p w:rsidR="00B958B1" w:rsidRDefault="00B958B1" w:rsidP="009F3B54">
      <w:pPr>
        <w:pStyle w:val="Notes"/>
      </w:pPr>
      <w:r>
        <w:t>(d)</w:t>
      </w:r>
      <w:r>
        <w:tab/>
        <w:t>The 2013</w:t>
      </w:r>
      <w:r w:rsidR="009F0F49">
        <w:noBreakHyphen/>
      </w:r>
      <w:r>
        <w:t xml:space="preserve">14 output group reflects the transfer of the Office of the Victorian Government Architect to the Department of Transport, Planning and Local Infrastructure as a result of machinery of government changes. </w:t>
      </w:r>
    </w:p>
    <w:p w:rsidR="00B958B1" w:rsidRDefault="00B958B1" w:rsidP="009F3B54"/>
    <w:p w:rsidR="00B958B1" w:rsidRDefault="00B958B1" w:rsidP="009F3B54">
      <w:pPr>
        <w:pStyle w:val="Tableheading"/>
      </w:pPr>
      <w:r>
        <w:t>Table 2.18:</w:t>
      </w:r>
      <w:r>
        <w:tab/>
        <w:t>Income from transactions</w:t>
      </w:r>
    </w:p>
    <w:p w:rsidR="00B958B1" w:rsidRPr="005C1EE6" w:rsidRDefault="00B958B1" w:rsidP="009F3B54">
      <w:pPr>
        <w:pStyle w:val="million"/>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244"/>
        <w:gridCol w:w="883"/>
        <w:gridCol w:w="883"/>
        <w:gridCol w:w="883"/>
        <w:gridCol w:w="883"/>
      </w:tblGrid>
      <w:tr w:rsidR="00B958B1" w:rsidRPr="005C1EE6" w:rsidTr="009F3B54">
        <w:tc>
          <w:tcPr>
            <w:tcW w:w="4244" w:type="dxa"/>
            <w:tcBorders>
              <w:top w:val="single" w:sz="4" w:space="0" w:color="auto"/>
              <w:left w:val="single" w:sz="4" w:space="0" w:color="auto"/>
              <w:bottom w:val="nil"/>
              <w:right w:val="nil"/>
            </w:tcBorders>
            <w:shd w:val="clear" w:color="auto" w:fill="000000"/>
          </w:tcPr>
          <w:p w:rsidR="00B958B1" w:rsidRPr="005C1EE6" w:rsidRDefault="00B958B1" w:rsidP="009F3B54">
            <w:pPr>
              <w:pStyle w:val="Tabletext"/>
              <w:rPr>
                <w:rFonts w:eastAsiaTheme="minorEastAsia"/>
                <w:lang w:eastAsia="en-AU"/>
              </w:rPr>
            </w:pPr>
            <w:r w:rsidRPr="005C1EE6">
              <w:rPr>
                <w:rFonts w:eastAsiaTheme="minorEastAsia"/>
                <w:lang w:eastAsia="en-AU"/>
              </w:rPr>
              <w:t xml:space="preserve"> </w:t>
            </w:r>
          </w:p>
        </w:tc>
        <w:tc>
          <w:tcPr>
            <w:tcW w:w="883" w:type="dxa"/>
            <w:tcBorders>
              <w:top w:val="single" w:sz="4" w:space="0" w:color="auto"/>
              <w:left w:val="nil"/>
              <w:bottom w:val="nil"/>
              <w:right w:val="nil"/>
            </w:tcBorders>
            <w:shd w:val="clear" w:color="auto" w:fill="000000"/>
          </w:tcPr>
          <w:p w:rsidR="00B958B1" w:rsidRPr="005C1EE6" w:rsidRDefault="00B958B1" w:rsidP="009F3B54">
            <w:pPr>
              <w:pStyle w:val="Tabletextheading"/>
              <w:rPr>
                <w:rFonts w:eastAsiaTheme="minorEastAsia"/>
                <w:lang w:eastAsia="en-AU"/>
              </w:rPr>
            </w:pPr>
            <w:r w:rsidRPr="005C1EE6">
              <w:rPr>
                <w:rFonts w:eastAsiaTheme="minorEastAsia"/>
                <w:lang w:eastAsia="en-AU"/>
              </w:rPr>
              <w:t>2011</w:t>
            </w:r>
            <w:r w:rsidR="009F0F49">
              <w:rPr>
                <w:rFonts w:eastAsiaTheme="minorEastAsia"/>
                <w:lang w:eastAsia="en-AU"/>
              </w:rPr>
              <w:noBreakHyphen/>
            </w:r>
            <w:r w:rsidRPr="005C1EE6">
              <w:rPr>
                <w:rFonts w:eastAsiaTheme="minorEastAsia"/>
                <w:lang w:eastAsia="en-AU"/>
              </w:rPr>
              <w:t>12</w:t>
            </w:r>
          </w:p>
        </w:tc>
        <w:tc>
          <w:tcPr>
            <w:tcW w:w="883" w:type="dxa"/>
            <w:tcBorders>
              <w:top w:val="single" w:sz="4" w:space="0" w:color="auto"/>
              <w:left w:val="nil"/>
              <w:bottom w:val="nil"/>
              <w:right w:val="nil"/>
            </w:tcBorders>
            <w:shd w:val="clear" w:color="auto" w:fill="000000"/>
          </w:tcPr>
          <w:p w:rsidR="00B958B1" w:rsidRPr="005C1EE6" w:rsidRDefault="00B958B1" w:rsidP="009F3B54">
            <w:pPr>
              <w:pStyle w:val="Tabletextheading"/>
              <w:rPr>
                <w:rFonts w:eastAsiaTheme="minorEastAsia"/>
                <w:lang w:eastAsia="en-AU"/>
              </w:rPr>
            </w:pPr>
            <w:r w:rsidRPr="005C1EE6">
              <w:rPr>
                <w:rFonts w:eastAsiaTheme="minorEastAsia"/>
                <w:lang w:eastAsia="en-AU"/>
              </w:rPr>
              <w:t>2012</w:t>
            </w:r>
            <w:r w:rsidR="009F0F49">
              <w:rPr>
                <w:rFonts w:eastAsiaTheme="minorEastAsia"/>
                <w:lang w:eastAsia="en-AU"/>
              </w:rPr>
              <w:noBreakHyphen/>
            </w:r>
            <w:r w:rsidRPr="005C1EE6">
              <w:rPr>
                <w:rFonts w:eastAsiaTheme="minorEastAsia"/>
                <w:lang w:eastAsia="en-AU"/>
              </w:rPr>
              <w:t>13</w:t>
            </w:r>
          </w:p>
        </w:tc>
        <w:tc>
          <w:tcPr>
            <w:tcW w:w="883" w:type="dxa"/>
            <w:tcBorders>
              <w:top w:val="single" w:sz="4" w:space="0" w:color="auto"/>
              <w:left w:val="nil"/>
              <w:bottom w:val="nil"/>
              <w:right w:val="nil"/>
            </w:tcBorders>
            <w:shd w:val="clear" w:color="auto" w:fill="000000"/>
          </w:tcPr>
          <w:p w:rsidR="00B958B1" w:rsidRPr="005C1EE6" w:rsidRDefault="00B958B1" w:rsidP="009F3B54">
            <w:pPr>
              <w:pStyle w:val="Tabletextheading"/>
              <w:rPr>
                <w:rFonts w:eastAsiaTheme="minorEastAsia"/>
                <w:lang w:eastAsia="en-AU"/>
              </w:rPr>
            </w:pPr>
            <w:r w:rsidRPr="005C1EE6">
              <w:rPr>
                <w:rFonts w:eastAsiaTheme="minorEastAsia"/>
                <w:lang w:eastAsia="en-AU"/>
              </w:rPr>
              <w:t>2012</w:t>
            </w:r>
            <w:r w:rsidR="009F0F49">
              <w:rPr>
                <w:rFonts w:eastAsiaTheme="minorEastAsia"/>
                <w:lang w:eastAsia="en-AU"/>
              </w:rPr>
              <w:noBreakHyphen/>
            </w:r>
            <w:r w:rsidRPr="005C1EE6">
              <w:rPr>
                <w:rFonts w:eastAsiaTheme="minorEastAsia"/>
                <w:lang w:eastAsia="en-AU"/>
              </w:rPr>
              <w:t>13</w:t>
            </w:r>
          </w:p>
        </w:tc>
        <w:tc>
          <w:tcPr>
            <w:tcW w:w="883" w:type="dxa"/>
            <w:tcBorders>
              <w:top w:val="single" w:sz="4" w:space="0" w:color="auto"/>
              <w:left w:val="nil"/>
              <w:bottom w:val="nil"/>
              <w:right w:val="single" w:sz="4" w:space="0" w:color="auto"/>
            </w:tcBorders>
            <w:shd w:val="clear" w:color="auto" w:fill="000000"/>
          </w:tcPr>
          <w:p w:rsidR="00B958B1" w:rsidRPr="005C1EE6" w:rsidRDefault="00B958B1" w:rsidP="009F3B54">
            <w:pPr>
              <w:pStyle w:val="Tabletextheading"/>
              <w:rPr>
                <w:rFonts w:eastAsiaTheme="minorEastAsia"/>
                <w:lang w:eastAsia="en-AU"/>
              </w:rPr>
            </w:pPr>
            <w:r w:rsidRPr="005C1EE6">
              <w:rPr>
                <w:rFonts w:eastAsiaTheme="minorEastAsia"/>
                <w:lang w:eastAsia="en-AU"/>
              </w:rPr>
              <w:t>2013</w:t>
            </w:r>
            <w:r w:rsidR="009F0F49">
              <w:rPr>
                <w:rFonts w:eastAsiaTheme="minorEastAsia"/>
                <w:lang w:eastAsia="en-AU"/>
              </w:rPr>
              <w:noBreakHyphen/>
            </w:r>
            <w:r w:rsidRPr="005C1EE6">
              <w:rPr>
                <w:rFonts w:eastAsiaTheme="minorEastAsia"/>
                <w:lang w:eastAsia="en-AU"/>
              </w:rPr>
              <w:t>14</w:t>
            </w:r>
          </w:p>
        </w:tc>
      </w:tr>
      <w:tr w:rsidR="00B958B1" w:rsidRPr="005C1EE6" w:rsidTr="009F3B54">
        <w:tc>
          <w:tcPr>
            <w:tcW w:w="4244" w:type="dxa"/>
            <w:tcBorders>
              <w:top w:val="nil"/>
              <w:left w:val="single" w:sz="4" w:space="0" w:color="auto"/>
              <w:bottom w:val="single" w:sz="4" w:space="0" w:color="auto"/>
              <w:right w:val="nil"/>
            </w:tcBorders>
            <w:shd w:val="clear" w:color="auto" w:fill="000000"/>
          </w:tcPr>
          <w:p w:rsidR="00B958B1" w:rsidRPr="005C1EE6" w:rsidRDefault="00B958B1" w:rsidP="009F3B54">
            <w:pPr>
              <w:pStyle w:val="Tabletext"/>
              <w:rPr>
                <w:rFonts w:eastAsiaTheme="minorEastAsia"/>
                <w:lang w:eastAsia="en-AU"/>
              </w:rPr>
            </w:pPr>
            <w:r w:rsidRPr="005C1EE6">
              <w:rPr>
                <w:rFonts w:eastAsiaTheme="minorEastAsia"/>
                <w:lang w:eastAsia="en-AU"/>
              </w:rPr>
              <w:t xml:space="preserve"> </w:t>
            </w:r>
          </w:p>
        </w:tc>
        <w:tc>
          <w:tcPr>
            <w:tcW w:w="883" w:type="dxa"/>
            <w:tcBorders>
              <w:top w:val="nil"/>
              <w:left w:val="nil"/>
              <w:bottom w:val="single" w:sz="4" w:space="0" w:color="auto"/>
              <w:right w:val="nil"/>
            </w:tcBorders>
            <w:shd w:val="clear" w:color="auto" w:fill="000000"/>
          </w:tcPr>
          <w:p w:rsidR="00B958B1" w:rsidRPr="005C1EE6" w:rsidRDefault="00B958B1" w:rsidP="009F3B54">
            <w:pPr>
              <w:pStyle w:val="Tabletextheading"/>
              <w:rPr>
                <w:rFonts w:eastAsiaTheme="minorEastAsia"/>
                <w:lang w:eastAsia="en-AU"/>
              </w:rPr>
            </w:pPr>
            <w:r w:rsidRPr="005C1EE6">
              <w:rPr>
                <w:rFonts w:eastAsiaTheme="minorEastAsia"/>
                <w:lang w:eastAsia="en-AU"/>
              </w:rPr>
              <w:t>Actual</w:t>
            </w:r>
          </w:p>
        </w:tc>
        <w:tc>
          <w:tcPr>
            <w:tcW w:w="883" w:type="dxa"/>
            <w:tcBorders>
              <w:top w:val="nil"/>
              <w:left w:val="nil"/>
              <w:bottom w:val="single" w:sz="4" w:space="0" w:color="auto"/>
              <w:right w:val="nil"/>
            </w:tcBorders>
            <w:shd w:val="clear" w:color="auto" w:fill="000000"/>
          </w:tcPr>
          <w:p w:rsidR="00B958B1" w:rsidRPr="005C1EE6" w:rsidRDefault="00B958B1" w:rsidP="009F3B54">
            <w:pPr>
              <w:pStyle w:val="Tabletextheading"/>
              <w:rPr>
                <w:rFonts w:eastAsiaTheme="minorEastAsia"/>
                <w:lang w:eastAsia="en-AU"/>
              </w:rPr>
            </w:pPr>
            <w:r w:rsidRPr="005C1EE6">
              <w:rPr>
                <w:rFonts w:eastAsiaTheme="minorEastAsia"/>
                <w:lang w:eastAsia="en-AU"/>
              </w:rPr>
              <w:t xml:space="preserve">Budget </w:t>
            </w:r>
          </w:p>
        </w:tc>
        <w:tc>
          <w:tcPr>
            <w:tcW w:w="883" w:type="dxa"/>
            <w:tcBorders>
              <w:top w:val="nil"/>
              <w:left w:val="nil"/>
              <w:bottom w:val="single" w:sz="4" w:space="0" w:color="auto"/>
              <w:right w:val="nil"/>
            </w:tcBorders>
            <w:shd w:val="clear" w:color="auto" w:fill="000000"/>
          </w:tcPr>
          <w:p w:rsidR="00B958B1" w:rsidRPr="005C1EE6" w:rsidRDefault="00B958B1" w:rsidP="009F3B54">
            <w:pPr>
              <w:pStyle w:val="Tabletextheading"/>
              <w:rPr>
                <w:rFonts w:eastAsiaTheme="minorEastAsia"/>
                <w:lang w:eastAsia="en-AU"/>
              </w:rPr>
            </w:pPr>
            <w:r w:rsidRPr="005C1EE6">
              <w:rPr>
                <w:rFonts w:eastAsiaTheme="minorEastAsia"/>
                <w:lang w:eastAsia="en-AU"/>
              </w:rPr>
              <w:t>Revised</w:t>
            </w:r>
          </w:p>
        </w:tc>
        <w:tc>
          <w:tcPr>
            <w:tcW w:w="883" w:type="dxa"/>
            <w:tcBorders>
              <w:top w:val="nil"/>
              <w:left w:val="nil"/>
              <w:bottom w:val="single" w:sz="4" w:space="0" w:color="auto"/>
              <w:right w:val="single" w:sz="4" w:space="0" w:color="auto"/>
            </w:tcBorders>
            <w:shd w:val="clear" w:color="auto" w:fill="000000"/>
          </w:tcPr>
          <w:p w:rsidR="00B958B1" w:rsidRPr="005C1EE6" w:rsidRDefault="00B958B1" w:rsidP="009F3B54">
            <w:pPr>
              <w:pStyle w:val="Tabletextheading"/>
              <w:rPr>
                <w:rFonts w:eastAsiaTheme="minorEastAsia"/>
                <w:lang w:eastAsia="en-AU"/>
              </w:rPr>
            </w:pPr>
            <w:r w:rsidRPr="005C1EE6">
              <w:rPr>
                <w:rFonts w:eastAsiaTheme="minorEastAsia"/>
                <w:lang w:eastAsia="en-AU"/>
              </w:rPr>
              <w:t>Budget</w:t>
            </w:r>
          </w:p>
        </w:tc>
      </w:tr>
      <w:tr w:rsidR="00B958B1" w:rsidRPr="005C1EE6" w:rsidTr="009F3B54">
        <w:tc>
          <w:tcPr>
            <w:tcW w:w="4244" w:type="dxa"/>
            <w:tcBorders>
              <w:top w:val="single" w:sz="4" w:space="0" w:color="auto"/>
              <w:left w:val="nil"/>
              <w:bottom w:val="nil"/>
              <w:right w:val="nil"/>
            </w:tcBorders>
          </w:tcPr>
          <w:p w:rsidR="00B958B1" w:rsidRPr="005C1EE6" w:rsidRDefault="00B958B1" w:rsidP="009F3B54">
            <w:pPr>
              <w:pStyle w:val="Tabletext"/>
              <w:rPr>
                <w:rFonts w:eastAsiaTheme="minorEastAsia"/>
                <w:lang w:eastAsia="en-AU"/>
              </w:rPr>
            </w:pPr>
            <w:r w:rsidRPr="005C1EE6">
              <w:rPr>
                <w:rFonts w:eastAsiaTheme="minorEastAsia"/>
                <w:lang w:eastAsia="en-AU"/>
              </w:rPr>
              <w:t>Output appropriations</w:t>
            </w:r>
          </w:p>
        </w:tc>
        <w:tc>
          <w:tcPr>
            <w:tcW w:w="883" w:type="dxa"/>
            <w:tcBorders>
              <w:top w:val="single" w:sz="4" w:space="0" w:color="auto"/>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563.1</w:t>
            </w:r>
          </w:p>
        </w:tc>
        <w:tc>
          <w:tcPr>
            <w:tcW w:w="883" w:type="dxa"/>
            <w:tcBorders>
              <w:top w:val="single" w:sz="4" w:space="0" w:color="auto"/>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542.4</w:t>
            </w:r>
          </w:p>
        </w:tc>
        <w:tc>
          <w:tcPr>
            <w:tcW w:w="883" w:type="dxa"/>
            <w:tcBorders>
              <w:top w:val="single" w:sz="4" w:space="0" w:color="auto"/>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546.3</w:t>
            </w:r>
          </w:p>
        </w:tc>
        <w:tc>
          <w:tcPr>
            <w:tcW w:w="883" w:type="dxa"/>
            <w:tcBorders>
              <w:top w:val="single" w:sz="4" w:space="0" w:color="auto"/>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579.2</w:t>
            </w:r>
          </w:p>
        </w:tc>
      </w:tr>
      <w:tr w:rsidR="00B958B1" w:rsidRPr="005C1EE6" w:rsidTr="009F3B54">
        <w:tc>
          <w:tcPr>
            <w:tcW w:w="4244" w:type="dxa"/>
            <w:tcBorders>
              <w:top w:val="nil"/>
              <w:left w:val="nil"/>
              <w:bottom w:val="nil"/>
              <w:right w:val="nil"/>
            </w:tcBorders>
          </w:tcPr>
          <w:p w:rsidR="00B958B1" w:rsidRPr="005C1EE6" w:rsidRDefault="00B958B1" w:rsidP="009F3B54">
            <w:pPr>
              <w:pStyle w:val="Tabletext"/>
              <w:rPr>
                <w:rFonts w:eastAsiaTheme="minorEastAsia"/>
                <w:lang w:eastAsia="en-AU"/>
              </w:rPr>
            </w:pPr>
            <w:r w:rsidRPr="005C1EE6">
              <w:rPr>
                <w:rFonts w:eastAsiaTheme="minorEastAsia"/>
                <w:lang w:eastAsia="en-AU"/>
              </w:rPr>
              <w:t>Special appropriations</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8.1</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8.1</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8.3</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8.3</w:t>
            </w:r>
          </w:p>
        </w:tc>
      </w:tr>
      <w:tr w:rsidR="00B958B1" w:rsidRPr="005C1EE6" w:rsidTr="009F3B54">
        <w:tc>
          <w:tcPr>
            <w:tcW w:w="4244" w:type="dxa"/>
            <w:tcBorders>
              <w:top w:val="nil"/>
              <w:left w:val="nil"/>
              <w:bottom w:val="nil"/>
              <w:right w:val="nil"/>
            </w:tcBorders>
          </w:tcPr>
          <w:p w:rsidR="00B958B1" w:rsidRPr="005C1EE6" w:rsidRDefault="00B958B1" w:rsidP="009F3B54">
            <w:pPr>
              <w:pStyle w:val="Tabletext"/>
              <w:rPr>
                <w:rFonts w:eastAsiaTheme="minorEastAsia"/>
                <w:lang w:eastAsia="en-AU"/>
              </w:rPr>
            </w:pPr>
            <w:r w:rsidRPr="005C1EE6">
              <w:rPr>
                <w:rFonts w:eastAsiaTheme="minorEastAsia"/>
                <w:lang w:eastAsia="en-AU"/>
              </w:rPr>
              <w:t>Interest</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8.1</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2.7</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3.4</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3.3</w:t>
            </w:r>
          </w:p>
        </w:tc>
      </w:tr>
      <w:tr w:rsidR="00B958B1" w:rsidRPr="005C1EE6" w:rsidTr="009F3B54">
        <w:tc>
          <w:tcPr>
            <w:tcW w:w="4244" w:type="dxa"/>
            <w:tcBorders>
              <w:top w:val="nil"/>
              <w:left w:val="nil"/>
              <w:bottom w:val="nil"/>
              <w:right w:val="nil"/>
            </w:tcBorders>
          </w:tcPr>
          <w:p w:rsidR="00B958B1" w:rsidRPr="005C1EE6" w:rsidRDefault="00B958B1" w:rsidP="009F3B54">
            <w:pPr>
              <w:pStyle w:val="Tabletext"/>
              <w:rPr>
                <w:rFonts w:eastAsiaTheme="minorEastAsia"/>
                <w:lang w:eastAsia="en-AU"/>
              </w:rPr>
            </w:pPr>
            <w:r w:rsidRPr="005C1EE6">
              <w:rPr>
                <w:rFonts w:eastAsiaTheme="minorEastAsia"/>
                <w:lang w:eastAsia="en-AU"/>
              </w:rPr>
              <w:t>Sale of goods and services</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41.4</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48.3</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49.8</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50.2</w:t>
            </w:r>
          </w:p>
        </w:tc>
      </w:tr>
      <w:tr w:rsidR="00B958B1" w:rsidRPr="005C1EE6" w:rsidTr="009F3B54">
        <w:tc>
          <w:tcPr>
            <w:tcW w:w="4244" w:type="dxa"/>
            <w:tcBorders>
              <w:top w:val="nil"/>
              <w:left w:val="nil"/>
              <w:bottom w:val="nil"/>
              <w:right w:val="nil"/>
            </w:tcBorders>
          </w:tcPr>
          <w:p w:rsidR="00B958B1" w:rsidRPr="005C1EE6" w:rsidRDefault="00B958B1" w:rsidP="009F3B54">
            <w:pPr>
              <w:pStyle w:val="Tabletext"/>
              <w:rPr>
                <w:rFonts w:eastAsiaTheme="minorEastAsia"/>
                <w:lang w:eastAsia="en-AU"/>
              </w:rPr>
            </w:pPr>
            <w:r w:rsidRPr="005C1EE6">
              <w:rPr>
                <w:rFonts w:eastAsiaTheme="minorEastAsia"/>
                <w:lang w:eastAsia="en-AU"/>
              </w:rPr>
              <w:t>Grants</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13.4</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6.5</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14.1</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11.5</w:t>
            </w:r>
          </w:p>
        </w:tc>
      </w:tr>
      <w:tr w:rsidR="00B958B1" w:rsidRPr="005C1EE6" w:rsidTr="009F3B54">
        <w:tc>
          <w:tcPr>
            <w:tcW w:w="4244" w:type="dxa"/>
            <w:tcBorders>
              <w:top w:val="nil"/>
              <w:left w:val="nil"/>
              <w:bottom w:val="nil"/>
              <w:right w:val="nil"/>
            </w:tcBorders>
          </w:tcPr>
          <w:p w:rsidR="00B958B1" w:rsidRPr="005C1EE6" w:rsidRDefault="00B958B1" w:rsidP="009F3B54">
            <w:pPr>
              <w:pStyle w:val="Tabletext"/>
              <w:rPr>
                <w:rFonts w:eastAsiaTheme="minorEastAsia"/>
                <w:lang w:eastAsia="en-AU"/>
              </w:rPr>
            </w:pPr>
            <w:r w:rsidRPr="005C1EE6">
              <w:rPr>
                <w:rFonts w:eastAsiaTheme="minorEastAsia"/>
                <w:lang w:eastAsia="en-AU"/>
              </w:rPr>
              <w:t>Fair value of assets and services received free of charge or for nominal consideration</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0.5</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1.6</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1.5</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1.5</w:t>
            </w:r>
          </w:p>
        </w:tc>
      </w:tr>
      <w:tr w:rsidR="00B958B1" w:rsidRPr="005C1EE6" w:rsidTr="009F3B54">
        <w:tc>
          <w:tcPr>
            <w:tcW w:w="4244" w:type="dxa"/>
            <w:tcBorders>
              <w:top w:val="nil"/>
              <w:left w:val="nil"/>
              <w:bottom w:val="nil"/>
              <w:right w:val="nil"/>
            </w:tcBorders>
          </w:tcPr>
          <w:p w:rsidR="00B958B1" w:rsidRPr="005C1EE6" w:rsidRDefault="00B958B1" w:rsidP="009F3B54">
            <w:pPr>
              <w:pStyle w:val="Tabletext"/>
              <w:rPr>
                <w:rFonts w:eastAsiaTheme="minorEastAsia"/>
                <w:lang w:eastAsia="en-AU"/>
              </w:rPr>
            </w:pPr>
            <w:r w:rsidRPr="005C1EE6">
              <w:rPr>
                <w:rFonts w:eastAsiaTheme="minorEastAsia"/>
                <w:lang w:eastAsia="en-AU"/>
              </w:rPr>
              <w:t>Other income</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41.1</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30.1</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25.4</w:t>
            </w:r>
          </w:p>
        </w:tc>
        <w:tc>
          <w:tcPr>
            <w:tcW w:w="883" w:type="dxa"/>
            <w:tcBorders>
              <w:top w:val="nil"/>
              <w:left w:val="nil"/>
              <w:bottom w:val="nil"/>
              <w:right w:val="nil"/>
            </w:tcBorders>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26.0</w:t>
            </w:r>
          </w:p>
        </w:tc>
      </w:tr>
      <w:tr w:rsidR="00B958B1" w:rsidRPr="005C1EE6" w:rsidTr="009F3B54">
        <w:tc>
          <w:tcPr>
            <w:tcW w:w="4244" w:type="dxa"/>
            <w:tcBorders>
              <w:top w:val="single" w:sz="6" w:space="0" w:color="auto"/>
              <w:left w:val="nil"/>
              <w:bottom w:val="single" w:sz="12" w:space="0" w:color="auto"/>
              <w:right w:val="nil"/>
            </w:tcBorders>
          </w:tcPr>
          <w:p w:rsidR="00B958B1" w:rsidRPr="005C1EE6" w:rsidRDefault="00B958B1" w:rsidP="009F3B54">
            <w:pPr>
              <w:pStyle w:val="Tabletext"/>
              <w:rPr>
                <w:rFonts w:eastAsiaTheme="minorEastAsia"/>
                <w:b/>
                <w:bCs/>
                <w:lang w:eastAsia="en-AU"/>
              </w:rPr>
            </w:pPr>
            <w:r w:rsidRPr="005C1EE6">
              <w:rPr>
                <w:rFonts w:eastAsiaTheme="minorEastAsia"/>
                <w:b/>
                <w:bCs/>
                <w:lang w:eastAsia="en-AU"/>
              </w:rPr>
              <w:t>Total income from transactions</w:t>
            </w:r>
          </w:p>
        </w:tc>
        <w:tc>
          <w:tcPr>
            <w:tcW w:w="883" w:type="dxa"/>
            <w:tcBorders>
              <w:top w:val="single" w:sz="6" w:space="0" w:color="auto"/>
              <w:left w:val="nil"/>
              <w:bottom w:val="single" w:sz="12" w:space="0" w:color="auto"/>
              <w:right w:val="nil"/>
            </w:tcBorders>
          </w:tcPr>
          <w:p w:rsidR="00B958B1" w:rsidRPr="005C1EE6" w:rsidRDefault="00B958B1" w:rsidP="009F3B54">
            <w:pPr>
              <w:pStyle w:val="TableofFigures"/>
              <w:rPr>
                <w:rFonts w:eastAsiaTheme="minorEastAsia"/>
                <w:b/>
                <w:bCs/>
                <w:lang w:eastAsia="en-AU"/>
              </w:rPr>
            </w:pPr>
            <w:r w:rsidRPr="005C1EE6">
              <w:rPr>
                <w:rFonts w:eastAsiaTheme="minorEastAsia"/>
                <w:b/>
                <w:bCs/>
                <w:lang w:eastAsia="en-AU"/>
              </w:rPr>
              <w:t xml:space="preserve"> 675.7</w:t>
            </w:r>
          </w:p>
        </w:tc>
        <w:tc>
          <w:tcPr>
            <w:tcW w:w="883" w:type="dxa"/>
            <w:tcBorders>
              <w:top w:val="single" w:sz="6" w:space="0" w:color="auto"/>
              <w:left w:val="nil"/>
              <w:bottom w:val="single" w:sz="12" w:space="0" w:color="auto"/>
              <w:right w:val="nil"/>
            </w:tcBorders>
          </w:tcPr>
          <w:p w:rsidR="00B958B1" w:rsidRPr="005C1EE6" w:rsidRDefault="00B958B1" w:rsidP="009F3B54">
            <w:pPr>
              <w:pStyle w:val="TableofFigures"/>
              <w:rPr>
                <w:rFonts w:eastAsiaTheme="minorEastAsia"/>
                <w:b/>
                <w:bCs/>
                <w:lang w:eastAsia="en-AU"/>
              </w:rPr>
            </w:pPr>
            <w:r w:rsidRPr="005C1EE6">
              <w:rPr>
                <w:rFonts w:eastAsiaTheme="minorEastAsia"/>
                <w:b/>
                <w:bCs/>
                <w:lang w:eastAsia="en-AU"/>
              </w:rPr>
              <w:t xml:space="preserve"> 639.7</w:t>
            </w:r>
          </w:p>
        </w:tc>
        <w:tc>
          <w:tcPr>
            <w:tcW w:w="883" w:type="dxa"/>
            <w:tcBorders>
              <w:top w:val="single" w:sz="6" w:space="0" w:color="auto"/>
              <w:left w:val="nil"/>
              <w:bottom w:val="single" w:sz="12" w:space="0" w:color="auto"/>
              <w:right w:val="nil"/>
            </w:tcBorders>
          </w:tcPr>
          <w:p w:rsidR="00B958B1" w:rsidRPr="005C1EE6" w:rsidRDefault="00B958B1" w:rsidP="009F3B54">
            <w:pPr>
              <w:pStyle w:val="TableofFigures"/>
              <w:rPr>
                <w:rFonts w:eastAsiaTheme="minorEastAsia"/>
                <w:b/>
                <w:bCs/>
                <w:lang w:eastAsia="en-AU"/>
              </w:rPr>
            </w:pPr>
            <w:r w:rsidRPr="005C1EE6">
              <w:rPr>
                <w:rFonts w:eastAsiaTheme="minorEastAsia"/>
                <w:b/>
                <w:bCs/>
                <w:lang w:eastAsia="en-AU"/>
              </w:rPr>
              <w:t xml:space="preserve"> 648.8</w:t>
            </w:r>
          </w:p>
        </w:tc>
        <w:tc>
          <w:tcPr>
            <w:tcW w:w="883" w:type="dxa"/>
            <w:tcBorders>
              <w:top w:val="single" w:sz="6" w:space="0" w:color="auto"/>
              <w:left w:val="nil"/>
              <w:bottom w:val="single" w:sz="12" w:space="0" w:color="auto"/>
              <w:right w:val="nil"/>
            </w:tcBorders>
          </w:tcPr>
          <w:p w:rsidR="00B958B1" w:rsidRPr="005C1EE6" w:rsidRDefault="00B958B1" w:rsidP="009F3B54">
            <w:pPr>
              <w:pStyle w:val="TableofFigures"/>
              <w:rPr>
                <w:rFonts w:eastAsiaTheme="minorEastAsia"/>
                <w:b/>
                <w:bCs/>
                <w:lang w:eastAsia="en-AU"/>
              </w:rPr>
            </w:pPr>
            <w:r w:rsidRPr="005C1EE6">
              <w:rPr>
                <w:rFonts w:eastAsiaTheme="minorEastAsia"/>
                <w:b/>
                <w:bCs/>
                <w:lang w:eastAsia="en-AU"/>
              </w:rPr>
              <w:t xml:space="preserve"> 680.0</w:t>
            </w:r>
          </w:p>
        </w:tc>
      </w:tr>
    </w:tbl>
    <w:p w:rsidR="00B958B1" w:rsidRPr="005C1EE6" w:rsidRDefault="00B958B1" w:rsidP="009F3B54">
      <w:pPr>
        <w:pStyle w:val="Source"/>
      </w:pPr>
      <w:r w:rsidRPr="005C1EE6">
        <w:t>Sources: Departments of Premier and Cabinet and Treasury and Finance</w:t>
      </w:r>
    </w:p>
    <w:p w:rsidR="00B958B1" w:rsidRPr="005C1EE6" w:rsidRDefault="00B958B1" w:rsidP="009F3B54">
      <w:pPr>
        <w:pStyle w:val="Source"/>
      </w:pPr>
      <w:r w:rsidRPr="005C1EE6">
        <w:fldChar w:fldCharType="begin"/>
      </w:r>
      <w:r w:rsidRPr="005C1EE6">
        <w:instrText xml:space="preserve"> XE "Department of Premier and Cabinet:Income from transactions" </w:instrText>
      </w:r>
      <w:r w:rsidRPr="005C1EE6">
        <w:fldChar w:fldCharType="end"/>
      </w:r>
    </w:p>
    <w:p w:rsidR="00B958B1" w:rsidRPr="005C1EE6" w:rsidRDefault="00B958B1">
      <w:pPr>
        <w:spacing w:after="0"/>
        <w:rPr>
          <w:rFonts w:ascii="Calibri" w:hAnsi="Calibri"/>
          <w:b/>
        </w:rPr>
      </w:pPr>
      <w:r w:rsidRPr="005C1EE6">
        <w:br w:type="page"/>
      </w:r>
    </w:p>
    <w:p w:rsidR="00B958B1" w:rsidRPr="005C1EE6" w:rsidRDefault="00B958B1" w:rsidP="009F3B54">
      <w:pPr>
        <w:pStyle w:val="Tableheading"/>
      </w:pPr>
      <w:r w:rsidRPr="005C1EE6">
        <w:t>Table 2.</w:t>
      </w:r>
      <w:r>
        <w:t>19</w:t>
      </w:r>
      <w:r w:rsidRPr="005C1EE6">
        <w:t>:</w:t>
      </w:r>
      <w:r w:rsidRPr="005C1EE6">
        <w:tab/>
        <w:t>Parliamentary authority for resources</w:t>
      </w:r>
    </w:p>
    <w:p w:rsidR="00B958B1" w:rsidRPr="005C1EE6" w:rsidRDefault="00B958B1" w:rsidP="009F3B54">
      <w:pPr>
        <w:pStyle w:val="million"/>
      </w:pPr>
      <w:r w:rsidRPr="005C1EE6">
        <w:t>($</w:t>
      </w:r>
      <w:r>
        <w:t> million</w:t>
      </w:r>
      <w:r w:rsidRPr="005C1EE6">
        <w:t>)</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B958B1" w:rsidRPr="005C1EE6" w:rsidTr="009F3B54">
        <w:tc>
          <w:tcPr>
            <w:tcW w:w="4665" w:type="dxa"/>
            <w:tcBorders>
              <w:top w:val="single" w:sz="4" w:space="0" w:color="auto"/>
              <w:left w:val="single" w:sz="4" w:space="0" w:color="auto"/>
              <w:bottom w:val="nil"/>
              <w:right w:val="nil"/>
            </w:tcBorders>
            <w:shd w:val="clear" w:color="auto" w:fill="000000"/>
          </w:tcPr>
          <w:p w:rsidR="00B958B1" w:rsidRPr="005C1EE6" w:rsidRDefault="00B958B1" w:rsidP="009F3B54">
            <w:pPr>
              <w:pStyle w:val="Tabletext"/>
              <w:rPr>
                <w:rFonts w:eastAsiaTheme="minorEastAsia"/>
                <w:lang w:eastAsia="en-AU"/>
              </w:rPr>
            </w:pPr>
            <w:r w:rsidRPr="005C1EE6">
              <w:rPr>
                <w:rFonts w:eastAsiaTheme="minorEastAsia"/>
                <w:lang w:eastAsia="en-AU"/>
              </w:rPr>
              <w:t xml:space="preserve"> </w:t>
            </w:r>
          </w:p>
        </w:tc>
        <w:tc>
          <w:tcPr>
            <w:tcW w:w="1036" w:type="dxa"/>
            <w:tcBorders>
              <w:top w:val="single" w:sz="4" w:space="0" w:color="auto"/>
              <w:left w:val="nil"/>
              <w:bottom w:val="nil"/>
              <w:right w:val="nil"/>
            </w:tcBorders>
            <w:shd w:val="clear" w:color="auto" w:fill="000000"/>
          </w:tcPr>
          <w:p w:rsidR="00B958B1" w:rsidRPr="005C1EE6" w:rsidRDefault="00B958B1" w:rsidP="009F3B54">
            <w:pPr>
              <w:pStyle w:val="Tabletextheading"/>
              <w:rPr>
                <w:rFonts w:eastAsiaTheme="minorEastAsia"/>
                <w:lang w:eastAsia="en-AU"/>
              </w:rPr>
            </w:pPr>
            <w:r w:rsidRPr="005C1EE6">
              <w:rPr>
                <w:rFonts w:eastAsiaTheme="minorEastAsia"/>
                <w:lang w:eastAsia="en-AU"/>
              </w:rPr>
              <w:t>2012</w:t>
            </w:r>
            <w:r w:rsidR="009F0F49">
              <w:rPr>
                <w:rFonts w:eastAsiaTheme="minorEastAsia"/>
                <w:lang w:eastAsia="en-AU"/>
              </w:rPr>
              <w:noBreakHyphen/>
            </w:r>
            <w:r w:rsidRPr="005C1EE6">
              <w:rPr>
                <w:rFonts w:eastAsiaTheme="minorEastAsia"/>
                <w:lang w:eastAsia="en-AU"/>
              </w:rPr>
              <w:t>13</w:t>
            </w:r>
          </w:p>
        </w:tc>
        <w:tc>
          <w:tcPr>
            <w:tcW w:w="1036" w:type="dxa"/>
            <w:tcBorders>
              <w:top w:val="single" w:sz="4" w:space="0" w:color="auto"/>
              <w:left w:val="nil"/>
              <w:bottom w:val="nil"/>
              <w:right w:val="nil"/>
            </w:tcBorders>
            <w:shd w:val="clear" w:color="auto" w:fill="000000"/>
          </w:tcPr>
          <w:p w:rsidR="00B958B1" w:rsidRPr="005C1EE6" w:rsidRDefault="00B958B1" w:rsidP="009F3B54">
            <w:pPr>
              <w:pStyle w:val="Tabletextheading"/>
              <w:rPr>
                <w:rFonts w:eastAsiaTheme="minorEastAsia"/>
                <w:lang w:eastAsia="en-AU"/>
              </w:rPr>
            </w:pPr>
            <w:r w:rsidRPr="005C1EE6">
              <w:rPr>
                <w:rFonts w:eastAsiaTheme="minorEastAsia"/>
                <w:lang w:eastAsia="en-AU"/>
              </w:rPr>
              <w:t>2012</w:t>
            </w:r>
            <w:r w:rsidR="009F0F49">
              <w:rPr>
                <w:rFonts w:eastAsiaTheme="minorEastAsia"/>
                <w:lang w:eastAsia="en-AU"/>
              </w:rPr>
              <w:noBreakHyphen/>
            </w:r>
            <w:r w:rsidRPr="005C1EE6">
              <w:rPr>
                <w:rFonts w:eastAsiaTheme="minorEastAsia"/>
                <w:lang w:eastAsia="en-AU"/>
              </w:rPr>
              <w:t>13</w:t>
            </w:r>
          </w:p>
        </w:tc>
        <w:tc>
          <w:tcPr>
            <w:tcW w:w="1036" w:type="dxa"/>
            <w:tcBorders>
              <w:top w:val="single" w:sz="4" w:space="0" w:color="auto"/>
              <w:left w:val="nil"/>
              <w:bottom w:val="nil"/>
              <w:right w:val="single" w:sz="4" w:space="0" w:color="auto"/>
            </w:tcBorders>
            <w:shd w:val="clear" w:color="auto" w:fill="000000"/>
          </w:tcPr>
          <w:p w:rsidR="00B958B1" w:rsidRPr="005C1EE6" w:rsidRDefault="00B958B1" w:rsidP="009F3B54">
            <w:pPr>
              <w:pStyle w:val="Tabletextheading"/>
              <w:rPr>
                <w:rFonts w:eastAsiaTheme="minorEastAsia"/>
                <w:lang w:eastAsia="en-AU"/>
              </w:rPr>
            </w:pPr>
            <w:r w:rsidRPr="005C1EE6">
              <w:rPr>
                <w:rFonts w:eastAsiaTheme="minorEastAsia"/>
                <w:lang w:eastAsia="en-AU"/>
              </w:rPr>
              <w:t>2013</w:t>
            </w:r>
            <w:r w:rsidR="009F0F49">
              <w:rPr>
                <w:rFonts w:eastAsiaTheme="minorEastAsia"/>
                <w:lang w:eastAsia="en-AU"/>
              </w:rPr>
              <w:noBreakHyphen/>
            </w:r>
            <w:r w:rsidRPr="005C1EE6">
              <w:rPr>
                <w:rFonts w:eastAsiaTheme="minorEastAsia"/>
                <w:lang w:eastAsia="en-AU"/>
              </w:rPr>
              <w:t>14</w:t>
            </w:r>
          </w:p>
        </w:tc>
      </w:tr>
      <w:tr w:rsidR="00B958B1" w:rsidRPr="005C1EE6" w:rsidTr="009F3B54">
        <w:tc>
          <w:tcPr>
            <w:tcW w:w="4665" w:type="dxa"/>
            <w:tcBorders>
              <w:top w:val="nil"/>
              <w:left w:val="single" w:sz="4" w:space="0" w:color="auto"/>
              <w:bottom w:val="single" w:sz="4" w:space="0" w:color="auto"/>
              <w:right w:val="nil"/>
            </w:tcBorders>
            <w:shd w:val="clear" w:color="auto" w:fill="000000"/>
          </w:tcPr>
          <w:p w:rsidR="00B958B1" w:rsidRPr="005C1EE6" w:rsidRDefault="00B958B1" w:rsidP="009F3B54">
            <w:pPr>
              <w:pStyle w:val="Tabletext"/>
              <w:rPr>
                <w:rFonts w:eastAsiaTheme="minorEastAsia"/>
                <w:lang w:eastAsia="en-AU"/>
              </w:rPr>
            </w:pPr>
            <w:r w:rsidRPr="005C1EE6">
              <w:rPr>
                <w:rFonts w:eastAsiaTheme="minorEastAsia"/>
                <w:lang w:eastAsia="en-AU"/>
              </w:rPr>
              <w:t xml:space="preserve"> </w:t>
            </w:r>
          </w:p>
        </w:tc>
        <w:tc>
          <w:tcPr>
            <w:tcW w:w="1036" w:type="dxa"/>
            <w:tcBorders>
              <w:top w:val="nil"/>
              <w:left w:val="nil"/>
              <w:bottom w:val="single" w:sz="4" w:space="0" w:color="auto"/>
              <w:right w:val="nil"/>
            </w:tcBorders>
            <w:shd w:val="clear" w:color="auto" w:fill="000000"/>
          </w:tcPr>
          <w:p w:rsidR="00B958B1" w:rsidRPr="005C1EE6" w:rsidRDefault="00B958B1" w:rsidP="009F3B54">
            <w:pPr>
              <w:pStyle w:val="Tabletextheading"/>
              <w:rPr>
                <w:rFonts w:eastAsiaTheme="minorEastAsia"/>
                <w:lang w:eastAsia="en-AU"/>
              </w:rPr>
            </w:pPr>
            <w:r w:rsidRPr="005C1EE6">
              <w:rPr>
                <w:rFonts w:eastAsiaTheme="minorEastAsia"/>
                <w:lang w:eastAsia="en-AU"/>
              </w:rPr>
              <w:t>Budget</w:t>
            </w:r>
          </w:p>
        </w:tc>
        <w:tc>
          <w:tcPr>
            <w:tcW w:w="1036" w:type="dxa"/>
            <w:tcBorders>
              <w:top w:val="nil"/>
              <w:left w:val="nil"/>
              <w:bottom w:val="single" w:sz="4" w:space="0" w:color="auto"/>
              <w:right w:val="nil"/>
            </w:tcBorders>
            <w:shd w:val="clear" w:color="auto" w:fill="000000"/>
          </w:tcPr>
          <w:p w:rsidR="00B958B1" w:rsidRPr="005C1EE6" w:rsidRDefault="00B958B1" w:rsidP="009F3B54">
            <w:pPr>
              <w:pStyle w:val="Tabletextheading"/>
              <w:rPr>
                <w:rFonts w:eastAsiaTheme="minorEastAsia"/>
                <w:lang w:eastAsia="en-AU"/>
              </w:rPr>
            </w:pPr>
            <w:r w:rsidRPr="005C1EE6">
              <w:rPr>
                <w:rFonts w:eastAsiaTheme="minorEastAsia"/>
                <w:lang w:eastAsia="en-AU"/>
              </w:rPr>
              <w:t>Revised</w:t>
            </w:r>
          </w:p>
        </w:tc>
        <w:tc>
          <w:tcPr>
            <w:tcW w:w="1036" w:type="dxa"/>
            <w:tcBorders>
              <w:top w:val="nil"/>
              <w:left w:val="nil"/>
              <w:bottom w:val="single" w:sz="4" w:space="0" w:color="auto"/>
              <w:right w:val="single" w:sz="4" w:space="0" w:color="auto"/>
            </w:tcBorders>
            <w:shd w:val="clear" w:color="auto" w:fill="000000"/>
          </w:tcPr>
          <w:p w:rsidR="00B958B1" w:rsidRPr="005C1EE6" w:rsidRDefault="00B958B1" w:rsidP="009F3B54">
            <w:pPr>
              <w:pStyle w:val="Tabletextheading"/>
              <w:rPr>
                <w:rFonts w:eastAsiaTheme="minorEastAsia"/>
                <w:lang w:eastAsia="en-AU"/>
              </w:rPr>
            </w:pPr>
            <w:r w:rsidRPr="005C1EE6">
              <w:rPr>
                <w:rFonts w:eastAsiaTheme="minorEastAsia"/>
                <w:lang w:eastAsia="en-AU"/>
              </w:rPr>
              <w:t>Budget</w:t>
            </w:r>
          </w:p>
        </w:tc>
      </w:tr>
      <w:tr w:rsidR="00B958B1" w:rsidRPr="005C1EE6" w:rsidTr="009F3B54">
        <w:tc>
          <w:tcPr>
            <w:tcW w:w="4665" w:type="dxa"/>
            <w:tcBorders>
              <w:top w:val="single" w:sz="4" w:space="0" w:color="auto"/>
              <w:left w:val="nil"/>
              <w:bottom w:val="nil"/>
              <w:right w:val="nil"/>
            </w:tcBorders>
            <w:shd w:val="solid" w:color="FFFFFF" w:fill="auto"/>
          </w:tcPr>
          <w:p w:rsidR="00B958B1" w:rsidRPr="005C1EE6" w:rsidRDefault="00B958B1" w:rsidP="009F3B54">
            <w:pPr>
              <w:pStyle w:val="Tabletext"/>
              <w:rPr>
                <w:rFonts w:eastAsiaTheme="minorEastAsia"/>
                <w:b/>
                <w:bCs/>
                <w:lang w:eastAsia="en-AU"/>
              </w:rPr>
            </w:pPr>
            <w:r w:rsidRPr="005C1EE6">
              <w:rPr>
                <w:rFonts w:eastAsiaTheme="minorEastAsia"/>
                <w:b/>
                <w:bCs/>
                <w:lang w:eastAsia="en-AU"/>
              </w:rPr>
              <w:t>Annual appropriations</w:t>
            </w:r>
          </w:p>
        </w:tc>
        <w:tc>
          <w:tcPr>
            <w:tcW w:w="1036" w:type="dxa"/>
            <w:tcBorders>
              <w:top w:val="single" w:sz="4" w:space="0" w:color="auto"/>
              <w:left w:val="nil"/>
              <w:bottom w:val="nil"/>
              <w:right w:val="nil"/>
            </w:tcBorders>
            <w:shd w:val="solid" w:color="FFFFFF" w:fill="auto"/>
          </w:tcPr>
          <w:p w:rsidR="00B958B1" w:rsidRPr="005C1EE6" w:rsidRDefault="00B958B1" w:rsidP="009F3B54">
            <w:pPr>
              <w:pStyle w:val="TableofFigures"/>
              <w:rPr>
                <w:rFonts w:eastAsiaTheme="minorEastAsia"/>
                <w:b/>
                <w:bCs/>
                <w:lang w:eastAsia="en-AU"/>
              </w:rPr>
            </w:pPr>
            <w:r w:rsidRPr="005C1EE6">
              <w:rPr>
                <w:rFonts w:eastAsiaTheme="minorEastAsia"/>
                <w:b/>
                <w:bCs/>
                <w:lang w:eastAsia="en-AU"/>
              </w:rPr>
              <w:t xml:space="preserve"> 561.1</w:t>
            </w:r>
          </w:p>
        </w:tc>
        <w:tc>
          <w:tcPr>
            <w:tcW w:w="1036" w:type="dxa"/>
            <w:tcBorders>
              <w:top w:val="single" w:sz="4" w:space="0" w:color="auto"/>
              <w:left w:val="nil"/>
              <w:bottom w:val="nil"/>
              <w:right w:val="nil"/>
            </w:tcBorders>
            <w:shd w:val="solid" w:color="FFFFFF" w:fill="auto"/>
          </w:tcPr>
          <w:p w:rsidR="00B958B1" w:rsidRPr="005C1EE6" w:rsidRDefault="00B958B1" w:rsidP="009F3B54">
            <w:pPr>
              <w:pStyle w:val="TableofFigures"/>
              <w:rPr>
                <w:rFonts w:eastAsiaTheme="minorEastAsia"/>
                <w:b/>
                <w:bCs/>
                <w:lang w:eastAsia="en-AU"/>
              </w:rPr>
            </w:pPr>
            <w:r w:rsidRPr="005C1EE6">
              <w:rPr>
                <w:rFonts w:eastAsiaTheme="minorEastAsia"/>
                <w:b/>
                <w:bCs/>
                <w:lang w:eastAsia="en-AU"/>
              </w:rPr>
              <w:t xml:space="preserve"> 536.3</w:t>
            </w:r>
          </w:p>
        </w:tc>
        <w:tc>
          <w:tcPr>
            <w:tcW w:w="1036" w:type="dxa"/>
            <w:tcBorders>
              <w:top w:val="single" w:sz="4" w:space="0" w:color="auto"/>
              <w:left w:val="nil"/>
              <w:bottom w:val="nil"/>
              <w:right w:val="nil"/>
            </w:tcBorders>
            <w:shd w:val="solid" w:color="FFFFFF" w:fill="auto"/>
          </w:tcPr>
          <w:p w:rsidR="00B958B1" w:rsidRPr="005C1EE6" w:rsidRDefault="00B958B1" w:rsidP="009F3B54">
            <w:pPr>
              <w:pStyle w:val="TableofFigures"/>
              <w:rPr>
                <w:rFonts w:eastAsiaTheme="minorEastAsia"/>
                <w:b/>
                <w:bCs/>
                <w:lang w:eastAsia="en-AU"/>
              </w:rPr>
            </w:pPr>
            <w:r w:rsidRPr="005C1EE6">
              <w:rPr>
                <w:rFonts w:eastAsiaTheme="minorEastAsia"/>
                <w:b/>
                <w:bCs/>
                <w:lang w:eastAsia="en-AU"/>
              </w:rPr>
              <w:t xml:space="preserve"> 577.9</w:t>
            </w:r>
          </w:p>
        </w:tc>
      </w:tr>
      <w:tr w:rsidR="00B958B1" w:rsidRPr="005C1EE6" w:rsidTr="009F3B54">
        <w:tc>
          <w:tcPr>
            <w:tcW w:w="4665" w:type="dxa"/>
            <w:tcBorders>
              <w:top w:val="nil"/>
              <w:left w:val="nil"/>
              <w:bottom w:val="nil"/>
              <w:right w:val="nil"/>
            </w:tcBorders>
            <w:shd w:val="solid" w:color="FFFFFF" w:fill="auto"/>
          </w:tcPr>
          <w:p w:rsidR="00B958B1" w:rsidRPr="005C1EE6" w:rsidRDefault="00B958B1" w:rsidP="009F3B54">
            <w:pPr>
              <w:pStyle w:val="Tabletext"/>
              <w:rPr>
                <w:rFonts w:eastAsiaTheme="minorEastAsia"/>
                <w:lang w:eastAsia="en-AU"/>
              </w:rPr>
            </w:pPr>
            <w:r w:rsidRPr="005C1EE6">
              <w:rPr>
                <w:rFonts w:eastAsiaTheme="minorEastAsia"/>
                <w:lang w:eastAsia="en-AU"/>
              </w:rPr>
              <w:t xml:space="preserve"> Provision of outputs</w:t>
            </w:r>
          </w:p>
        </w:tc>
        <w:tc>
          <w:tcPr>
            <w:tcW w:w="1036" w:type="dxa"/>
            <w:tcBorders>
              <w:top w:val="nil"/>
              <w:left w:val="nil"/>
              <w:bottom w:val="nil"/>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539.9</w:t>
            </w:r>
          </w:p>
        </w:tc>
        <w:tc>
          <w:tcPr>
            <w:tcW w:w="1036" w:type="dxa"/>
            <w:tcBorders>
              <w:top w:val="nil"/>
              <w:left w:val="nil"/>
              <w:bottom w:val="nil"/>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529.1</w:t>
            </w:r>
          </w:p>
        </w:tc>
        <w:tc>
          <w:tcPr>
            <w:tcW w:w="1036" w:type="dxa"/>
            <w:tcBorders>
              <w:top w:val="nil"/>
              <w:left w:val="nil"/>
              <w:bottom w:val="nil"/>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561.7</w:t>
            </w:r>
          </w:p>
        </w:tc>
      </w:tr>
      <w:tr w:rsidR="00B958B1" w:rsidRPr="005C1EE6" w:rsidTr="009F3B54">
        <w:tc>
          <w:tcPr>
            <w:tcW w:w="4665" w:type="dxa"/>
            <w:tcBorders>
              <w:top w:val="nil"/>
              <w:left w:val="nil"/>
              <w:bottom w:val="nil"/>
              <w:right w:val="nil"/>
            </w:tcBorders>
            <w:shd w:val="solid" w:color="FFFFFF" w:fill="auto"/>
          </w:tcPr>
          <w:p w:rsidR="00B958B1" w:rsidRPr="005C1EE6" w:rsidRDefault="00B958B1" w:rsidP="009F3B54">
            <w:pPr>
              <w:pStyle w:val="Tabletext"/>
              <w:rPr>
                <w:rFonts w:eastAsiaTheme="minorEastAsia"/>
                <w:lang w:eastAsia="en-AU"/>
              </w:rPr>
            </w:pPr>
            <w:r w:rsidRPr="005C1EE6">
              <w:rPr>
                <w:rFonts w:eastAsiaTheme="minorEastAsia"/>
                <w:lang w:eastAsia="en-AU"/>
              </w:rPr>
              <w:t xml:space="preserve"> Additions to the net asset base</w:t>
            </w:r>
          </w:p>
        </w:tc>
        <w:tc>
          <w:tcPr>
            <w:tcW w:w="1036" w:type="dxa"/>
            <w:tcBorders>
              <w:top w:val="nil"/>
              <w:left w:val="nil"/>
              <w:bottom w:val="nil"/>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21.3</w:t>
            </w:r>
          </w:p>
        </w:tc>
        <w:tc>
          <w:tcPr>
            <w:tcW w:w="1036" w:type="dxa"/>
            <w:tcBorders>
              <w:top w:val="nil"/>
              <w:left w:val="nil"/>
              <w:bottom w:val="nil"/>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7.2</w:t>
            </w:r>
          </w:p>
        </w:tc>
        <w:tc>
          <w:tcPr>
            <w:tcW w:w="1036" w:type="dxa"/>
            <w:tcBorders>
              <w:top w:val="nil"/>
              <w:left w:val="nil"/>
              <w:bottom w:val="nil"/>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16.2</w:t>
            </w:r>
          </w:p>
        </w:tc>
      </w:tr>
      <w:tr w:rsidR="00B958B1" w:rsidRPr="005C1EE6" w:rsidTr="009F3B54">
        <w:tc>
          <w:tcPr>
            <w:tcW w:w="4665" w:type="dxa"/>
            <w:tcBorders>
              <w:top w:val="nil"/>
              <w:left w:val="nil"/>
              <w:bottom w:val="nil"/>
              <w:right w:val="nil"/>
            </w:tcBorders>
            <w:shd w:val="solid" w:color="FFFFFF" w:fill="auto"/>
          </w:tcPr>
          <w:p w:rsidR="00B958B1" w:rsidRPr="005C1EE6" w:rsidRDefault="00B958B1" w:rsidP="009F3B54">
            <w:pPr>
              <w:pStyle w:val="Tabletext"/>
              <w:rPr>
                <w:rFonts w:eastAsiaTheme="minorEastAsia"/>
                <w:lang w:eastAsia="en-AU"/>
              </w:rPr>
            </w:pPr>
            <w:r w:rsidRPr="005C1EE6">
              <w:rPr>
                <w:rFonts w:eastAsiaTheme="minorEastAsia"/>
                <w:lang w:eastAsia="en-AU"/>
              </w:rPr>
              <w:t>Receipts credited to appropriations</w:t>
            </w:r>
          </w:p>
        </w:tc>
        <w:tc>
          <w:tcPr>
            <w:tcW w:w="1036" w:type="dxa"/>
            <w:tcBorders>
              <w:top w:val="nil"/>
              <w:left w:val="nil"/>
              <w:bottom w:val="nil"/>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0.5</w:t>
            </w:r>
          </w:p>
        </w:tc>
        <w:tc>
          <w:tcPr>
            <w:tcW w:w="1036" w:type="dxa"/>
            <w:tcBorders>
              <w:top w:val="nil"/>
              <w:left w:val="nil"/>
              <w:bottom w:val="nil"/>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0.9</w:t>
            </w:r>
          </w:p>
        </w:tc>
        <w:tc>
          <w:tcPr>
            <w:tcW w:w="1036" w:type="dxa"/>
            <w:tcBorders>
              <w:top w:val="nil"/>
              <w:left w:val="nil"/>
              <w:bottom w:val="nil"/>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0.5</w:t>
            </w:r>
          </w:p>
        </w:tc>
      </w:tr>
      <w:tr w:rsidR="00B958B1" w:rsidRPr="005C1EE6" w:rsidTr="009F3B54">
        <w:tc>
          <w:tcPr>
            <w:tcW w:w="4665" w:type="dxa"/>
            <w:tcBorders>
              <w:top w:val="nil"/>
              <w:left w:val="nil"/>
              <w:bottom w:val="nil"/>
              <w:right w:val="nil"/>
            </w:tcBorders>
            <w:shd w:val="solid" w:color="FFFFFF" w:fill="auto"/>
          </w:tcPr>
          <w:p w:rsidR="00B958B1" w:rsidRPr="005C1EE6" w:rsidRDefault="00B958B1" w:rsidP="009F3B54">
            <w:pPr>
              <w:pStyle w:val="Tabletext"/>
              <w:rPr>
                <w:rFonts w:eastAsiaTheme="minorEastAsia"/>
                <w:b/>
                <w:bCs/>
                <w:lang w:eastAsia="en-AU"/>
              </w:rPr>
            </w:pPr>
            <w:r w:rsidRPr="005C1EE6">
              <w:rPr>
                <w:rFonts w:eastAsiaTheme="minorEastAsia"/>
                <w:b/>
                <w:bCs/>
                <w:lang w:eastAsia="en-AU"/>
              </w:rPr>
              <w:t>Unapplied previous years appropriation</w:t>
            </w:r>
          </w:p>
        </w:tc>
        <w:tc>
          <w:tcPr>
            <w:tcW w:w="1036" w:type="dxa"/>
            <w:tcBorders>
              <w:top w:val="nil"/>
              <w:left w:val="nil"/>
              <w:bottom w:val="nil"/>
              <w:right w:val="nil"/>
            </w:tcBorders>
            <w:shd w:val="solid" w:color="FFFFFF" w:fill="auto"/>
          </w:tcPr>
          <w:p w:rsidR="00B958B1" w:rsidRPr="00AE6683" w:rsidRDefault="00B958B1" w:rsidP="009F3B54">
            <w:pPr>
              <w:pStyle w:val="TableofFigures"/>
              <w:rPr>
                <w:rFonts w:eastAsiaTheme="minorEastAsia"/>
                <w:b/>
                <w:lang w:eastAsia="en-AU"/>
              </w:rPr>
            </w:pPr>
            <w:r w:rsidRPr="00AE6683">
              <w:rPr>
                <w:rFonts w:eastAsiaTheme="minorEastAsia"/>
                <w:b/>
                <w:lang w:eastAsia="en-AU"/>
              </w:rPr>
              <w:t xml:space="preserve"> 2.0</w:t>
            </w:r>
          </w:p>
        </w:tc>
        <w:tc>
          <w:tcPr>
            <w:tcW w:w="1036" w:type="dxa"/>
            <w:tcBorders>
              <w:top w:val="nil"/>
              <w:left w:val="nil"/>
              <w:bottom w:val="nil"/>
              <w:right w:val="nil"/>
            </w:tcBorders>
            <w:shd w:val="solid" w:color="FFFFFF" w:fill="auto"/>
          </w:tcPr>
          <w:p w:rsidR="00B958B1" w:rsidRPr="00AE6683" w:rsidRDefault="00B958B1" w:rsidP="009F3B54">
            <w:pPr>
              <w:pStyle w:val="TableofFigures"/>
              <w:rPr>
                <w:rFonts w:eastAsiaTheme="minorEastAsia"/>
                <w:b/>
                <w:lang w:eastAsia="en-AU"/>
              </w:rPr>
            </w:pPr>
            <w:r w:rsidRPr="00AE6683">
              <w:rPr>
                <w:rFonts w:eastAsiaTheme="minorEastAsia"/>
                <w:b/>
                <w:lang w:eastAsia="en-AU"/>
              </w:rPr>
              <w:t xml:space="preserve"> 19.5</w:t>
            </w:r>
          </w:p>
        </w:tc>
        <w:tc>
          <w:tcPr>
            <w:tcW w:w="1036" w:type="dxa"/>
            <w:tcBorders>
              <w:top w:val="nil"/>
              <w:left w:val="nil"/>
              <w:bottom w:val="nil"/>
              <w:right w:val="nil"/>
            </w:tcBorders>
            <w:shd w:val="solid" w:color="FFFFFF" w:fill="auto"/>
          </w:tcPr>
          <w:p w:rsidR="00B958B1" w:rsidRPr="00AE6683" w:rsidRDefault="00B958B1" w:rsidP="009F3B54">
            <w:pPr>
              <w:pStyle w:val="TableofFigures"/>
              <w:rPr>
                <w:rFonts w:eastAsiaTheme="minorEastAsia"/>
                <w:b/>
                <w:lang w:eastAsia="en-AU"/>
              </w:rPr>
            </w:pPr>
            <w:r w:rsidRPr="00AE6683">
              <w:rPr>
                <w:rFonts w:eastAsiaTheme="minorEastAsia"/>
                <w:b/>
                <w:lang w:eastAsia="en-AU"/>
              </w:rPr>
              <w:t xml:space="preserve"> 31.0</w:t>
            </w:r>
          </w:p>
        </w:tc>
      </w:tr>
      <w:tr w:rsidR="00B958B1" w:rsidRPr="005C1EE6" w:rsidTr="009F3B54">
        <w:tc>
          <w:tcPr>
            <w:tcW w:w="4665" w:type="dxa"/>
            <w:tcBorders>
              <w:top w:val="nil"/>
              <w:left w:val="nil"/>
              <w:bottom w:val="nil"/>
              <w:right w:val="nil"/>
            </w:tcBorders>
            <w:shd w:val="solid" w:color="FFFFFF" w:fill="auto"/>
          </w:tcPr>
          <w:p w:rsidR="00B958B1" w:rsidRPr="005C1EE6" w:rsidRDefault="00B958B1" w:rsidP="009F3B54">
            <w:pPr>
              <w:pStyle w:val="Tabletext"/>
              <w:rPr>
                <w:rFonts w:eastAsiaTheme="minorEastAsia"/>
                <w:lang w:eastAsia="en-AU"/>
              </w:rPr>
            </w:pPr>
            <w:r w:rsidRPr="005C1EE6">
              <w:rPr>
                <w:rFonts w:eastAsiaTheme="minorEastAsia"/>
                <w:lang w:eastAsia="en-AU"/>
              </w:rPr>
              <w:t xml:space="preserve"> Provision of outputs</w:t>
            </w:r>
          </w:p>
        </w:tc>
        <w:tc>
          <w:tcPr>
            <w:tcW w:w="1036" w:type="dxa"/>
            <w:tcBorders>
              <w:top w:val="nil"/>
              <w:left w:val="nil"/>
              <w:bottom w:val="nil"/>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2.0</w:t>
            </w:r>
          </w:p>
        </w:tc>
        <w:tc>
          <w:tcPr>
            <w:tcW w:w="1036" w:type="dxa"/>
            <w:tcBorders>
              <w:top w:val="nil"/>
              <w:left w:val="nil"/>
              <w:bottom w:val="nil"/>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16.4</w:t>
            </w:r>
          </w:p>
        </w:tc>
        <w:tc>
          <w:tcPr>
            <w:tcW w:w="1036" w:type="dxa"/>
            <w:tcBorders>
              <w:top w:val="nil"/>
              <w:left w:val="nil"/>
              <w:bottom w:val="nil"/>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17.1</w:t>
            </w:r>
          </w:p>
        </w:tc>
      </w:tr>
      <w:tr w:rsidR="00B958B1" w:rsidRPr="005C1EE6" w:rsidTr="009F3B54">
        <w:tc>
          <w:tcPr>
            <w:tcW w:w="4665" w:type="dxa"/>
            <w:tcBorders>
              <w:top w:val="nil"/>
              <w:left w:val="nil"/>
              <w:bottom w:val="nil"/>
              <w:right w:val="nil"/>
            </w:tcBorders>
            <w:shd w:val="solid" w:color="FFFFFF" w:fill="auto"/>
          </w:tcPr>
          <w:p w:rsidR="00B958B1" w:rsidRPr="005C1EE6" w:rsidRDefault="00B958B1" w:rsidP="009F3B54">
            <w:pPr>
              <w:pStyle w:val="Tabletext"/>
              <w:rPr>
                <w:rFonts w:eastAsiaTheme="minorEastAsia"/>
                <w:lang w:eastAsia="en-AU"/>
              </w:rPr>
            </w:pPr>
            <w:r w:rsidRPr="005C1EE6">
              <w:rPr>
                <w:rFonts w:eastAsiaTheme="minorEastAsia"/>
                <w:lang w:eastAsia="en-AU"/>
              </w:rPr>
              <w:t xml:space="preserve"> Additions to the net asset base</w:t>
            </w:r>
          </w:p>
        </w:tc>
        <w:tc>
          <w:tcPr>
            <w:tcW w:w="1036" w:type="dxa"/>
            <w:tcBorders>
              <w:top w:val="nil"/>
              <w:left w:val="nil"/>
              <w:bottom w:val="nil"/>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w:t>
            </w:r>
          </w:p>
        </w:tc>
        <w:tc>
          <w:tcPr>
            <w:tcW w:w="1036" w:type="dxa"/>
            <w:tcBorders>
              <w:top w:val="nil"/>
              <w:left w:val="nil"/>
              <w:bottom w:val="nil"/>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3.1</w:t>
            </w:r>
          </w:p>
        </w:tc>
        <w:tc>
          <w:tcPr>
            <w:tcW w:w="1036" w:type="dxa"/>
            <w:tcBorders>
              <w:top w:val="nil"/>
              <w:left w:val="nil"/>
              <w:bottom w:val="nil"/>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13.9</w:t>
            </w:r>
          </w:p>
        </w:tc>
      </w:tr>
      <w:tr w:rsidR="00B958B1" w:rsidRPr="005C1EE6" w:rsidTr="009F3B54">
        <w:tc>
          <w:tcPr>
            <w:tcW w:w="4665" w:type="dxa"/>
            <w:tcBorders>
              <w:top w:val="nil"/>
              <w:left w:val="nil"/>
              <w:bottom w:val="single" w:sz="6" w:space="0" w:color="auto"/>
              <w:right w:val="nil"/>
            </w:tcBorders>
            <w:shd w:val="solid" w:color="FFFFFF" w:fill="auto"/>
          </w:tcPr>
          <w:p w:rsidR="00B958B1" w:rsidRPr="005C1EE6" w:rsidRDefault="00B958B1" w:rsidP="009F3B54">
            <w:pPr>
              <w:pStyle w:val="Tabletext"/>
              <w:rPr>
                <w:rFonts w:eastAsiaTheme="minorEastAsia"/>
                <w:lang w:eastAsia="en-AU"/>
              </w:rPr>
            </w:pPr>
            <w:r w:rsidRPr="005C1EE6">
              <w:rPr>
                <w:rFonts w:eastAsiaTheme="minorEastAsia"/>
                <w:lang w:eastAsia="en-AU"/>
              </w:rPr>
              <w:t>Accumulated surplus – previously applied appropriation</w:t>
            </w:r>
          </w:p>
        </w:tc>
        <w:tc>
          <w:tcPr>
            <w:tcW w:w="1036" w:type="dxa"/>
            <w:tcBorders>
              <w:top w:val="nil"/>
              <w:left w:val="nil"/>
              <w:bottom w:val="single" w:sz="6" w:space="0" w:color="auto"/>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0.5</w:t>
            </w:r>
          </w:p>
        </w:tc>
        <w:tc>
          <w:tcPr>
            <w:tcW w:w="1036" w:type="dxa"/>
            <w:tcBorders>
              <w:top w:val="nil"/>
              <w:left w:val="nil"/>
              <w:bottom w:val="single" w:sz="6" w:space="0" w:color="auto"/>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8.1</w:t>
            </w:r>
          </w:p>
        </w:tc>
        <w:tc>
          <w:tcPr>
            <w:tcW w:w="1036" w:type="dxa"/>
            <w:tcBorders>
              <w:top w:val="nil"/>
              <w:left w:val="nil"/>
              <w:bottom w:val="single" w:sz="6" w:space="0" w:color="auto"/>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7.1</w:t>
            </w:r>
          </w:p>
        </w:tc>
      </w:tr>
      <w:tr w:rsidR="00B958B1" w:rsidRPr="005C1EE6" w:rsidTr="009F3B54">
        <w:tc>
          <w:tcPr>
            <w:tcW w:w="4665" w:type="dxa"/>
            <w:tcBorders>
              <w:top w:val="nil"/>
              <w:left w:val="nil"/>
              <w:bottom w:val="nil"/>
              <w:right w:val="nil"/>
            </w:tcBorders>
            <w:shd w:val="solid" w:color="FFFFFF" w:fill="auto"/>
          </w:tcPr>
          <w:p w:rsidR="00B958B1" w:rsidRPr="005C1EE6" w:rsidRDefault="00B958B1" w:rsidP="009F3B54">
            <w:pPr>
              <w:pStyle w:val="Tabletext"/>
              <w:rPr>
                <w:rFonts w:eastAsiaTheme="minorEastAsia"/>
                <w:b/>
                <w:bCs/>
                <w:lang w:eastAsia="en-AU"/>
              </w:rPr>
            </w:pPr>
            <w:r w:rsidRPr="005C1EE6">
              <w:rPr>
                <w:rFonts w:eastAsiaTheme="minorEastAsia"/>
                <w:b/>
                <w:bCs/>
                <w:lang w:eastAsia="en-AU"/>
              </w:rPr>
              <w:t>Gross annual appropriation</w:t>
            </w:r>
          </w:p>
        </w:tc>
        <w:tc>
          <w:tcPr>
            <w:tcW w:w="1036" w:type="dxa"/>
            <w:tcBorders>
              <w:top w:val="nil"/>
              <w:left w:val="nil"/>
              <w:bottom w:val="nil"/>
              <w:right w:val="nil"/>
            </w:tcBorders>
            <w:shd w:val="solid" w:color="FFFFFF" w:fill="auto"/>
          </w:tcPr>
          <w:p w:rsidR="00B958B1" w:rsidRPr="005C1EE6" w:rsidRDefault="00B958B1" w:rsidP="009F3B54">
            <w:pPr>
              <w:pStyle w:val="TableofFigures"/>
              <w:rPr>
                <w:rFonts w:eastAsiaTheme="minorEastAsia"/>
                <w:b/>
                <w:bCs/>
                <w:lang w:eastAsia="en-AU"/>
              </w:rPr>
            </w:pPr>
            <w:r w:rsidRPr="005C1EE6">
              <w:rPr>
                <w:rFonts w:eastAsiaTheme="minorEastAsia"/>
                <w:b/>
                <w:bCs/>
                <w:lang w:eastAsia="en-AU"/>
              </w:rPr>
              <w:t xml:space="preserve"> 564.1</w:t>
            </w:r>
          </w:p>
        </w:tc>
        <w:tc>
          <w:tcPr>
            <w:tcW w:w="1036" w:type="dxa"/>
            <w:tcBorders>
              <w:top w:val="nil"/>
              <w:left w:val="nil"/>
              <w:bottom w:val="nil"/>
              <w:right w:val="nil"/>
            </w:tcBorders>
            <w:shd w:val="solid" w:color="FFFFFF" w:fill="auto"/>
          </w:tcPr>
          <w:p w:rsidR="00B958B1" w:rsidRPr="005C1EE6" w:rsidRDefault="00B958B1" w:rsidP="009F3B54">
            <w:pPr>
              <w:pStyle w:val="TableofFigures"/>
              <w:rPr>
                <w:rFonts w:eastAsiaTheme="minorEastAsia"/>
                <w:b/>
                <w:bCs/>
                <w:lang w:eastAsia="en-AU"/>
              </w:rPr>
            </w:pPr>
            <w:r w:rsidRPr="005C1EE6">
              <w:rPr>
                <w:rFonts w:eastAsiaTheme="minorEastAsia"/>
                <w:b/>
                <w:bCs/>
                <w:lang w:eastAsia="en-AU"/>
              </w:rPr>
              <w:t xml:space="preserve"> 564.8</w:t>
            </w:r>
          </w:p>
        </w:tc>
        <w:tc>
          <w:tcPr>
            <w:tcW w:w="1036" w:type="dxa"/>
            <w:tcBorders>
              <w:top w:val="nil"/>
              <w:left w:val="nil"/>
              <w:bottom w:val="nil"/>
              <w:right w:val="nil"/>
            </w:tcBorders>
            <w:shd w:val="solid" w:color="FFFFFF" w:fill="auto"/>
          </w:tcPr>
          <w:p w:rsidR="00B958B1" w:rsidRPr="005C1EE6" w:rsidRDefault="00B958B1" w:rsidP="009F3B54">
            <w:pPr>
              <w:pStyle w:val="TableofFigures"/>
              <w:rPr>
                <w:rFonts w:eastAsiaTheme="minorEastAsia"/>
                <w:b/>
                <w:bCs/>
                <w:lang w:eastAsia="en-AU"/>
              </w:rPr>
            </w:pPr>
            <w:r w:rsidRPr="005C1EE6">
              <w:rPr>
                <w:rFonts w:eastAsiaTheme="minorEastAsia"/>
                <w:b/>
                <w:bCs/>
                <w:lang w:eastAsia="en-AU"/>
              </w:rPr>
              <w:t xml:space="preserve"> 616.5</w:t>
            </w:r>
          </w:p>
        </w:tc>
      </w:tr>
      <w:tr w:rsidR="00B958B1" w:rsidRPr="005C1EE6" w:rsidTr="009F3B54">
        <w:tc>
          <w:tcPr>
            <w:tcW w:w="4665" w:type="dxa"/>
            <w:tcBorders>
              <w:top w:val="nil"/>
              <w:left w:val="nil"/>
              <w:bottom w:val="nil"/>
              <w:right w:val="nil"/>
            </w:tcBorders>
            <w:shd w:val="solid" w:color="FFFFFF" w:fill="auto"/>
          </w:tcPr>
          <w:p w:rsidR="00B958B1" w:rsidRPr="005C1EE6" w:rsidRDefault="00B958B1" w:rsidP="009F3B54">
            <w:pPr>
              <w:pStyle w:val="Tabletext"/>
              <w:rPr>
                <w:rFonts w:eastAsiaTheme="minorEastAsia"/>
                <w:lang w:eastAsia="en-AU"/>
              </w:rPr>
            </w:pPr>
            <w:r w:rsidRPr="005C1EE6">
              <w:rPr>
                <w:rFonts w:eastAsiaTheme="minorEastAsia"/>
                <w:lang w:eastAsia="en-AU"/>
              </w:rPr>
              <w:t>Special appropriations</w:t>
            </w:r>
          </w:p>
        </w:tc>
        <w:tc>
          <w:tcPr>
            <w:tcW w:w="1036" w:type="dxa"/>
            <w:tcBorders>
              <w:top w:val="nil"/>
              <w:left w:val="nil"/>
              <w:bottom w:val="nil"/>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8.1</w:t>
            </w:r>
          </w:p>
        </w:tc>
        <w:tc>
          <w:tcPr>
            <w:tcW w:w="1036" w:type="dxa"/>
            <w:tcBorders>
              <w:top w:val="nil"/>
              <w:left w:val="nil"/>
              <w:bottom w:val="nil"/>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8.3</w:t>
            </w:r>
          </w:p>
        </w:tc>
        <w:tc>
          <w:tcPr>
            <w:tcW w:w="1036" w:type="dxa"/>
            <w:tcBorders>
              <w:top w:val="nil"/>
              <w:left w:val="nil"/>
              <w:bottom w:val="nil"/>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8.3</w:t>
            </w:r>
          </w:p>
        </w:tc>
      </w:tr>
      <w:tr w:rsidR="00B958B1" w:rsidRPr="005C1EE6" w:rsidTr="009F3B54">
        <w:tc>
          <w:tcPr>
            <w:tcW w:w="4665" w:type="dxa"/>
            <w:tcBorders>
              <w:top w:val="nil"/>
              <w:left w:val="nil"/>
              <w:bottom w:val="single" w:sz="6" w:space="0" w:color="auto"/>
              <w:right w:val="nil"/>
            </w:tcBorders>
            <w:shd w:val="solid" w:color="FFFFFF" w:fill="auto"/>
          </w:tcPr>
          <w:p w:rsidR="00B958B1" w:rsidRPr="005C1EE6" w:rsidRDefault="00B958B1" w:rsidP="009F3B54">
            <w:pPr>
              <w:pStyle w:val="Tabletext"/>
              <w:rPr>
                <w:rFonts w:eastAsiaTheme="minorEastAsia"/>
                <w:lang w:eastAsia="en-AU"/>
              </w:rPr>
            </w:pPr>
            <w:r w:rsidRPr="005C1EE6">
              <w:rPr>
                <w:rFonts w:eastAsiaTheme="minorEastAsia"/>
                <w:lang w:eastAsia="en-AU"/>
              </w:rPr>
              <w:t>Trust funds</w:t>
            </w:r>
          </w:p>
        </w:tc>
        <w:tc>
          <w:tcPr>
            <w:tcW w:w="1036" w:type="dxa"/>
            <w:tcBorders>
              <w:top w:val="nil"/>
              <w:left w:val="nil"/>
              <w:bottom w:val="single" w:sz="6" w:space="0" w:color="auto"/>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10.0</w:t>
            </w:r>
          </w:p>
        </w:tc>
        <w:tc>
          <w:tcPr>
            <w:tcW w:w="1036" w:type="dxa"/>
            <w:tcBorders>
              <w:top w:val="nil"/>
              <w:left w:val="nil"/>
              <w:bottom w:val="single" w:sz="6" w:space="0" w:color="auto"/>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17.4</w:t>
            </w:r>
          </w:p>
        </w:tc>
        <w:tc>
          <w:tcPr>
            <w:tcW w:w="1036" w:type="dxa"/>
            <w:tcBorders>
              <w:top w:val="nil"/>
              <w:left w:val="nil"/>
              <w:bottom w:val="single" w:sz="6" w:space="0" w:color="auto"/>
              <w:right w:val="nil"/>
            </w:tcBorders>
            <w:shd w:val="solid" w:color="FFFFFF" w:fill="auto"/>
          </w:tcPr>
          <w:p w:rsidR="00B958B1" w:rsidRPr="005C1EE6" w:rsidRDefault="00B958B1" w:rsidP="009F3B54">
            <w:pPr>
              <w:pStyle w:val="TableofFigures"/>
              <w:rPr>
                <w:rFonts w:eastAsiaTheme="minorEastAsia"/>
                <w:lang w:eastAsia="en-AU"/>
              </w:rPr>
            </w:pPr>
            <w:r w:rsidRPr="005C1EE6">
              <w:rPr>
                <w:rFonts w:eastAsiaTheme="minorEastAsia"/>
                <w:lang w:eastAsia="en-AU"/>
              </w:rPr>
              <w:t xml:space="preserve"> 14.2</w:t>
            </w:r>
          </w:p>
        </w:tc>
      </w:tr>
      <w:tr w:rsidR="00B958B1" w:rsidRPr="005C1EE6" w:rsidTr="009F3B54">
        <w:tc>
          <w:tcPr>
            <w:tcW w:w="4665" w:type="dxa"/>
            <w:tcBorders>
              <w:top w:val="nil"/>
              <w:left w:val="nil"/>
              <w:bottom w:val="single" w:sz="12" w:space="0" w:color="auto"/>
              <w:right w:val="nil"/>
            </w:tcBorders>
            <w:shd w:val="solid" w:color="FFFFFF" w:fill="auto"/>
          </w:tcPr>
          <w:p w:rsidR="00B958B1" w:rsidRPr="005C1EE6" w:rsidRDefault="00B958B1" w:rsidP="009F3B54">
            <w:pPr>
              <w:pStyle w:val="Tabletext"/>
              <w:rPr>
                <w:rFonts w:eastAsiaTheme="minorEastAsia"/>
                <w:b/>
                <w:bCs/>
                <w:lang w:eastAsia="en-AU"/>
              </w:rPr>
            </w:pPr>
            <w:r w:rsidRPr="005C1EE6">
              <w:rPr>
                <w:rFonts w:eastAsiaTheme="minorEastAsia"/>
                <w:b/>
                <w:bCs/>
                <w:lang w:eastAsia="en-AU"/>
              </w:rPr>
              <w:t>Total parliamentary authority</w:t>
            </w:r>
          </w:p>
        </w:tc>
        <w:tc>
          <w:tcPr>
            <w:tcW w:w="1036" w:type="dxa"/>
            <w:tcBorders>
              <w:top w:val="nil"/>
              <w:left w:val="nil"/>
              <w:bottom w:val="single" w:sz="12" w:space="0" w:color="auto"/>
              <w:right w:val="nil"/>
            </w:tcBorders>
            <w:shd w:val="solid" w:color="FFFFFF" w:fill="auto"/>
          </w:tcPr>
          <w:p w:rsidR="00B958B1" w:rsidRPr="005C1EE6" w:rsidRDefault="00B958B1" w:rsidP="009F3B54">
            <w:pPr>
              <w:pStyle w:val="TableofFigures"/>
              <w:rPr>
                <w:rFonts w:eastAsiaTheme="minorEastAsia"/>
                <w:b/>
                <w:bCs/>
                <w:lang w:eastAsia="en-AU"/>
              </w:rPr>
            </w:pPr>
            <w:r w:rsidRPr="005C1EE6">
              <w:rPr>
                <w:rFonts w:eastAsiaTheme="minorEastAsia"/>
                <w:b/>
                <w:bCs/>
                <w:lang w:eastAsia="en-AU"/>
              </w:rPr>
              <w:t xml:space="preserve"> 582.3</w:t>
            </w:r>
          </w:p>
        </w:tc>
        <w:tc>
          <w:tcPr>
            <w:tcW w:w="1036" w:type="dxa"/>
            <w:tcBorders>
              <w:top w:val="nil"/>
              <w:left w:val="nil"/>
              <w:bottom w:val="single" w:sz="12" w:space="0" w:color="auto"/>
              <w:right w:val="nil"/>
            </w:tcBorders>
            <w:shd w:val="solid" w:color="FFFFFF" w:fill="auto"/>
          </w:tcPr>
          <w:p w:rsidR="00B958B1" w:rsidRPr="005C1EE6" w:rsidRDefault="00B958B1" w:rsidP="009F3B54">
            <w:pPr>
              <w:pStyle w:val="TableofFigures"/>
              <w:rPr>
                <w:rFonts w:eastAsiaTheme="minorEastAsia"/>
                <w:b/>
                <w:bCs/>
                <w:lang w:eastAsia="en-AU"/>
              </w:rPr>
            </w:pPr>
            <w:r w:rsidRPr="005C1EE6">
              <w:rPr>
                <w:rFonts w:eastAsiaTheme="minorEastAsia"/>
                <w:b/>
                <w:bCs/>
                <w:lang w:eastAsia="en-AU"/>
              </w:rPr>
              <w:t xml:space="preserve"> 590.4</w:t>
            </w:r>
          </w:p>
        </w:tc>
        <w:tc>
          <w:tcPr>
            <w:tcW w:w="1036" w:type="dxa"/>
            <w:tcBorders>
              <w:top w:val="nil"/>
              <w:left w:val="nil"/>
              <w:bottom w:val="single" w:sz="12" w:space="0" w:color="auto"/>
              <w:right w:val="nil"/>
            </w:tcBorders>
            <w:shd w:val="solid" w:color="FFFFFF" w:fill="auto"/>
          </w:tcPr>
          <w:p w:rsidR="00B958B1" w:rsidRPr="005C1EE6" w:rsidRDefault="00B958B1" w:rsidP="009F3B54">
            <w:pPr>
              <w:pStyle w:val="TableofFigures"/>
              <w:rPr>
                <w:rFonts w:eastAsiaTheme="minorEastAsia"/>
                <w:b/>
                <w:bCs/>
                <w:lang w:eastAsia="en-AU"/>
              </w:rPr>
            </w:pPr>
            <w:r w:rsidRPr="005C1EE6">
              <w:rPr>
                <w:rFonts w:eastAsiaTheme="minorEastAsia"/>
                <w:b/>
                <w:bCs/>
                <w:lang w:eastAsia="en-AU"/>
              </w:rPr>
              <w:t xml:space="preserve"> 639.0</w:t>
            </w:r>
          </w:p>
        </w:tc>
      </w:tr>
    </w:tbl>
    <w:p w:rsidR="00B958B1" w:rsidRPr="00766810" w:rsidRDefault="00B958B1" w:rsidP="009F3B54">
      <w:pPr>
        <w:pStyle w:val="Source"/>
      </w:pPr>
      <w:r w:rsidRPr="00766810">
        <w:t>Sources: Departments of Premier and Cabinet and Treasury and Finance</w:t>
      </w:r>
    </w:p>
    <w:p w:rsidR="00B958B1" w:rsidRPr="00766810" w:rsidRDefault="00B958B1" w:rsidP="009F3B54">
      <w:pPr>
        <w:pStyle w:val="Source"/>
      </w:pPr>
      <w:r>
        <w:fldChar w:fldCharType="begin"/>
      </w:r>
      <w:r>
        <w:instrText xml:space="preserve"> XE "</w:instrText>
      </w:r>
      <w:r w:rsidRPr="00FD73D6">
        <w:instrText>Department of Premier and Cabinet:</w:instrText>
      </w:r>
      <w:r>
        <w:instrText xml:space="preserve">Parliamentary authority for resources" </w:instrText>
      </w:r>
      <w:r>
        <w:fldChar w:fldCharType="end"/>
      </w:r>
    </w:p>
    <w:p w:rsidR="00B958B1" w:rsidRPr="00766810" w:rsidRDefault="00B958B1">
      <w:pPr>
        <w:spacing w:after="0"/>
        <w:rPr>
          <w:rFonts w:ascii="Calibri" w:hAnsi="Calibri"/>
          <w:i/>
          <w:sz w:val="15"/>
        </w:rPr>
      </w:pPr>
      <w:r w:rsidRPr="00766810">
        <w:br w:type="page"/>
      </w:r>
    </w:p>
    <w:p w:rsidR="00B958B1" w:rsidRDefault="00B958B1" w:rsidP="009F3B54">
      <w:pPr>
        <w:pStyle w:val="OGHeading1"/>
        <w:rPr>
          <w:lang w:eastAsia="en-AU"/>
        </w:rPr>
      </w:pPr>
      <w:bookmarkStart w:id="132" w:name="BP3DPCStratAdviceandSupp"/>
      <w:r w:rsidRPr="00B51122">
        <w:rPr>
          <w:lang w:eastAsia="en-AU"/>
        </w:rPr>
        <w:t>Strategic Advice and Support</w:t>
      </w:r>
    </w:p>
    <w:p w:rsidR="00B958B1" w:rsidRDefault="00B958B1" w:rsidP="009F3B54">
      <w:pPr>
        <w:pStyle w:val="OGText"/>
        <w:rPr>
          <w:lang w:eastAsia="en-AU"/>
        </w:rPr>
      </w:pPr>
      <w:r w:rsidRPr="00B51122">
        <w:rPr>
          <w:lang w:eastAsia="en-AU"/>
        </w:rPr>
        <w:t>Provision of advice and support to the Premier and Cabinet on all aspects of policy including the Government</w:t>
      </w:r>
      <w:r>
        <w:rPr>
          <w:lang w:eastAsia="en-AU"/>
        </w:rPr>
        <w:t>’</w:t>
      </w:r>
      <w:r w:rsidRPr="00B51122">
        <w:rPr>
          <w:lang w:eastAsia="en-AU"/>
        </w:rPr>
        <w:t>s medium</w:t>
      </w:r>
      <w:r w:rsidR="009F0F49">
        <w:rPr>
          <w:lang w:eastAsia="en-AU"/>
        </w:rPr>
        <w:noBreakHyphen/>
      </w:r>
      <w:r w:rsidRPr="00B51122">
        <w:rPr>
          <w:lang w:eastAsia="en-AU"/>
        </w:rPr>
        <w:t>term strategic directions. This involves advice on issues as they arise, policy coordination and analysis, consultation with key internal and external stak</w:t>
      </w:r>
      <w:r>
        <w:rPr>
          <w:lang w:eastAsia="en-AU"/>
        </w:rPr>
        <w:t>eholders and leadership in long</w:t>
      </w:r>
      <w:r w:rsidR="009F0F49">
        <w:rPr>
          <w:lang w:eastAsia="en-AU"/>
        </w:rPr>
        <w:noBreakHyphen/>
      </w:r>
      <w:r w:rsidRPr="00B51122">
        <w:rPr>
          <w:lang w:eastAsia="en-AU"/>
        </w:rPr>
        <w:t xml:space="preserve">term policy development and research. </w:t>
      </w:r>
    </w:p>
    <w:p w:rsidR="00B958B1" w:rsidRDefault="00B958B1" w:rsidP="009F3B54">
      <w:pPr>
        <w:pStyle w:val="OGText"/>
        <w:rPr>
          <w:lang w:eastAsia="en-AU"/>
        </w:rPr>
      </w:pPr>
      <w:r w:rsidRPr="00B51122">
        <w:rPr>
          <w:lang w:eastAsia="en-AU"/>
        </w:rPr>
        <w:t xml:space="preserve">These outputs contribute to the departmental objective of </w:t>
      </w:r>
      <w:r>
        <w:rPr>
          <w:lang w:eastAsia="en-AU"/>
        </w:rPr>
        <w:t>supporting</w:t>
      </w:r>
      <w:r w:rsidRPr="00B51122">
        <w:rPr>
          <w:lang w:eastAsia="en-AU"/>
        </w:rPr>
        <w:t xml:space="preserve"> high</w:t>
      </w:r>
      <w:r w:rsidR="009F0F49">
        <w:rPr>
          <w:lang w:eastAsia="en-AU"/>
        </w:rPr>
        <w:noBreakHyphen/>
      </w:r>
      <w:r w:rsidRPr="00B51122">
        <w:rPr>
          <w:lang w:eastAsia="en-AU"/>
        </w:rPr>
        <w:t>quality Government decision</w:t>
      </w:r>
      <w:r w:rsidR="009F0F49">
        <w:rPr>
          <w:lang w:eastAsia="en-AU"/>
        </w:rPr>
        <w:noBreakHyphen/>
      </w:r>
      <w:r w:rsidRPr="00B51122">
        <w:rPr>
          <w:lang w:eastAsia="en-AU"/>
        </w:rPr>
        <w:t xml:space="preserve">making </w:t>
      </w:r>
      <w:r>
        <w:rPr>
          <w:lang w:eastAsia="en-AU"/>
        </w:rPr>
        <w:t>and implementation.</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1414E8" w:rsidTr="009F3B54">
        <w:trPr>
          <w:cantSplit/>
          <w:tblHeader/>
        </w:trPr>
        <w:tc>
          <w:tcPr>
            <w:tcW w:w="3155" w:type="dxa"/>
            <w:tcBorders>
              <w:top w:val="single" w:sz="4" w:space="0" w:color="auto"/>
              <w:left w:val="single" w:sz="4" w:space="0" w:color="auto"/>
              <w:bottom w:val="single" w:sz="4" w:space="0" w:color="auto"/>
              <w:right w:val="nil"/>
            </w:tcBorders>
            <w:shd w:val="clear" w:color="auto" w:fill="000000"/>
            <w:vAlign w:val="bottom"/>
          </w:tcPr>
          <w:p w:rsidR="00B958B1" w:rsidRPr="001414E8" w:rsidRDefault="00B958B1" w:rsidP="009F3B54">
            <w:pPr>
              <w:pStyle w:val="OGTabColLeft"/>
              <w:rPr>
                <w:b w:val="0"/>
                <w:i/>
              </w:rPr>
            </w:pPr>
            <w:r w:rsidRPr="001414E8">
              <w:t>Major Outputs/Deliverables</w:t>
            </w:r>
            <w:r>
              <w:br/>
            </w:r>
            <w:r w:rsidRPr="001414E8">
              <w:rPr>
                <w:b w:val="0"/>
                <w:i/>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1414E8" w:rsidRDefault="00B958B1" w:rsidP="009F3B54">
            <w:pPr>
              <w:pStyle w:val="OGTabColCentred"/>
            </w:pPr>
            <w:r w:rsidRPr="001414E8">
              <w:t xml:space="preserve">Unit of </w:t>
            </w:r>
            <w:r w:rsidRPr="001414E8">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1414E8" w:rsidRDefault="00B958B1" w:rsidP="009F3B54">
            <w:pPr>
              <w:pStyle w:val="OGTabColRight"/>
            </w:pPr>
            <w:r>
              <w:t>2013</w:t>
            </w:r>
            <w:r w:rsidR="009F0F49">
              <w:noBreakHyphen/>
            </w:r>
            <w:r>
              <w:t>14 Target</w:t>
            </w:r>
          </w:p>
        </w:tc>
        <w:tc>
          <w:tcPr>
            <w:tcW w:w="993" w:type="dxa"/>
            <w:tcBorders>
              <w:top w:val="single" w:sz="4" w:space="0" w:color="auto"/>
              <w:left w:val="nil"/>
              <w:bottom w:val="single" w:sz="4" w:space="0" w:color="auto"/>
              <w:right w:val="nil"/>
            </w:tcBorders>
            <w:shd w:val="clear" w:color="auto" w:fill="000000"/>
            <w:noWrap/>
            <w:vAlign w:val="bottom"/>
            <w:hideMark/>
          </w:tcPr>
          <w:p w:rsidR="00B958B1" w:rsidRPr="001414E8" w:rsidRDefault="00B958B1" w:rsidP="009F3B54">
            <w:pPr>
              <w:pStyle w:val="OGTabColRight"/>
            </w:pPr>
            <w:r>
              <w:t>2012</w:t>
            </w:r>
            <w:r w:rsidR="009F0F49">
              <w:noBreakHyphen/>
            </w:r>
            <w:r>
              <w:t>13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1414E8" w:rsidRDefault="00B958B1" w:rsidP="009F3B54">
            <w:pPr>
              <w:pStyle w:val="OGTabColRight"/>
            </w:pPr>
            <w:r>
              <w:t>2012</w:t>
            </w:r>
            <w:r w:rsidR="009F0F49">
              <w:noBreakHyphen/>
            </w:r>
            <w:r>
              <w:t>13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1414E8" w:rsidRDefault="00B958B1" w:rsidP="009F3B54">
            <w:pPr>
              <w:pStyle w:val="OGTabColRight"/>
            </w:pPr>
            <w:r>
              <w:t>2011</w:t>
            </w:r>
            <w:r w:rsidR="009F0F49">
              <w:noBreakHyphen/>
            </w:r>
            <w:r>
              <w:t>12 Actual</w:t>
            </w:r>
          </w:p>
        </w:tc>
      </w:tr>
      <w:tr w:rsidR="00B958B1" w:rsidRPr="00503D60" w:rsidTr="009F3B54">
        <w:trPr>
          <w:cantSplit/>
        </w:trPr>
        <w:tc>
          <w:tcPr>
            <w:tcW w:w="7776" w:type="dxa"/>
            <w:gridSpan w:val="6"/>
            <w:tcBorders>
              <w:top w:val="nil"/>
              <w:left w:val="nil"/>
              <w:bottom w:val="nil"/>
              <w:right w:val="nil"/>
            </w:tcBorders>
            <w:shd w:val="clear" w:color="auto" w:fill="auto"/>
            <w:hideMark/>
          </w:tcPr>
          <w:p w:rsidR="00B958B1" w:rsidRPr="00503D60" w:rsidRDefault="00B958B1" w:rsidP="009F3B54">
            <w:pPr>
              <w:pStyle w:val="OGHeading2"/>
              <w:rPr>
                <w:lang w:eastAsia="en-AU"/>
              </w:rPr>
            </w:pPr>
            <w:r w:rsidRPr="00503D60">
              <w:rPr>
                <w:lang w:eastAsia="en-AU"/>
              </w:rPr>
              <w:t xml:space="preserve">Strategic Advice </w:t>
            </w:r>
            <w:r>
              <w:rPr>
                <w:lang w:eastAsia="en-AU"/>
              </w:rPr>
              <w:t>and Government Support</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hideMark/>
          </w:tcPr>
          <w:p w:rsidR="00B958B1" w:rsidRPr="00CF6B6B" w:rsidRDefault="00B958B1" w:rsidP="009F3B54">
            <w:pPr>
              <w:spacing w:after="0"/>
              <w:rPr>
                <w:rFonts w:ascii="Calibri" w:hAnsi="Calibri" w:cs="Calibri"/>
                <w:sz w:val="20"/>
                <w:szCs w:val="18"/>
              </w:rPr>
            </w:pPr>
            <w:r w:rsidRPr="005E619E">
              <w:rPr>
                <w:rFonts w:ascii="Calibri" w:hAnsi="Calibri" w:cs="Calibri"/>
                <w:sz w:val="20"/>
                <w:szCs w:val="18"/>
              </w:rPr>
              <w:t>Provide strategic policy analysis and advice to the Premier</w:t>
            </w:r>
            <w:r>
              <w:rPr>
                <w:rFonts w:ascii="Calibri" w:hAnsi="Calibri" w:cs="Calibri"/>
                <w:sz w:val="20"/>
                <w:szCs w:val="18"/>
              </w:rPr>
              <w:t>, lead policy development on key priority issues and support informed Government decision</w:t>
            </w:r>
            <w:r w:rsidR="009F0F49">
              <w:rPr>
                <w:rFonts w:ascii="Calibri" w:hAnsi="Calibri" w:cs="Calibri"/>
                <w:sz w:val="20"/>
                <w:szCs w:val="18"/>
              </w:rPr>
              <w:noBreakHyphen/>
            </w:r>
            <w:r>
              <w:rPr>
                <w:rFonts w:ascii="Calibri" w:hAnsi="Calibri" w:cs="Calibri"/>
                <w:sz w:val="20"/>
                <w:szCs w:val="18"/>
              </w:rPr>
              <w:t>making.</w:t>
            </w:r>
            <w:r w:rsidRPr="005E619E">
              <w:rPr>
                <w:rFonts w:ascii="Calibri" w:hAnsi="Calibri" w:cs="Calibri"/>
                <w:sz w:val="20"/>
                <w:szCs w:val="18"/>
              </w:rPr>
              <w:t xml:space="preserve"> </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lang w:eastAsia="en-AU"/>
              </w:rPr>
              <w:t>Quantity</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right w:val="nil"/>
            </w:tcBorders>
            <w:shd w:val="clear" w:color="auto" w:fill="auto"/>
          </w:tcPr>
          <w:p w:rsidR="00B958B1" w:rsidRPr="00503D60" w:rsidRDefault="00B958B1" w:rsidP="009F3B54">
            <w:pPr>
              <w:pStyle w:val="OGTabText"/>
              <w:rPr>
                <w:color w:val="000000"/>
                <w:lang w:eastAsia="en-AU"/>
              </w:rPr>
            </w:pPr>
            <w:r w:rsidRPr="00AE176A">
              <w:rPr>
                <w:color w:val="000000"/>
                <w:lang w:eastAsia="en-AU"/>
              </w:rPr>
              <w:t xml:space="preserve">Policy </w:t>
            </w:r>
            <w:r>
              <w:rPr>
                <w:color w:val="000000"/>
                <w:lang w:eastAsia="en-AU"/>
              </w:rPr>
              <w:t>analyses and papers</w:t>
            </w:r>
            <w:r w:rsidRPr="00AE176A">
              <w:rPr>
                <w:color w:val="000000"/>
                <w:lang w:eastAsia="en-AU"/>
              </w:rPr>
              <w:t xml:space="preserve"> prepared</w:t>
            </w:r>
          </w:p>
        </w:tc>
        <w:tc>
          <w:tcPr>
            <w:tcW w:w="907" w:type="dxa"/>
            <w:tcBorders>
              <w:top w:val="nil"/>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nil"/>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1 000</w:t>
            </w:r>
          </w:p>
        </w:tc>
        <w:tc>
          <w:tcPr>
            <w:tcW w:w="993"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1 220</w:t>
            </w:r>
          </w:p>
        </w:tc>
        <w:tc>
          <w:tcPr>
            <w:tcW w:w="907"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1 700</w:t>
            </w:r>
          </w:p>
        </w:tc>
        <w:tc>
          <w:tcPr>
            <w:tcW w:w="907"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1 409</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CF6B6B" w:rsidRDefault="00B958B1" w:rsidP="009F3B54">
            <w:pPr>
              <w:pStyle w:val="OGNotes"/>
            </w:pPr>
            <w:r w:rsidRPr="00346EDA">
              <w:t>This performance measure renames the 2012</w:t>
            </w:r>
            <w:r w:rsidR="009F0F49">
              <w:noBreakHyphen/>
            </w:r>
            <w:r w:rsidRPr="00346EDA">
              <w:t>13 measure “Policy briefs prep</w:t>
            </w:r>
            <w:r w:rsidRPr="00CF6B6B">
              <w:t xml:space="preserve">ared”. The new performance measure reports on the same activity as the previous measure, however has been amended to </w:t>
            </w:r>
            <w:r>
              <w:t xml:space="preserve">better reflect the work undertaken for this activity. </w:t>
            </w:r>
          </w:p>
          <w:p w:rsidR="00B958B1" w:rsidRDefault="00B958B1" w:rsidP="009F3B54">
            <w:pPr>
              <w:pStyle w:val="OGNotes"/>
            </w:pPr>
            <w:r w:rsidRPr="00152DCA">
              <w:t>The 2012</w:t>
            </w:r>
            <w:r w:rsidR="009F0F49">
              <w:noBreakHyphen/>
            </w:r>
            <w:r w:rsidRPr="00152DCA">
              <w:t>13 Expected Outcome is lower than the 2012</w:t>
            </w:r>
            <w:r w:rsidR="009F0F49">
              <w:noBreakHyphen/>
            </w:r>
            <w:r w:rsidRPr="00152DCA">
              <w:t xml:space="preserve">13 Target due to the department's focus on improving the efficiency of its briefing processes. </w:t>
            </w:r>
          </w:p>
          <w:p w:rsidR="00B958B1" w:rsidRPr="00A022CA" w:rsidRDefault="00B958B1" w:rsidP="009F3B54">
            <w:pPr>
              <w:pStyle w:val="OGNotes"/>
            </w:pPr>
            <w:r w:rsidRPr="00152DCA">
              <w:t>The</w:t>
            </w:r>
            <w:r>
              <w:t xml:space="preserve"> lower</w:t>
            </w:r>
            <w:r w:rsidRPr="00152DCA">
              <w:t xml:space="preserve"> 2013</w:t>
            </w:r>
            <w:r w:rsidR="009F0F49">
              <w:noBreakHyphen/>
            </w:r>
            <w:r w:rsidRPr="00152DCA">
              <w:t>14 Target reflect</w:t>
            </w:r>
            <w:r>
              <w:t>s the</w:t>
            </w:r>
            <w:r w:rsidRPr="00152DCA">
              <w:t xml:space="preserve"> </w:t>
            </w:r>
            <w:r>
              <w:t>excision of briefs relating to support for Cabinet and Cabinet committee decision</w:t>
            </w:r>
            <w:r w:rsidR="009F0F49">
              <w:noBreakHyphen/>
            </w:r>
            <w:r>
              <w:t>making from this performance measure. This activity has been incorporated into the 2013</w:t>
            </w:r>
            <w:r w:rsidR="009F0F49">
              <w:noBreakHyphen/>
            </w:r>
            <w:r>
              <w:t>14 performance measure “</w:t>
            </w:r>
            <w:r>
              <w:rPr>
                <w:color w:val="000000"/>
              </w:rPr>
              <w:t>Number of briefs supporting Cabinet and Cabinet committee decision</w:t>
            </w:r>
            <w:r w:rsidR="009F0F49">
              <w:rPr>
                <w:color w:val="000000"/>
              </w:rPr>
              <w:noBreakHyphen/>
            </w:r>
            <w:r>
              <w:rPr>
                <w:color w:val="000000"/>
              </w:rPr>
              <w:t>making”</w:t>
            </w:r>
            <w:r w:rsidRPr="00152DCA">
              <w:t>.</w:t>
            </w:r>
            <w:r>
              <w:t xml:space="preserve"> These changes are the result of </w:t>
            </w:r>
            <w:r w:rsidRPr="005B754B">
              <w:t>a departmental review to improve alignment of DPC’s outputs to its corporate objectives and to better reflect existing key activities undertaken by the Department.</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CF6B6B" w:rsidRDefault="00B958B1" w:rsidP="009F3B54">
            <w:pPr>
              <w:pStyle w:val="OGTabText"/>
              <w:rPr>
                <w:color w:val="000000"/>
                <w:lang w:eastAsia="en-AU"/>
              </w:rPr>
            </w:pPr>
            <w:r>
              <w:rPr>
                <w:color w:val="000000"/>
                <w:lang w:eastAsia="en-AU"/>
              </w:rPr>
              <w:t>Number of briefs supporting Cabinet and Cabinet committee decision</w:t>
            </w:r>
            <w:r w:rsidR="009F0F49">
              <w:rPr>
                <w:color w:val="000000"/>
                <w:lang w:eastAsia="en-AU"/>
              </w:rPr>
              <w:noBreakHyphen/>
            </w:r>
            <w:r>
              <w:rPr>
                <w:color w:val="000000"/>
                <w:lang w:eastAsia="en-AU"/>
              </w:rPr>
              <w:t>making</w:t>
            </w:r>
          </w:p>
        </w:tc>
        <w:tc>
          <w:tcPr>
            <w:tcW w:w="907" w:type="dxa"/>
            <w:tcBorders>
              <w:top w:val="single" w:sz="6" w:space="0" w:color="auto"/>
              <w:left w:val="nil"/>
              <w:right w:val="nil"/>
            </w:tcBorders>
            <w:shd w:val="clear" w:color="auto" w:fill="auto"/>
            <w:noWrap/>
          </w:tcPr>
          <w:p w:rsidR="00B958B1" w:rsidRPr="00CF6B6B" w:rsidRDefault="00B958B1" w:rsidP="009F3B54">
            <w:pPr>
              <w:pStyle w:val="OGUoM"/>
              <w:ind w:left="144"/>
              <w:rPr>
                <w:color w:val="000000"/>
                <w:lang w:eastAsia="en-AU"/>
              </w:rPr>
            </w:pPr>
            <w:r>
              <w:rPr>
                <w:rFonts w:cs="Calibri"/>
                <w:lang w:eastAsia="en-AU"/>
              </w:rPr>
              <w:t>number</w:t>
            </w:r>
          </w:p>
        </w:tc>
        <w:tc>
          <w:tcPr>
            <w:tcW w:w="907" w:type="dxa"/>
            <w:tcBorders>
              <w:top w:val="single" w:sz="6" w:space="0" w:color="auto"/>
              <w:left w:val="nil"/>
              <w:right w:val="nil"/>
            </w:tcBorders>
            <w:shd w:val="clear" w:color="auto" w:fill="D9D9D9"/>
            <w:noWrap/>
          </w:tcPr>
          <w:p w:rsidR="00B958B1" w:rsidRPr="00CF6B6B" w:rsidRDefault="00B958B1" w:rsidP="009F3B54">
            <w:pPr>
              <w:pStyle w:val="OGTableofFigures"/>
              <w:ind w:left="144"/>
              <w:rPr>
                <w:color w:val="000000"/>
                <w:lang w:eastAsia="en-AU"/>
              </w:rPr>
            </w:pPr>
            <w:r>
              <w:rPr>
                <w:rFonts w:cs="Calibri"/>
                <w:lang w:eastAsia="en-AU"/>
              </w:rPr>
              <w:t>1 200</w:t>
            </w:r>
          </w:p>
        </w:tc>
        <w:tc>
          <w:tcPr>
            <w:tcW w:w="993" w:type="dxa"/>
            <w:tcBorders>
              <w:top w:val="single" w:sz="6" w:space="0" w:color="auto"/>
              <w:left w:val="nil"/>
              <w:right w:val="nil"/>
            </w:tcBorders>
            <w:shd w:val="clear" w:color="auto" w:fill="auto"/>
            <w:noWrap/>
          </w:tcPr>
          <w:p w:rsidR="00B958B1" w:rsidRPr="00CF6B6B" w:rsidRDefault="00B958B1" w:rsidP="009F3B54">
            <w:pPr>
              <w:pStyle w:val="OGTableofFigures"/>
              <w:ind w:left="144"/>
              <w:rPr>
                <w:color w:val="000000"/>
                <w:lang w:eastAsia="en-AU"/>
              </w:rPr>
            </w:pPr>
            <w:r>
              <w:rPr>
                <w:rFonts w:cs="Calibri"/>
                <w:lang w:eastAsia="en-AU"/>
              </w:rPr>
              <w:t>nm</w:t>
            </w:r>
          </w:p>
        </w:tc>
        <w:tc>
          <w:tcPr>
            <w:tcW w:w="907" w:type="dxa"/>
            <w:tcBorders>
              <w:top w:val="single" w:sz="6" w:space="0" w:color="auto"/>
              <w:left w:val="nil"/>
              <w:right w:val="nil"/>
            </w:tcBorders>
            <w:shd w:val="clear" w:color="auto" w:fill="auto"/>
            <w:noWrap/>
          </w:tcPr>
          <w:p w:rsidR="00B958B1" w:rsidRPr="00CF6B6B" w:rsidRDefault="00B958B1" w:rsidP="009F3B54">
            <w:pPr>
              <w:pStyle w:val="OGTableofFigures"/>
              <w:ind w:left="144"/>
              <w:rPr>
                <w:color w:val="000000"/>
                <w:lang w:eastAsia="en-AU"/>
              </w:rPr>
            </w:pPr>
            <w:r>
              <w:rPr>
                <w:rFonts w:cs="Calibri"/>
                <w:lang w:eastAsia="en-AU"/>
              </w:rPr>
              <w:t>nm</w:t>
            </w:r>
          </w:p>
        </w:tc>
        <w:tc>
          <w:tcPr>
            <w:tcW w:w="907" w:type="dxa"/>
            <w:tcBorders>
              <w:top w:val="single" w:sz="6" w:space="0" w:color="auto"/>
              <w:left w:val="nil"/>
              <w:right w:val="nil"/>
            </w:tcBorders>
            <w:shd w:val="clear" w:color="auto" w:fill="auto"/>
            <w:noWrap/>
          </w:tcPr>
          <w:p w:rsidR="00B958B1" w:rsidRPr="00CF6B6B" w:rsidRDefault="00B958B1" w:rsidP="009F3B54">
            <w:pPr>
              <w:pStyle w:val="OGTableofFigures"/>
              <w:ind w:left="144"/>
              <w:rPr>
                <w:color w:val="000000"/>
                <w:lang w:eastAsia="en-AU"/>
              </w:rPr>
            </w:pPr>
            <w:r>
              <w:rPr>
                <w:rFonts w:cs="Calibri"/>
                <w:lang w:eastAsia="en-AU"/>
              </w:rPr>
              <w:t>nm</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2539BC" w:rsidRDefault="00B958B1" w:rsidP="009F3B54">
            <w:pPr>
              <w:pStyle w:val="OGNotes"/>
            </w:pPr>
            <w:r>
              <w:t xml:space="preserve">New performance measure </w:t>
            </w:r>
            <w:r w:rsidRPr="009A0B73">
              <w:t>for 2013</w:t>
            </w:r>
            <w:r w:rsidR="009F0F49">
              <w:noBreakHyphen/>
            </w:r>
            <w:r w:rsidRPr="009A0B73">
              <w:t xml:space="preserve">14 to reflect existing key activities undertaken by DPC to </w:t>
            </w:r>
            <w:r w:rsidRPr="00A7400B">
              <w:t>support Government decision</w:t>
            </w:r>
            <w:r w:rsidR="009F0F49">
              <w:noBreakHyphen/>
            </w:r>
            <w:r w:rsidRPr="00A7400B">
              <w:t>making processes. This measure has been developed as a result of a departmental review</w:t>
            </w:r>
            <w:r w:rsidRPr="009A0B73">
              <w:t xml:space="preserve"> to better align DPC's outp</w:t>
            </w:r>
            <w:r>
              <w:t xml:space="preserve">uts to its corporate objectives and </w:t>
            </w:r>
            <w:r w:rsidRPr="00346EDA">
              <w:t>captures some of the activity previously measured through the 2012</w:t>
            </w:r>
            <w:r w:rsidR="009F0F49">
              <w:noBreakHyphen/>
            </w:r>
            <w:r w:rsidRPr="00346EDA">
              <w:t>13 performance measure “Policy briefs prepared”.</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AE176A" w:rsidRDefault="00B958B1" w:rsidP="009F3B54">
            <w:pPr>
              <w:pStyle w:val="OGTabHead"/>
              <w:rPr>
                <w:lang w:eastAsia="en-AU"/>
              </w:rPr>
            </w:pPr>
            <w:r w:rsidRPr="00AE176A">
              <w:rPr>
                <w:lang w:eastAsia="en-AU"/>
              </w:rPr>
              <w:t>Quality</w:t>
            </w:r>
          </w:p>
        </w:tc>
        <w:tc>
          <w:tcPr>
            <w:tcW w:w="907" w:type="dxa"/>
            <w:tcBorders>
              <w:top w:val="single" w:sz="6" w:space="0" w:color="auto"/>
              <w:left w:val="nil"/>
              <w:right w:val="nil"/>
            </w:tcBorders>
            <w:shd w:val="clear" w:color="auto" w:fill="auto"/>
            <w:noWrap/>
          </w:tcPr>
          <w:p w:rsidR="00B958B1" w:rsidRPr="00503D60" w:rsidRDefault="00B958B1" w:rsidP="009F3B54">
            <w:pPr>
              <w:pStyle w:val="OGTabHead"/>
              <w:rPr>
                <w:rFonts w:cs="Calibri"/>
                <w:lang w:eastAsia="en-AU"/>
              </w:rPr>
            </w:pPr>
          </w:p>
        </w:tc>
        <w:tc>
          <w:tcPr>
            <w:tcW w:w="907" w:type="dxa"/>
            <w:tcBorders>
              <w:top w:val="single" w:sz="6" w:space="0" w:color="auto"/>
              <w:left w:val="nil"/>
              <w:right w:val="nil"/>
            </w:tcBorders>
            <w:shd w:val="clear" w:color="auto" w:fill="D9D9D9"/>
            <w:noWrap/>
          </w:tcPr>
          <w:p w:rsidR="00B958B1" w:rsidRPr="00503D60" w:rsidRDefault="00B958B1" w:rsidP="009F3B54">
            <w:pPr>
              <w:pStyle w:val="OGTabHead"/>
              <w:rPr>
                <w:rFonts w:cs="Calibri"/>
                <w:lang w:eastAsia="en-AU"/>
              </w:rPr>
            </w:pPr>
          </w:p>
        </w:tc>
        <w:tc>
          <w:tcPr>
            <w:tcW w:w="993" w:type="dxa"/>
            <w:tcBorders>
              <w:top w:val="single" w:sz="6" w:space="0" w:color="auto"/>
              <w:left w:val="nil"/>
              <w:right w:val="nil"/>
            </w:tcBorders>
            <w:shd w:val="clear" w:color="auto" w:fill="auto"/>
            <w:noWrap/>
          </w:tcPr>
          <w:p w:rsidR="00B958B1" w:rsidRPr="00503D60" w:rsidRDefault="00B958B1" w:rsidP="009F3B54">
            <w:pPr>
              <w:pStyle w:val="OGTabHead"/>
              <w:rPr>
                <w:rFonts w:cs="Calibri"/>
                <w:lang w:eastAsia="en-AU"/>
              </w:rPr>
            </w:pPr>
          </w:p>
        </w:tc>
        <w:tc>
          <w:tcPr>
            <w:tcW w:w="907" w:type="dxa"/>
            <w:tcBorders>
              <w:top w:val="single" w:sz="6" w:space="0" w:color="auto"/>
              <w:left w:val="nil"/>
              <w:right w:val="nil"/>
            </w:tcBorders>
            <w:shd w:val="clear" w:color="auto" w:fill="auto"/>
            <w:noWrap/>
          </w:tcPr>
          <w:p w:rsidR="00B958B1" w:rsidRPr="00503D60" w:rsidRDefault="00B958B1" w:rsidP="009F3B54">
            <w:pPr>
              <w:pStyle w:val="OGTabHead"/>
              <w:rPr>
                <w:rFonts w:cs="Calibri"/>
                <w:lang w:eastAsia="en-AU"/>
              </w:rPr>
            </w:pPr>
          </w:p>
        </w:tc>
        <w:tc>
          <w:tcPr>
            <w:tcW w:w="907" w:type="dxa"/>
            <w:tcBorders>
              <w:top w:val="single" w:sz="6" w:space="0" w:color="auto"/>
              <w:left w:val="nil"/>
              <w:right w:val="nil"/>
            </w:tcBorders>
            <w:shd w:val="clear" w:color="auto" w:fill="auto"/>
            <w:noWrap/>
          </w:tcPr>
          <w:p w:rsidR="00B958B1" w:rsidRPr="00503D60" w:rsidRDefault="00B958B1" w:rsidP="009F3B54">
            <w:pPr>
              <w:pStyle w:val="OGTabHead"/>
              <w:rPr>
                <w:rFonts w:cs="Calibri"/>
                <w:lang w:eastAsia="en-AU"/>
              </w:rPr>
            </w:pPr>
          </w:p>
        </w:tc>
      </w:tr>
      <w:tr w:rsidR="00B958B1" w:rsidRPr="00503D60" w:rsidTr="009F3B54">
        <w:trPr>
          <w:cantSplit/>
        </w:trPr>
        <w:tc>
          <w:tcPr>
            <w:tcW w:w="3155" w:type="dxa"/>
            <w:tcBorders>
              <w:top w:val="nil"/>
              <w:left w:val="nil"/>
              <w:right w:val="nil"/>
            </w:tcBorders>
            <w:shd w:val="clear" w:color="auto" w:fill="auto"/>
          </w:tcPr>
          <w:p w:rsidR="00B958B1" w:rsidRPr="00AE176A" w:rsidRDefault="00B958B1" w:rsidP="009F3B54">
            <w:pPr>
              <w:pStyle w:val="OGTabText"/>
              <w:rPr>
                <w:color w:val="000000"/>
                <w:lang w:eastAsia="en-AU"/>
              </w:rPr>
            </w:pPr>
            <w:r w:rsidRPr="00AF6524">
              <w:rPr>
                <w:color w:val="000000"/>
                <w:lang w:eastAsia="en-AU"/>
              </w:rPr>
              <w:t>Cabinet and Cabinet committee meetings, and Cabinet visits to metropolitan and regional Victoria supported to the requirement of the Government</w:t>
            </w:r>
          </w:p>
        </w:tc>
        <w:tc>
          <w:tcPr>
            <w:tcW w:w="907" w:type="dxa"/>
            <w:tcBorders>
              <w:top w:val="nil"/>
              <w:left w:val="nil"/>
              <w:right w:val="nil"/>
            </w:tcBorders>
            <w:shd w:val="clear" w:color="auto" w:fill="auto"/>
            <w:noWrap/>
          </w:tcPr>
          <w:p w:rsidR="00B958B1" w:rsidRDefault="00B958B1" w:rsidP="009F3B54">
            <w:pPr>
              <w:pStyle w:val="OGUoM"/>
              <w:rPr>
                <w:rFonts w:cs="Calibri"/>
                <w:lang w:eastAsia="en-AU"/>
              </w:rPr>
            </w:pPr>
            <w:r>
              <w:rPr>
                <w:rFonts w:cs="Calibri"/>
                <w:lang w:eastAsia="en-AU"/>
              </w:rPr>
              <w:t>per cent</w:t>
            </w:r>
          </w:p>
        </w:tc>
        <w:tc>
          <w:tcPr>
            <w:tcW w:w="907" w:type="dxa"/>
            <w:tcBorders>
              <w:top w:val="nil"/>
              <w:left w:val="nil"/>
              <w:right w:val="nil"/>
            </w:tcBorders>
            <w:shd w:val="clear" w:color="auto" w:fill="D9D9D9"/>
            <w:noWrap/>
          </w:tcPr>
          <w:p w:rsidR="00B958B1" w:rsidRDefault="00B958B1" w:rsidP="009F3B54">
            <w:pPr>
              <w:pStyle w:val="OGTableofFigures"/>
              <w:rPr>
                <w:rFonts w:cs="Calibri"/>
                <w:lang w:eastAsia="en-AU"/>
              </w:rPr>
            </w:pPr>
            <w:r>
              <w:rPr>
                <w:rFonts w:cs="Calibri"/>
                <w:lang w:eastAsia="en-AU"/>
              </w:rPr>
              <w:t>100</w:t>
            </w:r>
          </w:p>
        </w:tc>
        <w:tc>
          <w:tcPr>
            <w:tcW w:w="993" w:type="dxa"/>
            <w:tcBorders>
              <w:top w:val="nil"/>
              <w:left w:val="nil"/>
              <w:right w:val="nil"/>
            </w:tcBorders>
            <w:shd w:val="clear" w:color="auto" w:fill="auto"/>
            <w:noWrap/>
          </w:tcPr>
          <w:p w:rsidR="00B958B1" w:rsidRDefault="00B958B1" w:rsidP="009F3B54">
            <w:pPr>
              <w:pStyle w:val="OGTableofFigures"/>
              <w:rPr>
                <w:rFonts w:cs="Calibri"/>
                <w:lang w:eastAsia="en-AU"/>
              </w:rPr>
            </w:pPr>
            <w:r>
              <w:rPr>
                <w:rFonts w:cs="Calibri"/>
                <w:lang w:eastAsia="en-AU"/>
              </w:rPr>
              <w:t>nm</w:t>
            </w:r>
          </w:p>
        </w:tc>
        <w:tc>
          <w:tcPr>
            <w:tcW w:w="907" w:type="dxa"/>
            <w:tcBorders>
              <w:top w:val="nil"/>
              <w:left w:val="nil"/>
              <w:right w:val="nil"/>
            </w:tcBorders>
            <w:shd w:val="clear" w:color="auto" w:fill="auto"/>
            <w:noWrap/>
          </w:tcPr>
          <w:p w:rsidR="00B958B1" w:rsidRDefault="00B958B1" w:rsidP="009F3B54">
            <w:pPr>
              <w:pStyle w:val="OGTableofFigures"/>
              <w:rPr>
                <w:rFonts w:cs="Calibri"/>
                <w:lang w:eastAsia="en-AU"/>
              </w:rPr>
            </w:pPr>
            <w:r>
              <w:rPr>
                <w:rFonts w:cs="Calibri"/>
                <w:lang w:eastAsia="en-AU"/>
              </w:rPr>
              <w:t>nm</w:t>
            </w:r>
          </w:p>
        </w:tc>
        <w:tc>
          <w:tcPr>
            <w:tcW w:w="907" w:type="dxa"/>
            <w:tcBorders>
              <w:top w:val="nil"/>
              <w:left w:val="nil"/>
              <w:right w:val="nil"/>
            </w:tcBorders>
            <w:shd w:val="clear" w:color="auto" w:fill="auto"/>
            <w:noWrap/>
          </w:tcPr>
          <w:p w:rsidR="00B958B1" w:rsidRDefault="00B958B1" w:rsidP="009F3B54">
            <w:pPr>
              <w:pStyle w:val="OGTableofFigures"/>
              <w:rPr>
                <w:rFonts w:cs="Calibri"/>
                <w:lang w:eastAsia="en-AU"/>
              </w:rPr>
            </w:pPr>
            <w:r>
              <w:rPr>
                <w:rFonts w:cs="Calibri"/>
                <w:lang w:eastAsia="en-AU"/>
              </w:rPr>
              <w:t>nm</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EF655D" w:rsidRDefault="00B958B1" w:rsidP="009F3B54">
            <w:pPr>
              <w:pStyle w:val="OGNotes"/>
            </w:pPr>
            <w:r w:rsidRPr="009F2F53">
              <w:t>New performance measure for 2013</w:t>
            </w:r>
            <w:r w:rsidR="009F0F49">
              <w:noBreakHyphen/>
            </w:r>
            <w:r w:rsidRPr="009F2F53">
              <w:t xml:space="preserve">14 to reflect existing key activities undertaken by DPC to support Cabinet and </w:t>
            </w:r>
            <w:r>
              <w:t>G</w:t>
            </w:r>
            <w:r w:rsidRPr="009F2F53">
              <w:t>overnment. This measure has been developed as a result of a departmental review to better align DPC's outputs to its corporate objectives.</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Text"/>
              <w:rPr>
                <w:color w:val="000000"/>
                <w:lang w:eastAsia="en-AU"/>
              </w:rPr>
            </w:pPr>
            <w:r w:rsidRPr="00AE176A">
              <w:rPr>
                <w:color w:val="000000"/>
                <w:lang w:eastAsia="en-AU"/>
              </w:rPr>
              <w:t>Policy services satisfaction rating</w:t>
            </w:r>
          </w:p>
        </w:tc>
        <w:tc>
          <w:tcPr>
            <w:tcW w:w="907" w:type="dxa"/>
            <w:tcBorders>
              <w:top w:val="single" w:sz="6" w:space="0" w:color="auto"/>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86</w:t>
            </w:r>
          </w:p>
        </w:tc>
        <w:tc>
          <w:tcPr>
            <w:tcW w:w="993"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86</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86</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84</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6C2CC2" w:rsidRDefault="00B958B1" w:rsidP="009F3B54">
            <w:pPr>
              <w:pStyle w:val="OGNotes"/>
            </w:pPr>
            <w:r w:rsidRPr="00A62CB0">
              <w:t>This performance measure renames the 2012</w:t>
            </w:r>
            <w:r w:rsidR="009F0F49">
              <w:noBreakHyphen/>
            </w:r>
            <w:r w:rsidRPr="00A62CB0">
              <w:t xml:space="preserve">13 </w:t>
            </w:r>
            <w:r>
              <w:t xml:space="preserve">quality </w:t>
            </w:r>
            <w:r w:rsidRPr="00A62CB0">
              <w:t xml:space="preserve">measure 'Policy services rating'. The </w:t>
            </w:r>
            <w:r>
              <w:t xml:space="preserve">new </w:t>
            </w:r>
            <w:r w:rsidRPr="00A62CB0">
              <w:t xml:space="preserve">performance measure </w:t>
            </w:r>
            <w:r>
              <w:t xml:space="preserve">reports on </w:t>
            </w:r>
            <w:r w:rsidRPr="00A62CB0">
              <w:t xml:space="preserve">the same activity as the </w:t>
            </w:r>
            <w:r>
              <w:t>previous</w:t>
            </w:r>
            <w:r w:rsidRPr="00A62CB0">
              <w:t xml:space="preserve"> measure, however has been amended for improved clarity.</w:t>
            </w:r>
          </w:p>
        </w:tc>
      </w:tr>
      <w:tr w:rsidR="00B958B1" w:rsidRPr="00503D60" w:rsidTr="009F3B54">
        <w:trPr>
          <w:cantSplit/>
        </w:trPr>
        <w:tc>
          <w:tcPr>
            <w:tcW w:w="3155" w:type="dxa"/>
            <w:tcBorders>
              <w:top w:val="single" w:sz="6" w:space="0" w:color="auto"/>
              <w:left w:val="nil"/>
              <w:right w:val="nil"/>
            </w:tcBorders>
            <w:shd w:val="clear" w:color="auto" w:fill="auto"/>
            <w:hideMark/>
          </w:tcPr>
          <w:p w:rsidR="00B958B1" w:rsidRPr="00503D60" w:rsidRDefault="00B958B1" w:rsidP="009F3B54">
            <w:pPr>
              <w:pStyle w:val="OGTabHead"/>
              <w:rPr>
                <w:lang w:eastAsia="en-AU"/>
              </w:rPr>
            </w:pPr>
            <w:r w:rsidRPr="00560D1F">
              <w:rPr>
                <w:lang w:eastAsia="en-AU"/>
              </w:rPr>
              <w:t>Timeliness</w:t>
            </w:r>
          </w:p>
        </w:tc>
        <w:tc>
          <w:tcPr>
            <w:tcW w:w="907" w:type="dxa"/>
            <w:tcBorders>
              <w:top w:val="single" w:sz="6" w:space="0" w:color="auto"/>
              <w:left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right w:val="nil"/>
            </w:tcBorders>
            <w:shd w:val="clear" w:color="auto" w:fill="D9D9D9"/>
            <w:noWrap/>
          </w:tcPr>
          <w:p w:rsidR="00B958B1" w:rsidRPr="00503D60" w:rsidRDefault="00B958B1" w:rsidP="009F3B54">
            <w:pPr>
              <w:pStyle w:val="OGTabHead"/>
              <w:rPr>
                <w:lang w:eastAsia="en-AU"/>
              </w:rPr>
            </w:pPr>
          </w:p>
        </w:tc>
        <w:tc>
          <w:tcPr>
            <w:tcW w:w="993" w:type="dxa"/>
            <w:tcBorders>
              <w:top w:val="single" w:sz="6" w:space="0" w:color="auto"/>
              <w:left w:val="nil"/>
              <w:right w:val="nil"/>
            </w:tcBorders>
            <w:shd w:val="clear" w:color="auto" w:fill="auto"/>
            <w:noWrap/>
          </w:tcPr>
          <w:p w:rsidR="00B958B1" w:rsidRPr="00503D60" w:rsidRDefault="00B958B1" w:rsidP="009F3B54">
            <w:pPr>
              <w:pStyle w:val="OGTabHead"/>
              <w:rPr>
                <w:lang w:eastAsia="en-AU"/>
              </w:rPr>
            </w:pPr>
          </w:p>
        </w:tc>
        <w:tc>
          <w:tcPr>
            <w:tcW w:w="907" w:type="dxa"/>
            <w:tcBorders>
              <w:top w:val="single" w:sz="6" w:space="0" w:color="auto"/>
              <w:left w:val="nil"/>
              <w:right w:val="nil"/>
            </w:tcBorders>
            <w:shd w:val="clear" w:color="auto" w:fill="auto"/>
            <w:noWrap/>
          </w:tcPr>
          <w:p w:rsidR="00B958B1" w:rsidRPr="00503D60" w:rsidRDefault="00B958B1" w:rsidP="009F3B54">
            <w:pPr>
              <w:pStyle w:val="OGTabHead"/>
              <w:rPr>
                <w:lang w:eastAsia="en-AU"/>
              </w:rPr>
            </w:pPr>
          </w:p>
        </w:tc>
        <w:tc>
          <w:tcPr>
            <w:tcW w:w="907" w:type="dxa"/>
            <w:tcBorders>
              <w:top w:val="single" w:sz="6" w:space="0" w:color="auto"/>
              <w:left w:val="nil"/>
              <w:right w:val="nil"/>
            </w:tcBorders>
            <w:shd w:val="clear" w:color="auto" w:fill="auto"/>
            <w:noWrap/>
          </w:tcPr>
          <w:p w:rsidR="00B958B1" w:rsidRPr="00503D60" w:rsidRDefault="00B958B1" w:rsidP="009F3B54">
            <w:pPr>
              <w:pStyle w:val="OGTabHead"/>
              <w:rPr>
                <w:lang w:eastAsia="en-AU"/>
              </w:rPr>
            </w:pPr>
          </w:p>
        </w:tc>
      </w:tr>
      <w:tr w:rsidR="00B958B1" w:rsidRPr="00503D60" w:rsidTr="009F3B54">
        <w:trPr>
          <w:cantSplit/>
        </w:trPr>
        <w:tc>
          <w:tcPr>
            <w:tcW w:w="3155" w:type="dxa"/>
            <w:tcBorders>
              <w:top w:val="nil"/>
              <w:left w:val="nil"/>
              <w:right w:val="nil"/>
            </w:tcBorders>
            <w:shd w:val="clear" w:color="auto" w:fill="auto"/>
          </w:tcPr>
          <w:p w:rsidR="00B958B1" w:rsidRPr="00503D60" w:rsidRDefault="00B958B1" w:rsidP="009F3B54">
            <w:pPr>
              <w:pStyle w:val="OGTabText"/>
              <w:rPr>
                <w:color w:val="000000"/>
                <w:lang w:eastAsia="en-AU"/>
              </w:rPr>
            </w:pPr>
            <w:r w:rsidRPr="00AE176A">
              <w:rPr>
                <w:color w:val="000000"/>
                <w:lang w:eastAsia="en-AU"/>
              </w:rPr>
              <w:t>Policy services timeliness rating</w:t>
            </w:r>
          </w:p>
        </w:tc>
        <w:tc>
          <w:tcPr>
            <w:tcW w:w="907" w:type="dxa"/>
            <w:tcBorders>
              <w:top w:val="nil"/>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nil"/>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95</w:t>
            </w:r>
          </w:p>
        </w:tc>
        <w:tc>
          <w:tcPr>
            <w:tcW w:w="993"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92</w:t>
            </w:r>
          </w:p>
        </w:tc>
        <w:tc>
          <w:tcPr>
            <w:tcW w:w="907"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95</w:t>
            </w:r>
          </w:p>
        </w:tc>
        <w:tc>
          <w:tcPr>
            <w:tcW w:w="907"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91</w:t>
            </w:r>
          </w:p>
        </w:tc>
      </w:tr>
      <w:tr w:rsidR="00B958B1" w:rsidRPr="00503D60" w:rsidTr="009F3B54">
        <w:trPr>
          <w:cantSplit/>
        </w:trPr>
        <w:tc>
          <w:tcPr>
            <w:tcW w:w="7776" w:type="dxa"/>
            <w:gridSpan w:val="6"/>
            <w:tcBorders>
              <w:top w:val="nil"/>
              <w:left w:val="nil"/>
              <w:right w:val="nil"/>
            </w:tcBorders>
            <w:shd w:val="clear" w:color="auto" w:fill="auto"/>
          </w:tcPr>
          <w:p w:rsidR="00B958B1" w:rsidRPr="00A62CB0" w:rsidRDefault="00B958B1" w:rsidP="009F3B54">
            <w:pPr>
              <w:pStyle w:val="OGNotes"/>
            </w:pPr>
            <w:r w:rsidRPr="00A62CB0">
              <w:t>This performance measure renames the 2012</w:t>
            </w:r>
            <w:r w:rsidR="009F0F49">
              <w:noBreakHyphen/>
            </w:r>
            <w:r w:rsidRPr="00A62CB0">
              <w:t xml:space="preserve">13 </w:t>
            </w:r>
            <w:r>
              <w:t xml:space="preserve">timeliness </w:t>
            </w:r>
            <w:r w:rsidRPr="00A62CB0">
              <w:t xml:space="preserve">measure 'Policy services rating'. The </w:t>
            </w:r>
            <w:r>
              <w:t>new measure reports on the same activity as the previous measure however</w:t>
            </w:r>
            <w:r w:rsidRPr="00A62CB0">
              <w:t xml:space="preserve"> has been amended for improved clarity</w:t>
            </w:r>
            <w:r>
              <w:t>.</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lang w:eastAsia="en-AU"/>
              </w:rPr>
              <w:t>Cost</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bottom w:val="nil"/>
              <w:right w:val="nil"/>
            </w:tcBorders>
            <w:shd w:val="clear" w:color="auto" w:fill="auto"/>
            <w:hideMark/>
          </w:tcPr>
          <w:p w:rsidR="00B958B1" w:rsidRPr="00503D60" w:rsidRDefault="00B958B1" w:rsidP="009F3B54">
            <w:pPr>
              <w:pStyle w:val="OGTabText"/>
              <w:rPr>
                <w:color w:val="000000"/>
                <w:lang w:eastAsia="en-AU"/>
              </w:rPr>
            </w:pPr>
            <w:r w:rsidRPr="00503D60">
              <w:rPr>
                <w:color w:val="000000"/>
                <w:lang w:eastAsia="en-AU"/>
              </w:rPr>
              <w:t>Total output cost</w:t>
            </w:r>
          </w:p>
        </w:tc>
        <w:tc>
          <w:tcPr>
            <w:tcW w:w="907" w:type="dxa"/>
            <w:tcBorders>
              <w:top w:val="nil"/>
              <w:left w:val="nil"/>
              <w:bottom w:val="nil"/>
              <w:right w:val="nil"/>
            </w:tcBorders>
            <w:shd w:val="clear" w:color="auto" w:fill="auto"/>
            <w:noWrap/>
          </w:tcPr>
          <w:p w:rsidR="00B958B1" w:rsidRPr="00503D60" w:rsidRDefault="00B958B1" w:rsidP="009F3B54">
            <w:pPr>
              <w:pStyle w:val="OGUoM"/>
              <w:rPr>
                <w:rFonts w:cs="Calibri"/>
                <w:lang w:eastAsia="en-AU"/>
              </w:rPr>
            </w:pPr>
            <w:r w:rsidRPr="00503D60">
              <w:rPr>
                <w:rFonts w:cs="Calibri"/>
                <w:lang w:eastAsia="en-AU"/>
              </w:rPr>
              <w:t>$</w:t>
            </w:r>
            <w:r>
              <w:rPr>
                <w:rFonts w:cs="Calibri"/>
                <w:lang w:eastAsia="en-AU"/>
              </w:rPr>
              <w:t> million</w:t>
            </w:r>
          </w:p>
        </w:tc>
        <w:tc>
          <w:tcPr>
            <w:tcW w:w="907" w:type="dxa"/>
            <w:tcBorders>
              <w:top w:val="nil"/>
              <w:left w:val="nil"/>
              <w:bottom w:val="nil"/>
              <w:right w:val="nil"/>
            </w:tcBorders>
            <w:shd w:val="clear" w:color="auto" w:fill="auto"/>
            <w:noWrap/>
          </w:tcPr>
          <w:p w:rsidR="00B958B1" w:rsidRPr="00CA5EC9" w:rsidRDefault="00B958B1" w:rsidP="009F3B54">
            <w:pPr>
              <w:pStyle w:val="OGTableofFigures"/>
              <w:rPr>
                <w:lang w:eastAsia="en-AU"/>
              </w:rPr>
            </w:pPr>
            <w:r>
              <w:rPr>
                <w:lang w:eastAsia="en-AU"/>
              </w:rPr>
              <w:t>72.6</w:t>
            </w:r>
          </w:p>
        </w:tc>
        <w:tc>
          <w:tcPr>
            <w:tcW w:w="993" w:type="dxa"/>
            <w:tcBorders>
              <w:top w:val="nil"/>
              <w:left w:val="nil"/>
              <w:bottom w:val="nil"/>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nm</w:t>
            </w:r>
          </w:p>
        </w:tc>
        <w:tc>
          <w:tcPr>
            <w:tcW w:w="907" w:type="dxa"/>
            <w:tcBorders>
              <w:top w:val="nil"/>
              <w:left w:val="nil"/>
              <w:bottom w:val="nil"/>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nm</w:t>
            </w:r>
          </w:p>
        </w:tc>
        <w:tc>
          <w:tcPr>
            <w:tcW w:w="907" w:type="dxa"/>
            <w:tcBorders>
              <w:top w:val="nil"/>
              <w:left w:val="nil"/>
              <w:bottom w:val="nil"/>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nm</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503D60" w:rsidRDefault="00B958B1" w:rsidP="009F3B54">
            <w:pPr>
              <w:pStyle w:val="OGNotes"/>
            </w:pPr>
            <w:r>
              <w:t>Revised output cost</w:t>
            </w:r>
            <w:r w:rsidRPr="005B754B">
              <w:t xml:space="preserve"> for 2013</w:t>
            </w:r>
            <w:r w:rsidR="009F0F49">
              <w:noBreakHyphen/>
            </w:r>
            <w:r w:rsidRPr="005B754B">
              <w:t xml:space="preserve">14 to reflect changes to the </w:t>
            </w:r>
            <w:r>
              <w:t>DPC</w:t>
            </w:r>
            <w:r w:rsidRPr="005B754B">
              <w:t xml:space="preserve"> output structure as a result of a departmental review to improve alignment of DPC’s outputs to its corporate objectives and to better reflect existing key activities undertaken by the Department.</w:t>
            </w:r>
          </w:p>
        </w:tc>
      </w:tr>
      <w:tr w:rsidR="00B958B1" w:rsidRPr="00503D60" w:rsidTr="009F3B54">
        <w:trPr>
          <w:cantSplit/>
        </w:trPr>
        <w:tc>
          <w:tcPr>
            <w:tcW w:w="7776" w:type="dxa"/>
            <w:gridSpan w:val="6"/>
            <w:tcBorders>
              <w:top w:val="nil"/>
              <w:left w:val="nil"/>
              <w:bottom w:val="nil"/>
              <w:right w:val="nil"/>
            </w:tcBorders>
            <w:shd w:val="clear" w:color="auto" w:fill="auto"/>
            <w:hideMark/>
          </w:tcPr>
          <w:p w:rsidR="00B958B1" w:rsidRPr="003E4D3A" w:rsidRDefault="00B958B1" w:rsidP="009F3B54">
            <w:pPr>
              <w:pStyle w:val="OGHeading2"/>
              <w:rPr>
                <w:szCs w:val="28"/>
                <w:lang w:eastAsia="en-AU"/>
              </w:rPr>
            </w:pPr>
            <w:r>
              <w:rPr>
                <w:szCs w:val="28"/>
                <w:lang w:eastAsia="en-AU"/>
              </w:rPr>
              <w:t>Government</w:t>
            </w:r>
            <w:r w:rsidR="009F0F49">
              <w:rPr>
                <w:szCs w:val="28"/>
                <w:lang w:eastAsia="en-AU"/>
              </w:rPr>
              <w:noBreakHyphen/>
            </w:r>
            <w:r>
              <w:rPr>
                <w:szCs w:val="28"/>
                <w:lang w:eastAsia="en-AU"/>
              </w:rPr>
              <w:t>wide L</w:t>
            </w:r>
            <w:r w:rsidRPr="003E4D3A">
              <w:rPr>
                <w:szCs w:val="28"/>
                <w:lang w:eastAsia="en-AU"/>
              </w:rPr>
              <w:t xml:space="preserve">eadership and implementation </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hideMark/>
          </w:tcPr>
          <w:p w:rsidR="00B958B1" w:rsidRDefault="00B958B1" w:rsidP="009F3B54">
            <w:pPr>
              <w:pStyle w:val="OGText"/>
              <w:rPr>
                <w:rFonts w:cs="Calibri"/>
              </w:rPr>
            </w:pPr>
            <w:r w:rsidRPr="005E619E">
              <w:rPr>
                <w:rFonts w:cs="Calibri"/>
              </w:rPr>
              <w:t>Monitor the implementation and delivery of the Government's decisions and projects and lead effective whole</w:t>
            </w:r>
            <w:r w:rsidR="009F0F49">
              <w:rPr>
                <w:rFonts w:cs="Calibri"/>
              </w:rPr>
              <w:noBreakHyphen/>
            </w:r>
            <w:r w:rsidRPr="005E619E">
              <w:rPr>
                <w:rFonts w:cs="Calibri"/>
              </w:rPr>
              <w:t>of</w:t>
            </w:r>
            <w:r w:rsidR="009F0F49">
              <w:rPr>
                <w:rFonts w:cs="Calibri"/>
              </w:rPr>
              <w:noBreakHyphen/>
            </w:r>
            <w:r w:rsidRPr="005E619E">
              <w:rPr>
                <w:rFonts w:cs="Calibri"/>
              </w:rPr>
              <w:t>government responses to significant identified issues.</w:t>
            </w:r>
          </w:p>
          <w:p w:rsidR="00B958B1" w:rsidRPr="00503D60" w:rsidRDefault="00B958B1" w:rsidP="009F3B54">
            <w:pPr>
              <w:pStyle w:val="OGText"/>
              <w:rPr>
                <w:lang w:eastAsia="en-AU"/>
              </w:rPr>
            </w:pPr>
            <w:r w:rsidRPr="005E619E">
              <w:rPr>
                <w:rFonts w:cs="Calibri"/>
              </w:rPr>
              <w:t>Sup</w:t>
            </w:r>
            <w:r>
              <w:rPr>
                <w:rFonts w:cs="Calibri"/>
              </w:rPr>
              <w:t xml:space="preserve">port the Premier and Government’s </w:t>
            </w:r>
            <w:r w:rsidRPr="005E619E">
              <w:rPr>
                <w:rFonts w:cs="Calibri"/>
              </w:rPr>
              <w:t>leadership role regarding international engagement and in building international cultural links.</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lang w:eastAsia="en-AU"/>
              </w:rPr>
              <w:t>Quantity</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right w:val="nil"/>
            </w:tcBorders>
            <w:shd w:val="clear" w:color="auto" w:fill="auto"/>
          </w:tcPr>
          <w:p w:rsidR="00B958B1" w:rsidRPr="001E4E02" w:rsidDel="00A67E88" w:rsidRDefault="00B958B1" w:rsidP="009F3B54">
            <w:pPr>
              <w:pStyle w:val="OGTabText"/>
              <w:rPr>
                <w:color w:val="000000"/>
                <w:lang w:eastAsia="en-AU"/>
              </w:rPr>
            </w:pPr>
            <w:r w:rsidRPr="00C82845">
              <w:rPr>
                <w:color w:val="000000"/>
                <w:lang w:eastAsia="en-AU"/>
              </w:rPr>
              <w:t>Annual special events</w:t>
            </w:r>
          </w:p>
        </w:tc>
        <w:tc>
          <w:tcPr>
            <w:tcW w:w="907" w:type="dxa"/>
            <w:tcBorders>
              <w:top w:val="nil"/>
              <w:left w:val="nil"/>
              <w:right w:val="nil"/>
            </w:tcBorders>
            <w:shd w:val="clear" w:color="auto" w:fill="auto"/>
            <w:noWrap/>
          </w:tcPr>
          <w:p w:rsidR="00B958B1" w:rsidDel="00A67E88" w:rsidRDefault="00B958B1" w:rsidP="009F3B54">
            <w:pPr>
              <w:pStyle w:val="OGUoM"/>
              <w:rPr>
                <w:rFonts w:cs="Calibri"/>
                <w:lang w:eastAsia="en-AU"/>
              </w:rPr>
            </w:pPr>
            <w:r>
              <w:rPr>
                <w:rFonts w:cs="Calibri"/>
                <w:lang w:eastAsia="en-AU"/>
              </w:rPr>
              <w:t>number</w:t>
            </w:r>
          </w:p>
        </w:tc>
        <w:tc>
          <w:tcPr>
            <w:tcW w:w="907" w:type="dxa"/>
            <w:tcBorders>
              <w:top w:val="nil"/>
              <w:left w:val="nil"/>
              <w:right w:val="nil"/>
            </w:tcBorders>
            <w:shd w:val="clear" w:color="auto" w:fill="D9D9D9"/>
            <w:noWrap/>
          </w:tcPr>
          <w:p w:rsidR="00B958B1" w:rsidDel="00A67E88" w:rsidRDefault="00B958B1" w:rsidP="009F3B54">
            <w:pPr>
              <w:pStyle w:val="OGTableofFigures"/>
              <w:rPr>
                <w:rFonts w:cs="Calibri"/>
                <w:lang w:eastAsia="en-AU"/>
              </w:rPr>
            </w:pPr>
            <w:r>
              <w:rPr>
                <w:rFonts w:cs="Calibri"/>
                <w:lang w:eastAsia="en-AU"/>
              </w:rPr>
              <w:t>7</w:t>
            </w:r>
          </w:p>
        </w:tc>
        <w:tc>
          <w:tcPr>
            <w:tcW w:w="993" w:type="dxa"/>
            <w:tcBorders>
              <w:top w:val="nil"/>
              <w:left w:val="nil"/>
              <w:right w:val="nil"/>
            </w:tcBorders>
            <w:shd w:val="clear" w:color="auto" w:fill="auto"/>
            <w:noWrap/>
          </w:tcPr>
          <w:p w:rsidR="00B958B1" w:rsidDel="00A67E88" w:rsidRDefault="00B958B1" w:rsidP="009F3B54">
            <w:pPr>
              <w:pStyle w:val="OGTableofFigures"/>
              <w:rPr>
                <w:rFonts w:cs="Calibri"/>
                <w:lang w:eastAsia="en-AU"/>
              </w:rPr>
            </w:pPr>
            <w:r>
              <w:rPr>
                <w:rFonts w:cs="Calibri"/>
                <w:lang w:eastAsia="en-AU"/>
              </w:rPr>
              <w:t>12</w:t>
            </w:r>
          </w:p>
        </w:tc>
        <w:tc>
          <w:tcPr>
            <w:tcW w:w="907" w:type="dxa"/>
            <w:tcBorders>
              <w:top w:val="nil"/>
              <w:left w:val="nil"/>
              <w:right w:val="nil"/>
            </w:tcBorders>
            <w:shd w:val="clear" w:color="auto" w:fill="auto"/>
            <w:noWrap/>
          </w:tcPr>
          <w:p w:rsidR="00B958B1" w:rsidDel="00A67E88" w:rsidRDefault="00B958B1" w:rsidP="009F3B54">
            <w:pPr>
              <w:pStyle w:val="OGTableofFigures"/>
              <w:rPr>
                <w:rFonts w:cs="Calibri"/>
                <w:lang w:eastAsia="en-AU"/>
              </w:rPr>
            </w:pPr>
            <w:r>
              <w:rPr>
                <w:lang w:eastAsia="en-AU"/>
              </w:rPr>
              <w:t>7</w:t>
            </w:r>
          </w:p>
        </w:tc>
        <w:tc>
          <w:tcPr>
            <w:tcW w:w="907" w:type="dxa"/>
            <w:tcBorders>
              <w:top w:val="nil"/>
              <w:left w:val="nil"/>
              <w:right w:val="nil"/>
            </w:tcBorders>
            <w:shd w:val="clear" w:color="auto" w:fill="auto"/>
            <w:noWrap/>
          </w:tcPr>
          <w:p w:rsidR="00B958B1" w:rsidDel="00A67E88" w:rsidRDefault="00B958B1" w:rsidP="009F3B54">
            <w:pPr>
              <w:pStyle w:val="OGTableofFigures"/>
              <w:rPr>
                <w:rFonts w:cs="Calibri"/>
                <w:lang w:eastAsia="en-AU"/>
              </w:rPr>
            </w:pPr>
            <w:r>
              <w:rPr>
                <w:lang w:eastAsia="en-AU"/>
              </w:rPr>
              <w:t>7</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Default="00B958B1" w:rsidP="009F3B54">
            <w:pPr>
              <w:pStyle w:val="OGNotes"/>
            </w:pPr>
            <w:r w:rsidRPr="00022FC0">
              <w:t>This performance measure is transferred directly from the 2012</w:t>
            </w:r>
            <w:r w:rsidR="009F0F49">
              <w:noBreakHyphen/>
            </w:r>
            <w:r w:rsidRPr="00022FC0">
              <w:t xml:space="preserve">13 output </w:t>
            </w:r>
            <w:r>
              <w:t xml:space="preserve">Protocol and Special Events </w:t>
            </w:r>
            <w:r w:rsidRPr="00022FC0">
              <w:t>as it better aligns with the activities captured in the Government</w:t>
            </w:r>
            <w:r w:rsidR="009F0F49">
              <w:noBreakHyphen/>
            </w:r>
            <w:r w:rsidRPr="00022FC0">
              <w:t>wide leadership and implementation output.</w:t>
            </w:r>
          </w:p>
          <w:p w:rsidR="00B958B1" w:rsidRPr="00EA6626" w:rsidDel="00A67E88" w:rsidRDefault="00B958B1" w:rsidP="009F3B54">
            <w:pPr>
              <w:pStyle w:val="OGNotes"/>
            </w:pPr>
            <w:r>
              <w:t>The 2012</w:t>
            </w:r>
            <w:r w:rsidR="009F0F49">
              <w:noBreakHyphen/>
            </w:r>
            <w:r>
              <w:t>13 E</w:t>
            </w:r>
            <w:r w:rsidRPr="009A0B73">
              <w:t xml:space="preserve">xpected </w:t>
            </w:r>
            <w:r>
              <w:t>O</w:t>
            </w:r>
            <w:r w:rsidRPr="009A0B73">
              <w:t xml:space="preserve">utcome is </w:t>
            </w:r>
            <w:r>
              <w:t>higher than the 2012</w:t>
            </w:r>
            <w:r w:rsidR="009F0F49">
              <w:noBreakHyphen/>
            </w:r>
            <w:r>
              <w:t>13 Target</w:t>
            </w:r>
            <w:r w:rsidRPr="009A0B73">
              <w:t xml:space="preserve"> due to additional events that took place in the first half of the year that were not originally scheduled e.g. O</w:t>
            </w:r>
            <w:r>
              <w:t>l</w:t>
            </w:r>
            <w:r w:rsidRPr="009A0B73">
              <w:t>ympic and Paralympic welcome home events.</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1E4E02" w:rsidDel="002D4C3C" w:rsidRDefault="00B958B1" w:rsidP="009F3B54">
            <w:pPr>
              <w:pStyle w:val="OGTabText"/>
              <w:rPr>
                <w:color w:val="000000"/>
                <w:lang w:eastAsia="en-AU"/>
              </w:rPr>
            </w:pPr>
            <w:r w:rsidRPr="00184F1C">
              <w:rPr>
                <w:color w:val="000000"/>
                <w:lang w:eastAsia="en-AU"/>
              </w:rPr>
              <w:t>Official international visitors to Victoria</w:t>
            </w:r>
          </w:p>
        </w:tc>
        <w:tc>
          <w:tcPr>
            <w:tcW w:w="907" w:type="dxa"/>
            <w:tcBorders>
              <w:top w:val="single" w:sz="6" w:space="0" w:color="auto"/>
              <w:left w:val="nil"/>
              <w:right w:val="nil"/>
            </w:tcBorders>
            <w:shd w:val="clear" w:color="auto" w:fill="auto"/>
            <w:noWrap/>
          </w:tcPr>
          <w:p w:rsidR="00B958B1" w:rsidDel="002D4C3C"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right w:val="nil"/>
            </w:tcBorders>
            <w:shd w:val="clear" w:color="auto" w:fill="D9D9D9"/>
            <w:noWrap/>
          </w:tcPr>
          <w:p w:rsidR="00B958B1" w:rsidDel="002D4C3C" w:rsidRDefault="00B958B1" w:rsidP="009F3B54">
            <w:pPr>
              <w:pStyle w:val="OGTableofFigures"/>
              <w:rPr>
                <w:rFonts w:cs="Calibri"/>
                <w:lang w:eastAsia="en-AU"/>
              </w:rPr>
            </w:pPr>
            <w:r>
              <w:rPr>
                <w:rFonts w:cs="Calibri"/>
                <w:lang w:eastAsia="en-AU"/>
              </w:rPr>
              <w:t>20</w:t>
            </w:r>
          </w:p>
        </w:tc>
        <w:tc>
          <w:tcPr>
            <w:tcW w:w="993" w:type="dxa"/>
            <w:tcBorders>
              <w:top w:val="single" w:sz="6" w:space="0" w:color="auto"/>
              <w:left w:val="nil"/>
              <w:right w:val="nil"/>
            </w:tcBorders>
            <w:shd w:val="clear" w:color="auto" w:fill="auto"/>
            <w:noWrap/>
          </w:tcPr>
          <w:p w:rsidR="00B958B1" w:rsidDel="002D4C3C" w:rsidRDefault="00B958B1" w:rsidP="009F3B54">
            <w:pPr>
              <w:pStyle w:val="OGTableofFigures"/>
              <w:rPr>
                <w:rFonts w:cs="Calibri"/>
                <w:lang w:eastAsia="en-AU"/>
              </w:rPr>
            </w:pPr>
            <w:r>
              <w:rPr>
                <w:rFonts w:cs="Calibri"/>
                <w:lang w:eastAsia="en-AU"/>
              </w:rPr>
              <w:t>20</w:t>
            </w:r>
          </w:p>
        </w:tc>
        <w:tc>
          <w:tcPr>
            <w:tcW w:w="907" w:type="dxa"/>
            <w:tcBorders>
              <w:top w:val="single" w:sz="6" w:space="0" w:color="auto"/>
              <w:left w:val="nil"/>
              <w:right w:val="nil"/>
            </w:tcBorders>
            <w:shd w:val="clear" w:color="auto" w:fill="auto"/>
            <w:noWrap/>
          </w:tcPr>
          <w:p w:rsidR="00B958B1" w:rsidDel="002D4C3C" w:rsidRDefault="00B958B1" w:rsidP="009F3B54">
            <w:pPr>
              <w:pStyle w:val="OGTableofFigures"/>
              <w:rPr>
                <w:rFonts w:cs="Calibri"/>
                <w:lang w:eastAsia="en-AU"/>
              </w:rPr>
            </w:pPr>
            <w:r>
              <w:rPr>
                <w:rFonts w:cs="Calibri"/>
                <w:lang w:eastAsia="en-AU"/>
              </w:rPr>
              <w:t>20</w:t>
            </w:r>
          </w:p>
        </w:tc>
        <w:tc>
          <w:tcPr>
            <w:tcW w:w="907" w:type="dxa"/>
            <w:tcBorders>
              <w:top w:val="single" w:sz="6" w:space="0" w:color="auto"/>
              <w:left w:val="nil"/>
              <w:right w:val="nil"/>
            </w:tcBorders>
            <w:shd w:val="clear" w:color="auto" w:fill="auto"/>
            <w:noWrap/>
          </w:tcPr>
          <w:p w:rsidR="00B958B1" w:rsidDel="002D4C3C" w:rsidRDefault="00B958B1" w:rsidP="009F3B54">
            <w:pPr>
              <w:pStyle w:val="OGTableofFigures"/>
              <w:rPr>
                <w:rFonts w:cs="Calibri"/>
                <w:lang w:eastAsia="en-AU"/>
              </w:rPr>
            </w:pPr>
            <w:r>
              <w:rPr>
                <w:rFonts w:cs="Calibri"/>
                <w:lang w:eastAsia="en-AU"/>
              </w:rPr>
              <w:t xml:space="preserve">17 </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6B2E5A" w:rsidDel="002D4C3C" w:rsidRDefault="00B958B1" w:rsidP="009F3B54">
            <w:pPr>
              <w:pStyle w:val="OGNotes"/>
            </w:pPr>
            <w:r w:rsidRPr="00596F73">
              <w:t>This performance measure renames the 2012</w:t>
            </w:r>
            <w:r w:rsidR="009F0F49">
              <w:noBreakHyphen/>
            </w:r>
            <w:r w:rsidRPr="00596F73">
              <w:t xml:space="preserve">13 measure "Official visitors to Victoria". The </w:t>
            </w:r>
            <w:r>
              <w:t xml:space="preserve">new </w:t>
            </w:r>
            <w:r w:rsidRPr="00596F73">
              <w:t xml:space="preserve">measure </w:t>
            </w:r>
            <w:r>
              <w:t xml:space="preserve">reports on </w:t>
            </w:r>
            <w:r w:rsidRPr="00596F73">
              <w:t xml:space="preserve">the same activity as the </w:t>
            </w:r>
            <w:r>
              <w:t>previous</w:t>
            </w:r>
            <w:r w:rsidRPr="00596F73">
              <w:t xml:space="preserve"> measure, however has been amended to reflect the Department's increased international focus. Official international visits include guest of Government visits, first official visits and official calls.</w:t>
            </w:r>
          </w:p>
        </w:tc>
      </w:tr>
      <w:tr w:rsidR="00B958B1" w:rsidRPr="00503D60" w:rsidTr="009F3B54">
        <w:trPr>
          <w:cantSplit/>
        </w:trPr>
        <w:tc>
          <w:tcPr>
            <w:tcW w:w="3155" w:type="dxa"/>
            <w:tcBorders>
              <w:top w:val="single" w:sz="6" w:space="0" w:color="auto"/>
              <w:left w:val="nil"/>
              <w:bottom w:val="nil"/>
              <w:right w:val="nil"/>
            </w:tcBorders>
            <w:shd w:val="clear" w:color="auto" w:fill="auto"/>
          </w:tcPr>
          <w:p w:rsidR="00B958B1" w:rsidRDefault="00B958B1" w:rsidP="009F3B54">
            <w:pPr>
              <w:pStyle w:val="OGTabText"/>
              <w:rPr>
                <w:color w:val="000000"/>
                <w:lang w:eastAsia="en-AU"/>
              </w:rPr>
            </w:pPr>
            <w:r>
              <w:rPr>
                <w:color w:val="000000"/>
                <w:lang w:eastAsia="en-AU"/>
              </w:rPr>
              <w:t>Whole of Government emergency management forums and meetings and continuity exercises facilitated</w:t>
            </w:r>
          </w:p>
        </w:tc>
        <w:tc>
          <w:tcPr>
            <w:tcW w:w="907" w:type="dxa"/>
            <w:tcBorders>
              <w:top w:val="single" w:sz="6" w:space="0" w:color="auto"/>
              <w:left w:val="nil"/>
              <w:bottom w:val="nil"/>
              <w:right w:val="nil"/>
            </w:tcBorders>
            <w:shd w:val="clear" w:color="auto" w:fill="auto"/>
            <w:noWrap/>
          </w:tcPr>
          <w:p w:rsidR="00B958B1" w:rsidRDefault="00B958B1" w:rsidP="009F3B54">
            <w:pPr>
              <w:pStyle w:val="OGTabText"/>
              <w:rPr>
                <w:rFonts w:cs="Calibri"/>
                <w:lang w:eastAsia="en-AU"/>
              </w:rPr>
            </w:pPr>
            <w:r>
              <w:rPr>
                <w:rFonts w:cs="Calibri"/>
                <w:lang w:eastAsia="en-AU"/>
              </w:rPr>
              <w:t>number</w:t>
            </w:r>
          </w:p>
        </w:tc>
        <w:tc>
          <w:tcPr>
            <w:tcW w:w="907" w:type="dxa"/>
            <w:tcBorders>
              <w:top w:val="single" w:sz="6" w:space="0" w:color="auto"/>
              <w:left w:val="nil"/>
              <w:bottom w:val="nil"/>
              <w:right w:val="nil"/>
            </w:tcBorders>
            <w:shd w:val="clear" w:color="auto" w:fill="D9D9D9"/>
            <w:noWrap/>
          </w:tcPr>
          <w:p w:rsidR="00B958B1" w:rsidRDefault="00B958B1" w:rsidP="009F3B54">
            <w:pPr>
              <w:pStyle w:val="OGTabText"/>
              <w:jc w:val="right"/>
              <w:rPr>
                <w:rFonts w:cs="Calibri"/>
                <w:lang w:eastAsia="en-AU"/>
              </w:rPr>
            </w:pPr>
            <w:r>
              <w:rPr>
                <w:rFonts w:cs="Calibri"/>
                <w:lang w:eastAsia="en-AU"/>
              </w:rPr>
              <w:t>14</w:t>
            </w:r>
          </w:p>
        </w:tc>
        <w:tc>
          <w:tcPr>
            <w:tcW w:w="993" w:type="dxa"/>
            <w:tcBorders>
              <w:top w:val="single" w:sz="6" w:space="0" w:color="auto"/>
              <w:left w:val="nil"/>
              <w:bottom w:val="nil"/>
              <w:right w:val="nil"/>
            </w:tcBorders>
            <w:shd w:val="clear" w:color="auto" w:fill="auto"/>
            <w:noWrap/>
          </w:tcPr>
          <w:p w:rsidR="00B958B1" w:rsidRDefault="00B958B1" w:rsidP="009F3B54">
            <w:pPr>
              <w:pStyle w:val="OGTabText"/>
              <w:rPr>
                <w:rFonts w:cs="Calibri"/>
                <w:lang w:eastAsia="en-AU"/>
              </w:rPr>
            </w:pPr>
            <w:r>
              <w:rPr>
                <w:rFonts w:cs="Calibri"/>
                <w:lang w:eastAsia="en-AU"/>
              </w:rPr>
              <w:t>nm</w:t>
            </w:r>
          </w:p>
        </w:tc>
        <w:tc>
          <w:tcPr>
            <w:tcW w:w="907" w:type="dxa"/>
            <w:tcBorders>
              <w:top w:val="single" w:sz="6" w:space="0" w:color="auto"/>
              <w:left w:val="nil"/>
              <w:bottom w:val="nil"/>
              <w:right w:val="nil"/>
            </w:tcBorders>
            <w:shd w:val="clear" w:color="auto" w:fill="auto"/>
            <w:noWrap/>
          </w:tcPr>
          <w:p w:rsidR="00B958B1" w:rsidRDefault="00B958B1" w:rsidP="009F3B54">
            <w:pPr>
              <w:pStyle w:val="OGTabText"/>
              <w:rPr>
                <w:rFonts w:cs="Calibri"/>
                <w:lang w:eastAsia="en-AU"/>
              </w:rPr>
            </w:pPr>
            <w:r>
              <w:rPr>
                <w:rFonts w:cs="Calibri"/>
                <w:lang w:eastAsia="en-AU"/>
              </w:rPr>
              <w:t>nm</w:t>
            </w:r>
          </w:p>
        </w:tc>
        <w:tc>
          <w:tcPr>
            <w:tcW w:w="907" w:type="dxa"/>
            <w:tcBorders>
              <w:top w:val="single" w:sz="6" w:space="0" w:color="auto"/>
              <w:left w:val="nil"/>
              <w:bottom w:val="nil"/>
              <w:right w:val="nil"/>
            </w:tcBorders>
            <w:shd w:val="clear" w:color="auto" w:fill="auto"/>
            <w:noWrap/>
          </w:tcPr>
          <w:p w:rsidR="00B958B1" w:rsidRDefault="00B958B1" w:rsidP="009F3B54">
            <w:pPr>
              <w:pStyle w:val="OGTabText"/>
              <w:rPr>
                <w:rFonts w:cs="Calibri"/>
                <w:lang w:eastAsia="en-AU"/>
              </w:rPr>
            </w:pPr>
            <w:r>
              <w:rPr>
                <w:rFonts w:cs="Calibri"/>
                <w:lang w:eastAsia="en-AU"/>
              </w:rPr>
              <w:t>nm</w:t>
            </w:r>
          </w:p>
        </w:tc>
      </w:tr>
      <w:tr w:rsidR="00B958B1" w:rsidRPr="00503D60" w:rsidTr="009F3B54">
        <w:trPr>
          <w:cantSplit/>
        </w:trPr>
        <w:tc>
          <w:tcPr>
            <w:tcW w:w="7776" w:type="dxa"/>
            <w:gridSpan w:val="6"/>
            <w:tcBorders>
              <w:left w:val="nil"/>
              <w:bottom w:val="single" w:sz="6" w:space="0" w:color="auto"/>
              <w:right w:val="nil"/>
            </w:tcBorders>
            <w:shd w:val="clear" w:color="auto" w:fill="auto"/>
          </w:tcPr>
          <w:p w:rsidR="00B958B1" w:rsidRDefault="00B958B1" w:rsidP="009F3B54">
            <w:pPr>
              <w:pStyle w:val="OGNotes"/>
              <w:rPr>
                <w:rFonts w:cs="Calibri"/>
              </w:rPr>
            </w:pPr>
            <w:r w:rsidRPr="00B366F5">
              <w:t>New performance measure for 2013</w:t>
            </w:r>
            <w:r w:rsidR="009F0F49">
              <w:noBreakHyphen/>
            </w:r>
            <w:r w:rsidRPr="00B366F5">
              <w:t>14 to reflect existing key activities undertaken by DPC that support leadership and the implementation of significant identified projects and issues. This measure has been developed as a result of a departmental review to better align DPC's outputs to its corporate objectives.</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lang w:eastAsia="en-AU"/>
              </w:rPr>
              <w:t>Quality</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right w:val="nil"/>
            </w:tcBorders>
            <w:shd w:val="clear" w:color="auto" w:fill="auto"/>
          </w:tcPr>
          <w:p w:rsidR="00B958B1" w:rsidRPr="00503D60" w:rsidRDefault="00B958B1" w:rsidP="009F3B54">
            <w:pPr>
              <w:pStyle w:val="OGTabText"/>
              <w:rPr>
                <w:color w:val="000000"/>
                <w:lang w:eastAsia="en-AU"/>
              </w:rPr>
            </w:pPr>
            <w:r w:rsidRPr="001E4E02">
              <w:rPr>
                <w:color w:val="000000"/>
                <w:lang w:eastAsia="en-AU"/>
              </w:rPr>
              <w:t>Emergency management</w:t>
            </w:r>
            <w:r>
              <w:rPr>
                <w:color w:val="000000"/>
                <w:lang w:eastAsia="en-AU"/>
              </w:rPr>
              <w:t xml:space="preserve"> </w:t>
            </w:r>
            <w:r w:rsidRPr="001E4E02">
              <w:rPr>
                <w:color w:val="000000"/>
                <w:lang w:eastAsia="en-AU"/>
              </w:rPr>
              <w:t>advice satisfaction rating</w:t>
            </w:r>
          </w:p>
        </w:tc>
        <w:tc>
          <w:tcPr>
            <w:tcW w:w="907" w:type="dxa"/>
            <w:tcBorders>
              <w:top w:val="nil"/>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nil"/>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90</w:t>
            </w:r>
          </w:p>
        </w:tc>
        <w:tc>
          <w:tcPr>
            <w:tcW w:w="993"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nm</w:t>
            </w:r>
          </w:p>
        </w:tc>
        <w:tc>
          <w:tcPr>
            <w:tcW w:w="907"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nm</w:t>
            </w:r>
          </w:p>
        </w:tc>
        <w:tc>
          <w:tcPr>
            <w:tcW w:w="907"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nm</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B366F5" w:rsidRDefault="00B958B1" w:rsidP="009F3B54">
            <w:pPr>
              <w:pStyle w:val="OGNotes"/>
            </w:pPr>
            <w:r w:rsidRPr="00B366F5">
              <w:t>New performance measure for 2013</w:t>
            </w:r>
            <w:r w:rsidR="009F0F49">
              <w:noBreakHyphen/>
            </w:r>
            <w:r w:rsidRPr="00B366F5">
              <w:t>14 to reflect existing key activities undertaken by DPC that support leadership and the implementation of significant identified projects and issues. This measure has been developed as a result of a departmental review to better align DPC's outputs to its corporate objectives.</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6B2E5A" w:rsidRDefault="00B958B1" w:rsidP="009F3B54">
            <w:pPr>
              <w:pStyle w:val="OGTabText"/>
              <w:rPr>
                <w:color w:val="000000"/>
                <w:lang w:eastAsia="en-AU"/>
              </w:rPr>
            </w:pPr>
            <w:r>
              <w:rPr>
                <w:color w:val="000000"/>
                <w:lang w:eastAsia="en-AU"/>
              </w:rPr>
              <w:t>Satisfaction with advice and support for i</w:t>
            </w:r>
            <w:r w:rsidRPr="00E84EB6">
              <w:rPr>
                <w:color w:val="000000"/>
                <w:lang w:eastAsia="en-AU"/>
              </w:rPr>
              <w:t xml:space="preserve">ntergovernmental </w:t>
            </w:r>
            <w:r>
              <w:rPr>
                <w:color w:val="000000"/>
                <w:lang w:eastAsia="en-AU"/>
              </w:rPr>
              <w:t>and international relations</w:t>
            </w:r>
          </w:p>
        </w:tc>
        <w:tc>
          <w:tcPr>
            <w:tcW w:w="907" w:type="dxa"/>
            <w:tcBorders>
              <w:top w:val="single" w:sz="6" w:space="0" w:color="auto"/>
              <w:left w:val="nil"/>
              <w:right w:val="nil"/>
            </w:tcBorders>
            <w:shd w:val="clear" w:color="auto" w:fill="auto"/>
            <w:noWrap/>
          </w:tcPr>
          <w:p w:rsidR="00B958B1" w:rsidRPr="006B2E5A"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right w:val="nil"/>
            </w:tcBorders>
            <w:shd w:val="clear" w:color="auto" w:fill="D9D9D9"/>
            <w:noWrap/>
          </w:tcPr>
          <w:p w:rsidR="00B958B1" w:rsidRPr="006B2E5A" w:rsidRDefault="00B958B1" w:rsidP="009F3B54">
            <w:pPr>
              <w:pStyle w:val="OGTableofFigures"/>
              <w:rPr>
                <w:rFonts w:cs="Calibri"/>
                <w:lang w:eastAsia="en-AU"/>
              </w:rPr>
            </w:pPr>
            <w:r w:rsidRPr="00CF6B6B">
              <w:rPr>
                <w:rFonts w:cs="Calibri"/>
                <w:lang w:eastAsia="en-AU"/>
              </w:rPr>
              <w:t>90</w:t>
            </w:r>
          </w:p>
        </w:tc>
        <w:tc>
          <w:tcPr>
            <w:tcW w:w="993" w:type="dxa"/>
            <w:tcBorders>
              <w:top w:val="single" w:sz="6" w:space="0" w:color="auto"/>
              <w:left w:val="nil"/>
              <w:right w:val="nil"/>
            </w:tcBorders>
            <w:shd w:val="clear" w:color="auto" w:fill="auto"/>
            <w:noWrap/>
          </w:tcPr>
          <w:p w:rsidR="00B958B1" w:rsidRPr="006B2E5A" w:rsidRDefault="00B958B1" w:rsidP="009F3B54">
            <w:pPr>
              <w:pStyle w:val="OGTableofFigures"/>
              <w:rPr>
                <w:rFonts w:cs="Calibri"/>
                <w:lang w:eastAsia="en-AU"/>
              </w:rPr>
            </w:pPr>
            <w:r w:rsidRPr="00CF6B6B">
              <w:rPr>
                <w:rFonts w:cs="Calibri"/>
                <w:lang w:eastAsia="en-AU"/>
              </w:rPr>
              <w:t>nm</w:t>
            </w:r>
          </w:p>
        </w:tc>
        <w:tc>
          <w:tcPr>
            <w:tcW w:w="907" w:type="dxa"/>
            <w:tcBorders>
              <w:top w:val="single" w:sz="6" w:space="0" w:color="auto"/>
              <w:left w:val="nil"/>
              <w:right w:val="nil"/>
            </w:tcBorders>
            <w:shd w:val="clear" w:color="auto" w:fill="auto"/>
            <w:noWrap/>
          </w:tcPr>
          <w:p w:rsidR="00B958B1" w:rsidRPr="006B2E5A" w:rsidRDefault="00B958B1" w:rsidP="009F3B54">
            <w:pPr>
              <w:pStyle w:val="OGTableofFigures"/>
              <w:rPr>
                <w:rFonts w:cs="Calibri"/>
                <w:lang w:eastAsia="en-AU"/>
              </w:rPr>
            </w:pPr>
            <w:r w:rsidRPr="00CF6B6B">
              <w:rPr>
                <w:rFonts w:cs="Calibri"/>
                <w:lang w:eastAsia="en-AU"/>
              </w:rPr>
              <w:t>nm</w:t>
            </w:r>
          </w:p>
        </w:tc>
        <w:tc>
          <w:tcPr>
            <w:tcW w:w="907" w:type="dxa"/>
            <w:tcBorders>
              <w:top w:val="single" w:sz="6" w:space="0" w:color="auto"/>
              <w:left w:val="nil"/>
              <w:right w:val="nil"/>
            </w:tcBorders>
            <w:shd w:val="clear" w:color="auto" w:fill="auto"/>
            <w:noWrap/>
          </w:tcPr>
          <w:p w:rsidR="00B958B1" w:rsidRPr="006B2E5A" w:rsidRDefault="00B958B1" w:rsidP="009F3B54">
            <w:pPr>
              <w:pStyle w:val="OGTableofFigures"/>
              <w:rPr>
                <w:rFonts w:cs="Calibri"/>
                <w:lang w:eastAsia="en-AU"/>
              </w:rPr>
            </w:pPr>
            <w:r w:rsidRPr="00CF6B6B">
              <w:rPr>
                <w:rFonts w:cs="Calibri"/>
                <w:lang w:eastAsia="en-AU"/>
              </w:rPr>
              <w:t>nm</w:t>
            </w:r>
          </w:p>
        </w:tc>
      </w:tr>
      <w:tr w:rsidR="00B958B1" w:rsidRPr="00503D60" w:rsidTr="009F3B54">
        <w:trPr>
          <w:cantSplit/>
        </w:trPr>
        <w:tc>
          <w:tcPr>
            <w:tcW w:w="7776" w:type="dxa"/>
            <w:gridSpan w:val="6"/>
            <w:tcBorders>
              <w:left w:val="nil"/>
              <w:bottom w:val="single" w:sz="6" w:space="0" w:color="auto"/>
              <w:right w:val="nil"/>
            </w:tcBorders>
            <w:shd w:val="clear" w:color="auto" w:fill="auto"/>
          </w:tcPr>
          <w:p w:rsidR="00B958B1" w:rsidRPr="00503D60" w:rsidRDefault="00B958B1" w:rsidP="009F3B54">
            <w:pPr>
              <w:pStyle w:val="OGNotes"/>
            </w:pPr>
            <w:r w:rsidRPr="00596F73">
              <w:t>New performance measure for 2013</w:t>
            </w:r>
            <w:r w:rsidR="009F0F49">
              <w:noBreakHyphen/>
            </w:r>
            <w:r w:rsidRPr="00596F73">
              <w:t>14 to reflect existing key activities undertaken by DPC t</w:t>
            </w:r>
            <w:r>
              <w:t>o support Victoria at a national and international</w:t>
            </w:r>
            <w:r w:rsidRPr="00596F73">
              <w:t xml:space="preserve"> level. This measure has been developed as a result of a departmental review to better align DPC's outputs to its corporate objectives.</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lang w:eastAsia="en-AU"/>
              </w:rPr>
              <w:t>Timeliness</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right w:val="nil"/>
            </w:tcBorders>
            <w:shd w:val="clear" w:color="auto" w:fill="auto"/>
          </w:tcPr>
          <w:p w:rsidR="00B958B1" w:rsidRPr="00CF6B6B" w:rsidDel="00347F30" w:rsidRDefault="00B958B1" w:rsidP="009F3B54">
            <w:pPr>
              <w:pStyle w:val="OGTabText"/>
              <w:rPr>
                <w:color w:val="000000"/>
                <w:lang w:eastAsia="en-AU"/>
              </w:rPr>
            </w:pPr>
            <w:r w:rsidRPr="00346EDA">
              <w:rPr>
                <w:color w:val="000000"/>
                <w:lang w:eastAsia="en-AU"/>
              </w:rPr>
              <w:t>Timely delivery of</w:t>
            </w:r>
            <w:r w:rsidRPr="00CF6B6B">
              <w:rPr>
                <w:color w:val="000000"/>
                <w:lang w:eastAsia="en-AU"/>
              </w:rPr>
              <w:t xml:space="preserve"> </w:t>
            </w:r>
            <w:r w:rsidRPr="00CF6B6B">
              <w:t>events, functions and</w:t>
            </w:r>
            <w:r w:rsidRPr="00CF6B6B">
              <w:rPr>
                <w:color w:val="000000"/>
                <w:lang w:eastAsia="en-AU"/>
              </w:rPr>
              <w:t xml:space="preserve"> international visit arrangements</w:t>
            </w:r>
          </w:p>
        </w:tc>
        <w:tc>
          <w:tcPr>
            <w:tcW w:w="907" w:type="dxa"/>
            <w:tcBorders>
              <w:top w:val="nil"/>
              <w:left w:val="nil"/>
              <w:right w:val="nil"/>
            </w:tcBorders>
            <w:shd w:val="clear" w:color="auto" w:fill="auto"/>
            <w:noWrap/>
          </w:tcPr>
          <w:p w:rsidR="00B958B1" w:rsidRPr="00CF6B6B" w:rsidDel="00347F30" w:rsidRDefault="00B958B1" w:rsidP="009F3B54">
            <w:pPr>
              <w:pStyle w:val="OGUoM"/>
              <w:rPr>
                <w:rFonts w:cs="Calibri"/>
                <w:lang w:eastAsia="en-AU"/>
              </w:rPr>
            </w:pPr>
            <w:r>
              <w:rPr>
                <w:rFonts w:cs="Calibri"/>
                <w:lang w:eastAsia="en-AU"/>
              </w:rPr>
              <w:t>per cent</w:t>
            </w:r>
          </w:p>
        </w:tc>
        <w:tc>
          <w:tcPr>
            <w:tcW w:w="907" w:type="dxa"/>
            <w:tcBorders>
              <w:top w:val="nil"/>
              <w:left w:val="nil"/>
              <w:right w:val="nil"/>
            </w:tcBorders>
            <w:shd w:val="clear" w:color="auto" w:fill="auto"/>
            <w:noWrap/>
          </w:tcPr>
          <w:p w:rsidR="00B958B1" w:rsidRPr="00CF6B6B" w:rsidDel="00347F30" w:rsidRDefault="00B958B1" w:rsidP="009F3B54">
            <w:pPr>
              <w:pStyle w:val="OGTableofFigures"/>
              <w:rPr>
                <w:rFonts w:cs="Calibri"/>
                <w:lang w:eastAsia="en-AU"/>
              </w:rPr>
            </w:pPr>
            <w:r w:rsidRPr="00CF6B6B">
              <w:rPr>
                <w:rFonts w:cs="Calibri"/>
                <w:lang w:eastAsia="en-AU"/>
              </w:rPr>
              <w:t>100</w:t>
            </w:r>
          </w:p>
        </w:tc>
        <w:tc>
          <w:tcPr>
            <w:tcW w:w="993" w:type="dxa"/>
            <w:tcBorders>
              <w:top w:val="nil"/>
              <w:left w:val="nil"/>
              <w:right w:val="nil"/>
            </w:tcBorders>
            <w:shd w:val="clear" w:color="auto" w:fill="auto"/>
            <w:noWrap/>
          </w:tcPr>
          <w:p w:rsidR="00B958B1" w:rsidRPr="00CF6B6B" w:rsidDel="00347F30" w:rsidRDefault="00B958B1" w:rsidP="009F3B54">
            <w:pPr>
              <w:pStyle w:val="OGTableofFigures"/>
              <w:rPr>
                <w:rFonts w:cs="Calibri"/>
                <w:lang w:eastAsia="en-AU"/>
              </w:rPr>
            </w:pPr>
            <w:r w:rsidRPr="00CF6B6B">
              <w:rPr>
                <w:rFonts w:cs="Calibri"/>
                <w:lang w:eastAsia="en-AU"/>
              </w:rPr>
              <w:t>100</w:t>
            </w:r>
          </w:p>
        </w:tc>
        <w:tc>
          <w:tcPr>
            <w:tcW w:w="907" w:type="dxa"/>
            <w:tcBorders>
              <w:top w:val="nil"/>
              <w:left w:val="nil"/>
              <w:right w:val="nil"/>
            </w:tcBorders>
            <w:shd w:val="clear" w:color="auto" w:fill="auto"/>
            <w:noWrap/>
          </w:tcPr>
          <w:p w:rsidR="00B958B1" w:rsidRPr="00CF6B6B" w:rsidDel="00347F30" w:rsidRDefault="00B958B1" w:rsidP="009F3B54">
            <w:pPr>
              <w:pStyle w:val="OGTableofFigures"/>
              <w:rPr>
                <w:rFonts w:cs="Calibri"/>
                <w:lang w:eastAsia="en-AU"/>
              </w:rPr>
            </w:pPr>
            <w:r w:rsidRPr="00CF6B6B">
              <w:rPr>
                <w:lang w:eastAsia="en-AU"/>
              </w:rPr>
              <w:t>100</w:t>
            </w:r>
          </w:p>
        </w:tc>
        <w:tc>
          <w:tcPr>
            <w:tcW w:w="907" w:type="dxa"/>
            <w:tcBorders>
              <w:top w:val="nil"/>
              <w:left w:val="nil"/>
              <w:right w:val="nil"/>
            </w:tcBorders>
            <w:shd w:val="clear" w:color="auto" w:fill="auto"/>
            <w:noWrap/>
          </w:tcPr>
          <w:p w:rsidR="00B958B1" w:rsidRPr="00CF6B6B" w:rsidDel="00347F30" w:rsidRDefault="00B958B1" w:rsidP="009F3B54">
            <w:pPr>
              <w:pStyle w:val="OGTableofFigures"/>
              <w:rPr>
                <w:rFonts w:cs="Calibri"/>
                <w:lang w:eastAsia="en-AU"/>
              </w:rPr>
            </w:pPr>
            <w:r w:rsidRPr="00CF6B6B">
              <w:rPr>
                <w:lang w:eastAsia="en-AU"/>
              </w:rPr>
              <w:t>100</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CF6B6B" w:rsidDel="00347F30" w:rsidRDefault="00B958B1" w:rsidP="009F3B54">
            <w:pPr>
              <w:pStyle w:val="OGNotes"/>
            </w:pPr>
            <w:r w:rsidRPr="00346EDA">
              <w:t xml:space="preserve">This performance measure </w:t>
            </w:r>
            <w:r>
              <w:t>renames</w:t>
            </w:r>
            <w:r w:rsidRPr="00346EDA">
              <w:t xml:space="preserve"> the 2012</w:t>
            </w:r>
            <w:r w:rsidR="009F0F49">
              <w:noBreakHyphen/>
            </w:r>
            <w:r w:rsidRPr="00346EDA">
              <w:t>13 measure “Timely delivery of eve</w:t>
            </w:r>
            <w:r w:rsidRPr="00CF6B6B">
              <w:t>nts, functions and visit arrangements”. The new measure reports on the same activities from the previous measure, however has been amended to reflect the Department's increased international focus. This performance measure is transferred directly from the 2012</w:t>
            </w:r>
            <w:r w:rsidR="009F0F49">
              <w:noBreakHyphen/>
            </w:r>
            <w:r w:rsidRPr="00CF6B6B">
              <w:t>13 Protocol and Special Events output as it better aligns with the activities in the Government</w:t>
            </w:r>
            <w:r w:rsidR="009F0F49">
              <w:noBreakHyphen/>
            </w:r>
            <w:r w:rsidRPr="00CF6B6B">
              <w:t>wide Leadership and Implementation output.</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lang w:eastAsia="en-AU"/>
              </w:rPr>
              <w:t>Cost</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right w:val="nil"/>
            </w:tcBorders>
            <w:shd w:val="clear" w:color="auto" w:fill="auto"/>
            <w:hideMark/>
          </w:tcPr>
          <w:p w:rsidR="00B958B1" w:rsidRPr="00503D60" w:rsidRDefault="00B958B1" w:rsidP="009F3B54">
            <w:pPr>
              <w:pStyle w:val="OGTabText"/>
              <w:rPr>
                <w:color w:val="000000"/>
                <w:lang w:eastAsia="en-AU"/>
              </w:rPr>
            </w:pPr>
            <w:r w:rsidRPr="00503D60">
              <w:rPr>
                <w:color w:val="000000"/>
                <w:lang w:eastAsia="en-AU"/>
              </w:rPr>
              <w:t>Total output cost</w:t>
            </w:r>
          </w:p>
        </w:tc>
        <w:tc>
          <w:tcPr>
            <w:tcW w:w="907" w:type="dxa"/>
            <w:tcBorders>
              <w:top w:val="nil"/>
              <w:left w:val="nil"/>
              <w:right w:val="nil"/>
            </w:tcBorders>
            <w:shd w:val="clear" w:color="auto" w:fill="auto"/>
            <w:noWrap/>
            <w:hideMark/>
          </w:tcPr>
          <w:p w:rsidR="00B958B1" w:rsidRPr="00503D60" w:rsidRDefault="00B958B1" w:rsidP="009F3B54">
            <w:pPr>
              <w:pStyle w:val="OGUoM"/>
              <w:rPr>
                <w:rFonts w:cs="Calibri"/>
                <w:lang w:eastAsia="en-AU"/>
              </w:rPr>
            </w:pPr>
            <w:r w:rsidRPr="00503D60">
              <w:rPr>
                <w:rFonts w:cs="Calibri"/>
                <w:lang w:eastAsia="en-AU"/>
              </w:rPr>
              <w:t>$</w:t>
            </w:r>
            <w:r>
              <w:rPr>
                <w:rFonts w:cs="Calibri"/>
                <w:lang w:eastAsia="en-AU"/>
              </w:rPr>
              <w:t> million</w:t>
            </w:r>
          </w:p>
        </w:tc>
        <w:tc>
          <w:tcPr>
            <w:tcW w:w="907" w:type="dxa"/>
            <w:tcBorders>
              <w:top w:val="nil"/>
              <w:left w:val="nil"/>
              <w:right w:val="nil"/>
            </w:tcBorders>
            <w:shd w:val="clear" w:color="auto" w:fill="D9D9D9"/>
            <w:noWrap/>
          </w:tcPr>
          <w:p w:rsidR="00B958B1" w:rsidRPr="00CA5EC9" w:rsidRDefault="00B958B1" w:rsidP="009F3B54">
            <w:pPr>
              <w:pStyle w:val="OGTableofFigures"/>
              <w:rPr>
                <w:lang w:eastAsia="en-AU"/>
              </w:rPr>
            </w:pPr>
            <w:r>
              <w:rPr>
                <w:lang w:eastAsia="en-AU"/>
              </w:rPr>
              <w:t>26.5</w:t>
            </w:r>
          </w:p>
        </w:tc>
        <w:tc>
          <w:tcPr>
            <w:tcW w:w="993" w:type="dxa"/>
            <w:tcBorders>
              <w:top w:val="nil"/>
              <w:left w:val="nil"/>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nm</w:t>
            </w:r>
          </w:p>
        </w:tc>
        <w:tc>
          <w:tcPr>
            <w:tcW w:w="907" w:type="dxa"/>
            <w:tcBorders>
              <w:top w:val="nil"/>
              <w:left w:val="nil"/>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nm</w:t>
            </w:r>
          </w:p>
        </w:tc>
        <w:tc>
          <w:tcPr>
            <w:tcW w:w="907" w:type="dxa"/>
            <w:tcBorders>
              <w:top w:val="nil"/>
              <w:left w:val="nil"/>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nm</w:t>
            </w:r>
          </w:p>
        </w:tc>
      </w:tr>
      <w:tr w:rsidR="00B958B1" w:rsidRPr="00503D60" w:rsidTr="009F3B54">
        <w:trPr>
          <w:cantSplit/>
        </w:trPr>
        <w:tc>
          <w:tcPr>
            <w:tcW w:w="7776" w:type="dxa"/>
            <w:gridSpan w:val="6"/>
            <w:tcBorders>
              <w:top w:val="nil"/>
              <w:left w:val="nil"/>
              <w:bottom w:val="single" w:sz="12" w:space="0" w:color="auto"/>
              <w:right w:val="nil"/>
            </w:tcBorders>
            <w:shd w:val="clear" w:color="auto" w:fill="auto"/>
          </w:tcPr>
          <w:p w:rsidR="00B958B1" w:rsidRPr="00503D60" w:rsidRDefault="00B958B1" w:rsidP="009F3B54">
            <w:pPr>
              <w:pStyle w:val="OGNotes"/>
            </w:pPr>
            <w:r>
              <w:t xml:space="preserve">Revised output cost </w:t>
            </w:r>
            <w:r w:rsidRPr="005B754B">
              <w:t>for 2013</w:t>
            </w:r>
            <w:r w:rsidR="009F0F49">
              <w:noBreakHyphen/>
            </w:r>
            <w:r w:rsidRPr="005B754B">
              <w:t xml:space="preserve">14 to reflect changes to </w:t>
            </w:r>
            <w:r>
              <w:t>the DPC</w:t>
            </w:r>
            <w:r w:rsidRPr="005B754B">
              <w:t xml:space="preserve"> output structure as a result of a departmental review to improve alignment of DPC’s outputs to its corporate objectives and to better reflect existing key activities undertaken by the Department.</w:t>
            </w:r>
          </w:p>
        </w:tc>
      </w:tr>
    </w:tbl>
    <w:p w:rsidR="00B958B1" w:rsidRPr="00B56107" w:rsidRDefault="00B958B1" w:rsidP="009F3B54">
      <w:pPr>
        <w:pStyle w:val="Source"/>
      </w:pPr>
      <w:r w:rsidRPr="00B56107">
        <w:rPr>
          <w:lang w:eastAsia="en-AU"/>
        </w:rPr>
        <w:t>Sources: Departments of Premier and Cabinet and Treasury and Finance</w:t>
      </w:r>
    </w:p>
    <w:bookmarkEnd w:id="132"/>
    <w:p w:rsidR="00B958B1" w:rsidRDefault="00B958B1" w:rsidP="009F3B54">
      <w:pPr>
        <w:pStyle w:val="Source"/>
      </w:pPr>
      <w:r>
        <w:fldChar w:fldCharType="begin"/>
      </w:r>
      <w:r>
        <w:instrText xml:space="preserve"> XE "</w:instrText>
      </w:r>
      <w:r w:rsidRPr="00D507C9">
        <w:instrText>Department of Premier and Cabinet:Strategic Advice and Support</w:instrText>
      </w:r>
      <w:r>
        <w:instrText xml:space="preserve">" \r "BP3DPCStratAdviceandSupp" </w:instrText>
      </w:r>
      <w:r>
        <w:fldChar w:fldCharType="end"/>
      </w:r>
    </w:p>
    <w:p w:rsidR="00B958B1" w:rsidRDefault="00B958B1" w:rsidP="009F3B54">
      <w:pPr>
        <w:spacing w:after="0"/>
      </w:pPr>
      <w:r>
        <w:br w:type="page"/>
      </w:r>
    </w:p>
    <w:p w:rsidR="00B958B1" w:rsidRDefault="00B958B1" w:rsidP="009F3B54">
      <w:pPr>
        <w:pStyle w:val="OGHeading1"/>
        <w:rPr>
          <w:lang w:eastAsia="en-AU"/>
        </w:rPr>
      </w:pPr>
      <w:bookmarkStart w:id="133" w:name="BP3DPCArtsandCultDvlpmnt"/>
      <w:r w:rsidRPr="00B51122">
        <w:rPr>
          <w:lang w:eastAsia="en-AU"/>
        </w:rPr>
        <w:t>Arts and Cultural Development</w:t>
      </w:r>
    </w:p>
    <w:p w:rsidR="00B958B1" w:rsidRDefault="00B958B1" w:rsidP="009F3B54">
      <w:pPr>
        <w:pStyle w:val="OGText"/>
        <w:rPr>
          <w:lang w:eastAsia="en-AU"/>
        </w:rPr>
      </w:pPr>
      <w:r>
        <w:rPr>
          <w:lang w:eastAsia="en-AU"/>
        </w:rPr>
        <w:t>These outputs contribute to the development of the Victorian arts and cultural sector through the provision of industry assistance programs, infrastructure development and policy advice.</w:t>
      </w:r>
    </w:p>
    <w:p w:rsidR="00B958B1" w:rsidRDefault="00B958B1" w:rsidP="009F3B54">
      <w:pPr>
        <w:pStyle w:val="OGText"/>
        <w:rPr>
          <w:lang w:eastAsia="en-AU"/>
        </w:rPr>
      </w:pPr>
      <w:r>
        <w:rPr>
          <w:lang w:eastAsia="en-AU"/>
        </w:rPr>
        <w:t>These outputs contribute to the departmental objective of developing and promoting a thriving Victorian arts and cultural sector.</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1414E8" w:rsidTr="009F3B54">
        <w:trPr>
          <w:cantSplit/>
          <w:tblHeader/>
        </w:trPr>
        <w:tc>
          <w:tcPr>
            <w:tcW w:w="3155" w:type="dxa"/>
            <w:tcBorders>
              <w:top w:val="single" w:sz="4" w:space="0" w:color="auto"/>
              <w:left w:val="single" w:sz="4" w:space="0" w:color="auto"/>
              <w:bottom w:val="single" w:sz="4" w:space="0" w:color="auto"/>
              <w:right w:val="nil"/>
            </w:tcBorders>
            <w:shd w:val="clear" w:color="auto" w:fill="000000"/>
            <w:vAlign w:val="bottom"/>
          </w:tcPr>
          <w:p w:rsidR="00B958B1" w:rsidRPr="001414E8" w:rsidRDefault="00B958B1" w:rsidP="009F3B54">
            <w:pPr>
              <w:pStyle w:val="OGTabColLeft"/>
              <w:rPr>
                <w:b w:val="0"/>
                <w:i/>
              </w:rPr>
            </w:pPr>
            <w:r w:rsidRPr="001414E8">
              <w:t>Major Outputs/Deliverables</w:t>
            </w:r>
            <w:r>
              <w:br/>
            </w:r>
            <w:r w:rsidRPr="001414E8">
              <w:rPr>
                <w:b w:val="0"/>
                <w:i/>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1414E8" w:rsidRDefault="00B958B1" w:rsidP="009F3B54">
            <w:pPr>
              <w:pStyle w:val="OGTabColCentred"/>
            </w:pPr>
            <w:r w:rsidRPr="001414E8">
              <w:t xml:space="preserve">Unit of </w:t>
            </w:r>
            <w:r w:rsidRPr="001414E8">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1414E8" w:rsidRDefault="00B958B1" w:rsidP="009F3B54">
            <w:pPr>
              <w:pStyle w:val="OGTabColRight"/>
            </w:pPr>
            <w:r>
              <w:t>2013</w:t>
            </w:r>
            <w:r w:rsidR="009F0F49">
              <w:noBreakHyphen/>
            </w:r>
            <w:r>
              <w:t>14 Target</w:t>
            </w:r>
          </w:p>
        </w:tc>
        <w:tc>
          <w:tcPr>
            <w:tcW w:w="993" w:type="dxa"/>
            <w:tcBorders>
              <w:top w:val="single" w:sz="4" w:space="0" w:color="auto"/>
              <w:left w:val="nil"/>
              <w:bottom w:val="single" w:sz="4" w:space="0" w:color="auto"/>
              <w:right w:val="nil"/>
            </w:tcBorders>
            <w:shd w:val="clear" w:color="auto" w:fill="000000"/>
            <w:noWrap/>
            <w:vAlign w:val="bottom"/>
            <w:hideMark/>
          </w:tcPr>
          <w:p w:rsidR="00B958B1" w:rsidRPr="001414E8" w:rsidRDefault="00B958B1" w:rsidP="009F3B54">
            <w:pPr>
              <w:pStyle w:val="OGTabColRight"/>
            </w:pPr>
            <w:r>
              <w:t>2012</w:t>
            </w:r>
            <w:r w:rsidR="009F0F49">
              <w:noBreakHyphen/>
            </w:r>
            <w:r>
              <w:t>13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1414E8" w:rsidRDefault="00B958B1" w:rsidP="009F3B54">
            <w:pPr>
              <w:pStyle w:val="OGTabColRight"/>
            </w:pPr>
            <w:r>
              <w:t>2012</w:t>
            </w:r>
            <w:r w:rsidR="009F0F49">
              <w:noBreakHyphen/>
            </w:r>
            <w:r>
              <w:t>13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1414E8" w:rsidRDefault="00B958B1" w:rsidP="009F3B54">
            <w:pPr>
              <w:pStyle w:val="OGTabColRight"/>
            </w:pPr>
            <w:r>
              <w:t>2011</w:t>
            </w:r>
            <w:r w:rsidR="009F0F49">
              <w:noBreakHyphen/>
            </w:r>
            <w:r>
              <w:t>12 Actual</w:t>
            </w:r>
          </w:p>
        </w:tc>
      </w:tr>
      <w:tr w:rsidR="00B958B1" w:rsidRPr="00503D60" w:rsidTr="009F3B54">
        <w:trPr>
          <w:cantSplit/>
        </w:trPr>
        <w:tc>
          <w:tcPr>
            <w:tcW w:w="7776" w:type="dxa"/>
            <w:gridSpan w:val="6"/>
            <w:tcBorders>
              <w:top w:val="nil"/>
              <w:left w:val="nil"/>
              <w:bottom w:val="nil"/>
              <w:right w:val="nil"/>
            </w:tcBorders>
            <w:shd w:val="clear" w:color="auto" w:fill="auto"/>
            <w:hideMark/>
          </w:tcPr>
          <w:p w:rsidR="00B958B1" w:rsidRPr="00503D60" w:rsidRDefault="00B958B1" w:rsidP="009F3B54">
            <w:pPr>
              <w:pStyle w:val="OGHeading2"/>
              <w:rPr>
                <w:lang w:eastAsia="en-AU"/>
              </w:rPr>
            </w:pPr>
            <w:r>
              <w:rPr>
                <w:lang w:eastAsia="en-AU"/>
              </w:rPr>
              <w:t>Access, Industry Development and Innovation</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hideMark/>
          </w:tcPr>
          <w:p w:rsidR="00B958B1" w:rsidRPr="00503D60" w:rsidRDefault="00B958B1" w:rsidP="009F3B54">
            <w:pPr>
              <w:pStyle w:val="OGText"/>
              <w:rPr>
                <w:lang w:eastAsia="en-AU"/>
              </w:rPr>
            </w:pPr>
            <w:r w:rsidRPr="00D05703">
              <w:rPr>
                <w:rFonts w:cs="Calibri"/>
              </w:rPr>
              <w:t xml:space="preserve">Support artists and arts organisations to </w:t>
            </w:r>
            <w:r>
              <w:rPr>
                <w:rFonts w:cs="Calibri"/>
              </w:rPr>
              <w:t xml:space="preserve">maximise public benefit through expanded </w:t>
            </w:r>
            <w:r w:rsidRPr="00D05703">
              <w:rPr>
                <w:rFonts w:cs="Calibri"/>
              </w:rPr>
              <w:t>access to a diverse range of arts products, as well as supporting industry research, marketing and development. These services enhance Victoria’s arts and cultural sector.</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lang w:eastAsia="en-AU"/>
              </w:rPr>
              <w:t>Quantity</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Pr>
                <w:color w:val="000000"/>
                <w:lang w:eastAsia="en-AU"/>
              </w:rPr>
              <w:t xml:space="preserve">Access to diverse range of </w:t>
            </w:r>
            <w:r w:rsidRPr="00C66E1F">
              <w:rPr>
                <w:color w:val="000000"/>
                <w:lang w:eastAsia="en-AU"/>
              </w:rPr>
              <w:t>supported projects: artist residencies in schools</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nil"/>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23</w:t>
            </w:r>
          </w:p>
        </w:tc>
        <w:tc>
          <w:tcPr>
            <w:tcW w:w="993"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24</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23</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25</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C66E1F">
              <w:rPr>
                <w:color w:val="000000"/>
                <w:lang w:eastAsia="en-AU"/>
              </w:rPr>
              <w:t>Access to diverse range of supported projects: regional Touring Victoria destinations</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40</w:t>
            </w:r>
          </w:p>
        </w:tc>
        <w:tc>
          <w:tcPr>
            <w:tcW w:w="993"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40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40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41</w:t>
            </w:r>
          </w:p>
        </w:tc>
      </w:tr>
      <w:tr w:rsidR="00B958B1" w:rsidRPr="00503D60" w:rsidTr="009F3B54">
        <w:trPr>
          <w:cantSplit/>
        </w:trPr>
        <w:tc>
          <w:tcPr>
            <w:tcW w:w="3155" w:type="dxa"/>
            <w:tcBorders>
              <w:top w:val="single" w:sz="6" w:space="0" w:color="auto"/>
              <w:left w:val="nil"/>
              <w:bottom w:val="nil"/>
              <w:right w:val="nil"/>
            </w:tcBorders>
            <w:shd w:val="clear" w:color="auto" w:fill="auto"/>
          </w:tcPr>
          <w:p w:rsidR="00B958B1" w:rsidRPr="00503D60" w:rsidRDefault="00B958B1" w:rsidP="009F3B54">
            <w:pPr>
              <w:pStyle w:val="OGTabText"/>
              <w:rPr>
                <w:color w:val="000000"/>
                <w:lang w:eastAsia="en-AU"/>
              </w:rPr>
            </w:pPr>
            <w:r w:rsidRPr="00C66E1F">
              <w:rPr>
                <w:color w:val="000000"/>
                <w:lang w:eastAsia="en-AU"/>
              </w:rPr>
              <w:t>Attendances at major festivals</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 (‘000)</w:t>
            </w:r>
          </w:p>
        </w:tc>
        <w:tc>
          <w:tcPr>
            <w:tcW w:w="907" w:type="dxa"/>
            <w:tcBorders>
              <w:top w:val="single" w:sz="6" w:space="0" w:color="auto"/>
              <w:left w:val="nil"/>
              <w:bottom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2 000–2 400</w:t>
            </w:r>
          </w:p>
        </w:tc>
        <w:tc>
          <w:tcPr>
            <w:tcW w:w="993" w:type="dxa"/>
            <w:tcBorders>
              <w:top w:val="single" w:sz="6" w:space="0" w:color="auto"/>
              <w:left w:val="nil"/>
              <w:bottom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2 000</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2 200</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2 400</w:t>
            </w:r>
          </w:p>
        </w:tc>
      </w:tr>
      <w:tr w:rsidR="00B958B1" w:rsidRPr="00503D60" w:rsidTr="009F3B54">
        <w:trPr>
          <w:cantSplit/>
        </w:trPr>
        <w:tc>
          <w:tcPr>
            <w:tcW w:w="7776" w:type="dxa"/>
            <w:gridSpan w:val="6"/>
            <w:tcBorders>
              <w:left w:val="nil"/>
              <w:bottom w:val="single" w:sz="6" w:space="0" w:color="auto"/>
              <w:right w:val="nil"/>
            </w:tcBorders>
            <w:shd w:val="clear" w:color="auto" w:fill="auto"/>
          </w:tcPr>
          <w:p w:rsidR="00B958B1" w:rsidRPr="0085432A" w:rsidRDefault="00B958B1" w:rsidP="009F3B54">
            <w:pPr>
              <w:pStyle w:val="OGNotes"/>
            </w:pPr>
            <w:r>
              <w:t>The 2012</w:t>
            </w:r>
            <w:r w:rsidR="009F0F49">
              <w:noBreakHyphen/>
            </w:r>
            <w:r>
              <w:t>13 Expected Outcome is lower than the 2012</w:t>
            </w:r>
            <w:r w:rsidR="009F0F49">
              <w:noBreakHyphen/>
            </w:r>
            <w:r>
              <w:t>13 Target as the 2012</w:t>
            </w:r>
            <w:r w:rsidR="009F0F49">
              <w:noBreakHyphen/>
            </w:r>
            <w:r>
              <w:t>13 Target includes attendances at the biennial festival ‘Next Wave’. The revised 2013</w:t>
            </w:r>
            <w:r w:rsidR="009F0F49">
              <w:noBreakHyphen/>
            </w:r>
            <w:r>
              <w:t xml:space="preserve">14 Target reflects the impact of the biennial festivals . </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C66E1F">
              <w:rPr>
                <w:color w:val="000000"/>
                <w:lang w:eastAsia="en-AU"/>
              </w:rPr>
              <w:t>Attendances at major performing arts organisations</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 (‘000)</w:t>
            </w:r>
          </w:p>
        </w:tc>
        <w:tc>
          <w:tcPr>
            <w:tcW w:w="907" w:type="dxa"/>
            <w:tcBorders>
              <w:top w:val="single" w:sz="6" w:space="0" w:color="auto"/>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960</w:t>
            </w:r>
          </w:p>
        </w:tc>
        <w:tc>
          <w:tcPr>
            <w:tcW w:w="993"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1 000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960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983</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Text"/>
              <w:rPr>
                <w:color w:val="000000"/>
                <w:lang w:eastAsia="en-AU"/>
              </w:rPr>
            </w:pPr>
            <w:r w:rsidRPr="00C66E1F">
              <w:rPr>
                <w:color w:val="000000"/>
                <w:lang w:eastAsia="en-AU"/>
              </w:rPr>
              <w:t>Diverse range of product, producers and cultural venues supported: organisations recurrently funded</w:t>
            </w:r>
          </w:p>
        </w:tc>
        <w:tc>
          <w:tcPr>
            <w:tcW w:w="907" w:type="dxa"/>
            <w:tcBorders>
              <w:top w:val="single" w:sz="6" w:space="0" w:color="auto"/>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116</w:t>
            </w:r>
          </w:p>
        </w:tc>
        <w:tc>
          <w:tcPr>
            <w:tcW w:w="993"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107</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107</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108</w:t>
            </w:r>
          </w:p>
        </w:tc>
      </w:tr>
      <w:tr w:rsidR="00B958B1" w:rsidRPr="00503D60" w:rsidTr="009F3B54">
        <w:trPr>
          <w:cantSplit/>
        </w:trPr>
        <w:tc>
          <w:tcPr>
            <w:tcW w:w="7776" w:type="dxa"/>
            <w:gridSpan w:val="6"/>
            <w:tcBorders>
              <w:left w:val="nil"/>
              <w:bottom w:val="single" w:sz="6" w:space="0" w:color="auto"/>
              <w:right w:val="nil"/>
            </w:tcBorders>
            <w:shd w:val="clear" w:color="auto" w:fill="auto"/>
          </w:tcPr>
          <w:p w:rsidR="00B958B1" w:rsidRPr="00CB7CB9" w:rsidRDefault="00B958B1" w:rsidP="009F3B54">
            <w:pPr>
              <w:pStyle w:val="OGNotes"/>
            </w:pPr>
            <w:r>
              <w:t>The higher 2013</w:t>
            </w:r>
            <w:r w:rsidR="009F0F49">
              <w:noBreakHyphen/>
            </w:r>
            <w:r>
              <w:t>14 Target reflects funding provided to strengthen the independent arts sector.</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Text"/>
              <w:rPr>
                <w:color w:val="000000"/>
                <w:lang w:eastAsia="en-AU"/>
              </w:rPr>
            </w:pPr>
            <w:r w:rsidRPr="00C66E1F">
              <w:rPr>
                <w:color w:val="000000"/>
                <w:lang w:eastAsia="en-AU"/>
              </w:rPr>
              <w:t>Diverse range of product, producers and cultural venues supported: regionally based organisations recurrently funded</w:t>
            </w:r>
          </w:p>
        </w:tc>
        <w:tc>
          <w:tcPr>
            <w:tcW w:w="907" w:type="dxa"/>
            <w:tcBorders>
              <w:top w:val="single" w:sz="6" w:space="0" w:color="auto"/>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47</w:t>
            </w:r>
          </w:p>
        </w:tc>
        <w:tc>
          <w:tcPr>
            <w:tcW w:w="993"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45</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45</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45</w:t>
            </w:r>
          </w:p>
        </w:tc>
      </w:tr>
      <w:tr w:rsidR="00B958B1" w:rsidRPr="00503D60" w:rsidTr="009F3B54">
        <w:trPr>
          <w:cantSplit/>
        </w:trPr>
        <w:tc>
          <w:tcPr>
            <w:tcW w:w="7776" w:type="dxa"/>
            <w:gridSpan w:val="6"/>
            <w:tcBorders>
              <w:left w:val="nil"/>
              <w:right w:val="nil"/>
            </w:tcBorders>
            <w:shd w:val="clear" w:color="auto" w:fill="auto"/>
          </w:tcPr>
          <w:p w:rsidR="00B958B1" w:rsidRPr="00607798" w:rsidRDefault="00B958B1" w:rsidP="009F3B54">
            <w:pPr>
              <w:pStyle w:val="OGNotes"/>
            </w:pPr>
            <w:r>
              <w:t>The higher 2013</w:t>
            </w:r>
            <w:r w:rsidR="009F0F49">
              <w:noBreakHyphen/>
            </w:r>
            <w:r>
              <w:t>14 Target reflects funding provided to strengthen the independent arts sector.</w:t>
            </w:r>
          </w:p>
        </w:tc>
      </w:tr>
      <w:tr w:rsidR="00B958B1" w:rsidRPr="00503D60" w:rsidTr="009F3B54">
        <w:trPr>
          <w:cantSplit/>
        </w:trPr>
        <w:tc>
          <w:tcPr>
            <w:tcW w:w="3155" w:type="dxa"/>
            <w:tcBorders>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994E2D">
              <w:rPr>
                <w:color w:val="000000"/>
                <w:lang w:eastAsia="en-AU"/>
              </w:rPr>
              <w:t>Diverse range of product, producers and cultural venues supported: project companies and artists funded</w:t>
            </w:r>
          </w:p>
        </w:tc>
        <w:tc>
          <w:tcPr>
            <w:tcW w:w="907" w:type="dxa"/>
            <w:tcBorders>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350</w:t>
            </w:r>
          </w:p>
        </w:tc>
        <w:tc>
          <w:tcPr>
            <w:tcW w:w="993" w:type="dxa"/>
            <w:tcBorders>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350</w:t>
            </w:r>
          </w:p>
        </w:tc>
        <w:tc>
          <w:tcPr>
            <w:tcW w:w="907" w:type="dxa"/>
            <w:tcBorders>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350</w:t>
            </w:r>
          </w:p>
        </w:tc>
        <w:tc>
          <w:tcPr>
            <w:tcW w:w="907" w:type="dxa"/>
            <w:tcBorders>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354</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F37CFB">
              <w:rPr>
                <w:color w:val="000000"/>
                <w:lang w:eastAsia="en-AU"/>
              </w:rPr>
              <w:t>Diverse range of product, producers and cultural venues supported:  project companies and artists funded which are regionally based</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23</w:t>
            </w:r>
          </w:p>
        </w:tc>
        <w:tc>
          <w:tcPr>
            <w:tcW w:w="993"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23</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23</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19</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Text"/>
              <w:rPr>
                <w:color w:val="000000"/>
                <w:lang w:eastAsia="en-AU"/>
              </w:rPr>
            </w:pPr>
            <w:r w:rsidRPr="00F37CFB">
              <w:rPr>
                <w:color w:val="000000"/>
                <w:lang w:eastAsia="en-AU"/>
              </w:rPr>
              <w:t>International markets accessed</w:t>
            </w:r>
          </w:p>
        </w:tc>
        <w:tc>
          <w:tcPr>
            <w:tcW w:w="907" w:type="dxa"/>
            <w:tcBorders>
              <w:top w:val="single" w:sz="6" w:space="0" w:color="auto"/>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15</w:t>
            </w:r>
          </w:p>
        </w:tc>
        <w:tc>
          <w:tcPr>
            <w:tcW w:w="993"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15</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15</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15</w:t>
            </w:r>
          </w:p>
        </w:tc>
      </w:tr>
      <w:tr w:rsidR="00B958B1" w:rsidRPr="00503D60" w:rsidTr="009F3B54">
        <w:trPr>
          <w:cantSplit/>
        </w:trPr>
        <w:tc>
          <w:tcPr>
            <w:tcW w:w="3155" w:type="dxa"/>
            <w:tcBorders>
              <w:left w:val="nil"/>
              <w:right w:val="nil"/>
            </w:tcBorders>
            <w:shd w:val="clear" w:color="auto" w:fill="auto"/>
          </w:tcPr>
          <w:p w:rsidR="00B958B1" w:rsidRPr="00F37CFB" w:rsidRDefault="00B958B1" w:rsidP="009F3B54">
            <w:pPr>
              <w:pStyle w:val="OGTabText"/>
              <w:rPr>
                <w:color w:val="000000"/>
                <w:lang w:eastAsia="en-AU"/>
              </w:rPr>
            </w:pPr>
            <w:r>
              <w:rPr>
                <w:color w:val="000000"/>
                <w:lang w:eastAsia="en-AU"/>
              </w:rPr>
              <w:t>Policy briefs prepared</w:t>
            </w:r>
          </w:p>
        </w:tc>
        <w:tc>
          <w:tcPr>
            <w:tcW w:w="907" w:type="dxa"/>
            <w:tcBorders>
              <w:left w:val="nil"/>
              <w:right w:val="nil"/>
            </w:tcBorders>
            <w:shd w:val="clear" w:color="auto" w:fill="auto"/>
            <w:noWrap/>
          </w:tcPr>
          <w:p w:rsidR="00B958B1" w:rsidRDefault="00B958B1" w:rsidP="009F3B54">
            <w:pPr>
              <w:pStyle w:val="OGUoM"/>
              <w:rPr>
                <w:rFonts w:cs="Calibri"/>
                <w:lang w:eastAsia="en-AU"/>
              </w:rPr>
            </w:pPr>
            <w:r>
              <w:rPr>
                <w:rFonts w:cs="Calibri"/>
                <w:lang w:eastAsia="en-AU"/>
              </w:rPr>
              <w:t>number</w:t>
            </w:r>
          </w:p>
        </w:tc>
        <w:tc>
          <w:tcPr>
            <w:tcW w:w="907" w:type="dxa"/>
            <w:tcBorders>
              <w:left w:val="nil"/>
              <w:right w:val="nil"/>
            </w:tcBorders>
            <w:shd w:val="clear" w:color="auto" w:fill="D9D9D9"/>
            <w:noWrap/>
          </w:tcPr>
          <w:p w:rsidR="00B958B1" w:rsidRDefault="00B958B1" w:rsidP="009F3B54">
            <w:pPr>
              <w:pStyle w:val="OGTableofFigures"/>
              <w:rPr>
                <w:rFonts w:cs="Calibri"/>
                <w:lang w:eastAsia="en-AU"/>
              </w:rPr>
            </w:pPr>
            <w:r>
              <w:rPr>
                <w:rFonts w:cs="Calibri"/>
                <w:lang w:eastAsia="en-AU"/>
              </w:rPr>
              <w:t>300</w:t>
            </w:r>
          </w:p>
        </w:tc>
        <w:tc>
          <w:tcPr>
            <w:tcW w:w="993" w:type="dxa"/>
            <w:tcBorders>
              <w:left w:val="nil"/>
              <w:right w:val="nil"/>
            </w:tcBorders>
            <w:shd w:val="clear" w:color="auto" w:fill="auto"/>
            <w:noWrap/>
          </w:tcPr>
          <w:p w:rsidR="00B958B1" w:rsidRDefault="00B958B1" w:rsidP="009F3B54">
            <w:pPr>
              <w:pStyle w:val="OGTableofFigures"/>
              <w:rPr>
                <w:rFonts w:cs="Calibri"/>
                <w:lang w:eastAsia="en-AU"/>
              </w:rPr>
            </w:pPr>
            <w:r>
              <w:rPr>
                <w:rFonts w:cs="Calibri"/>
                <w:lang w:eastAsia="en-AU"/>
              </w:rPr>
              <w:t>300</w:t>
            </w:r>
          </w:p>
        </w:tc>
        <w:tc>
          <w:tcPr>
            <w:tcW w:w="907" w:type="dxa"/>
            <w:tcBorders>
              <w:left w:val="nil"/>
              <w:right w:val="nil"/>
            </w:tcBorders>
            <w:shd w:val="clear" w:color="auto" w:fill="auto"/>
            <w:noWrap/>
          </w:tcPr>
          <w:p w:rsidR="00B958B1" w:rsidRDefault="00B958B1" w:rsidP="009F3B54">
            <w:pPr>
              <w:pStyle w:val="OGTableofFigures"/>
              <w:rPr>
                <w:rFonts w:cs="Calibri"/>
                <w:lang w:eastAsia="en-AU"/>
              </w:rPr>
            </w:pPr>
            <w:r>
              <w:rPr>
                <w:rFonts w:cs="Calibri"/>
                <w:lang w:eastAsia="en-AU"/>
              </w:rPr>
              <w:t>400</w:t>
            </w:r>
          </w:p>
        </w:tc>
        <w:tc>
          <w:tcPr>
            <w:tcW w:w="907" w:type="dxa"/>
            <w:tcBorders>
              <w:left w:val="nil"/>
              <w:right w:val="nil"/>
            </w:tcBorders>
            <w:shd w:val="clear" w:color="auto" w:fill="auto"/>
            <w:noWrap/>
          </w:tcPr>
          <w:p w:rsidR="00B958B1" w:rsidRDefault="00B958B1" w:rsidP="009F3B54">
            <w:pPr>
              <w:pStyle w:val="OGTableofFigures"/>
              <w:rPr>
                <w:rFonts w:cs="Calibri"/>
                <w:lang w:eastAsia="en-AU"/>
              </w:rPr>
            </w:pPr>
            <w:r>
              <w:rPr>
                <w:rFonts w:cs="Calibri"/>
                <w:lang w:eastAsia="en-AU"/>
              </w:rPr>
              <w:t>373</w:t>
            </w:r>
          </w:p>
        </w:tc>
      </w:tr>
      <w:tr w:rsidR="00B958B1" w:rsidRPr="00503D60" w:rsidTr="009F3B54">
        <w:trPr>
          <w:cantSplit/>
        </w:trPr>
        <w:tc>
          <w:tcPr>
            <w:tcW w:w="7776" w:type="dxa"/>
            <w:gridSpan w:val="6"/>
            <w:tcBorders>
              <w:left w:val="nil"/>
              <w:bottom w:val="single" w:sz="6" w:space="0" w:color="auto"/>
              <w:right w:val="nil"/>
            </w:tcBorders>
            <w:shd w:val="clear" w:color="auto" w:fill="auto"/>
          </w:tcPr>
          <w:p w:rsidR="00B958B1" w:rsidRDefault="00B958B1" w:rsidP="009F3B54">
            <w:pPr>
              <w:pStyle w:val="OGNotes"/>
            </w:pPr>
            <w:r w:rsidRPr="001D07C2">
              <w:t>This performance measure renames the 2012</w:t>
            </w:r>
            <w:r w:rsidR="009F0F49">
              <w:noBreakHyphen/>
            </w:r>
            <w:r w:rsidRPr="001D07C2">
              <w:t xml:space="preserve">13 measure "Ministerial briefs". The </w:t>
            </w:r>
            <w:r>
              <w:t xml:space="preserve">new </w:t>
            </w:r>
            <w:r w:rsidRPr="001D07C2">
              <w:t xml:space="preserve">measure </w:t>
            </w:r>
            <w:r>
              <w:t xml:space="preserve">reports on </w:t>
            </w:r>
            <w:r w:rsidRPr="001D07C2">
              <w:t xml:space="preserve">the same activity as the </w:t>
            </w:r>
            <w:r>
              <w:t xml:space="preserve">previous </w:t>
            </w:r>
            <w:r w:rsidRPr="001D07C2">
              <w:t xml:space="preserve">measure, however has been amended for clarity and consistency between DPC outputs. This performance measure </w:t>
            </w:r>
            <w:r>
              <w:t xml:space="preserve">is </w:t>
            </w:r>
            <w:r w:rsidRPr="001D07C2">
              <w:t xml:space="preserve">transferred </w:t>
            </w:r>
            <w:r>
              <w:t xml:space="preserve">directly </w:t>
            </w:r>
            <w:r w:rsidRPr="001D07C2">
              <w:t xml:space="preserve">from the </w:t>
            </w:r>
            <w:r>
              <w:t>2012</w:t>
            </w:r>
            <w:r w:rsidR="009F0F49">
              <w:noBreakHyphen/>
            </w:r>
            <w:r>
              <w:t>13</w:t>
            </w:r>
            <w:r w:rsidRPr="001D07C2">
              <w:t xml:space="preserve"> Portfolio Services and Policy output as it better aligns with the activities in the Access, Industry Development and Innovation output.</w:t>
            </w:r>
          </w:p>
          <w:p w:rsidR="00B958B1" w:rsidRPr="00EA57AF" w:rsidRDefault="00B958B1" w:rsidP="009F3B54">
            <w:pPr>
              <w:pStyle w:val="OGNotes"/>
            </w:pPr>
            <w:r w:rsidRPr="00B60382">
              <w:t>The 2012</w:t>
            </w:r>
            <w:r w:rsidR="009F0F49">
              <w:noBreakHyphen/>
            </w:r>
            <w:r w:rsidRPr="00B60382">
              <w:t>13 Expected Outcome is lower than the 2012</w:t>
            </w:r>
            <w:r w:rsidR="009F0F49">
              <w:noBreakHyphen/>
            </w:r>
            <w:r w:rsidRPr="00B60382">
              <w:t>13 Target due to the Department's focus on improving the efficiency of the briefing process. The 2013</w:t>
            </w:r>
            <w:r w:rsidR="009F0F49">
              <w:noBreakHyphen/>
            </w:r>
            <w:r w:rsidRPr="00B60382">
              <w:t>14 Target has been revised downwards to reflect this.</w:t>
            </w:r>
          </w:p>
        </w:tc>
      </w:tr>
      <w:tr w:rsidR="00B958B1" w:rsidRPr="00503D60" w:rsidTr="009F3B54">
        <w:trPr>
          <w:cantSplit/>
        </w:trPr>
        <w:tc>
          <w:tcPr>
            <w:tcW w:w="3155" w:type="dxa"/>
            <w:tcBorders>
              <w:top w:val="single" w:sz="6" w:space="0" w:color="auto"/>
              <w:left w:val="nil"/>
              <w:bottom w:val="nil"/>
              <w:right w:val="nil"/>
            </w:tcBorders>
            <w:shd w:val="clear" w:color="auto" w:fill="auto"/>
          </w:tcPr>
          <w:p w:rsidR="00B958B1" w:rsidRPr="00503D60" w:rsidRDefault="00B958B1" w:rsidP="009F3B54">
            <w:pPr>
              <w:pStyle w:val="OGTabText"/>
              <w:rPr>
                <w:color w:val="000000"/>
                <w:lang w:eastAsia="en-AU"/>
              </w:rPr>
            </w:pPr>
            <w:r w:rsidRPr="00F37CFB">
              <w:rPr>
                <w:color w:val="000000"/>
                <w:lang w:eastAsia="en-AU"/>
              </w:rPr>
              <w:t>Planning and research projects</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bottom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13</w:t>
            </w:r>
          </w:p>
        </w:tc>
        <w:tc>
          <w:tcPr>
            <w:tcW w:w="993" w:type="dxa"/>
            <w:tcBorders>
              <w:top w:val="single" w:sz="6" w:space="0" w:color="auto"/>
              <w:left w:val="nil"/>
              <w:bottom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13</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13</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13</w:t>
            </w:r>
          </w:p>
        </w:tc>
      </w:tr>
      <w:tr w:rsidR="00B958B1" w:rsidRPr="00503D60" w:rsidTr="009F3B54">
        <w:trPr>
          <w:cantSplit/>
        </w:trPr>
        <w:tc>
          <w:tcPr>
            <w:tcW w:w="7776" w:type="dxa"/>
            <w:gridSpan w:val="6"/>
            <w:tcBorders>
              <w:left w:val="nil"/>
              <w:bottom w:val="single" w:sz="6" w:space="0" w:color="auto"/>
              <w:right w:val="nil"/>
            </w:tcBorders>
            <w:shd w:val="clear" w:color="auto" w:fill="auto"/>
          </w:tcPr>
          <w:p w:rsidR="00B958B1" w:rsidRPr="0085432A" w:rsidRDefault="00B958B1" w:rsidP="009F3B54">
            <w:pPr>
              <w:pStyle w:val="OGNotes"/>
            </w:pPr>
            <w:r w:rsidRPr="0085432A">
              <w:t xml:space="preserve">This performance measure </w:t>
            </w:r>
            <w:r>
              <w:t>is</w:t>
            </w:r>
            <w:r w:rsidRPr="0085432A">
              <w:t xml:space="preserve"> transferred </w:t>
            </w:r>
            <w:r>
              <w:t xml:space="preserve">directly </w:t>
            </w:r>
            <w:r w:rsidRPr="0085432A">
              <w:t xml:space="preserve">from the </w:t>
            </w:r>
            <w:r>
              <w:t>2012</w:t>
            </w:r>
            <w:r w:rsidR="009F0F49">
              <w:noBreakHyphen/>
            </w:r>
            <w:r>
              <w:t>13</w:t>
            </w:r>
            <w:r w:rsidRPr="0085432A">
              <w:t xml:space="preserve"> Portfolio Services and Policy output as it </w:t>
            </w:r>
            <w:r>
              <w:t xml:space="preserve">better </w:t>
            </w:r>
            <w:r w:rsidRPr="0085432A">
              <w:t xml:space="preserve">aligns with the activities in the </w:t>
            </w:r>
            <w:r w:rsidRPr="00FA3E69">
              <w:t>Access, Industry Development and Innovation</w:t>
            </w:r>
            <w:r w:rsidRPr="0085432A">
              <w:t xml:space="preserve"> output.</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lang w:eastAsia="en-AU"/>
              </w:rPr>
              <w:t>Quality</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66223D">
              <w:rPr>
                <w:color w:val="000000"/>
                <w:lang w:eastAsia="en-AU"/>
              </w:rPr>
              <w:t>Grant recipients who met or exceeded agreed outcomes</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nil"/>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85</w:t>
            </w:r>
          </w:p>
        </w:tc>
        <w:tc>
          <w:tcPr>
            <w:tcW w:w="993"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85</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jc w:val="left"/>
              <w:rPr>
                <w:rFonts w:cs="Calibri"/>
                <w:lang w:eastAsia="en-AU"/>
              </w:rPr>
            </w:pPr>
            <w:r>
              <w:rPr>
                <w:rFonts w:cs="Calibri"/>
                <w:lang w:eastAsia="en-AU"/>
              </w:rPr>
              <w:t xml:space="preserve">             85</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87</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66223D" w:rsidRDefault="00B958B1" w:rsidP="009F3B54">
            <w:pPr>
              <w:pStyle w:val="OGTabText"/>
              <w:rPr>
                <w:color w:val="000000"/>
                <w:lang w:eastAsia="en-AU"/>
              </w:rPr>
            </w:pPr>
            <w:r>
              <w:rPr>
                <w:color w:val="000000"/>
                <w:lang w:eastAsia="en-AU"/>
              </w:rPr>
              <w:t>Level of satisfaction with policy advice</w:t>
            </w:r>
          </w:p>
        </w:tc>
        <w:tc>
          <w:tcPr>
            <w:tcW w:w="907" w:type="dxa"/>
            <w:tcBorders>
              <w:top w:val="single" w:sz="6" w:space="0" w:color="auto"/>
              <w:left w:val="nil"/>
              <w:right w:val="nil"/>
            </w:tcBorders>
            <w:shd w:val="clear" w:color="auto" w:fill="auto"/>
            <w:noWrap/>
          </w:tcPr>
          <w:p w:rsidR="00B958B1"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right w:val="nil"/>
            </w:tcBorders>
            <w:shd w:val="clear" w:color="auto" w:fill="D9D9D9"/>
            <w:noWrap/>
          </w:tcPr>
          <w:p w:rsidR="00B958B1" w:rsidRDefault="00B958B1" w:rsidP="009F3B54">
            <w:pPr>
              <w:pStyle w:val="OGTableofFigures"/>
              <w:rPr>
                <w:rFonts w:cs="Calibri"/>
                <w:lang w:eastAsia="en-AU"/>
              </w:rPr>
            </w:pPr>
            <w:r>
              <w:rPr>
                <w:rFonts w:cs="Calibri"/>
                <w:lang w:eastAsia="en-AU"/>
              </w:rPr>
              <w:t>95</w:t>
            </w:r>
          </w:p>
        </w:tc>
        <w:tc>
          <w:tcPr>
            <w:tcW w:w="993" w:type="dxa"/>
            <w:tcBorders>
              <w:top w:val="single" w:sz="6" w:space="0" w:color="auto"/>
              <w:left w:val="nil"/>
              <w:right w:val="nil"/>
            </w:tcBorders>
            <w:shd w:val="clear" w:color="auto" w:fill="auto"/>
            <w:noWrap/>
          </w:tcPr>
          <w:p w:rsidR="00B958B1" w:rsidRDefault="00B958B1" w:rsidP="009F3B54">
            <w:pPr>
              <w:pStyle w:val="OGTableofFigures"/>
              <w:rPr>
                <w:rFonts w:cs="Calibri"/>
                <w:lang w:eastAsia="en-AU"/>
              </w:rPr>
            </w:pPr>
            <w:r>
              <w:rPr>
                <w:rFonts w:cs="Calibri"/>
                <w:lang w:eastAsia="en-AU"/>
              </w:rPr>
              <w:t>95</w:t>
            </w:r>
          </w:p>
        </w:tc>
        <w:tc>
          <w:tcPr>
            <w:tcW w:w="907" w:type="dxa"/>
            <w:tcBorders>
              <w:top w:val="single" w:sz="6" w:space="0" w:color="auto"/>
              <w:left w:val="nil"/>
              <w:right w:val="nil"/>
            </w:tcBorders>
            <w:shd w:val="clear" w:color="auto" w:fill="auto"/>
            <w:noWrap/>
          </w:tcPr>
          <w:p w:rsidR="00B958B1" w:rsidRDefault="00B958B1" w:rsidP="009F3B54">
            <w:pPr>
              <w:pStyle w:val="OGTableofFigures"/>
              <w:rPr>
                <w:rFonts w:cs="Calibri"/>
                <w:lang w:eastAsia="en-AU"/>
              </w:rPr>
            </w:pPr>
            <w:r>
              <w:rPr>
                <w:rFonts w:cs="Calibri"/>
                <w:lang w:eastAsia="en-AU"/>
              </w:rPr>
              <w:t>95</w:t>
            </w:r>
          </w:p>
        </w:tc>
        <w:tc>
          <w:tcPr>
            <w:tcW w:w="907" w:type="dxa"/>
            <w:tcBorders>
              <w:top w:val="single" w:sz="6" w:space="0" w:color="auto"/>
              <w:left w:val="nil"/>
              <w:right w:val="nil"/>
            </w:tcBorders>
            <w:shd w:val="clear" w:color="auto" w:fill="auto"/>
            <w:noWrap/>
          </w:tcPr>
          <w:p w:rsidR="00B958B1" w:rsidRDefault="00B958B1" w:rsidP="009F3B54">
            <w:pPr>
              <w:pStyle w:val="OGTableofFigures"/>
              <w:rPr>
                <w:rFonts w:cs="Calibri"/>
                <w:lang w:eastAsia="en-AU"/>
              </w:rPr>
            </w:pPr>
            <w:r>
              <w:rPr>
                <w:rFonts w:cs="Calibri"/>
                <w:lang w:eastAsia="en-AU"/>
              </w:rPr>
              <w:t>95</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EA57AF" w:rsidRDefault="00B958B1" w:rsidP="009F3B54">
            <w:pPr>
              <w:pStyle w:val="OGNotes"/>
            </w:pPr>
            <w:r w:rsidRPr="0085432A">
              <w:t xml:space="preserve">This performance measure </w:t>
            </w:r>
            <w:r>
              <w:t xml:space="preserve">is </w:t>
            </w:r>
            <w:r w:rsidRPr="0085432A">
              <w:t xml:space="preserve">transferred </w:t>
            </w:r>
            <w:r>
              <w:t xml:space="preserve">directly </w:t>
            </w:r>
            <w:r w:rsidRPr="0085432A">
              <w:t xml:space="preserve">from the </w:t>
            </w:r>
            <w:r>
              <w:t>2012</w:t>
            </w:r>
            <w:r w:rsidR="009F0F49">
              <w:noBreakHyphen/>
            </w:r>
            <w:r>
              <w:t>13</w:t>
            </w:r>
            <w:r w:rsidRPr="0085432A">
              <w:t xml:space="preserve"> Portfolio Services and Policy output as it </w:t>
            </w:r>
            <w:r>
              <w:t xml:space="preserve">better </w:t>
            </w:r>
            <w:r w:rsidRPr="0085432A">
              <w:t xml:space="preserve">aligns with the activities in the </w:t>
            </w:r>
            <w:r w:rsidRPr="00FA3E69">
              <w:t>Access, Industry Development and Innovation</w:t>
            </w:r>
            <w:r w:rsidRPr="0085432A">
              <w:t xml:space="preserve"> output.</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Text"/>
              <w:rPr>
                <w:color w:val="000000"/>
                <w:lang w:eastAsia="en-AU"/>
              </w:rPr>
            </w:pPr>
            <w:r w:rsidRPr="0066223D">
              <w:rPr>
                <w:color w:val="000000"/>
                <w:lang w:eastAsia="en-AU"/>
              </w:rPr>
              <w:t>Public information rated ‘informative’ or ‘very informative’</w:t>
            </w:r>
          </w:p>
        </w:tc>
        <w:tc>
          <w:tcPr>
            <w:tcW w:w="907" w:type="dxa"/>
            <w:tcBorders>
              <w:top w:val="single" w:sz="6" w:space="0" w:color="auto"/>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90</w:t>
            </w:r>
          </w:p>
        </w:tc>
        <w:tc>
          <w:tcPr>
            <w:tcW w:w="993"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96</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90</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89</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Default="00B958B1" w:rsidP="009F3B54">
            <w:pPr>
              <w:pStyle w:val="OGNotes"/>
            </w:pPr>
            <w:r>
              <w:t>This performance measure is transferred directly from the 2012</w:t>
            </w:r>
            <w:r w:rsidR="009F0F49">
              <w:noBreakHyphen/>
            </w:r>
            <w:r>
              <w:t xml:space="preserve">13 Portfolio Services and Policy output as it aligns better with the activities in the </w:t>
            </w:r>
            <w:r w:rsidRPr="00E370C3">
              <w:t>Access, Industry Development and Innovation</w:t>
            </w:r>
            <w:r>
              <w:t xml:space="preserve"> output. </w:t>
            </w:r>
          </w:p>
          <w:p w:rsidR="00B958B1" w:rsidRPr="0085432A" w:rsidRDefault="00B958B1" w:rsidP="009F3B54">
            <w:pPr>
              <w:pStyle w:val="OGNotes"/>
            </w:pPr>
            <w:r>
              <w:t>The 2012</w:t>
            </w:r>
            <w:r w:rsidR="009F0F49">
              <w:noBreakHyphen/>
            </w:r>
            <w:r>
              <w:t>13 Expected Outcome exceeds the 2012</w:t>
            </w:r>
            <w:r w:rsidR="009F0F49">
              <w:noBreakHyphen/>
            </w:r>
            <w:r>
              <w:t>13 Target as a result of improved disability and cultural diversity training provided to Arts Victoria staff over the last three years.</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lang w:eastAsia="en-AU"/>
              </w:rPr>
              <w:t>Timeliness</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4321DE">
              <w:rPr>
                <w:color w:val="000000"/>
                <w:lang w:eastAsia="en-AU"/>
              </w:rPr>
              <w:t>Arts Development applications processed for Ministerial consideration</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days</w:t>
            </w:r>
          </w:p>
        </w:tc>
        <w:tc>
          <w:tcPr>
            <w:tcW w:w="907" w:type="dxa"/>
            <w:tcBorders>
              <w:top w:val="nil"/>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60</w:t>
            </w:r>
          </w:p>
        </w:tc>
        <w:tc>
          <w:tcPr>
            <w:tcW w:w="993"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60</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60</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52</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Text"/>
              <w:rPr>
                <w:color w:val="000000"/>
                <w:lang w:eastAsia="en-AU"/>
              </w:rPr>
            </w:pPr>
            <w:r w:rsidRPr="004321DE">
              <w:rPr>
                <w:color w:val="000000"/>
                <w:lang w:eastAsia="en-AU"/>
              </w:rPr>
              <w:t>All other applications processed for Ministerial consideration</w:t>
            </w:r>
          </w:p>
        </w:tc>
        <w:tc>
          <w:tcPr>
            <w:tcW w:w="907" w:type="dxa"/>
            <w:tcBorders>
              <w:top w:val="single" w:sz="6" w:space="0" w:color="auto"/>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days</w:t>
            </w:r>
          </w:p>
        </w:tc>
        <w:tc>
          <w:tcPr>
            <w:tcW w:w="907" w:type="dxa"/>
            <w:tcBorders>
              <w:top w:val="single" w:sz="6" w:space="0" w:color="auto"/>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40</w:t>
            </w:r>
          </w:p>
        </w:tc>
        <w:tc>
          <w:tcPr>
            <w:tcW w:w="993"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40</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40</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45</w:t>
            </w:r>
          </w:p>
        </w:tc>
      </w:tr>
      <w:tr w:rsidR="00B958B1" w:rsidRPr="00503D60" w:rsidTr="009F3B54">
        <w:trPr>
          <w:cantSplit/>
        </w:trPr>
        <w:tc>
          <w:tcPr>
            <w:tcW w:w="3155" w:type="dxa"/>
            <w:tcBorders>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4321DE">
              <w:rPr>
                <w:color w:val="000000"/>
                <w:lang w:eastAsia="en-AU"/>
              </w:rPr>
              <w:t>Performance and grant agreements acquitted within timeframes specified in the funding agreement</w:t>
            </w:r>
          </w:p>
        </w:tc>
        <w:tc>
          <w:tcPr>
            <w:tcW w:w="907" w:type="dxa"/>
            <w:tcBorders>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80</w:t>
            </w:r>
          </w:p>
        </w:tc>
        <w:tc>
          <w:tcPr>
            <w:tcW w:w="993" w:type="dxa"/>
            <w:tcBorders>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80</w:t>
            </w:r>
          </w:p>
        </w:tc>
        <w:tc>
          <w:tcPr>
            <w:tcW w:w="907" w:type="dxa"/>
            <w:tcBorders>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80</w:t>
            </w:r>
          </w:p>
        </w:tc>
        <w:tc>
          <w:tcPr>
            <w:tcW w:w="907" w:type="dxa"/>
            <w:tcBorders>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94</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pageBreakBefore/>
              <w:rPr>
                <w:lang w:eastAsia="en-AU"/>
              </w:rPr>
            </w:pPr>
            <w:r w:rsidRPr="00560D1F">
              <w:rPr>
                <w:iCs/>
                <w:color w:val="000000"/>
                <w:lang w:eastAsia="en-AU"/>
              </w:rPr>
              <w:t>Cost</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UoM"/>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leofFigures"/>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r>
      <w:tr w:rsidR="00B958B1" w:rsidRPr="00503D60" w:rsidTr="009F3B54">
        <w:trPr>
          <w:cantSplit/>
        </w:trPr>
        <w:tc>
          <w:tcPr>
            <w:tcW w:w="3155" w:type="dxa"/>
            <w:tcBorders>
              <w:top w:val="nil"/>
              <w:left w:val="nil"/>
              <w:bottom w:val="nil"/>
              <w:right w:val="nil"/>
            </w:tcBorders>
            <w:shd w:val="clear" w:color="auto" w:fill="auto"/>
            <w:hideMark/>
          </w:tcPr>
          <w:p w:rsidR="00B958B1" w:rsidRPr="00503D60" w:rsidRDefault="00B958B1" w:rsidP="009F3B54">
            <w:pPr>
              <w:pStyle w:val="OGTabText"/>
              <w:rPr>
                <w:color w:val="000000"/>
                <w:lang w:eastAsia="en-AU"/>
              </w:rPr>
            </w:pPr>
            <w:r w:rsidRPr="00503D60">
              <w:rPr>
                <w:color w:val="000000"/>
                <w:lang w:eastAsia="en-AU"/>
              </w:rPr>
              <w:t>Total output cost</w:t>
            </w:r>
          </w:p>
        </w:tc>
        <w:tc>
          <w:tcPr>
            <w:tcW w:w="907" w:type="dxa"/>
            <w:tcBorders>
              <w:top w:val="nil"/>
              <w:left w:val="nil"/>
              <w:bottom w:val="nil"/>
              <w:right w:val="nil"/>
            </w:tcBorders>
            <w:shd w:val="clear" w:color="auto" w:fill="auto"/>
            <w:noWrap/>
            <w:hideMark/>
          </w:tcPr>
          <w:p w:rsidR="00B958B1" w:rsidRPr="00503D60" w:rsidRDefault="00B958B1" w:rsidP="009F3B54">
            <w:pPr>
              <w:pStyle w:val="OGUoM"/>
              <w:rPr>
                <w:rFonts w:cs="Calibri"/>
                <w:lang w:eastAsia="en-AU"/>
              </w:rPr>
            </w:pPr>
            <w:r w:rsidRPr="00503D60">
              <w:rPr>
                <w:rFonts w:cs="Calibri"/>
                <w:lang w:eastAsia="en-AU"/>
              </w:rPr>
              <w:t>$</w:t>
            </w:r>
            <w:r>
              <w:rPr>
                <w:rFonts w:cs="Calibri"/>
                <w:lang w:eastAsia="en-AU"/>
              </w:rPr>
              <w:t> million</w:t>
            </w:r>
          </w:p>
        </w:tc>
        <w:tc>
          <w:tcPr>
            <w:tcW w:w="907" w:type="dxa"/>
            <w:tcBorders>
              <w:top w:val="nil"/>
              <w:left w:val="nil"/>
              <w:bottom w:val="nil"/>
              <w:right w:val="nil"/>
            </w:tcBorders>
            <w:shd w:val="clear" w:color="auto" w:fill="D9D9D9"/>
            <w:noWrap/>
          </w:tcPr>
          <w:p w:rsidR="00B958B1" w:rsidRPr="00CA5EC9" w:rsidRDefault="00B958B1" w:rsidP="009F3B54">
            <w:pPr>
              <w:pStyle w:val="OGTableofFigures"/>
              <w:rPr>
                <w:lang w:eastAsia="en-AU"/>
              </w:rPr>
            </w:pPr>
            <w:r>
              <w:rPr>
                <w:lang w:eastAsia="en-AU"/>
              </w:rPr>
              <w:t>61.9</w:t>
            </w:r>
          </w:p>
        </w:tc>
        <w:tc>
          <w:tcPr>
            <w:tcW w:w="993" w:type="dxa"/>
            <w:tcBorders>
              <w:top w:val="nil"/>
              <w:left w:val="nil"/>
              <w:bottom w:val="nil"/>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58.8</w:t>
            </w:r>
          </w:p>
        </w:tc>
        <w:tc>
          <w:tcPr>
            <w:tcW w:w="907" w:type="dxa"/>
            <w:tcBorders>
              <w:top w:val="nil"/>
              <w:left w:val="nil"/>
              <w:bottom w:val="nil"/>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57.3</w:t>
            </w:r>
          </w:p>
        </w:tc>
        <w:tc>
          <w:tcPr>
            <w:tcW w:w="907" w:type="dxa"/>
            <w:tcBorders>
              <w:top w:val="nil"/>
              <w:left w:val="nil"/>
              <w:bottom w:val="nil"/>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59.8</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Default="00B958B1" w:rsidP="009F3B54">
            <w:pPr>
              <w:pStyle w:val="OGNotes"/>
            </w:pPr>
            <w:r>
              <w:t>This output cost reflects the expansion of the 2012</w:t>
            </w:r>
            <w:r w:rsidR="009F0F49">
              <w:noBreakHyphen/>
            </w:r>
            <w:r>
              <w:t>13 output ‘Arts Development and Access’ in</w:t>
            </w:r>
            <w:r w:rsidRPr="00BD04C9">
              <w:t xml:space="preserve">to </w:t>
            </w:r>
            <w:r>
              <w:t>the 2013</w:t>
            </w:r>
            <w:r w:rsidR="009F0F49">
              <w:noBreakHyphen/>
            </w:r>
            <w:r>
              <w:t xml:space="preserve">14 output ‘Access, Industry Development and Innovation’, which </w:t>
            </w:r>
            <w:r w:rsidRPr="000704FC">
              <w:t>incorporates the cost of the 2012</w:t>
            </w:r>
            <w:r w:rsidR="009F0F49">
              <w:noBreakHyphen/>
            </w:r>
            <w:r w:rsidRPr="000704FC">
              <w:t>13 output ‘Portfolio Services and Policy’</w:t>
            </w:r>
            <w:r>
              <w:t xml:space="preserve">. This amendment to DPC’s output structure </w:t>
            </w:r>
            <w:r w:rsidRPr="00BD04C9">
              <w:t>better reflect</w:t>
            </w:r>
            <w:r>
              <w:t>s</w:t>
            </w:r>
            <w:r w:rsidRPr="00BD04C9">
              <w:t xml:space="preserve"> the Government's priority to focus on the industry development and tourism roles of the arts</w:t>
            </w:r>
            <w:r>
              <w:t>.</w:t>
            </w:r>
          </w:p>
          <w:p w:rsidR="00B958B1" w:rsidRPr="00503D60" w:rsidRDefault="00B958B1" w:rsidP="009F3B54">
            <w:pPr>
              <w:pStyle w:val="OGNotes"/>
            </w:pPr>
            <w:r w:rsidRPr="005B754B">
              <w:t xml:space="preserve">The </w:t>
            </w:r>
            <w:r>
              <w:t xml:space="preserve">higher </w:t>
            </w:r>
            <w:r w:rsidRPr="005B754B">
              <w:t>2013</w:t>
            </w:r>
            <w:r w:rsidR="009F0F49">
              <w:noBreakHyphen/>
            </w:r>
            <w:r w:rsidRPr="005B754B">
              <w:t xml:space="preserve">14 Target </w:t>
            </w:r>
            <w:r>
              <w:t xml:space="preserve">reflects </w:t>
            </w:r>
            <w:r w:rsidRPr="005B754B">
              <w:t xml:space="preserve">additional funding </w:t>
            </w:r>
            <w:r>
              <w:t>transferred</w:t>
            </w:r>
            <w:r w:rsidRPr="005B754B">
              <w:t xml:space="preserve"> from the Major Events Cap for </w:t>
            </w:r>
            <w:r>
              <w:t>cultural festivals</w:t>
            </w:r>
            <w:r w:rsidRPr="005B754B">
              <w:t>.</w:t>
            </w:r>
          </w:p>
        </w:tc>
      </w:tr>
      <w:tr w:rsidR="00B958B1" w:rsidRPr="00503D60" w:rsidTr="009F3B54">
        <w:trPr>
          <w:cantSplit/>
        </w:trPr>
        <w:tc>
          <w:tcPr>
            <w:tcW w:w="7776" w:type="dxa"/>
            <w:gridSpan w:val="6"/>
            <w:tcBorders>
              <w:top w:val="nil"/>
              <w:left w:val="nil"/>
              <w:bottom w:val="nil"/>
              <w:right w:val="nil"/>
            </w:tcBorders>
            <w:shd w:val="clear" w:color="auto" w:fill="auto"/>
            <w:hideMark/>
          </w:tcPr>
          <w:p w:rsidR="00B958B1" w:rsidRPr="00503D60" w:rsidRDefault="00B958B1" w:rsidP="009F3B54">
            <w:pPr>
              <w:pStyle w:val="OGHeading2"/>
              <w:rPr>
                <w:lang w:eastAsia="en-AU"/>
              </w:rPr>
            </w:pPr>
            <w:r w:rsidRPr="00503D60">
              <w:rPr>
                <w:lang w:eastAsia="en-AU"/>
              </w:rPr>
              <w:t>Cultural Infrastructure and Facilities</w:t>
            </w:r>
          </w:p>
        </w:tc>
      </w:tr>
      <w:tr w:rsidR="00B958B1" w:rsidRPr="001510CA" w:rsidTr="009F3B54">
        <w:trPr>
          <w:cantSplit/>
        </w:trPr>
        <w:tc>
          <w:tcPr>
            <w:tcW w:w="7776" w:type="dxa"/>
            <w:gridSpan w:val="6"/>
            <w:tcBorders>
              <w:top w:val="nil"/>
              <w:left w:val="nil"/>
              <w:bottom w:val="single" w:sz="6" w:space="0" w:color="auto"/>
              <w:right w:val="nil"/>
            </w:tcBorders>
            <w:shd w:val="clear" w:color="auto" w:fill="auto"/>
            <w:hideMark/>
          </w:tcPr>
          <w:p w:rsidR="00B958B1" w:rsidRPr="001510CA" w:rsidRDefault="00B958B1" w:rsidP="009F3B54">
            <w:pPr>
              <w:pStyle w:val="OGText"/>
              <w:rPr>
                <w:highlight w:val="yellow"/>
                <w:lang w:eastAsia="en-AU"/>
              </w:rPr>
            </w:pPr>
            <w:r w:rsidRPr="00D05703">
              <w:rPr>
                <w:rFonts w:cs="Calibri"/>
              </w:rPr>
              <w:t>Support Victorian cultural venues and state</w:t>
            </w:r>
            <w:r w:rsidR="009F0F49">
              <w:rPr>
                <w:rFonts w:cs="Calibri"/>
              </w:rPr>
              <w:noBreakHyphen/>
            </w:r>
            <w:r w:rsidRPr="00D05703">
              <w:rPr>
                <w:rFonts w:cs="Calibri"/>
              </w:rPr>
              <w:t>owned facilities. Provide strategic assessment and advice on portfolio infrastructure proposals and projects. Consolidate portfolio asset management plans and manages funding programs for maintenance and minor capital works.</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lang w:eastAsia="en-AU"/>
              </w:rPr>
              <w:t>Quantity</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F70752">
              <w:rPr>
                <w:color w:val="000000"/>
                <w:lang w:eastAsia="en-AU"/>
              </w:rPr>
              <w:t>Infrastructure development projects</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nil"/>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4</w:t>
            </w:r>
          </w:p>
        </w:tc>
        <w:tc>
          <w:tcPr>
            <w:tcW w:w="993"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4</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4</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4</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F70752">
              <w:rPr>
                <w:color w:val="000000"/>
                <w:lang w:eastAsia="en-AU"/>
              </w:rPr>
              <w:t>Risk management projects</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3</w:t>
            </w:r>
          </w:p>
        </w:tc>
        <w:tc>
          <w:tcPr>
            <w:tcW w:w="993"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3</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3</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3</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F70752">
              <w:rPr>
                <w:color w:val="000000"/>
                <w:lang w:eastAsia="en-AU"/>
              </w:rPr>
              <w:t>State</w:t>
            </w:r>
            <w:r w:rsidR="009F0F49">
              <w:rPr>
                <w:color w:val="000000"/>
                <w:lang w:eastAsia="en-AU"/>
              </w:rPr>
              <w:noBreakHyphen/>
            </w:r>
            <w:r w:rsidRPr="00F70752">
              <w:rPr>
                <w:color w:val="000000"/>
                <w:lang w:eastAsia="en-AU"/>
              </w:rPr>
              <w:t>owned cultural facilities maintained to meet service and statutory standards</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27</w:t>
            </w:r>
          </w:p>
        </w:tc>
        <w:tc>
          <w:tcPr>
            <w:tcW w:w="993"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27</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27</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27</w:t>
            </w:r>
          </w:p>
        </w:tc>
      </w:tr>
      <w:tr w:rsidR="00B958B1" w:rsidRPr="00503D60" w:rsidTr="009F3B54">
        <w:trPr>
          <w:cantSplit/>
        </w:trPr>
        <w:tc>
          <w:tcPr>
            <w:tcW w:w="3155" w:type="dxa"/>
            <w:tcBorders>
              <w:top w:val="single" w:sz="6" w:space="0" w:color="auto"/>
              <w:left w:val="nil"/>
              <w:right w:val="nil"/>
            </w:tcBorders>
            <w:shd w:val="clear" w:color="auto" w:fill="auto"/>
            <w:hideMark/>
          </w:tcPr>
          <w:p w:rsidR="00B958B1" w:rsidRPr="00503D60" w:rsidRDefault="00B958B1" w:rsidP="009F3B54">
            <w:pPr>
              <w:pStyle w:val="OGTabHead"/>
              <w:rPr>
                <w:lang w:eastAsia="en-AU"/>
              </w:rPr>
            </w:pPr>
            <w:r w:rsidRPr="00560D1F">
              <w:rPr>
                <w:lang w:eastAsia="en-AU"/>
              </w:rPr>
              <w:t>Quality</w:t>
            </w:r>
          </w:p>
        </w:tc>
        <w:tc>
          <w:tcPr>
            <w:tcW w:w="907" w:type="dxa"/>
            <w:tcBorders>
              <w:top w:val="single" w:sz="6" w:space="0" w:color="auto"/>
              <w:left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F70752">
              <w:rPr>
                <w:color w:val="000000"/>
                <w:lang w:eastAsia="en-AU"/>
              </w:rPr>
              <w:t>Success measures of projects achieved</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nil"/>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90</w:t>
            </w:r>
          </w:p>
        </w:tc>
        <w:tc>
          <w:tcPr>
            <w:tcW w:w="993"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90</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90</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90</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lang w:eastAsia="en-AU"/>
              </w:rPr>
              <w:t>Timeliness</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F70752">
              <w:rPr>
                <w:color w:val="000000"/>
                <w:lang w:eastAsia="en-AU"/>
              </w:rPr>
              <w:t>Performance and grant agreements completed within agreed timeframes</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nil"/>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90</w:t>
            </w:r>
          </w:p>
        </w:tc>
        <w:tc>
          <w:tcPr>
            <w:tcW w:w="993"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90</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90</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90</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iCs/>
                <w:color w:val="000000"/>
                <w:lang w:eastAsia="en-AU"/>
              </w:rPr>
              <w:t>Cost</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UoM"/>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leofFigures"/>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r>
      <w:tr w:rsidR="00B958B1" w:rsidRPr="00503D60" w:rsidTr="009F3B54">
        <w:trPr>
          <w:cantSplit/>
        </w:trPr>
        <w:tc>
          <w:tcPr>
            <w:tcW w:w="3155" w:type="dxa"/>
            <w:tcBorders>
              <w:top w:val="nil"/>
              <w:left w:val="nil"/>
              <w:bottom w:val="single" w:sz="6" w:space="0" w:color="auto"/>
              <w:right w:val="nil"/>
            </w:tcBorders>
            <w:shd w:val="clear" w:color="auto" w:fill="auto"/>
            <w:hideMark/>
          </w:tcPr>
          <w:p w:rsidR="00B958B1" w:rsidRPr="00503D60" w:rsidRDefault="00B958B1" w:rsidP="009F3B54">
            <w:pPr>
              <w:pStyle w:val="OGTabText"/>
              <w:rPr>
                <w:color w:val="000000"/>
                <w:lang w:eastAsia="en-AU"/>
              </w:rPr>
            </w:pPr>
            <w:r w:rsidRPr="00503D60">
              <w:rPr>
                <w:color w:val="000000"/>
                <w:lang w:eastAsia="en-AU"/>
              </w:rPr>
              <w:t>Total output cost</w:t>
            </w:r>
          </w:p>
        </w:tc>
        <w:tc>
          <w:tcPr>
            <w:tcW w:w="907" w:type="dxa"/>
            <w:tcBorders>
              <w:top w:val="nil"/>
              <w:left w:val="nil"/>
              <w:bottom w:val="single" w:sz="6" w:space="0" w:color="auto"/>
              <w:right w:val="nil"/>
            </w:tcBorders>
            <w:shd w:val="clear" w:color="auto" w:fill="auto"/>
            <w:noWrap/>
            <w:hideMark/>
          </w:tcPr>
          <w:p w:rsidR="00B958B1" w:rsidRPr="00503D60" w:rsidRDefault="00B958B1" w:rsidP="009F3B54">
            <w:pPr>
              <w:pStyle w:val="OGUoM"/>
              <w:rPr>
                <w:rFonts w:cs="Calibri"/>
                <w:lang w:eastAsia="en-AU"/>
              </w:rPr>
            </w:pPr>
            <w:r w:rsidRPr="00503D60">
              <w:rPr>
                <w:rFonts w:cs="Calibri"/>
                <w:lang w:eastAsia="en-AU"/>
              </w:rPr>
              <w:t>$</w:t>
            </w:r>
            <w:r>
              <w:rPr>
                <w:rFonts w:cs="Calibri"/>
                <w:lang w:eastAsia="en-AU"/>
              </w:rPr>
              <w:t> million</w:t>
            </w:r>
          </w:p>
        </w:tc>
        <w:tc>
          <w:tcPr>
            <w:tcW w:w="907" w:type="dxa"/>
            <w:tcBorders>
              <w:top w:val="nil"/>
              <w:left w:val="nil"/>
              <w:bottom w:val="single" w:sz="6" w:space="0" w:color="auto"/>
              <w:right w:val="nil"/>
            </w:tcBorders>
            <w:shd w:val="clear" w:color="auto" w:fill="D9D9D9"/>
            <w:noWrap/>
          </w:tcPr>
          <w:p w:rsidR="00B958B1" w:rsidRPr="00CA5EC9" w:rsidRDefault="00B958B1" w:rsidP="009F3B54">
            <w:pPr>
              <w:pStyle w:val="OGTableofFigures"/>
              <w:rPr>
                <w:rFonts w:cs="Calibri"/>
                <w:lang w:eastAsia="en-AU"/>
              </w:rPr>
            </w:pPr>
            <w:r w:rsidRPr="00CA5EC9">
              <w:rPr>
                <w:rFonts w:cs="Calibri"/>
                <w:lang w:eastAsia="en-AU"/>
              </w:rPr>
              <w:t>99.</w:t>
            </w:r>
            <w:r>
              <w:rPr>
                <w:rFonts w:cs="Calibri"/>
                <w:lang w:eastAsia="en-AU"/>
              </w:rPr>
              <w:t>6</w:t>
            </w:r>
          </w:p>
        </w:tc>
        <w:tc>
          <w:tcPr>
            <w:tcW w:w="993" w:type="dxa"/>
            <w:tcBorders>
              <w:top w:val="nil"/>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99.9</w:t>
            </w:r>
          </w:p>
        </w:tc>
        <w:tc>
          <w:tcPr>
            <w:tcW w:w="907" w:type="dxa"/>
            <w:tcBorders>
              <w:top w:val="nil"/>
              <w:left w:val="nil"/>
              <w:bottom w:val="single" w:sz="6" w:space="0" w:color="auto"/>
              <w:right w:val="nil"/>
            </w:tcBorders>
            <w:shd w:val="clear" w:color="auto" w:fill="auto"/>
            <w:noWrap/>
          </w:tcPr>
          <w:p w:rsidR="00B958B1" w:rsidRPr="00CA5EC9" w:rsidRDefault="00B958B1" w:rsidP="009F3B54">
            <w:pPr>
              <w:pStyle w:val="OGTableofFigures"/>
              <w:rPr>
                <w:lang w:eastAsia="en-AU"/>
              </w:rPr>
            </w:pPr>
            <w:r w:rsidRPr="00CA5EC9">
              <w:rPr>
                <w:lang w:eastAsia="en-AU"/>
              </w:rPr>
              <w:t>97.2</w:t>
            </w:r>
          </w:p>
        </w:tc>
        <w:tc>
          <w:tcPr>
            <w:tcW w:w="907" w:type="dxa"/>
            <w:tcBorders>
              <w:top w:val="nil"/>
              <w:left w:val="nil"/>
              <w:bottom w:val="single" w:sz="6" w:space="0" w:color="auto"/>
              <w:right w:val="nil"/>
            </w:tcBorders>
            <w:shd w:val="clear" w:color="auto" w:fill="auto"/>
            <w:noWrap/>
          </w:tcPr>
          <w:p w:rsidR="00B958B1" w:rsidRPr="00CA5EC9" w:rsidRDefault="00B958B1" w:rsidP="009F3B54">
            <w:pPr>
              <w:pStyle w:val="OGTableofFigures"/>
              <w:rPr>
                <w:lang w:eastAsia="en-AU"/>
              </w:rPr>
            </w:pPr>
            <w:r w:rsidRPr="00CA5EC9">
              <w:rPr>
                <w:lang w:eastAsia="en-AU"/>
              </w:rPr>
              <w:t>97.7</w:t>
            </w:r>
          </w:p>
        </w:tc>
      </w:tr>
      <w:tr w:rsidR="00B958B1" w:rsidRPr="00503D60" w:rsidTr="009F3B54">
        <w:trPr>
          <w:cantSplit/>
        </w:trPr>
        <w:tc>
          <w:tcPr>
            <w:tcW w:w="7776" w:type="dxa"/>
            <w:gridSpan w:val="6"/>
            <w:tcBorders>
              <w:top w:val="single" w:sz="6" w:space="0" w:color="auto"/>
              <w:left w:val="nil"/>
              <w:bottom w:val="nil"/>
              <w:right w:val="nil"/>
            </w:tcBorders>
            <w:shd w:val="clear" w:color="auto" w:fill="auto"/>
            <w:hideMark/>
          </w:tcPr>
          <w:p w:rsidR="00B958B1" w:rsidRPr="00503D60" w:rsidRDefault="00B958B1" w:rsidP="009F3B54">
            <w:pPr>
              <w:pStyle w:val="OGHeading2"/>
              <w:rPr>
                <w:lang w:eastAsia="en-AU"/>
              </w:rPr>
            </w:pPr>
            <w:r w:rsidRPr="00503D60">
              <w:rPr>
                <w:lang w:eastAsia="en-AU"/>
              </w:rPr>
              <w:t>Arts Portfolio Agencies</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hideMark/>
          </w:tcPr>
          <w:p w:rsidR="00B958B1" w:rsidRPr="001510CA" w:rsidRDefault="00B958B1" w:rsidP="009F3B54">
            <w:pPr>
              <w:pStyle w:val="OGText"/>
              <w:rPr>
                <w:highlight w:val="yellow"/>
                <w:lang w:eastAsia="en-AU"/>
              </w:rPr>
            </w:pPr>
            <w:r w:rsidRPr="00D05703">
              <w:rPr>
                <w:rFonts w:cs="Calibri"/>
              </w:rPr>
              <w:t>Promote, present and preserve our heritage and the arts through Victoria’s cultural agencies: Australian Centre for the Moving Image (ACMI), Geelong Performing Arts Centre, Museum Victoria, National Gallery of Victoria, Public Record Office Victoria (PROV), State Library of Victoria, Melbourne Recital Centre and the Victorian Arts Centre Trust.</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lang w:eastAsia="en-AU"/>
              </w:rPr>
              <w:t>Quantity</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right w:val="nil"/>
            </w:tcBorders>
            <w:shd w:val="clear" w:color="auto" w:fill="auto"/>
          </w:tcPr>
          <w:p w:rsidR="00B958B1" w:rsidRPr="00503D60" w:rsidRDefault="00B958B1" w:rsidP="009F3B54">
            <w:pPr>
              <w:pStyle w:val="OGTabText"/>
              <w:rPr>
                <w:color w:val="000000"/>
                <w:lang w:eastAsia="en-AU"/>
              </w:rPr>
            </w:pPr>
            <w:r w:rsidRPr="00A73584">
              <w:rPr>
                <w:color w:val="000000"/>
                <w:lang w:eastAsia="en-AU"/>
              </w:rPr>
              <w:t>Access: agency website visitation</w:t>
            </w:r>
          </w:p>
        </w:tc>
        <w:tc>
          <w:tcPr>
            <w:tcW w:w="907" w:type="dxa"/>
            <w:tcBorders>
              <w:top w:val="nil"/>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 (‘000)</w:t>
            </w:r>
          </w:p>
        </w:tc>
        <w:tc>
          <w:tcPr>
            <w:tcW w:w="907" w:type="dxa"/>
            <w:tcBorders>
              <w:top w:val="nil"/>
              <w:left w:val="nil"/>
              <w:right w:val="nil"/>
            </w:tcBorders>
            <w:shd w:val="clear" w:color="auto" w:fill="D9D9D9"/>
            <w:noWrap/>
          </w:tcPr>
          <w:p w:rsidR="00B958B1" w:rsidRPr="00A352EC" w:rsidRDefault="00B958B1" w:rsidP="009F3B54">
            <w:pPr>
              <w:pStyle w:val="OGTableofFigures"/>
              <w:rPr>
                <w:rFonts w:cs="Calibri"/>
                <w:lang w:eastAsia="en-AU"/>
              </w:rPr>
            </w:pPr>
            <w:r w:rsidRPr="00A352EC">
              <w:rPr>
                <w:rFonts w:cs="Calibri"/>
                <w:lang w:eastAsia="en-AU"/>
              </w:rPr>
              <w:t>13</w:t>
            </w:r>
            <w:r>
              <w:rPr>
                <w:rFonts w:cs="Calibri"/>
                <w:lang w:eastAsia="en-AU"/>
              </w:rPr>
              <w:t xml:space="preserve"> </w:t>
            </w:r>
            <w:r w:rsidRPr="00A352EC">
              <w:rPr>
                <w:rFonts w:cs="Calibri"/>
                <w:lang w:eastAsia="en-AU"/>
              </w:rPr>
              <w:t>200</w:t>
            </w:r>
          </w:p>
        </w:tc>
        <w:tc>
          <w:tcPr>
            <w:tcW w:w="993"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13 300</w:t>
            </w:r>
          </w:p>
        </w:tc>
        <w:tc>
          <w:tcPr>
            <w:tcW w:w="907"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12 000</w:t>
            </w:r>
          </w:p>
        </w:tc>
        <w:tc>
          <w:tcPr>
            <w:tcW w:w="907"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13 495</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85432A" w:rsidRDefault="00B958B1" w:rsidP="009F3B54">
            <w:pPr>
              <w:pStyle w:val="OGNotes"/>
            </w:pPr>
            <w:r w:rsidRPr="0085432A">
              <w:t>The 2012</w:t>
            </w:r>
            <w:r w:rsidR="009F0F49">
              <w:noBreakHyphen/>
            </w:r>
            <w:r w:rsidRPr="0085432A">
              <w:t>13 Expected Outcome is greater than the 2012</w:t>
            </w:r>
            <w:r w:rsidR="009F0F49">
              <w:noBreakHyphen/>
            </w:r>
            <w:r w:rsidRPr="0085432A">
              <w:t>13 Target due to larger than expected downloads of the NGV educational material, and greater than expected access to ACMI's online programming. These increasing trends</w:t>
            </w:r>
            <w:r>
              <w:t xml:space="preserve">, along with funding provided to build organisational capacity at the State Library of Victoria, </w:t>
            </w:r>
            <w:r w:rsidRPr="0085432A">
              <w:t xml:space="preserve"> are reflected in the higher 2013</w:t>
            </w:r>
            <w:r w:rsidR="009F0F49">
              <w:noBreakHyphen/>
            </w:r>
            <w:r w:rsidRPr="0085432A">
              <w:t>14 Target.</w:t>
            </w:r>
          </w:p>
        </w:tc>
      </w:tr>
      <w:tr w:rsidR="00B958B1" w:rsidRPr="00503D60" w:rsidTr="009F3B54">
        <w:trPr>
          <w:cantSplit/>
        </w:trPr>
        <w:tc>
          <w:tcPr>
            <w:tcW w:w="3155" w:type="dxa"/>
            <w:tcBorders>
              <w:top w:val="single" w:sz="6" w:space="0" w:color="auto"/>
              <w:left w:val="nil"/>
              <w:bottom w:val="nil"/>
              <w:right w:val="nil"/>
            </w:tcBorders>
            <w:shd w:val="clear" w:color="auto" w:fill="auto"/>
          </w:tcPr>
          <w:p w:rsidR="00B958B1" w:rsidRPr="00503D60" w:rsidRDefault="00B958B1" w:rsidP="009F3B54">
            <w:pPr>
              <w:pStyle w:val="OGTabText"/>
              <w:keepNext/>
              <w:rPr>
                <w:color w:val="000000"/>
                <w:lang w:eastAsia="en-AU"/>
              </w:rPr>
            </w:pPr>
            <w:r w:rsidRPr="005E34E5">
              <w:rPr>
                <w:color w:val="000000"/>
                <w:lang w:eastAsia="en-AU"/>
              </w:rPr>
              <w:t>Access: users/attendances at all agencies</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 (‘000)</w:t>
            </w:r>
          </w:p>
        </w:tc>
        <w:tc>
          <w:tcPr>
            <w:tcW w:w="907" w:type="dxa"/>
            <w:tcBorders>
              <w:top w:val="single" w:sz="6" w:space="0" w:color="auto"/>
              <w:left w:val="nil"/>
              <w:bottom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8 400</w:t>
            </w:r>
          </w:p>
        </w:tc>
        <w:tc>
          <w:tcPr>
            <w:tcW w:w="993" w:type="dxa"/>
            <w:tcBorders>
              <w:top w:val="single" w:sz="6" w:space="0" w:color="auto"/>
              <w:left w:val="nil"/>
              <w:bottom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8 500</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8 100</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8 889</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1C1EF0" w:rsidRDefault="00B958B1" w:rsidP="009F3B54">
            <w:pPr>
              <w:pStyle w:val="OGNotes"/>
            </w:pPr>
            <w:r>
              <w:t>The higher 2013</w:t>
            </w:r>
            <w:r w:rsidR="009F0F49">
              <w:noBreakHyphen/>
            </w:r>
            <w:r>
              <w:t>14 Target reflects funding provided for the NGV Summer program and to build organisational capacity at the State Library of Victoria.</w:t>
            </w:r>
          </w:p>
        </w:tc>
      </w:tr>
      <w:tr w:rsidR="00B958B1" w:rsidRPr="00503D60" w:rsidTr="009F3B54">
        <w:trPr>
          <w:cantSplit/>
        </w:trPr>
        <w:tc>
          <w:tcPr>
            <w:tcW w:w="3155" w:type="dxa"/>
            <w:tcBorders>
              <w:top w:val="single" w:sz="6" w:space="0" w:color="auto"/>
              <w:left w:val="nil"/>
              <w:bottom w:val="nil"/>
              <w:right w:val="nil"/>
            </w:tcBorders>
            <w:shd w:val="clear" w:color="auto" w:fill="auto"/>
          </w:tcPr>
          <w:p w:rsidR="00B958B1" w:rsidRPr="00503D60" w:rsidRDefault="00B958B1" w:rsidP="009F3B54">
            <w:pPr>
              <w:pStyle w:val="OGTabText"/>
              <w:rPr>
                <w:color w:val="000000"/>
                <w:lang w:eastAsia="en-AU"/>
              </w:rPr>
            </w:pPr>
            <w:r w:rsidRPr="005E34E5">
              <w:rPr>
                <w:color w:val="000000"/>
                <w:lang w:eastAsia="en-AU"/>
              </w:rPr>
              <w:t>Agency service agreements in place</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bottom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6</w:t>
            </w:r>
          </w:p>
        </w:tc>
        <w:tc>
          <w:tcPr>
            <w:tcW w:w="993" w:type="dxa"/>
            <w:tcBorders>
              <w:top w:val="single" w:sz="6" w:space="0" w:color="auto"/>
              <w:left w:val="nil"/>
              <w:bottom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6</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6</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6</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85432A" w:rsidRDefault="00B958B1" w:rsidP="009F3B54">
            <w:pPr>
              <w:pStyle w:val="OGNotes"/>
            </w:pPr>
            <w:r w:rsidRPr="0085432A">
              <w:t xml:space="preserve">This performance measure </w:t>
            </w:r>
            <w:r>
              <w:t xml:space="preserve">is </w:t>
            </w:r>
            <w:r w:rsidRPr="0085432A">
              <w:t xml:space="preserve">transferred </w:t>
            </w:r>
            <w:r>
              <w:t xml:space="preserve">directly </w:t>
            </w:r>
            <w:r w:rsidRPr="0085432A">
              <w:t xml:space="preserve">from the </w:t>
            </w:r>
            <w:r>
              <w:t>2012</w:t>
            </w:r>
            <w:r w:rsidR="009F0F49">
              <w:noBreakHyphen/>
            </w:r>
            <w:r>
              <w:t xml:space="preserve">13 </w:t>
            </w:r>
            <w:r w:rsidRPr="0085432A">
              <w:t>Portfolio Services and Policy output as it aligns better with the activities in the Arts Portfolio Agencies output.</w:t>
            </w:r>
          </w:p>
        </w:tc>
      </w:tr>
      <w:tr w:rsidR="00B958B1" w:rsidRPr="00503D60" w:rsidTr="009F3B54">
        <w:trPr>
          <w:cantSplit/>
        </w:trPr>
        <w:tc>
          <w:tcPr>
            <w:tcW w:w="3155" w:type="dxa"/>
            <w:tcBorders>
              <w:top w:val="single" w:sz="6" w:space="0" w:color="auto"/>
              <w:left w:val="nil"/>
              <w:bottom w:val="nil"/>
              <w:right w:val="nil"/>
            </w:tcBorders>
            <w:shd w:val="clear" w:color="auto" w:fill="auto"/>
          </w:tcPr>
          <w:p w:rsidR="00B958B1" w:rsidRPr="00503D60" w:rsidRDefault="00B958B1" w:rsidP="009F3B54">
            <w:pPr>
              <w:pStyle w:val="OGTabText"/>
              <w:rPr>
                <w:color w:val="000000"/>
                <w:lang w:eastAsia="en-AU"/>
              </w:rPr>
            </w:pPr>
            <w:r w:rsidRPr="005E34E5">
              <w:rPr>
                <w:color w:val="000000"/>
                <w:lang w:eastAsia="en-AU"/>
              </w:rPr>
              <w:t>Community engagement: members and friends of agencies</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bottom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40 000</w:t>
            </w:r>
          </w:p>
        </w:tc>
        <w:tc>
          <w:tcPr>
            <w:tcW w:w="993" w:type="dxa"/>
            <w:tcBorders>
              <w:top w:val="single" w:sz="6" w:space="0" w:color="auto"/>
              <w:left w:val="nil"/>
              <w:bottom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42 000</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37 500</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43 746</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85432A" w:rsidRDefault="00B958B1" w:rsidP="009F3B54">
            <w:pPr>
              <w:pStyle w:val="OGNotes"/>
            </w:pPr>
            <w:r w:rsidRPr="0085432A">
              <w:t>The 2012</w:t>
            </w:r>
            <w:r w:rsidR="009F0F49">
              <w:noBreakHyphen/>
            </w:r>
            <w:r w:rsidRPr="0085432A">
              <w:t xml:space="preserve">13 Expected Outcome is </w:t>
            </w:r>
            <w:r>
              <w:t>higher</w:t>
            </w:r>
            <w:r w:rsidRPr="0085432A">
              <w:t xml:space="preserve"> than the 2012</w:t>
            </w:r>
            <w:r w:rsidR="009F0F49">
              <w:noBreakHyphen/>
            </w:r>
            <w:r w:rsidRPr="0085432A">
              <w:t>13 Target as agencies have been increasing members and friends through recruitment drives and successful programming, an increase which is reflected in the 2013</w:t>
            </w:r>
            <w:r w:rsidR="009F0F49">
              <w:noBreakHyphen/>
            </w:r>
            <w:r w:rsidRPr="0085432A">
              <w:t>14 Target.</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Text"/>
              <w:rPr>
                <w:color w:val="000000"/>
                <w:lang w:eastAsia="en-AU"/>
              </w:rPr>
            </w:pPr>
            <w:r w:rsidRPr="005E34E5">
              <w:rPr>
                <w:color w:val="000000"/>
                <w:lang w:eastAsia="en-AU"/>
              </w:rPr>
              <w:t>Community engagement: volunteer hours</w:t>
            </w:r>
          </w:p>
        </w:tc>
        <w:tc>
          <w:tcPr>
            <w:tcW w:w="907" w:type="dxa"/>
            <w:tcBorders>
              <w:top w:val="single" w:sz="6" w:space="0" w:color="auto"/>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100 000</w:t>
            </w:r>
          </w:p>
        </w:tc>
        <w:tc>
          <w:tcPr>
            <w:tcW w:w="993"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110 000</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95 000</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115 126</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Default="00B958B1" w:rsidP="009F3B54">
            <w:pPr>
              <w:pStyle w:val="OGNotes"/>
            </w:pPr>
            <w:r>
              <w:t>The 2012</w:t>
            </w:r>
            <w:r w:rsidR="009F0F49">
              <w:noBreakHyphen/>
            </w:r>
            <w:r>
              <w:t>13 Expected Outcome is higher than the 2012</w:t>
            </w:r>
            <w:r w:rsidR="009F0F49">
              <w:noBreakHyphen/>
            </w:r>
            <w:r>
              <w:t>13 Target as a result of special events in the first half of 2012</w:t>
            </w:r>
            <w:r w:rsidR="009F0F49">
              <w:noBreakHyphen/>
            </w:r>
            <w:r>
              <w:t>13 such as the opening of Hamer Hall, when there was a greater than anticipated use of volunteers.</w:t>
            </w:r>
          </w:p>
          <w:p w:rsidR="00B958B1" w:rsidRPr="0085432A" w:rsidRDefault="00B958B1" w:rsidP="009F3B54">
            <w:pPr>
              <w:pStyle w:val="OGNotes"/>
            </w:pPr>
            <w:r>
              <w:t>The higher 2013</w:t>
            </w:r>
            <w:r w:rsidR="009F0F49">
              <w:noBreakHyphen/>
            </w:r>
            <w:r>
              <w:t>14 Target reflects growth in volunteer engagement over the last few years.</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803A79">
              <w:rPr>
                <w:color w:val="000000"/>
                <w:lang w:eastAsia="en-AU"/>
              </w:rPr>
              <w:t>Education: students participating in Agency education programs</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500 000</w:t>
            </w:r>
          </w:p>
        </w:tc>
        <w:tc>
          <w:tcPr>
            <w:tcW w:w="993"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518 000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500 000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527 152</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803A79">
              <w:rPr>
                <w:color w:val="000000"/>
                <w:lang w:eastAsia="en-AU"/>
              </w:rPr>
              <w:t>Public Records Office Victoria: digital records preserved</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150 000</w:t>
            </w:r>
          </w:p>
        </w:tc>
        <w:tc>
          <w:tcPr>
            <w:tcW w:w="993"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150 000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150 000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197 793</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Text"/>
              <w:rPr>
                <w:color w:val="000000"/>
                <w:lang w:eastAsia="en-AU"/>
              </w:rPr>
            </w:pPr>
            <w:r w:rsidRPr="00803A79">
              <w:rPr>
                <w:color w:val="000000"/>
                <w:lang w:eastAsia="en-AU"/>
              </w:rPr>
              <w:t>Public Records Office Victoria: Records transferred</w:t>
            </w:r>
          </w:p>
        </w:tc>
        <w:tc>
          <w:tcPr>
            <w:tcW w:w="907" w:type="dxa"/>
            <w:tcBorders>
              <w:top w:val="single" w:sz="6" w:space="0" w:color="auto"/>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shelf metres</w:t>
            </w:r>
          </w:p>
        </w:tc>
        <w:tc>
          <w:tcPr>
            <w:tcW w:w="907" w:type="dxa"/>
            <w:tcBorders>
              <w:top w:val="single" w:sz="6" w:space="0" w:color="auto"/>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1 500</w:t>
            </w:r>
          </w:p>
        </w:tc>
        <w:tc>
          <w:tcPr>
            <w:tcW w:w="993"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2 000</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1 000</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2 154</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85432A" w:rsidRDefault="00B958B1" w:rsidP="009F3B54">
            <w:pPr>
              <w:pStyle w:val="OGNotes"/>
            </w:pPr>
            <w:r w:rsidRPr="0085432A">
              <w:t>The 2012</w:t>
            </w:r>
            <w:r w:rsidR="009F0F49">
              <w:noBreakHyphen/>
            </w:r>
            <w:r w:rsidRPr="0085432A">
              <w:t xml:space="preserve">13 Expected Outcome is </w:t>
            </w:r>
            <w:r>
              <w:t>higher</w:t>
            </w:r>
            <w:r w:rsidRPr="0085432A">
              <w:t xml:space="preserve"> than the 2012</w:t>
            </w:r>
            <w:r w:rsidR="009F0F49">
              <w:noBreakHyphen/>
            </w:r>
            <w:r w:rsidRPr="0085432A">
              <w:t xml:space="preserve">13 Target  </w:t>
            </w:r>
            <w:r>
              <w:t>due to</w:t>
            </w:r>
            <w:r w:rsidRPr="0085432A">
              <w:t xml:space="preserve"> a greater number of transfers than expected were completed by relevant agencies. The 2013</w:t>
            </w:r>
            <w:r w:rsidR="009F0F49">
              <w:noBreakHyphen/>
            </w:r>
            <w:r w:rsidRPr="0085432A">
              <w:t xml:space="preserve">14 Target </w:t>
            </w:r>
            <w:r>
              <w:t>has been increased to reflect this</w:t>
            </w:r>
            <w:r w:rsidRPr="0085432A">
              <w:t>.</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803A79">
              <w:rPr>
                <w:color w:val="000000"/>
                <w:lang w:eastAsia="en-AU"/>
              </w:rPr>
              <w:t>Public Record Office Victoria: significant Victorian Electronic Records Strategy (VERS) projects completed</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5</w:t>
            </w:r>
          </w:p>
        </w:tc>
        <w:tc>
          <w:tcPr>
            <w:tcW w:w="993"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5</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5</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5</w:t>
            </w:r>
          </w:p>
        </w:tc>
      </w:tr>
      <w:tr w:rsidR="00B958B1" w:rsidRPr="00503D60" w:rsidTr="009F3B54">
        <w:trPr>
          <w:cantSplit/>
        </w:trPr>
        <w:tc>
          <w:tcPr>
            <w:tcW w:w="3155" w:type="dxa"/>
            <w:tcBorders>
              <w:top w:val="single" w:sz="6" w:space="0" w:color="auto"/>
              <w:left w:val="nil"/>
              <w:right w:val="nil"/>
            </w:tcBorders>
            <w:shd w:val="clear" w:color="auto" w:fill="auto"/>
            <w:hideMark/>
          </w:tcPr>
          <w:p w:rsidR="00B958B1" w:rsidRPr="00503D60" w:rsidRDefault="00B958B1" w:rsidP="009F3B54">
            <w:pPr>
              <w:pStyle w:val="OGTabHead"/>
              <w:rPr>
                <w:lang w:eastAsia="en-AU"/>
              </w:rPr>
            </w:pPr>
            <w:r w:rsidRPr="00560D1F">
              <w:rPr>
                <w:lang w:eastAsia="en-AU"/>
              </w:rPr>
              <w:t>Quality</w:t>
            </w:r>
          </w:p>
        </w:tc>
        <w:tc>
          <w:tcPr>
            <w:tcW w:w="907" w:type="dxa"/>
            <w:tcBorders>
              <w:top w:val="single" w:sz="6" w:space="0" w:color="auto"/>
              <w:left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right w:val="nil"/>
            </w:tcBorders>
            <w:shd w:val="clear" w:color="auto" w:fill="auto"/>
          </w:tcPr>
          <w:p w:rsidR="00B958B1" w:rsidRPr="00503D60" w:rsidRDefault="00B958B1" w:rsidP="009F3B54">
            <w:pPr>
              <w:pStyle w:val="OGTabText"/>
              <w:rPr>
                <w:color w:val="000000"/>
                <w:lang w:eastAsia="en-AU"/>
              </w:rPr>
            </w:pPr>
            <w:r w:rsidRPr="00803A79">
              <w:rPr>
                <w:color w:val="000000"/>
                <w:lang w:eastAsia="en-AU"/>
              </w:rPr>
              <w:t>Agency collections storage meeting industry standard</w:t>
            </w:r>
          </w:p>
        </w:tc>
        <w:tc>
          <w:tcPr>
            <w:tcW w:w="907" w:type="dxa"/>
            <w:tcBorders>
              <w:top w:val="nil"/>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nil"/>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90</w:t>
            </w:r>
          </w:p>
        </w:tc>
        <w:tc>
          <w:tcPr>
            <w:tcW w:w="993"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nm</w:t>
            </w:r>
          </w:p>
        </w:tc>
        <w:tc>
          <w:tcPr>
            <w:tcW w:w="907"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nm</w:t>
            </w:r>
          </w:p>
        </w:tc>
        <w:tc>
          <w:tcPr>
            <w:tcW w:w="907"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nm</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85432A" w:rsidRDefault="00B958B1" w:rsidP="009F3B54">
            <w:pPr>
              <w:pStyle w:val="OGNotes"/>
            </w:pPr>
            <w:r w:rsidRPr="0085432A">
              <w:t>This performance measure is proposed to replace the 2012</w:t>
            </w:r>
            <w:r w:rsidR="009F0F49">
              <w:noBreakHyphen/>
            </w:r>
            <w:r w:rsidRPr="0085432A">
              <w:t>13 measure "Agency collections stored to industry standard"</w:t>
            </w:r>
            <w:r>
              <w:t>. It has been replaced</w:t>
            </w:r>
            <w:r w:rsidRPr="0085432A">
              <w:t xml:space="preserve"> to improve the rigour of performance measurement relating to collection management.</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803A79">
              <w:rPr>
                <w:color w:val="000000"/>
                <w:lang w:eastAsia="en-AU"/>
              </w:rPr>
              <w:t>Visitors satisfied with visit: Australian Centre for the Moving Image</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90</w:t>
            </w:r>
          </w:p>
        </w:tc>
        <w:tc>
          <w:tcPr>
            <w:tcW w:w="993"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92</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85</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Text"/>
              <w:rPr>
                <w:color w:val="000000"/>
                <w:lang w:eastAsia="en-AU"/>
              </w:rPr>
            </w:pPr>
            <w:r w:rsidRPr="00803A79">
              <w:rPr>
                <w:color w:val="000000"/>
                <w:lang w:eastAsia="en-AU"/>
              </w:rPr>
              <w:t>Visitors satisfied with visit: Geelong Performing Arts Centre</w:t>
            </w:r>
          </w:p>
        </w:tc>
        <w:tc>
          <w:tcPr>
            <w:tcW w:w="907" w:type="dxa"/>
            <w:tcBorders>
              <w:top w:val="single" w:sz="6" w:space="0" w:color="auto"/>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98</w:t>
            </w:r>
          </w:p>
        </w:tc>
        <w:tc>
          <w:tcPr>
            <w:tcW w:w="993"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98</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98</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99</w:t>
            </w:r>
          </w:p>
        </w:tc>
      </w:tr>
      <w:tr w:rsidR="00B958B1" w:rsidRPr="00503D60" w:rsidTr="009F3B54">
        <w:trPr>
          <w:cantSplit/>
        </w:trPr>
        <w:tc>
          <w:tcPr>
            <w:tcW w:w="3155" w:type="dxa"/>
            <w:tcBorders>
              <w:left w:val="nil"/>
              <w:right w:val="nil"/>
            </w:tcBorders>
            <w:shd w:val="clear" w:color="auto" w:fill="auto"/>
          </w:tcPr>
          <w:p w:rsidR="00B958B1" w:rsidRPr="00503D60" w:rsidRDefault="00B958B1" w:rsidP="009F3B54">
            <w:pPr>
              <w:pStyle w:val="OGTabText"/>
              <w:rPr>
                <w:color w:val="000000"/>
                <w:lang w:eastAsia="en-AU"/>
              </w:rPr>
            </w:pPr>
            <w:r w:rsidRPr="00803A79">
              <w:rPr>
                <w:color w:val="000000"/>
                <w:lang w:eastAsia="en-AU"/>
              </w:rPr>
              <w:t>Visitors satisfied with visit: Melbourne Recital Centre</w:t>
            </w:r>
          </w:p>
        </w:tc>
        <w:tc>
          <w:tcPr>
            <w:tcW w:w="907" w:type="dxa"/>
            <w:tcBorders>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90</w:t>
            </w:r>
          </w:p>
        </w:tc>
        <w:tc>
          <w:tcPr>
            <w:tcW w:w="993" w:type="dxa"/>
            <w:tcBorders>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96</w:t>
            </w:r>
          </w:p>
        </w:tc>
        <w:tc>
          <w:tcPr>
            <w:tcW w:w="907" w:type="dxa"/>
            <w:tcBorders>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90</w:t>
            </w:r>
          </w:p>
        </w:tc>
        <w:tc>
          <w:tcPr>
            <w:tcW w:w="907" w:type="dxa"/>
            <w:tcBorders>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98</w:t>
            </w:r>
          </w:p>
        </w:tc>
      </w:tr>
      <w:tr w:rsidR="00B958B1" w:rsidRPr="00503D60" w:rsidTr="009F3B54">
        <w:trPr>
          <w:cantSplit/>
        </w:trPr>
        <w:tc>
          <w:tcPr>
            <w:tcW w:w="7776" w:type="dxa"/>
            <w:gridSpan w:val="6"/>
            <w:tcBorders>
              <w:left w:val="nil"/>
              <w:bottom w:val="single" w:sz="6" w:space="0" w:color="auto"/>
              <w:right w:val="nil"/>
            </w:tcBorders>
            <w:shd w:val="clear" w:color="auto" w:fill="auto"/>
          </w:tcPr>
          <w:p w:rsidR="00B958B1" w:rsidRPr="00FB23B1" w:rsidRDefault="00B958B1" w:rsidP="009F3B54">
            <w:pPr>
              <w:pStyle w:val="OGNotes"/>
            </w:pPr>
            <w:r w:rsidRPr="00FB23B1">
              <w:t>The 2012</w:t>
            </w:r>
            <w:r w:rsidR="009F0F49">
              <w:noBreakHyphen/>
            </w:r>
            <w:r w:rsidRPr="00FB23B1">
              <w:t>13 Expected Outcome is higher than the 2012</w:t>
            </w:r>
            <w:r w:rsidR="009F0F49">
              <w:noBreakHyphen/>
            </w:r>
            <w:r w:rsidRPr="00FB23B1">
              <w:t>13 Target as a result of visitor satisfaction with better facilities and programming standards.</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Text"/>
              <w:rPr>
                <w:color w:val="000000"/>
                <w:lang w:eastAsia="en-AU"/>
              </w:rPr>
            </w:pPr>
            <w:r w:rsidRPr="00803A79">
              <w:rPr>
                <w:color w:val="000000"/>
                <w:lang w:eastAsia="en-AU"/>
              </w:rPr>
              <w:t>Visitors satisfied with visit: Museum Victoria</w:t>
            </w:r>
          </w:p>
        </w:tc>
        <w:tc>
          <w:tcPr>
            <w:tcW w:w="907" w:type="dxa"/>
            <w:tcBorders>
              <w:top w:val="single" w:sz="6" w:space="0" w:color="auto"/>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90</w:t>
            </w:r>
          </w:p>
        </w:tc>
        <w:tc>
          <w:tcPr>
            <w:tcW w:w="993"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90</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sidRPr="00D04D79">
              <w:rPr>
                <w:rFonts w:cs="Calibri"/>
                <w:lang w:eastAsia="en-AU"/>
              </w:rPr>
              <w:t>95</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89</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FB23B1" w:rsidRDefault="00B958B1" w:rsidP="009F3B54">
            <w:pPr>
              <w:pStyle w:val="OGNotes"/>
            </w:pPr>
            <w:r w:rsidRPr="00D04D79">
              <w:t>The 2012</w:t>
            </w:r>
            <w:r w:rsidR="009F0F49">
              <w:noBreakHyphen/>
            </w:r>
            <w:r w:rsidRPr="00D04D79">
              <w:t>13 Target  was erroneously published as 95</w:t>
            </w:r>
            <w:r>
              <w:t> per cent</w:t>
            </w:r>
            <w:r w:rsidRPr="00D04D79">
              <w:t xml:space="preserve"> in the </w:t>
            </w:r>
            <w:r w:rsidRPr="00D04D79">
              <w:rPr>
                <w:i w:val="0"/>
              </w:rPr>
              <w:t>2012</w:t>
            </w:r>
            <w:r w:rsidR="009F0F49">
              <w:rPr>
                <w:i w:val="0"/>
              </w:rPr>
              <w:noBreakHyphen/>
            </w:r>
            <w:r w:rsidRPr="00D04D79">
              <w:rPr>
                <w:i w:val="0"/>
              </w:rPr>
              <w:t>13 Budget Paper No.3</w:t>
            </w:r>
            <w:r w:rsidRPr="00D04D79">
              <w:t>, and should have been 90</w:t>
            </w:r>
            <w:r>
              <w:t> per cent</w:t>
            </w:r>
            <w:r w:rsidRPr="00D04D79">
              <w:t>.</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803A79">
              <w:rPr>
                <w:color w:val="000000"/>
                <w:lang w:eastAsia="en-AU"/>
              </w:rPr>
              <w:t>Visitors satisfied with visit: National Gallery of Victoria</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95</w:t>
            </w:r>
          </w:p>
        </w:tc>
        <w:tc>
          <w:tcPr>
            <w:tcW w:w="993"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95</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95</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97</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803A79">
              <w:rPr>
                <w:color w:val="000000"/>
                <w:lang w:eastAsia="en-AU"/>
              </w:rPr>
              <w:t>Visitors satisfied with visit: Public Record Office Victoria</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90</w:t>
            </w:r>
          </w:p>
        </w:tc>
        <w:tc>
          <w:tcPr>
            <w:tcW w:w="993"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96</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503D60" w:rsidRDefault="00B958B1" w:rsidP="009F3B54">
            <w:pPr>
              <w:pStyle w:val="OGTabText"/>
              <w:keepNext/>
              <w:rPr>
                <w:color w:val="000000"/>
                <w:lang w:eastAsia="en-AU"/>
              </w:rPr>
            </w:pPr>
            <w:r w:rsidRPr="00803A79">
              <w:rPr>
                <w:color w:val="000000"/>
                <w:lang w:eastAsia="en-AU"/>
              </w:rPr>
              <w:t>Visitors satisfied with visit:  State Library of Victoria</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90</w:t>
            </w:r>
          </w:p>
        </w:tc>
        <w:tc>
          <w:tcPr>
            <w:tcW w:w="993"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91</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Text"/>
              <w:rPr>
                <w:color w:val="000000"/>
                <w:lang w:eastAsia="en-AU"/>
              </w:rPr>
            </w:pPr>
            <w:r w:rsidRPr="00803A79">
              <w:rPr>
                <w:color w:val="000000"/>
                <w:lang w:eastAsia="en-AU"/>
              </w:rPr>
              <w:t>Visitors satisfied with visit:  Victoria</w:t>
            </w:r>
            <w:r>
              <w:rPr>
                <w:color w:val="000000"/>
                <w:lang w:eastAsia="en-AU"/>
              </w:rPr>
              <w:t>n</w:t>
            </w:r>
            <w:r w:rsidRPr="00803A79">
              <w:rPr>
                <w:color w:val="000000"/>
                <w:lang w:eastAsia="en-AU"/>
              </w:rPr>
              <w:t xml:space="preserve"> </w:t>
            </w:r>
            <w:r>
              <w:rPr>
                <w:color w:val="000000"/>
                <w:lang w:eastAsia="en-AU"/>
              </w:rPr>
              <w:t xml:space="preserve">Arts </w:t>
            </w:r>
            <w:r w:rsidRPr="00803A79">
              <w:rPr>
                <w:color w:val="000000"/>
                <w:lang w:eastAsia="en-AU"/>
              </w:rPr>
              <w:t xml:space="preserve">Centre </w:t>
            </w:r>
          </w:p>
        </w:tc>
        <w:tc>
          <w:tcPr>
            <w:tcW w:w="907" w:type="dxa"/>
            <w:tcBorders>
              <w:top w:val="single" w:sz="6" w:space="0" w:color="auto"/>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95</w:t>
            </w:r>
          </w:p>
        </w:tc>
        <w:tc>
          <w:tcPr>
            <w:tcW w:w="993"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95</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95</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85</w:t>
            </w:r>
          </w:p>
        </w:tc>
      </w:tr>
      <w:tr w:rsidR="00B958B1" w:rsidRPr="00503D60" w:rsidTr="009F3B54">
        <w:trPr>
          <w:cantSplit/>
        </w:trPr>
        <w:tc>
          <w:tcPr>
            <w:tcW w:w="7776" w:type="dxa"/>
            <w:gridSpan w:val="6"/>
            <w:tcBorders>
              <w:left w:val="nil"/>
              <w:bottom w:val="single" w:sz="6" w:space="0" w:color="auto"/>
              <w:right w:val="nil"/>
            </w:tcBorders>
            <w:shd w:val="clear" w:color="auto" w:fill="auto"/>
          </w:tcPr>
          <w:p w:rsidR="00B958B1" w:rsidRPr="00013E5C" w:rsidRDefault="00B958B1" w:rsidP="009F3B54">
            <w:pPr>
              <w:pStyle w:val="OGNotes"/>
              <w:rPr>
                <w:highlight w:val="yellow"/>
              </w:rPr>
            </w:pPr>
            <w:r w:rsidRPr="00B51122">
              <w:t xml:space="preserve">This performance measure </w:t>
            </w:r>
            <w:r>
              <w:t xml:space="preserve">renames </w:t>
            </w:r>
            <w:r w:rsidRPr="00B51122">
              <w:t>the 2012</w:t>
            </w:r>
            <w:r w:rsidR="009F0F49">
              <w:noBreakHyphen/>
            </w:r>
            <w:r w:rsidRPr="00B51122">
              <w:t xml:space="preserve">13 performance measure </w:t>
            </w:r>
            <w:r>
              <w:t>‘</w:t>
            </w:r>
            <w:r w:rsidRPr="00B51122">
              <w:rPr>
                <w:rFonts w:cs="Calibri"/>
                <w:color w:val="000000"/>
              </w:rPr>
              <w:t xml:space="preserve">Visitors satisfied with visit: Victorian Arts Centre </w:t>
            </w:r>
            <w:r>
              <w:rPr>
                <w:rFonts w:cs="Calibri"/>
                <w:color w:val="000000"/>
              </w:rPr>
              <w:t>Trust</w:t>
            </w:r>
            <w:r w:rsidRPr="00B51122">
              <w:t>'.</w:t>
            </w:r>
            <w:r>
              <w:t xml:space="preserve"> The new measure reports on the same activity as the previous measure.</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lang w:eastAsia="en-AU"/>
              </w:rPr>
              <w:t>Timeliness</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right w:val="nil"/>
            </w:tcBorders>
            <w:shd w:val="clear" w:color="auto" w:fill="auto"/>
          </w:tcPr>
          <w:p w:rsidR="00B958B1" w:rsidRPr="00503D60" w:rsidRDefault="00B958B1" w:rsidP="009F3B54">
            <w:pPr>
              <w:pStyle w:val="OGTabText"/>
              <w:rPr>
                <w:color w:val="000000"/>
                <w:lang w:eastAsia="en-AU"/>
              </w:rPr>
            </w:pPr>
            <w:r w:rsidRPr="00803A79">
              <w:rPr>
                <w:color w:val="000000"/>
                <w:lang w:eastAsia="en-AU"/>
              </w:rPr>
              <w:t>Arts portfolio public body annual reports tabled in Parliament by the required statutory dates</w:t>
            </w:r>
          </w:p>
        </w:tc>
        <w:tc>
          <w:tcPr>
            <w:tcW w:w="907" w:type="dxa"/>
            <w:tcBorders>
              <w:top w:val="nil"/>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nil"/>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100</w:t>
            </w:r>
          </w:p>
        </w:tc>
        <w:tc>
          <w:tcPr>
            <w:tcW w:w="993"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c>
          <w:tcPr>
            <w:tcW w:w="907"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c>
          <w:tcPr>
            <w:tcW w:w="907"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FB23B1" w:rsidRDefault="00B958B1" w:rsidP="009F3B54">
            <w:pPr>
              <w:pStyle w:val="OGNotes"/>
            </w:pPr>
            <w:r w:rsidRPr="00FB23B1">
              <w:t xml:space="preserve">This performance measure has been transferred from the </w:t>
            </w:r>
            <w:r>
              <w:t>2012</w:t>
            </w:r>
            <w:r w:rsidR="009F0F49">
              <w:noBreakHyphen/>
            </w:r>
            <w:r>
              <w:t xml:space="preserve">13 </w:t>
            </w:r>
            <w:r w:rsidRPr="00FB23B1">
              <w:t>Portfolio Services and Policy output as it aligns better with the activities in the Arts Portfolio Agencies output.</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803A79">
              <w:rPr>
                <w:color w:val="000000"/>
                <w:lang w:eastAsia="en-AU"/>
              </w:rPr>
              <w:t>Public Record Office Victoria records issued within specified timeframes</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95</w:t>
            </w:r>
          </w:p>
        </w:tc>
        <w:tc>
          <w:tcPr>
            <w:tcW w:w="993"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95</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95</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95</w:t>
            </w:r>
          </w:p>
        </w:tc>
      </w:tr>
      <w:tr w:rsidR="00B958B1" w:rsidRPr="00503D60" w:rsidTr="009F3B54">
        <w:trPr>
          <w:cantSplit/>
        </w:trPr>
        <w:tc>
          <w:tcPr>
            <w:tcW w:w="3155" w:type="dxa"/>
            <w:tcBorders>
              <w:top w:val="single" w:sz="6" w:space="0" w:color="auto"/>
              <w:left w:val="nil"/>
              <w:right w:val="nil"/>
            </w:tcBorders>
            <w:shd w:val="clear" w:color="auto" w:fill="auto"/>
            <w:hideMark/>
          </w:tcPr>
          <w:p w:rsidR="00B958B1" w:rsidRPr="00503D60" w:rsidRDefault="00B958B1" w:rsidP="009F3B54">
            <w:pPr>
              <w:pStyle w:val="OGTabHead"/>
              <w:rPr>
                <w:lang w:eastAsia="en-AU"/>
              </w:rPr>
            </w:pPr>
            <w:r w:rsidRPr="00560D1F">
              <w:rPr>
                <w:lang w:eastAsia="en-AU"/>
              </w:rPr>
              <w:t>Cost</w:t>
            </w:r>
          </w:p>
        </w:tc>
        <w:tc>
          <w:tcPr>
            <w:tcW w:w="907" w:type="dxa"/>
            <w:tcBorders>
              <w:top w:val="single" w:sz="6" w:space="0" w:color="auto"/>
              <w:left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bottom w:val="single" w:sz="12" w:space="0" w:color="auto"/>
              <w:right w:val="nil"/>
            </w:tcBorders>
            <w:shd w:val="clear" w:color="auto" w:fill="auto"/>
            <w:hideMark/>
          </w:tcPr>
          <w:p w:rsidR="00B958B1" w:rsidRPr="00503D60" w:rsidRDefault="00B958B1" w:rsidP="009F3B54">
            <w:pPr>
              <w:pStyle w:val="OGTabText"/>
              <w:rPr>
                <w:color w:val="000000"/>
                <w:lang w:eastAsia="en-AU"/>
              </w:rPr>
            </w:pPr>
            <w:r w:rsidRPr="00503D60">
              <w:rPr>
                <w:color w:val="000000"/>
                <w:lang w:eastAsia="en-AU"/>
              </w:rPr>
              <w:t>Total output cost</w:t>
            </w:r>
          </w:p>
        </w:tc>
        <w:tc>
          <w:tcPr>
            <w:tcW w:w="907" w:type="dxa"/>
            <w:tcBorders>
              <w:top w:val="nil"/>
              <w:left w:val="nil"/>
              <w:bottom w:val="single" w:sz="12" w:space="0" w:color="auto"/>
              <w:right w:val="nil"/>
            </w:tcBorders>
            <w:shd w:val="clear" w:color="auto" w:fill="auto"/>
            <w:noWrap/>
            <w:hideMark/>
          </w:tcPr>
          <w:p w:rsidR="00B958B1" w:rsidRPr="00503D60" w:rsidRDefault="00B958B1" w:rsidP="009F3B54">
            <w:pPr>
              <w:pStyle w:val="OGUoM"/>
              <w:rPr>
                <w:rFonts w:cs="Calibri"/>
                <w:lang w:eastAsia="en-AU"/>
              </w:rPr>
            </w:pPr>
            <w:r w:rsidRPr="00503D60">
              <w:rPr>
                <w:rFonts w:cs="Calibri"/>
                <w:lang w:eastAsia="en-AU"/>
              </w:rPr>
              <w:t>$</w:t>
            </w:r>
            <w:r>
              <w:rPr>
                <w:rFonts w:cs="Calibri"/>
                <w:lang w:eastAsia="en-AU"/>
              </w:rPr>
              <w:t> million</w:t>
            </w:r>
          </w:p>
        </w:tc>
        <w:tc>
          <w:tcPr>
            <w:tcW w:w="907" w:type="dxa"/>
            <w:tcBorders>
              <w:top w:val="nil"/>
              <w:left w:val="nil"/>
              <w:bottom w:val="single" w:sz="12" w:space="0" w:color="auto"/>
              <w:right w:val="nil"/>
            </w:tcBorders>
            <w:shd w:val="clear" w:color="auto" w:fill="D9D9D9"/>
            <w:noWrap/>
          </w:tcPr>
          <w:p w:rsidR="00B958B1" w:rsidRPr="00CA5EC9" w:rsidRDefault="00B958B1" w:rsidP="009F3B54">
            <w:pPr>
              <w:pStyle w:val="OGTableofFigures"/>
              <w:rPr>
                <w:lang w:eastAsia="en-AU"/>
              </w:rPr>
            </w:pPr>
            <w:r>
              <w:rPr>
                <w:lang w:eastAsia="en-AU"/>
              </w:rPr>
              <w:t>319.1</w:t>
            </w:r>
          </w:p>
        </w:tc>
        <w:tc>
          <w:tcPr>
            <w:tcW w:w="993" w:type="dxa"/>
            <w:tcBorders>
              <w:top w:val="nil"/>
              <w:left w:val="nil"/>
              <w:bottom w:val="single" w:sz="12" w:space="0" w:color="auto"/>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320.4</w:t>
            </w:r>
          </w:p>
        </w:tc>
        <w:tc>
          <w:tcPr>
            <w:tcW w:w="907" w:type="dxa"/>
            <w:tcBorders>
              <w:top w:val="nil"/>
              <w:left w:val="nil"/>
              <w:bottom w:val="single" w:sz="12" w:space="0" w:color="auto"/>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318.8</w:t>
            </w:r>
          </w:p>
        </w:tc>
        <w:tc>
          <w:tcPr>
            <w:tcW w:w="907" w:type="dxa"/>
            <w:tcBorders>
              <w:top w:val="nil"/>
              <w:left w:val="nil"/>
              <w:bottom w:val="single" w:sz="12" w:space="0" w:color="auto"/>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326.7</w:t>
            </w:r>
          </w:p>
        </w:tc>
      </w:tr>
    </w:tbl>
    <w:p w:rsidR="00B958B1" w:rsidRDefault="00B958B1" w:rsidP="009F3B54">
      <w:pPr>
        <w:pStyle w:val="Source"/>
        <w:rPr>
          <w:lang w:eastAsia="en-AU"/>
        </w:rPr>
      </w:pPr>
      <w:r w:rsidRPr="00714116">
        <w:rPr>
          <w:lang w:eastAsia="en-AU"/>
        </w:rPr>
        <w:t>Sources: Departments of Premier and Cabinet and Treasury and Finance</w:t>
      </w:r>
    </w:p>
    <w:bookmarkEnd w:id="133"/>
    <w:p w:rsidR="00B958B1" w:rsidRPr="006A1481" w:rsidRDefault="00B958B1" w:rsidP="009F3B54">
      <w:pPr>
        <w:pStyle w:val="Source"/>
        <w:rPr>
          <w:lang w:eastAsia="en-AU"/>
        </w:rPr>
      </w:pPr>
      <w:r>
        <w:fldChar w:fldCharType="begin"/>
      </w:r>
      <w:r>
        <w:instrText xml:space="preserve"> XE "</w:instrText>
      </w:r>
      <w:r w:rsidRPr="00FD35A8">
        <w:instrText>Department of Premier and Cabinet:Arts and Cultural Development</w:instrText>
      </w:r>
      <w:r>
        <w:instrText xml:space="preserve">" \r "BP3DPCArtsandCultDvlpmnt" </w:instrText>
      </w:r>
      <w:r>
        <w:fldChar w:fldCharType="end"/>
      </w:r>
    </w:p>
    <w:p w:rsidR="00B958B1" w:rsidRDefault="00B958B1">
      <w:pPr>
        <w:spacing w:after="0"/>
        <w:rPr>
          <w:b/>
        </w:rPr>
      </w:pPr>
      <w:r>
        <w:br w:type="page"/>
      </w:r>
    </w:p>
    <w:p w:rsidR="00B958B1" w:rsidRDefault="00B958B1" w:rsidP="009F3B54">
      <w:pPr>
        <w:pStyle w:val="OGHeading1"/>
      </w:pPr>
      <w:bookmarkStart w:id="134" w:name="BP3DPCSuppandStrengthComm"/>
      <w:r>
        <w:t>Supporting and Strengthening Communities</w:t>
      </w:r>
    </w:p>
    <w:p w:rsidR="00B958B1" w:rsidRDefault="00B958B1" w:rsidP="009F3B54">
      <w:pPr>
        <w:pStyle w:val="OGText"/>
      </w:pPr>
      <w:r>
        <w:t>These outputs relate to the coordination and provision of services and support to culturally, linguistically and religiously diverse communities, Aboriginal Victorians and Veterans. They promote social cohesion, enhanced engagement and greater opportunities for participation and contribution to the social, cultural and economic life of Victoria.</w:t>
      </w:r>
    </w:p>
    <w:p w:rsidR="00B958B1" w:rsidRDefault="00B958B1" w:rsidP="009F3B54">
      <w:pPr>
        <w:pStyle w:val="OGText"/>
      </w:pPr>
      <w:r>
        <w:t>These outputs contribute to the departmental objective of supporting and promoting full participation in strong and vibrant communities.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1414E8" w:rsidTr="009F3B54">
        <w:trPr>
          <w:cantSplit/>
          <w:tblHeader/>
        </w:trPr>
        <w:tc>
          <w:tcPr>
            <w:tcW w:w="3155" w:type="dxa"/>
            <w:tcBorders>
              <w:top w:val="single" w:sz="4" w:space="0" w:color="auto"/>
              <w:left w:val="single" w:sz="4" w:space="0" w:color="auto"/>
              <w:bottom w:val="single" w:sz="4" w:space="0" w:color="auto"/>
              <w:right w:val="nil"/>
            </w:tcBorders>
            <w:shd w:val="clear" w:color="auto" w:fill="000000"/>
            <w:vAlign w:val="bottom"/>
          </w:tcPr>
          <w:p w:rsidR="00B958B1" w:rsidRPr="001414E8" w:rsidRDefault="00B958B1" w:rsidP="009F3B54">
            <w:pPr>
              <w:pStyle w:val="OGTabColLeft"/>
              <w:rPr>
                <w:b w:val="0"/>
                <w:i/>
              </w:rPr>
            </w:pPr>
            <w:r w:rsidRPr="001414E8">
              <w:t>Major Outputs/Deliverables</w:t>
            </w:r>
            <w:r>
              <w:br/>
            </w:r>
            <w:r w:rsidRPr="001414E8">
              <w:rPr>
                <w:b w:val="0"/>
                <w:i/>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1414E8" w:rsidRDefault="00B958B1" w:rsidP="009F3B54">
            <w:pPr>
              <w:pStyle w:val="OGTabColCentred"/>
            </w:pPr>
            <w:r w:rsidRPr="001414E8">
              <w:t xml:space="preserve">Unit of </w:t>
            </w:r>
            <w:r w:rsidRPr="001414E8">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1414E8" w:rsidRDefault="00B958B1" w:rsidP="009F3B54">
            <w:pPr>
              <w:pStyle w:val="OGTabColRight"/>
            </w:pPr>
            <w:r>
              <w:t>2013</w:t>
            </w:r>
            <w:r w:rsidR="009F0F49">
              <w:noBreakHyphen/>
            </w:r>
            <w:r>
              <w:t>14 Target</w:t>
            </w:r>
          </w:p>
        </w:tc>
        <w:tc>
          <w:tcPr>
            <w:tcW w:w="993" w:type="dxa"/>
            <w:tcBorders>
              <w:top w:val="single" w:sz="4" w:space="0" w:color="auto"/>
              <w:left w:val="nil"/>
              <w:bottom w:val="single" w:sz="4" w:space="0" w:color="auto"/>
              <w:right w:val="nil"/>
            </w:tcBorders>
            <w:shd w:val="clear" w:color="auto" w:fill="000000"/>
            <w:noWrap/>
            <w:vAlign w:val="bottom"/>
            <w:hideMark/>
          </w:tcPr>
          <w:p w:rsidR="00B958B1" w:rsidRPr="001414E8" w:rsidRDefault="00B958B1" w:rsidP="009F3B54">
            <w:pPr>
              <w:pStyle w:val="OGTabColRight"/>
            </w:pPr>
            <w:r>
              <w:t>2012</w:t>
            </w:r>
            <w:r w:rsidR="009F0F49">
              <w:noBreakHyphen/>
            </w:r>
            <w:r>
              <w:t>13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1414E8" w:rsidRDefault="00B958B1" w:rsidP="009F3B54">
            <w:pPr>
              <w:pStyle w:val="OGTabColRight"/>
            </w:pPr>
            <w:r>
              <w:t>2012</w:t>
            </w:r>
            <w:r w:rsidR="009F0F49">
              <w:noBreakHyphen/>
            </w:r>
            <w:r>
              <w:t>13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1414E8" w:rsidRDefault="00B958B1" w:rsidP="009F3B54">
            <w:pPr>
              <w:pStyle w:val="OGTabColRight"/>
            </w:pPr>
            <w:r>
              <w:t>2011</w:t>
            </w:r>
            <w:r w:rsidR="009F0F49">
              <w:noBreakHyphen/>
            </w:r>
            <w:r>
              <w:t>12 Actual</w:t>
            </w:r>
          </w:p>
        </w:tc>
      </w:tr>
      <w:tr w:rsidR="00B958B1" w:rsidRPr="00503D60" w:rsidTr="009F3B54">
        <w:trPr>
          <w:cantSplit/>
        </w:trPr>
        <w:tc>
          <w:tcPr>
            <w:tcW w:w="7776" w:type="dxa"/>
            <w:gridSpan w:val="6"/>
            <w:tcBorders>
              <w:top w:val="nil"/>
              <w:left w:val="nil"/>
              <w:bottom w:val="nil"/>
              <w:right w:val="nil"/>
            </w:tcBorders>
            <w:shd w:val="clear" w:color="auto" w:fill="auto"/>
            <w:hideMark/>
          </w:tcPr>
          <w:p w:rsidR="00B958B1" w:rsidRPr="00503D60" w:rsidRDefault="00B958B1" w:rsidP="009F3B54">
            <w:pPr>
              <w:pStyle w:val="OGHeading2"/>
              <w:rPr>
                <w:lang w:eastAsia="en-AU"/>
              </w:rPr>
            </w:pPr>
            <w:r w:rsidRPr="00503D60">
              <w:rPr>
                <w:lang w:eastAsia="en-AU"/>
              </w:rPr>
              <w:t>Multicultural Affairs and Citizenship</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hideMark/>
          </w:tcPr>
          <w:p w:rsidR="00B958B1" w:rsidRPr="00503D60" w:rsidRDefault="00B958B1" w:rsidP="009F3B54">
            <w:pPr>
              <w:pStyle w:val="OGText"/>
              <w:rPr>
                <w:lang w:eastAsia="en-AU"/>
              </w:rPr>
            </w:pPr>
            <w:r w:rsidRPr="00A10CA7">
              <w:rPr>
                <w:rFonts w:cs="Calibri"/>
              </w:rPr>
              <w:t>Oversee the provision of policy advice on Multicultural Affairs and Citizenship, settlement coordination for newly arrived migrants and refugees and deliver programs to support Victoria’s whole of government approach to multiculturalism. Coordinate the monitoring of government departments’ responsiveness to Victorians from culturally, linguistically and religiously diverse backgrounds.</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lang w:eastAsia="en-AU"/>
              </w:rPr>
              <w:t>Quantity</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right w:val="nil"/>
            </w:tcBorders>
            <w:shd w:val="clear" w:color="auto" w:fill="auto"/>
          </w:tcPr>
          <w:p w:rsidR="00B958B1" w:rsidRPr="00503D60" w:rsidRDefault="00B958B1" w:rsidP="009F3B54">
            <w:pPr>
              <w:pStyle w:val="OGTabText"/>
              <w:rPr>
                <w:color w:val="000000"/>
                <w:lang w:eastAsia="en-AU"/>
              </w:rPr>
            </w:pPr>
            <w:r w:rsidRPr="00483B90">
              <w:rPr>
                <w:color w:val="000000"/>
                <w:lang w:eastAsia="en-AU"/>
              </w:rPr>
              <w:t>Active refugee support service agreements</w:t>
            </w:r>
          </w:p>
        </w:tc>
        <w:tc>
          <w:tcPr>
            <w:tcW w:w="907" w:type="dxa"/>
            <w:tcBorders>
              <w:top w:val="nil"/>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nil"/>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10</w:t>
            </w:r>
          </w:p>
        </w:tc>
        <w:tc>
          <w:tcPr>
            <w:tcW w:w="993"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w:t>
            </w:r>
          </w:p>
        </w:tc>
        <w:tc>
          <w:tcPr>
            <w:tcW w:w="907"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w:t>
            </w:r>
          </w:p>
        </w:tc>
        <w:tc>
          <w:tcPr>
            <w:tcW w:w="907"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5664E9" w:rsidRDefault="00B958B1" w:rsidP="009F3B54">
            <w:pPr>
              <w:pStyle w:val="OGNotes"/>
            </w:pPr>
            <w:r w:rsidRPr="005664E9">
              <w:t xml:space="preserve">The </w:t>
            </w:r>
            <w:r>
              <w:t>higher 2013</w:t>
            </w:r>
            <w:r w:rsidR="009F0F49">
              <w:noBreakHyphen/>
            </w:r>
            <w:r>
              <w:t>14 T</w:t>
            </w:r>
            <w:r w:rsidRPr="005664E9">
              <w:t xml:space="preserve">arget </w:t>
            </w:r>
            <w:r>
              <w:t xml:space="preserve">reflects </w:t>
            </w:r>
            <w:r w:rsidRPr="005664E9">
              <w:t>increased partnerships with organisations to maximi</w:t>
            </w:r>
            <w:r>
              <w:t>s</w:t>
            </w:r>
            <w:r w:rsidRPr="005664E9">
              <w:t>e outcomes for refugee communities.</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Text"/>
              <w:rPr>
                <w:color w:val="000000"/>
                <w:lang w:eastAsia="en-AU"/>
              </w:rPr>
            </w:pPr>
            <w:r w:rsidRPr="00483B90">
              <w:rPr>
                <w:color w:val="000000"/>
                <w:lang w:eastAsia="en-AU"/>
              </w:rPr>
              <w:t>Consultations with cultural</w:t>
            </w:r>
            <w:r>
              <w:rPr>
                <w:color w:val="000000"/>
                <w:lang w:eastAsia="en-AU"/>
              </w:rPr>
              <w:t>ly</w:t>
            </w:r>
            <w:r w:rsidRPr="00483B90">
              <w:rPr>
                <w:color w:val="000000"/>
                <w:lang w:eastAsia="en-AU"/>
              </w:rPr>
              <w:t xml:space="preserve"> and linguistically diverse (CALD) communities</w:t>
            </w:r>
          </w:p>
        </w:tc>
        <w:tc>
          <w:tcPr>
            <w:tcW w:w="907" w:type="dxa"/>
            <w:tcBorders>
              <w:top w:val="single" w:sz="6" w:space="0" w:color="auto"/>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60</w:t>
            </w:r>
          </w:p>
        </w:tc>
        <w:tc>
          <w:tcPr>
            <w:tcW w:w="993"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120</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lang w:eastAsia="en-AU"/>
              </w:rPr>
            </w:pPr>
            <w:r>
              <w:rPr>
                <w:lang w:eastAsia="en-AU"/>
              </w:rPr>
              <w:t>60</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lang w:eastAsia="en-AU"/>
              </w:rPr>
            </w:pPr>
            <w:r>
              <w:rPr>
                <w:lang w:eastAsia="en-AU"/>
              </w:rPr>
              <w:t>60</w:t>
            </w:r>
          </w:p>
        </w:tc>
      </w:tr>
      <w:tr w:rsidR="00B958B1" w:rsidRPr="00503D60" w:rsidTr="009F3B54">
        <w:trPr>
          <w:cantSplit/>
        </w:trPr>
        <w:tc>
          <w:tcPr>
            <w:tcW w:w="7776" w:type="dxa"/>
            <w:gridSpan w:val="6"/>
            <w:tcBorders>
              <w:left w:val="nil"/>
              <w:bottom w:val="single" w:sz="6" w:space="0" w:color="auto"/>
              <w:right w:val="nil"/>
            </w:tcBorders>
            <w:shd w:val="clear" w:color="auto" w:fill="auto"/>
          </w:tcPr>
          <w:p w:rsidR="00B958B1" w:rsidRDefault="00B958B1" w:rsidP="009F3B54">
            <w:pPr>
              <w:pStyle w:val="OGNotes"/>
            </w:pPr>
            <w:r w:rsidRPr="005664E9">
              <w:t>The 2012</w:t>
            </w:r>
            <w:r w:rsidR="009F0F49">
              <w:noBreakHyphen/>
            </w:r>
            <w:r w:rsidRPr="005664E9">
              <w:t>13 Expected Outcome is higher than the 2012</w:t>
            </w:r>
            <w:r w:rsidR="009F0F49">
              <w:noBreakHyphen/>
            </w:r>
            <w:r w:rsidRPr="005664E9">
              <w:t xml:space="preserve">13 Target as a greater number of </w:t>
            </w:r>
            <w:r>
              <w:t>c</w:t>
            </w:r>
            <w:r w:rsidRPr="005664E9">
              <w:t xml:space="preserve">ommunity </w:t>
            </w:r>
            <w:r>
              <w:t>c</w:t>
            </w:r>
            <w:r w:rsidRPr="005664E9">
              <w:t>onsultations, R</w:t>
            </w:r>
            <w:r>
              <w:t xml:space="preserve">egional </w:t>
            </w:r>
            <w:r w:rsidRPr="005664E9">
              <w:t>A</w:t>
            </w:r>
            <w:r>
              <w:t xml:space="preserve">dvisory </w:t>
            </w:r>
            <w:r w:rsidRPr="005664E9">
              <w:t>C</w:t>
            </w:r>
            <w:r>
              <w:t>ouncil</w:t>
            </w:r>
            <w:r w:rsidRPr="005664E9">
              <w:t xml:space="preserve"> meetings, and V</w:t>
            </w:r>
            <w:r>
              <w:t xml:space="preserve">ictorian </w:t>
            </w:r>
            <w:r w:rsidRPr="005664E9">
              <w:t>M</w:t>
            </w:r>
            <w:r>
              <w:t>ulticultural Commission (VM</w:t>
            </w:r>
            <w:r w:rsidRPr="005664E9">
              <w:t>C</w:t>
            </w:r>
            <w:r>
              <w:t>)</w:t>
            </w:r>
            <w:r w:rsidRPr="005664E9">
              <w:t xml:space="preserve"> senior staff community engagement meetings have been held. The number of meetings attended by senior staff is above the set target, as attendance is based on addressing or exploring needs as they arise and are </w:t>
            </w:r>
            <w:r>
              <w:t xml:space="preserve">identified by community groups </w:t>
            </w:r>
            <w:r w:rsidRPr="005664E9">
              <w:t>pursuant to S</w:t>
            </w:r>
            <w:r>
              <w:t>.</w:t>
            </w:r>
            <w:r w:rsidRPr="005664E9">
              <w:t xml:space="preserve">8 of the </w:t>
            </w:r>
            <w:r w:rsidRPr="00B3537D">
              <w:rPr>
                <w:i w:val="0"/>
              </w:rPr>
              <w:t>Multicultural Victoria Act 2011</w:t>
            </w:r>
            <w:r w:rsidRPr="005664E9">
              <w:t>.</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Text"/>
              <w:rPr>
                <w:color w:val="000000"/>
                <w:lang w:eastAsia="en-AU"/>
              </w:rPr>
            </w:pPr>
            <w:r w:rsidRPr="00483B90">
              <w:rPr>
                <w:color w:val="000000"/>
                <w:lang w:eastAsia="en-AU"/>
              </w:rPr>
              <w:t>Cultural Diversity Week events supported by the Victorian Multicultural Commission</w:t>
            </w:r>
          </w:p>
        </w:tc>
        <w:tc>
          <w:tcPr>
            <w:tcW w:w="907" w:type="dxa"/>
            <w:tcBorders>
              <w:top w:val="single" w:sz="6" w:space="0" w:color="auto"/>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200</w:t>
            </w:r>
          </w:p>
        </w:tc>
        <w:tc>
          <w:tcPr>
            <w:tcW w:w="993"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200</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200</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200</w:t>
            </w:r>
          </w:p>
        </w:tc>
      </w:tr>
      <w:tr w:rsidR="00B958B1" w:rsidRPr="00503D60" w:rsidTr="009F3B54">
        <w:trPr>
          <w:cantSplit/>
        </w:trPr>
        <w:tc>
          <w:tcPr>
            <w:tcW w:w="3155" w:type="dxa"/>
            <w:tcBorders>
              <w:top w:val="nil"/>
              <w:left w:val="nil"/>
              <w:right w:val="nil"/>
            </w:tcBorders>
            <w:shd w:val="clear" w:color="auto" w:fill="auto"/>
          </w:tcPr>
          <w:p w:rsidR="00B958B1" w:rsidRPr="00503D60" w:rsidRDefault="00B958B1" w:rsidP="009F3B54">
            <w:pPr>
              <w:pStyle w:val="OGTabText"/>
              <w:rPr>
                <w:color w:val="000000"/>
                <w:lang w:eastAsia="en-AU"/>
              </w:rPr>
            </w:pPr>
            <w:r w:rsidRPr="00483B90">
              <w:rPr>
                <w:color w:val="000000"/>
                <w:lang w:eastAsia="en-AU"/>
              </w:rPr>
              <w:t>Grants approved</w:t>
            </w:r>
          </w:p>
        </w:tc>
        <w:tc>
          <w:tcPr>
            <w:tcW w:w="907" w:type="dxa"/>
            <w:tcBorders>
              <w:top w:val="nil"/>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nil"/>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2 300</w:t>
            </w:r>
          </w:p>
        </w:tc>
        <w:tc>
          <w:tcPr>
            <w:tcW w:w="993"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2 400</w:t>
            </w:r>
          </w:p>
        </w:tc>
        <w:tc>
          <w:tcPr>
            <w:tcW w:w="907"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2 420</w:t>
            </w:r>
          </w:p>
        </w:tc>
        <w:tc>
          <w:tcPr>
            <w:tcW w:w="907"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nm</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526E52" w:rsidRDefault="00B958B1" w:rsidP="009F3B54">
            <w:pPr>
              <w:pStyle w:val="OGNotes"/>
            </w:pPr>
            <w:r w:rsidRPr="00B51122">
              <w:t>The lower 2013</w:t>
            </w:r>
            <w:r w:rsidR="009F0F49">
              <w:noBreakHyphen/>
            </w:r>
            <w:r w:rsidRPr="00B51122">
              <w:t xml:space="preserve">14 Target reflects the </w:t>
            </w:r>
            <w:r>
              <w:t xml:space="preserve">findings of a </w:t>
            </w:r>
            <w:r w:rsidRPr="00B51122">
              <w:t xml:space="preserve">VMC </w:t>
            </w:r>
            <w:r>
              <w:t>grants</w:t>
            </w:r>
            <w:r w:rsidRPr="00B51122">
              <w:t xml:space="preserve"> policy</w:t>
            </w:r>
            <w:r>
              <w:t xml:space="preserve"> review.</w:t>
            </w:r>
            <w:r w:rsidRPr="00B51122">
              <w:t xml:space="preserve"> In response, </w:t>
            </w:r>
            <w:r>
              <w:t xml:space="preserve">the VMC </w:t>
            </w:r>
            <w:r w:rsidRPr="00B51122">
              <w:t xml:space="preserve"> is allocating more substantive grant amounts and increasing the minimum grant funds, leading to an overall reduction in the number of grants awarded within the grants budget.</w:t>
            </w:r>
          </w:p>
        </w:tc>
      </w:tr>
      <w:tr w:rsidR="00B958B1" w:rsidRPr="00503D60" w:rsidTr="009F3B54">
        <w:trPr>
          <w:cantSplit/>
        </w:trPr>
        <w:tc>
          <w:tcPr>
            <w:tcW w:w="3155" w:type="dxa"/>
            <w:tcBorders>
              <w:top w:val="single" w:sz="6" w:space="0" w:color="auto"/>
              <w:left w:val="nil"/>
              <w:bottom w:val="nil"/>
              <w:right w:val="nil"/>
            </w:tcBorders>
            <w:shd w:val="clear" w:color="auto" w:fill="auto"/>
          </w:tcPr>
          <w:p w:rsidR="00B958B1" w:rsidRPr="00503D60" w:rsidRDefault="00B958B1" w:rsidP="009F3B54">
            <w:pPr>
              <w:pStyle w:val="OGTabText"/>
              <w:rPr>
                <w:color w:val="000000"/>
                <w:lang w:eastAsia="en-AU"/>
              </w:rPr>
            </w:pPr>
            <w:r w:rsidRPr="00483B90">
              <w:rPr>
                <w:color w:val="000000"/>
                <w:lang w:eastAsia="en-AU"/>
              </w:rPr>
              <w:t>Language services projects implemented</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bottom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15</w:t>
            </w:r>
          </w:p>
        </w:tc>
        <w:tc>
          <w:tcPr>
            <w:tcW w:w="993" w:type="dxa"/>
            <w:tcBorders>
              <w:top w:val="single" w:sz="6" w:space="0" w:color="auto"/>
              <w:left w:val="nil"/>
              <w:bottom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15</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TableofFigures"/>
              <w:rPr>
                <w:lang w:eastAsia="en-AU"/>
              </w:rPr>
            </w:pPr>
            <w:r>
              <w:rPr>
                <w:lang w:eastAsia="en-AU"/>
              </w:rPr>
              <w:t>15</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TableofFigures"/>
              <w:rPr>
                <w:lang w:eastAsia="en-AU"/>
              </w:rPr>
            </w:pPr>
            <w:r>
              <w:rPr>
                <w:lang w:eastAsia="en-AU"/>
              </w:rPr>
              <w:t>15</w:t>
            </w:r>
          </w:p>
        </w:tc>
      </w:tr>
      <w:tr w:rsidR="00B958B1" w:rsidRPr="00503D60" w:rsidTr="009F3B54">
        <w:trPr>
          <w:cantSplit/>
        </w:trPr>
        <w:tc>
          <w:tcPr>
            <w:tcW w:w="3155" w:type="dxa"/>
            <w:tcBorders>
              <w:left w:val="nil"/>
              <w:right w:val="nil"/>
            </w:tcBorders>
            <w:shd w:val="clear" w:color="auto" w:fill="auto"/>
          </w:tcPr>
          <w:p w:rsidR="00B958B1" w:rsidRPr="00503D60" w:rsidRDefault="00B958B1" w:rsidP="009F3B54">
            <w:pPr>
              <w:pStyle w:val="OGTabText"/>
              <w:keepNext/>
              <w:rPr>
                <w:color w:val="000000"/>
                <w:lang w:eastAsia="en-AU"/>
              </w:rPr>
            </w:pPr>
            <w:r w:rsidRPr="00483B90">
              <w:rPr>
                <w:color w:val="000000"/>
                <w:lang w:eastAsia="en-AU"/>
              </w:rPr>
              <w:t>Proportion of grants approved which are provided to organisations in regional/rural areas</w:t>
            </w:r>
          </w:p>
        </w:tc>
        <w:tc>
          <w:tcPr>
            <w:tcW w:w="907" w:type="dxa"/>
            <w:tcBorders>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15</w:t>
            </w:r>
          </w:p>
        </w:tc>
        <w:tc>
          <w:tcPr>
            <w:tcW w:w="993" w:type="dxa"/>
            <w:tcBorders>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12</w:t>
            </w:r>
          </w:p>
        </w:tc>
        <w:tc>
          <w:tcPr>
            <w:tcW w:w="907" w:type="dxa"/>
            <w:tcBorders>
              <w:left w:val="nil"/>
              <w:right w:val="nil"/>
            </w:tcBorders>
            <w:shd w:val="clear" w:color="auto" w:fill="auto"/>
            <w:noWrap/>
          </w:tcPr>
          <w:p w:rsidR="00B958B1" w:rsidRPr="00503D60" w:rsidRDefault="00B958B1" w:rsidP="009F3B54">
            <w:pPr>
              <w:pStyle w:val="OGTableofFigures"/>
              <w:rPr>
                <w:lang w:eastAsia="en-AU"/>
              </w:rPr>
            </w:pPr>
            <w:r>
              <w:rPr>
                <w:lang w:eastAsia="en-AU"/>
              </w:rPr>
              <w:t>12</w:t>
            </w:r>
          </w:p>
        </w:tc>
        <w:tc>
          <w:tcPr>
            <w:tcW w:w="907" w:type="dxa"/>
            <w:tcBorders>
              <w:left w:val="nil"/>
              <w:right w:val="nil"/>
            </w:tcBorders>
            <w:shd w:val="clear" w:color="auto" w:fill="auto"/>
            <w:noWrap/>
          </w:tcPr>
          <w:p w:rsidR="00B958B1" w:rsidRPr="00503D60" w:rsidRDefault="00B958B1" w:rsidP="009F3B54">
            <w:pPr>
              <w:pStyle w:val="OGTableofFigures"/>
              <w:rPr>
                <w:lang w:eastAsia="en-AU"/>
              </w:rPr>
            </w:pPr>
            <w:r>
              <w:rPr>
                <w:lang w:eastAsia="en-AU"/>
              </w:rPr>
              <w:t>nm</w:t>
            </w:r>
          </w:p>
        </w:tc>
      </w:tr>
      <w:tr w:rsidR="00B958B1" w:rsidRPr="00503D60" w:rsidTr="009F3B54">
        <w:trPr>
          <w:cantSplit/>
        </w:trPr>
        <w:tc>
          <w:tcPr>
            <w:tcW w:w="7776" w:type="dxa"/>
            <w:gridSpan w:val="6"/>
            <w:tcBorders>
              <w:left w:val="nil"/>
              <w:bottom w:val="single" w:sz="6" w:space="0" w:color="auto"/>
              <w:right w:val="nil"/>
            </w:tcBorders>
            <w:shd w:val="clear" w:color="auto" w:fill="auto"/>
          </w:tcPr>
          <w:p w:rsidR="00B958B1" w:rsidRDefault="00B958B1" w:rsidP="009F3B54">
            <w:pPr>
              <w:pStyle w:val="OGNotes"/>
            </w:pPr>
            <w:r w:rsidRPr="00306569">
              <w:t xml:space="preserve">The </w:t>
            </w:r>
            <w:r>
              <w:t xml:space="preserve">higher </w:t>
            </w:r>
            <w:r w:rsidRPr="00306569">
              <w:t>2013</w:t>
            </w:r>
            <w:r w:rsidR="009F0F49">
              <w:noBreakHyphen/>
            </w:r>
            <w:r w:rsidRPr="00306569">
              <w:t>14 Target reflect</w:t>
            </w:r>
            <w:r>
              <w:t>s</w:t>
            </w:r>
            <w:r w:rsidRPr="00306569">
              <w:t xml:space="preserve"> increased support for the VMC.</w:t>
            </w:r>
          </w:p>
        </w:tc>
      </w:tr>
      <w:tr w:rsidR="00B958B1" w:rsidRPr="00503D60" w:rsidTr="009F3B54">
        <w:trPr>
          <w:cantSplit/>
        </w:trPr>
        <w:tc>
          <w:tcPr>
            <w:tcW w:w="3155" w:type="dxa"/>
            <w:tcBorders>
              <w:top w:val="single" w:sz="6" w:space="0" w:color="auto"/>
              <w:left w:val="nil"/>
              <w:bottom w:val="nil"/>
              <w:right w:val="nil"/>
            </w:tcBorders>
            <w:shd w:val="clear" w:color="auto" w:fill="auto"/>
          </w:tcPr>
          <w:p w:rsidR="00B958B1" w:rsidRPr="00503D60" w:rsidRDefault="00B958B1" w:rsidP="009F3B54">
            <w:pPr>
              <w:pStyle w:val="OGTabText"/>
              <w:rPr>
                <w:color w:val="000000"/>
                <w:lang w:eastAsia="en-AU"/>
              </w:rPr>
            </w:pPr>
            <w:r w:rsidRPr="00483B90">
              <w:rPr>
                <w:color w:val="000000"/>
                <w:lang w:eastAsia="en-AU"/>
              </w:rPr>
              <w:t>Seminars delivered under the Migrant and Refugee Rights and Responsibilities Seminar Program</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bottom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55</w:t>
            </w:r>
          </w:p>
        </w:tc>
        <w:tc>
          <w:tcPr>
            <w:tcW w:w="993" w:type="dxa"/>
            <w:tcBorders>
              <w:top w:val="single" w:sz="6" w:space="0" w:color="auto"/>
              <w:left w:val="nil"/>
              <w:bottom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55</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TableofFigures"/>
              <w:rPr>
                <w:lang w:eastAsia="en-AU"/>
              </w:rPr>
            </w:pPr>
            <w:r>
              <w:rPr>
                <w:lang w:eastAsia="en-AU"/>
              </w:rPr>
              <w:t>10</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TableofFigures"/>
              <w:rPr>
                <w:lang w:eastAsia="en-AU"/>
              </w:rPr>
            </w:pPr>
            <w:r>
              <w:rPr>
                <w:lang w:eastAsia="en-AU"/>
              </w:rPr>
              <w:t>55</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Default="00B958B1" w:rsidP="009F3B54">
            <w:pPr>
              <w:pStyle w:val="OGNotes"/>
            </w:pPr>
            <w:r w:rsidRPr="005664E9">
              <w:t>The 2012</w:t>
            </w:r>
            <w:r w:rsidR="009F0F49">
              <w:noBreakHyphen/>
            </w:r>
            <w:r w:rsidRPr="005664E9">
              <w:t>13 Expected Outcome is higher than the 2012</w:t>
            </w:r>
            <w:r w:rsidR="009F0F49">
              <w:noBreakHyphen/>
            </w:r>
            <w:r w:rsidRPr="005664E9">
              <w:t xml:space="preserve">13 Target as </w:t>
            </w:r>
            <w:r>
              <w:t xml:space="preserve">the </w:t>
            </w:r>
            <w:r w:rsidRPr="005664E9">
              <w:t>O</w:t>
            </w:r>
            <w:r>
              <w:t xml:space="preserve">ffice of </w:t>
            </w:r>
            <w:r w:rsidRPr="005664E9">
              <w:t>M</w:t>
            </w:r>
            <w:r>
              <w:t xml:space="preserve">ulticultural </w:t>
            </w:r>
            <w:r w:rsidRPr="005664E9">
              <w:t>A</w:t>
            </w:r>
            <w:r>
              <w:t>ffairs and Citizenship (OMA</w:t>
            </w:r>
            <w:r w:rsidRPr="005664E9">
              <w:t>C</w:t>
            </w:r>
            <w:r>
              <w:t>)</w:t>
            </w:r>
            <w:r w:rsidRPr="005664E9">
              <w:t xml:space="preserve"> was able to partner with R</w:t>
            </w:r>
            <w:r>
              <w:t xml:space="preserve">efugee </w:t>
            </w:r>
            <w:r w:rsidRPr="005664E9">
              <w:t>A</w:t>
            </w:r>
            <w:r>
              <w:t xml:space="preserve">ction </w:t>
            </w:r>
            <w:r w:rsidRPr="005664E9">
              <w:t>P</w:t>
            </w:r>
            <w:r>
              <w:t>rogram</w:t>
            </w:r>
            <w:r w:rsidRPr="005664E9">
              <w:t xml:space="preserve"> agencies to </w:t>
            </w:r>
            <w:r>
              <w:t>deliver additional</w:t>
            </w:r>
            <w:r w:rsidRPr="005664E9">
              <w:t xml:space="preserve"> seminars responding to the increased demand from newly arrived and refugee communities living across Victoria. This is reflected in the higher 2013</w:t>
            </w:r>
            <w:r w:rsidR="009F0F49">
              <w:noBreakHyphen/>
            </w:r>
            <w:r w:rsidRPr="005664E9">
              <w:t>14 Target.</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lang w:eastAsia="en-AU"/>
              </w:rPr>
              <w:t>Quality</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bottom w:val="nil"/>
              <w:right w:val="nil"/>
            </w:tcBorders>
            <w:shd w:val="clear" w:color="auto" w:fill="auto"/>
          </w:tcPr>
          <w:p w:rsidR="00B958B1" w:rsidRPr="00503D60" w:rsidRDefault="00B958B1" w:rsidP="009F3B54">
            <w:pPr>
              <w:pStyle w:val="OGTabText"/>
              <w:rPr>
                <w:color w:val="000000"/>
                <w:lang w:eastAsia="en-AU"/>
              </w:rPr>
            </w:pPr>
            <w:r w:rsidRPr="00483B90">
              <w:rPr>
                <w:color w:val="000000"/>
                <w:lang w:eastAsia="en-AU"/>
              </w:rPr>
              <w:t>Attendance at Cultural Diversity Week flagship event, Viva Victoria</w:t>
            </w:r>
          </w:p>
        </w:tc>
        <w:tc>
          <w:tcPr>
            <w:tcW w:w="907" w:type="dxa"/>
            <w:tcBorders>
              <w:top w:val="nil"/>
              <w:left w:val="nil"/>
              <w:bottom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nil"/>
              <w:left w:val="nil"/>
              <w:bottom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45 000</w:t>
            </w:r>
          </w:p>
        </w:tc>
        <w:tc>
          <w:tcPr>
            <w:tcW w:w="993" w:type="dxa"/>
            <w:tcBorders>
              <w:top w:val="nil"/>
              <w:left w:val="nil"/>
              <w:bottom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45 444</w:t>
            </w:r>
          </w:p>
        </w:tc>
        <w:tc>
          <w:tcPr>
            <w:tcW w:w="907" w:type="dxa"/>
            <w:tcBorders>
              <w:top w:val="nil"/>
              <w:left w:val="nil"/>
              <w:bottom w:val="nil"/>
              <w:right w:val="nil"/>
            </w:tcBorders>
            <w:shd w:val="clear" w:color="auto" w:fill="auto"/>
            <w:noWrap/>
          </w:tcPr>
          <w:p w:rsidR="00B958B1" w:rsidRPr="00503D60" w:rsidRDefault="00B958B1" w:rsidP="009F3B54">
            <w:pPr>
              <w:pStyle w:val="OGTableofFigures"/>
              <w:rPr>
                <w:lang w:eastAsia="en-AU"/>
              </w:rPr>
            </w:pPr>
            <w:r>
              <w:rPr>
                <w:lang w:eastAsia="en-AU"/>
              </w:rPr>
              <w:t>40 000</w:t>
            </w:r>
          </w:p>
        </w:tc>
        <w:tc>
          <w:tcPr>
            <w:tcW w:w="907" w:type="dxa"/>
            <w:tcBorders>
              <w:top w:val="nil"/>
              <w:left w:val="nil"/>
              <w:bottom w:val="nil"/>
              <w:right w:val="nil"/>
            </w:tcBorders>
            <w:shd w:val="clear" w:color="auto" w:fill="auto"/>
            <w:noWrap/>
          </w:tcPr>
          <w:p w:rsidR="00B958B1" w:rsidRPr="00503D60" w:rsidRDefault="00B958B1" w:rsidP="009F3B54">
            <w:pPr>
              <w:pStyle w:val="OGTableofFigures"/>
              <w:rPr>
                <w:lang w:eastAsia="en-AU"/>
              </w:rPr>
            </w:pPr>
            <w:r>
              <w:rPr>
                <w:lang w:eastAsia="en-AU"/>
              </w:rPr>
              <w:t>nm</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6775EA" w:rsidRDefault="00B958B1" w:rsidP="009F3B54">
            <w:pPr>
              <w:pStyle w:val="OGNotes"/>
              <w:rPr>
                <w:highlight w:val="yellow"/>
              </w:rPr>
            </w:pPr>
            <w:r w:rsidRPr="00130193">
              <w:t>The 2013</w:t>
            </w:r>
            <w:r w:rsidR="009F0F49">
              <w:noBreakHyphen/>
            </w:r>
            <w:r w:rsidRPr="00130193">
              <w:t>13 Expected Outcome is higher than the 2012</w:t>
            </w:r>
            <w:r w:rsidR="009F0F49">
              <w:noBreakHyphen/>
            </w:r>
            <w:r w:rsidRPr="00130193">
              <w:t>13 Target due to an increased awareness of Viva Victoria by communities and interest in celebrating diversity and promoting multiculturalism</w:t>
            </w:r>
            <w:r>
              <w:t xml:space="preserve">. </w:t>
            </w:r>
            <w:r w:rsidRPr="00130193">
              <w:t>This increased awareness and interest is reflected in the higher 2013</w:t>
            </w:r>
            <w:r w:rsidR="009F0F49">
              <w:noBreakHyphen/>
            </w:r>
            <w:r w:rsidRPr="00130193">
              <w:t>14 Target.</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483B90">
              <w:rPr>
                <w:color w:val="000000"/>
                <w:lang w:eastAsia="en-AU"/>
              </w:rPr>
              <w:t>Cultural precinct enhancement grants paid in line with funding agreement milestones</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100</w:t>
            </w:r>
          </w:p>
        </w:tc>
        <w:tc>
          <w:tcPr>
            <w:tcW w:w="993"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100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nm</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Text"/>
              <w:rPr>
                <w:color w:val="000000"/>
                <w:lang w:eastAsia="en-AU"/>
              </w:rPr>
            </w:pPr>
            <w:r w:rsidRPr="00483B90">
              <w:rPr>
                <w:color w:val="000000"/>
                <w:lang w:eastAsia="en-AU"/>
              </w:rPr>
              <w:t>Local refugee communities and</w:t>
            </w:r>
            <w:r>
              <w:rPr>
                <w:color w:val="000000"/>
                <w:lang w:eastAsia="en-AU"/>
              </w:rPr>
              <w:t xml:space="preserve"> refugee support</w:t>
            </w:r>
            <w:r w:rsidRPr="00483B90">
              <w:rPr>
                <w:color w:val="000000"/>
                <w:lang w:eastAsia="en-AU"/>
              </w:rPr>
              <w:t xml:space="preserve"> partner organisations developing local plans</w:t>
            </w:r>
          </w:p>
        </w:tc>
        <w:tc>
          <w:tcPr>
            <w:tcW w:w="907" w:type="dxa"/>
            <w:tcBorders>
              <w:top w:val="single" w:sz="6" w:space="0" w:color="auto"/>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100</w:t>
            </w:r>
          </w:p>
        </w:tc>
        <w:tc>
          <w:tcPr>
            <w:tcW w:w="993"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8722CA" w:rsidRDefault="00B958B1" w:rsidP="009F3B54">
            <w:pPr>
              <w:pStyle w:val="OGNotes"/>
            </w:pPr>
            <w:r>
              <w:t>This performance measure renames the 2012</w:t>
            </w:r>
            <w:r w:rsidR="009F0F49">
              <w:noBreakHyphen/>
            </w:r>
            <w:r>
              <w:t>13 performance measure ‘Local refugee communities developing local plans’. The new measure reports on the same activity as the previous measure, but has been amended to increase the clarity of the measure.</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483B90">
              <w:rPr>
                <w:color w:val="000000"/>
                <w:lang w:eastAsia="en-AU"/>
              </w:rPr>
              <w:t>Victorian community grants paid in line with of funding agreement milestones</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100</w:t>
            </w:r>
          </w:p>
        </w:tc>
        <w:tc>
          <w:tcPr>
            <w:tcW w:w="993"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100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100</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lang w:eastAsia="en-AU"/>
              </w:rPr>
              <w:t>Timeliness</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483B90">
              <w:rPr>
                <w:color w:val="000000"/>
                <w:lang w:eastAsia="en-AU"/>
              </w:rPr>
              <w:t>Event briefs completed within the required timeframe</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nil"/>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100</w:t>
            </w:r>
          </w:p>
        </w:tc>
        <w:tc>
          <w:tcPr>
            <w:tcW w:w="993"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100</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nm</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lang w:eastAsia="en-AU"/>
              </w:rPr>
              <w:t>Cost</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right w:val="nil"/>
            </w:tcBorders>
            <w:shd w:val="clear" w:color="auto" w:fill="auto"/>
            <w:hideMark/>
          </w:tcPr>
          <w:p w:rsidR="00B958B1" w:rsidRPr="00503D60" w:rsidRDefault="00B958B1" w:rsidP="009F3B54">
            <w:pPr>
              <w:pStyle w:val="OGTabText"/>
              <w:rPr>
                <w:color w:val="000000"/>
                <w:lang w:eastAsia="en-AU"/>
              </w:rPr>
            </w:pPr>
            <w:r w:rsidRPr="00503D60">
              <w:rPr>
                <w:color w:val="000000"/>
                <w:lang w:eastAsia="en-AU"/>
              </w:rPr>
              <w:t>Total output cost</w:t>
            </w:r>
          </w:p>
        </w:tc>
        <w:tc>
          <w:tcPr>
            <w:tcW w:w="907" w:type="dxa"/>
            <w:tcBorders>
              <w:top w:val="nil"/>
              <w:left w:val="nil"/>
              <w:right w:val="nil"/>
            </w:tcBorders>
            <w:shd w:val="clear" w:color="auto" w:fill="auto"/>
            <w:noWrap/>
            <w:hideMark/>
          </w:tcPr>
          <w:p w:rsidR="00B958B1" w:rsidRPr="00503D60" w:rsidRDefault="00B958B1" w:rsidP="009F3B54">
            <w:pPr>
              <w:pStyle w:val="OGUoM"/>
              <w:rPr>
                <w:rFonts w:cs="Calibri"/>
                <w:lang w:eastAsia="en-AU"/>
              </w:rPr>
            </w:pPr>
            <w:r w:rsidRPr="00503D60">
              <w:rPr>
                <w:rFonts w:cs="Calibri"/>
                <w:lang w:eastAsia="en-AU"/>
              </w:rPr>
              <w:t>$</w:t>
            </w:r>
            <w:r>
              <w:rPr>
                <w:rFonts w:cs="Calibri"/>
                <w:lang w:eastAsia="en-AU"/>
              </w:rPr>
              <w:t> million</w:t>
            </w:r>
          </w:p>
        </w:tc>
        <w:tc>
          <w:tcPr>
            <w:tcW w:w="907" w:type="dxa"/>
            <w:tcBorders>
              <w:top w:val="nil"/>
              <w:left w:val="nil"/>
              <w:right w:val="nil"/>
            </w:tcBorders>
            <w:shd w:val="clear" w:color="auto" w:fill="D9D9D9"/>
            <w:noWrap/>
          </w:tcPr>
          <w:p w:rsidR="00B958B1" w:rsidRPr="00CA5EC9" w:rsidRDefault="00B958B1" w:rsidP="009F3B54">
            <w:pPr>
              <w:pStyle w:val="OGTableofFigures"/>
              <w:rPr>
                <w:lang w:eastAsia="en-AU"/>
              </w:rPr>
            </w:pPr>
            <w:r>
              <w:rPr>
                <w:lang w:eastAsia="en-AU"/>
              </w:rPr>
              <w:t>25.9</w:t>
            </w:r>
          </w:p>
        </w:tc>
        <w:tc>
          <w:tcPr>
            <w:tcW w:w="993" w:type="dxa"/>
            <w:tcBorders>
              <w:top w:val="nil"/>
              <w:left w:val="nil"/>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24.3</w:t>
            </w:r>
          </w:p>
        </w:tc>
        <w:tc>
          <w:tcPr>
            <w:tcW w:w="907" w:type="dxa"/>
            <w:tcBorders>
              <w:top w:val="nil"/>
              <w:left w:val="nil"/>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21.4</w:t>
            </w:r>
          </w:p>
        </w:tc>
        <w:tc>
          <w:tcPr>
            <w:tcW w:w="907" w:type="dxa"/>
            <w:tcBorders>
              <w:top w:val="nil"/>
              <w:left w:val="nil"/>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17.5</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Default="00B958B1" w:rsidP="009F3B54">
            <w:pPr>
              <w:pStyle w:val="OGNotes"/>
            </w:pPr>
            <w:r>
              <w:t>The higher 2013</w:t>
            </w:r>
            <w:r w:rsidR="009F0F49">
              <w:noBreakHyphen/>
            </w:r>
            <w:r>
              <w:t>14 Target output cost reflects the inclusion of carryovers from 2012</w:t>
            </w:r>
            <w:r w:rsidR="009F0F49">
              <w:noBreakHyphen/>
            </w:r>
            <w:r>
              <w:t>13. The 2012</w:t>
            </w:r>
            <w:r w:rsidR="009F0F49">
              <w:noBreakHyphen/>
            </w:r>
            <w:r>
              <w:t>13 Target did not include carryovers from 2011</w:t>
            </w:r>
            <w:r w:rsidR="009F0F49">
              <w:noBreakHyphen/>
            </w:r>
            <w:r>
              <w:t>12.</w:t>
            </w:r>
          </w:p>
          <w:p w:rsidR="00B958B1" w:rsidRPr="003F0F9A" w:rsidRDefault="00B958B1" w:rsidP="009F3B54">
            <w:pPr>
              <w:pStyle w:val="OGNotes"/>
            </w:pPr>
            <w:r w:rsidRPr="003F0F9A">
              <w:t>The 2012</w:t>
            </w:r>
            <w:r w:rsidR="009F0F49">
              <w:noBreakHyphen/>
            </w:r>
            <w:r w:rsidRPr="003F0F9A">
              <w:t>13 Expected Outcome is higher than the 2012</w:t>
            </w:r>
            <w:r w:rsidR="009F0F49">
              <w:noBreakHyphen/>
            </w:r>
            <w:r w:rsidRPr="003F0F9A">
              <w:t>13 Target as the 2012</w:t>
            </w:r>
            <w:r w:rsidR="009F0F49">
              <w:noBreakHyphen/>
            </w:r>
            <w:r w:rsidRPr="003F0F9A">
              <w:t>13 Target did not include carryovers from 2011</w:t>
            </w:r>
            <w:r w:rsidR="009F0F49">
              <w:noBreakHyphen/>
            </w:r>
            <w:r w:rsidRPr="003F0F9A">
              <w:t>12.</w:t>
            </w:r>
          </w:p>
        </w:tc>
      </w:tr>
      <w:tr w:rsidR="00B958B1" w:rsidRPr="00503D60" w:rsidTr="009F3B54">
        <w:trPr>
          <w:cantSplit/>
        </w:trPr>
        <w:tc>
          <w:tcPr>
            <w:tcW w:w="7776" w:type="dxa"/>
            <w:gridSpan w:val="6"/>
            <w:tcBorders>
              <w:top w:val="single" w:sz="6" w:space="0" w:color="auto"/>
              <w:left w:val="nil"/>
              <w:right w:val="nil"/>
            </w:tcBorders>
            <w:shd w:val="clear" w:color="auto" w:fill="auto"/>
          </w:tcPr>
          <w:p w:rsidR="00B958B1" w:rsidRPr="003F0F9A" w:rsidRDefault="00B958B1" w:rsidP="009F3B54">
            <w:pPr>
              <w:pStyle w:val="OGHeading2"/>
              <w:rPr>
                <w:lang w:eastAsia="en-AU"/>
              </w:rPr>
            </w:pPr>
            <w:r w:rsidRPr="003F0F9A">
              <w:rPr>
                <w:lang w:eastAsia="en-AU"/>
              </w:rPr>
              <w:t xml:space="preserve">Aboriginal </w:t>
            </w:r>
            <w:r>
              <w:rPr>
                <w:lang w:eastAsia="en-AU"/>
              </w:rPr>
              <w:t>Affairs</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CA5EC9" w:rsidRDefault="00B958B1" w:rsidP="009F3B54">
            <w:pPr>
              <w:pStyle w:val="OGText"/>
              <w:rPr>
                <w:rFonts w:cs="Calibri"/>
              </w:rPr>
            </w:pPr>
            <w:r w:rsidRPr="0027327E">
              <w:rPr>
                <w:rFonts w:cs="Calibri"/>
              </w:rPr>
              <w:t>Work in partnership with Aboriginal Victorians, other tiers of government and the private and community sectors to: coordinate the delivery of whole of government priorities; protect and manage Aboriginal cultural heritage; strengthen Aboriginal community organisations; and build community</w:t>
            </w:r>
            <w:r>
              <w:rPr>
                <w:rFonts w:cs="Calibri"/>
              </w:rPr>
              <w:t xml:space="preserve"> engagement to improve the long</w:t>
            </w:r>
            <w:r w:rsidR="009F0F49">
              <w:rPr>
                <w:rFonts w:cs="Calibri"/>
              </w:rPr>
              <w:noBreakHyphen/>
            </w:r>
            <w:r w:rsidRPr="0027327E">
              <w:rPr>
                <w:rFonts w:cs="Calibri"/>
              </w:rPr>
              <w:t>term social and economic outcomes for Aboriginal Victorians.</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3F0F9A" w:rsidRDefault="00B958B1" w:rsidP="009F3B54">
            <w:pPr>
              <w:pStyle w:val="OGTabHead"/>
              <w:rPr>
                <w:lang w:eastAsia="en-AU"/>
              </w:rPr>
            </w:pPr>
            <w:r w:rsidRPr="00560D1F">
              <w:rPr>
                <w:lang w:eastAsia="en-AU"/>
              </w:rPr>
              <w:t>Quantity</w:t>
            </w:r>
          </w:p>
        </w:tc>
        <w:tc>
          <w:tcPr>
            <w:tcW w:w="907" w:type="dxa"/>
            <w:tcBorders>
              <w:top w:val="single" w:sz="6" w:space="0" w:color="auto"/>
              <w:left w:val="nil"/>
              <w:right w:val="nil"/>
            </w:tcBorders>
            <w:shd w:val="clear" w:color="auto" w:fill="auto"/>
            <w:noWrap/>
          </w:tcPr>
          <w:p w:rsidR="00B958B1" w:rsidRPr="00503D60" w:rsidRDefault="00B958B1" w:rsidP="009F3B54">
            <w:pPr>
              <w:pStyle w:val="OGTabHead"/>
              <w:rPr>
                <w:rFonts w:cs="Calibri"/>
                <w:lang w:eastAsia="en-AU"/>
              </w:rPr>
            </w:pPr>
          </w:p>
        </w:tc>
        <w:tc>
          <w:tcPr>
            <w:tcW w:w="907" w:type="dxa"/>
            <w:tcBorders>
              <w:top w:val="single" w:sz="6" w:space="0" w:color="auto"/>
              <w:left w:val="nil"/>
              <w:right w:val="nil"/>
            </w:tcBorders>
            <w:shd w:val="clear" w:color="auto" w:fill="D9D9D9"/>
            <w:noWrap/>
          </w:tcPr>
          <w:p w:rsidR="00B958B1" w:rsidRPr="00CA5EC9" w:rsidRDefault="00B958B1" w:rsidP="009F3B54">
            <w:pPr>
              <w:pStyle w:val="OGTabHead"/>
              <w:rPr>
                <w:lang w:eastAsia="en-AU"/>
              </w:rPr>
            </w:pPr>
          </w:p>
        </w:tc>
        <w:tc>
          <w:tcPr>
            <w:tcW w:w="993"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c>
          <w:tcPr>
            <w:tcW w:w="907"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c>
          <w:tcPr>
            <w:tcW w:w="907"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r>
      <w:tr w:rsidR="00B958B1" w:rsidRPr="00503D60" w:rsidTr="009F3B54">
        <w:trPr>
          <w:cantSplit/>
        </w:trPr>
        <w:tc>
          <w:tcPr>
            <w:tcW w:w="3155" w:type="dxa"/>
            <w:tcBorders>
              <w:top w:val="nil"/>
              <w:left w:val="nil"/>
              <w:bottom w:val="single" w:sz="6" w:space="0" w:color="auto"/>
              <w:right w:val="nil"/>
            </w:tcBorders>
            <w:shd w:val="clear" w:color="auto" w:fill="auto"/>
          </w:tcPr>
          <w:p w:rsidR="00B958B1" w:rsidRPr="003F0F9A" w:rsidRDefault="00B958B1" w:rsidP="009F3B54">
            <w:pPr>
              <w:pStyle w:val="OGTabText"/>
              <w:rPr>
                <w:color w:val="000000"/>
                <w:lang w:eastAsia="en-AU"/>
              </w:rPr>
            </w:pPr>
            <w:r w:rsidRPr="003F0F9A">
              <w:rPr>
                <w:color w:val="000000"/>
                <w:lang w:eastAsia="en-AU"/>
              </w:rPr>
              <w:t>Award Ceremonies held: Victorian Indigenous Honour Roll</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nil"/>
              <w:left w:val="nil"/>
              <w:bottom w:val="single" w:sz="6" w:space="0" w:color="auto"/>
              <w:right w:val="nil"/>
            </w:tcBorders>
            <w:shd w:val="clear" w:color="auto" w:fill="D9D9D9"/>
            <w:noWrap/>
          </w:tcPr>
          <w:p w:rsidR="00B958B1" w:rsidRPr="00CA5EC9" w:rsidRDefault="00B958B1" w:rsidP="009F3B54">
            <w:pPr>
              <w:pStyle w:val="OGTableofFigures"/>
              <w:rPr>
                <w:lang w:eastAsia="en-AU"/>
              </w:rPr>
            </w:pPr>
            <w:r>
              <w:rPr>
                <w:lang w:eastAsia="en-AU"/>
              </w:rPr>
              <w:t>1</w:t>
            </w:r>
          </w:p>
        </w:tc>
        <w:tc>
          <w:tcPr>
            <w:tcW w:w="993" w:type="dxa"/>
            <w:tcBorders>
              <w:top w:val="nil"/>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1</w:t>
            </w:r>
          </w:p>
        </w:tc>
        <w:tc>
          <w:tcPr>
            <w:tcW w:w="907" w:type="dxa"/>
            <w:tcBorders>
              <w:top w:val="nil"/>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1</w:t>
            </w:r>
          </w:p>
        </w:tc>
        <w:tc>
          <w:tcPr>
            <w:tcW w:w="907" w:type="dxa"/>
            <w:tcBorders>
              <w:top w:val="nil"/>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1</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3F0F9A" w:rsidRDefault="00B958B1" w:rsidP="009F3B54">
            <w:pPr>
              <w:pStyle w:val="OGTabText"/>
              <w:rPr>
                <w:color w:val="000000"/>
                <w:lang w:eastAsia="en-AU"/>
              </w:rPr>
            </w:pPr>
            <w:r w:rsidRPr="003F0F9A">
              <w:rPr>
                <w:color w:val="000000"/>
                <w:lang w:eastAsia="en-AU"/>
              </w:rPr>
              <w:t>Capacity building activities undertaken with community groups: cultural heritage management</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bottom w:val="single" w:sz="6" w:space="0" w:color="auto"/>
              <w:right w:val="nil"/>
            </w:tcBorders>
            <w:shd w:val="clear" w:color="auto" w:fill="D9D9D9"/>
            <w:noWrap/>
          </w:tcPr>
          <w:p w:rsidR="00B958B1" w:rsidRPr="00CA5EC9" w:rsidRDefault="00B958B1" w:rsidP="009F3B54">
            <w:pPr>
              <w:pStyle w:val="OGTableofFigures"/>
              <w:rPr>
                <w:lang w:eastAsia="en-AU"/>
              </w:rPr>
            </w:pPr>
            <w:r>
              <w:rPr>
                <w:lang w:eastAsia="en-AU"/>
              </w:rPr>
              <w:t>16</w:t>
            </w:r>
          </w:p>
        </w:tc>
        <w:tc>
          <w:tcPr>
            <w:tcW w:w="993" w:type="dxa"/>
            <w:tcBorders>
              <w:top w:val="single" w:sz="6" w:space="0" w:color="auto"/>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16</w:t>
            </w:r>
          </w:p>
        </w:tc>
        <w:tc>
          <w:tcPr>
            <w:tcW w:w="907" w:type="dxa"/>
            <w:tcBorders>
              <w:top w:val="single" w:sz="6" w:space="0" w:color="auto"/>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16</w:t>
            </w:r>
          </w:p>
        </w:tc>
        <w:tc>
          <w:tcPr>
            <w:tcW w:w="907" w:type="dxa"/>
            <w:tcBorders>
              <w:top w:val="single" w:sz="6" w:space="0" w:color="auto"/>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16</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3F0F9A" w:rsidRDefault="00B958B1" w:rsidP="009F3B54">
            <w:pPr>
              <w:pStyle w:val="OGTabText"/>
              <w:rPr>
                <w:color w:val="000000"/>
                <w:lang w:eastAsia="en-AU"/>
              </w:rPr>
            </w:pPr>
            <w:r w:rsidRPr="003F0F9A">
              <w:rPr>
                <w:color w:val="000000"/>
                <w:lang w:eastAsia="en-AU"/>
              </w:rPr>
              <w:t>Governance training programs implemented</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bottom w:val="single" w:sz="6" w:space="0" w:color="auto"/>
              <w:right w:val="nil"/>
            </w:tcBorders>
            <w:shd w:val="clear" w:color="auto" w:fill="D9D9D9"/>
            <w:noWrap/>
          </w:tcPr>
          <w:p w:rsidR="00B958B1" w:rsidRPr="00CA5EC9" w:rsidRDefault="00B958B1" w:rsidP="009F3B54">
            <w:pPr>
              <w:pStyle w:val="OGTableofFigures"/>
              <w:rPr>
                <w:lang w:eastAsia="en-AU"/>
              </w:rPr>
            </w:pPr>
            <w:r>
              <w:rPr>
                <w:lang w:eastAsia="en-AU"/>
              </w:rPr>
              <w:t>5</w:t>
            </w:r>
          </w:p>
        </w:tc>
        <w:tc>
          <w:tcPr>
            <w:tcW w:w="993" w:type="dxa"/>
            <w:tcBorders>
              <w:top w:val="single" w:sz="6" w:space="0" w:color="auto"/>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5</w:t>
            </w:r>
          </w:p>
        </w:tc>
        <w:tc>
          <w:tcPr>
            <w:tcW w:w="907" w:type="dxa"/>
            <w:tcBorders>
              <w:top w:val="single" w:sz="6" w:space="0" w:color="auto"/>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5</w:t>
            </w:r>
          </w:p>
        </w:tc>
        <w:tc>
          <w:tcPr>
            <w:tcW w:w="907" w:type="dxa"/>
            <w:tcBorders>
              <w:top w:val="single" w:sz="6" w:space="0" w:color="auto"/>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7</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3F0F9A" w:rsidRDefault="00B958B1" w:rsidP="009F3B54">
            <w:pPr>
              <w:pStyle w:val="OGTabText"/>
              <w:rPr>
                <w:color w:val="000000"/>
                <w:lang w:eastAsia="en-AU"/>
              </w:rPr>
            </w:pPr>
            <w:r>
              <w:rPr>
                <w:color w:val="000000"/>
                <w:lang w:eastAsia="en-AU"/>
              </w:rPr>
              <w:t>C</w:t>
            </w:r>
            <w:r w:rsidRPr="003F0F9A">
              <w:rPr>
                <w:color w:val="000000"/>
                <w:lang w:eastAsia="en-AU"/>
              </w:rPr>
              <w:t>lient service contacts for members of the Stolen Generations with Connecting Home Limited</w:t>
            </w:r>
          </w:p>
        </w:tc>
        <w:tc>
          <w:tcPr>
            <w:tcW w:w="907" w:type="dxa"/>
            <w:tcBorders>
              <w:top w:val="single" w:sz="6" w:space="0" w:color="auto"/>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right w:val="nil"/>
            </w:tcBorders>
            <w:shd w:val="clear" w:color="auto" w:fill="D9D9D9"/>
            <w:noWrap/>
          </w:tcPr>
          <w:p w:rsidR="00B958B1" w:rsidRPr="00CA5EC9" w:rsidRDefault="00B958B1" w:rsidP="009F3B54">
            <w:pPr>
              <w:pStyle w:val="OGTableofFigures"/>
              <w:rPr>
                <w:lang w:eastAsia="en-AU"/>
              </w:rPr>
            </w:pPr>
            <w:r>
              <w:rPr>
                <w:lang w:eastAsia="en-AU"/>
              </w:rPr>
              <w:t>90</w:t>
            </w:r>
          </w:p>
        </w:tc>
        <w:tc>
          <w:tcPr>
            <w:tcW w:w="993" w:type="dxa"/>
            <w:tcBorders>
              <w:top w:val="single" w:sz="6" w:space="0" w:color="auto"/>
              <w:left w:val="nil"/>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85</w:t>
            </w:r>
          </w:p>
        </w:tc>
        <w:tc>
          <w:tcPr>
            <w:tcW w:w="907" w:type="dxa"/>
            <w:tcBorders>
              <w:top w:val="single" w:sz="6" w:space="0" w:color="auto"/>
              <w:left w:val="nil"/>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80</w:t>
            </w:r>
          </w:p>
        </w:tc>
        <w:tc>
          <w:tcPr>
            <w:tcW w:w="907" w:type="dxa"/>
            <w:tcBorders>
              <w:top w:val="single" w:sz="6" w:space="0" w:color="auto"/>
              <w:left w:val="nil"/>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70</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C152F1" w:rsidRDefault="00B958B1" w:rsidP="009F3B54">
            <w:pPr>
              <w:pStyle w:val="OGNotes"/>
            </w:pPr>
            <w:r w:rsidRPr="00C152F1">
              <w:t>This performance measure replaces the 2012</w:t>
            </w:r>
            <w:r w:rsidR="009F0F49">
              <w:noBreakHyphen/>
            </w:r>
            <w:r w:rsidRPr="00C152F1">
              <w:t>13 performance measure 'Increase in client service contacts for members of the Stolen Generations with Connecting Home Limited'. The new measure reports on the same activity as the previous measure</w:t>
            </w:r>
            <w:r>
              <w:t>, but</w:t>
            </w:r>
            <w:r w:rsidRPr="00C152F1">
              <w:t xml:space="preserve"> has been amended to reflect the actual number of client service contacts.</w:t>
            </w:r>
            <w:r>
              <w:t xml:space="preserve"> </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3F0F9A" w:rsidRDefault="00B958B1" w:rsidP="009F3B54">
            <w:pPr>
              <w:pStyle w:val="OGTabText"/>
              <w:rPr>
                <w:color w:val="000000"/>
                <w:lang w:eastAsia="en-AU"/>
              </w:rPr>
            </w:pPr>
            <w:r w:rsidRPr="00C152F1">
              <w:rPr>
                <w:color w:val="000000"/>
                <w:lang w:eastAsia="en-AU"/>
              </w:rPr>
              <w:t>Client service contacts for members of the</w:t>
            </w:r>
            <w:r>
              <w:rPr>
                <w:color w:val="000000"/>
                <w:lang w:eastAsia="en-AU"/>
              </w:rPr>
              <w:t xml:space="preserve"> Stolen Generations with the</w:t>
            </w:r>
            <w:r w:rsidRPr="00C152F1">
              <w:rPr>
                <w:color w:val="000000"/>
                <w:lang w:eastAsia="en-AU"/>
              </w:rPr>
              <w:t xml:space="preserve"> Victorian Koori Family History Service</w:t>
            </w:r>
          </w:p>
        </w:tc>
        <w:tc>
          <w:tcPr>
            <w:tcW w:w="907" w:type="dxa"/>
            <w:tcBorders>
              <w:top w:val="single" w:sz="6" w:space="0" w:color="auto"/>
              <w:left w:val="nil"/>
              <w:right w:val="nil"/>
            </w:tcBorders>
            <w:shd w:val="clear" w:color="auto" w:fill="auto"/>
            <w:noWrap/>
          </w:tcPr>
          <w:p w:rsidR="00B958B1"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right w:val="nil"/>
            </w:tcBorders>
            <w:shd w:val="clear" w:color="auto" w:fill="D9D9D9"/>
            <w:noWrap/>
          </w:tcPr>
          <w:p w:rsidR="00B958B1" w:rsidRDefault="00B958B1" w:rsidP="009F3B54">
            <w:pPr>
              <w:pStyle w:val="OGTableofFigures"/>
              <w:rPr>
                <w:lang w:eastAsia="en-AU"/>
              </w:rPr>
            </w:pPr>
            <w:r>
              <w:rPr>
                <w:lang w:eastAsia="en-AU"/>
              </w:rPr>
              <w:t>126</w:t>
            </w:r>
          </w:p>
        </w:tc>
        <w:tc>
          <w:tcPr>
            <w:tcW w:w="993" w:type="dxa"/>
            <w:tcBorders>
              <w:top w:val="single" w:sz="6" w:space="0" w:color="auto"/>
              <w:left w:val="nil"/>
              <w:right w:val="nil"/>
            </w:tcBorders>
            <w:shd w:val="clear" w:color="auto" w:fill="auto"/>
            <w:noWrap/>
          </w:tcPr>
          <w:p w:rsidR="00B958B1" w:rsidRDefault="00B958B1" w:rsidP="009F3B54">
            <w:pPr>
              <w:pStyle w:val="OGTableofFigures"/>
              <w:rPr>
                <w:rFonts w:cs="Calibri"/>
                <w:lang w:eastAsia="en-AU"/>
              </w:rPr>
            </w:pPr>
            <w:r>
              <w:rPr>
                <w:rFonts w:cs="Calibri"/>
                <w:lang w:eastAsia="en-AU"/>
              </w:rPr>
              <w:t>nm</w:t>
            </w:r>
          </w:p>
        </w:tc>
        <w:tc>
          <w:tcPr>
            <w:tcW w:w="907" w:type="dxa"/>
            <w:tcBorders>
              <w:top w:val="single" w:sz="6" w:space="0" w:color="auto"/>
              <w:left w:val="nil"/>
              <w:right w:val="nil"/>
            </w:tcBorders>
            <w:shd w:val="clear" w:color="auto" w:fill="auto"/>
            <w:noWrap/>
          </w:tcPr>
          <w:p w:rsidR="00B958B1" w:rsidRDefault="00B958B1" w:rsidP="009F3B54">
            <w:pPr>
              <w:pStyle w:val="OGTableofFigures"/>
              <w:rPr>
                <w:rFonts w:cs="Calibri"/>
                <w:lang w:eastAsia="en-AU"/>
              </w:rPr>
            </w:pPr>
            <w:r>
              <w:rPr>
                <w:rFonts w:cs="Calibri"/>
                <w:lang w:eastAsia="en-AU"/>
              </w:rPr>
              <w:t>nm</w:t>
            </w:r>
          </w:p>
        </w:tc>
        <w:tc>
          <w:tcPr>
            <w:tcW w:w="907" w:type="dxa"/>
            <w:tcBorders>
              <w:top w:val="single" w:sz="6" w:space="0" w:color="auto"/>
              <w:left w:val="nil"/>
              <w:right w:val="nil"/>
            </w:tcBorders>
            <w:shd w:val="clear" w:color="auto" w:fill="auto"/>
            <w:noWrap/>
          </w:tcPr>
          <w:p w:rsidR="00B958B1" w:rsidRDefault="00B958B1" w:rsidP="009F3B54">
            <w:pPr>
              <w:pStyle w:val="OGTableofFigures"/>
              <w:rPr>
                <w:rFonts w:cs="Calibri"/>
                <w:lang w:eastAsia="en-AU"/>
              </w:rPr>
            </w:pPr>
            <w:r>
              <w:rPr>
                <w:rFonts w:cs="Calibri"/>
                <w:lang w:eastAsia="en-AU"/>
              </w:rPr>
              <w:t>nm</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C152F1" w:rsidRDefault="00B958B1" w:rsidP="009F3B54">
            <w:pPr>
              <w:pStyle w:val="OGNotes"/>
            </w:pPr>
            <w:r w:rsidRPr="00C152F1">
              <w:t>New performance measure for 2013</w:t>
            </w:r>
            <w:r w:rsidR="009F0F49">
              <w:noBreakHyphen/>
            </w:r>
            <w:r w:rsidRPr="00C152F1">
              <w:t>14 to capture the number of client service contacts for members</w:t>
            </w:r>
            <w:r>
              <w:t xml:space="preserve"> of the Stolen Generations with </w:t>
            </w:r>
            <w:r w:rsidRPr="00C152F1">
              <w:t>the Victorian Koori Family History Service.</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3F0F9A" w:rsidRDefault="00B958B1" w:rsidP="009F3B54">
            <w:pPr>
              <w:pStyle w:val="OGTabText"/>
              <w:rPr>
                <w:color w:val="000000"/>
                <w:lang w:eastAsia="en-AU"/>
              </w:rPr>
            </w:pPr>
            <w:r w:rsidRPr="003F0F9A">
              <w:rPr>
                <w:color w:val="000000"/>
                <w:lang w:eastAsia="en-AU"/>
              </w:rPr>
              <w:t>Number of trained mentor bank participants available to support Aboriginal people</w:t>
            </w:r>
          </w:p>
        </w:tc>
        <w:tc>
          <w:tcPr>
            <w:tcW w:w="907" w:type="dxa"/>
            <w:tcBorders>
              <w:top w:val="single" w:sz="6" w:space="0" w:color="auto"/>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right w:val="nil"/>
            </w:tcBorders>
            <w:shd w:val="clear" w:color="auto" w:fill="D9D9D9"/>
            <w:noWrap/>
          </w:tcPr>
          <w:p w:rsidR="00B958B1" w:rsidRPr="00CA5EC9" w:rsidRDefault="00B958B1" w:rsidP="009F3B54">
            <w:pPr>
              <w:pStyle w:val="OGTableofFigures"/>
              <w:rPr>
                <w:lang w:eastAsia="en-AU"/>
              </w:rPr>
            </w:pPr>
            <w:r>
              <w:rPr>
                <w:lang w:eastAsia="en-AU"/>
              </w:rPr>
              <w:t>150</w:t>
            </w:r>
          </w:p>
        </w:tc>
        <w:tc>
          <w:tcPr>
            <w:tcW w:w="993" w:type="dxa"/>
            <w:tcBorders>
              <w:top w:val="single" w:sz="6" w:space="0" w:color="auto"/>
              <w:left w:val="nil"/>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100</w:t>
            </w:r>
          </w:p>
        </w:tc>
        <w:tc>
          <w:tcPr>
            <w:tcW w:w="907" w:type="dxa"/>
            <w:tcBorders>
              <w:top w:val="single" w:sz="6" w:space="0" w:color="auto"/>
              <w:left w:val="nil"/>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100</w:t>
            </w:r>
          </w:p>
        </w:tc>
        <w:tc>
          <w:tcPr>
            <w:tcW w:w="907" w:type="dxa"/>
            <w:tcBorders>
              <w:top w:val="single" w:sz="6" w:space="0" w:color="auto"/>
              <w:left w:val="nil"/>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78</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3F0F9A" w:rsidRDefault="00B958B1" w:rsidP="009F3B54">
            <w:pPr>
              <w:pStyle w:val="OGNotes"/>
            </w:pPr>
            <w:r w:rsidRPr="003F0F9A">
              <w:t xml:space="preserve">The </w:t>
            </w:r>
            <w:r>
              <w:t xml:space="preserve">higher </w:t>
            </w:r>
            <w:r w:rsidRPr="003F0F9A">
              <w:t>2013</w:t>
            </w:r>
            <w:r w:rsidR="009F0F49">
              <w:noBreakHyphen/>
            </w:r>
            <w:r w:rsidRPr="003F0F9A">
              <w:t>14 Target reflects an increase in number of participants that will be trained.</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3F0F9A" w:rsidRDefault="00B958B1" w:rsidP="009F3B54">
            <w:pPr>
              <w:pStyle w:val="OGTabText"/>
              <w:rPr>
                <w:color w:val="000000"/>
                <w:lang w:eastAsia="en-AU"/>
              </w:rPr>
            </w:pPr>
            <w:r w:rsidRPr="003F0F9A">
              <w:rPr>
                <w:color w:val="000000"/>
                <w:lang w:eastAsia="en-AU"/>
              </w:rPr>
              <w:t>Participants who undertake governance training</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bottom w:val="single" w:sz="6" w:space="0" w:color="auto"/>
              <w:right w:val="nil"/>
            </w:tcBorders>
            <w:shd w:val="clear" w:color="auto" w:fill="D9D9D9"/>
            <w:noWrap/>
          </w:tcPr>
          <w:p w:rsidR="00B958B1" w:rsidRPr="00CA5EC9" w:rsidRDefault="00B958B1" w:rsidP="009F3B54">
            <w:pPr>
              <w:pStyle w:val="OGTableofFigures"/>
              <w:rPr>
                <w:lang w:eastAsia="en-AU"/>
              </w:rPr>
            </w:pPr>
            <w:r>
              <w:rPr>
                <w:lang w:eastAsia="en-AU"/>
              </w:rPr>
              <w:t>85</w:t>
            </w:r>
          </w:p>
        </w:tc>
        <w:tc>
          <w:tcPr>
            <w:tcW w:w="993" w:type="dxa"/>
            <w:tcBorders>
              <w:top w:val="single" w:sz="6" w:space="0" w:color="auto"/>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85</w:t>
            </w:r>
          </w:p>
        </w:tc>
        <w:tc>
          <w:tcPr>
            <w:tcW w:w="907" w:type="dxa"/>
            <w:tcBorders>
              <w:top w:val="single" w:sz="6" w:space="0" w:color="auto"/>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85</w:t>
            </w:r>
          </w:p>
        </w:tc>
        <w:tc>
          <w:tcPr>
            <w:tcW w:w="907" w:type="dxa"/>
            <w:tcBorders>
              <w:top w:val="single" w:sz="6" w:space="0" w:color="auto"/>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nm</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3F0F9A" w:rsidRDefault="00B958B1" w:rsidP="009F3B54">
            <w:pPr>
              <w:pStyle w:val="OGTabText"/>
              <w:rPr>
                <w:color w:val="000000"/>
                <w:lang w:eastAsia="en-AU"/>
              </w:rPr>
            </w:pPr>
            <w:r w:rsidRPr="00C152F1">
              <w:rPr>
                <w:color w:val="000000"/>
                <w:lang w:eastAsia="en-AU"/>
              </w:rPr>
              <w:t>Registered Aboriginal Parties funded to build their effectiveness in performing their cultural heritage management responsibilities</w:t>
            </w:r>
          </w:p>
        </w:tc>
        <w:tc>
          <w:tcPr>
            <w:tcW w:w="907" w:type="dxa"/>
            <w:tcBorders>
              <w:top w:val="single" w:sz="6" w:space="0" w:color="auto"/>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right w:val="nil"/>
            </w:tcBorders>
            <w:shd w:val="clear" w:color="auto" w:fill="D9D9D9"/>
            <w:noWrap/>
          </w:tcPr>
          <w:p w:rsidR="00B958B1" w:rsidRDefault="00B958B1" w:rsidP="009F3B54">
            <w:pPr>
              <w:pStyle w:val="OGTableofFigures"/>
              <w:rPr>
                <w:lang w:eastAsia="en-AU"/>
              </w:rPr>
            </w:pPr>
            <w:r>
              <w:rPr>
                <w:lang w:eastAsia="en-AU"/>
              </w:rPr>
              <w:t>10</w:t>
            </w:r>
          </w:p>
        </w:tc>
        <w:tc>
          <w:tcPr>
            <w:tcW w:w="993" w:type="dxa"/>
            <w:tcBorders>
              <w:top w:val="single" w:sz="6" w:space="0" w:color="auto"/>
              <w:left w:val="nil"/>
              <w:right w:val="nil"/>
            </w:tcBorders>
            <w:shd w:val="clear" w:color="auto" w:fill="auto"/>
            <w:noWrap/>
          </w:tcPr>
          <w:p w:rsidR="00B958B1" w:rsidRDefault="00B958B1" w:rsidP="009F3B54">
            <w:pPr>
              <w:pStyle w:val="OGTableofFigures"/>
              <w:rPr>
                <w:rFonts w:cs="Calibri"/>
                <w:lang w:eastAsia="en-AU"/>
              </w:rPr>
            </w:pPr>
            <w:r>
              <w:rPr>
                <w:rFonts w:cs="Calibri"/>
                <w:lang w:eastAsia="en-AU"/>
              </w:rPr>
              <w:t>nm</w:t>
            </w:r>
          </w:p>
        </w:tc>
        <w:tc>
          <w:tcPr>
            <w:tcW w:w="907" w:type="dxa"/>
            <w:tcBorders>
              <w:top w:val="single" w:sz="6" w:space="0" w:color="auto"/>
              <w:left w:val="nil"/>
              <w:right w:val="nil"/>
            </w:tcBorders>
            <w:shd w:val="clear" w:color="auto" w:fill="auto"/>
            <w:noWrap/>
          </w:tcPr>
          <w:p w:rsidR="00B958B1" w:rsidRDefault="00B958B1" w:rsidP="009F3B54">
            <w:pPr>
              <w:pStyle w:val="OGTableofFigures"/>
              <w:rPr>
                <w:rFonts w:cs="Calibri"/>
                <w:lang w:eastAsia="en-AU"/>
              </w:rPr>
            </w:pPr>
            <w:r>
              <w:rPr>
                <w:rFonts w:cs="Calibri"/>
                <w:lang w:eastAsia="en-AU"/>
              </w:rPr>
              <w:t>nm</w:t>
            </w:r>
          </w:p>
        </w:tc>
        <w:tc>
          <w:tcPr>
            <w:tcW w:w="907" w:type="dxa"/>
            <w:tcBorders>
              <w:top w:val="single" w:sz="6" w:space="0" w:color="auto"/>
              <w:left w:val="nil"/>
              <w:right w:val="nil"/>
            </w:tcBorders>
            <w:shd w:val="clear" w:color="auto" w:fill="auto"/>
            <w:noWrap/>
          </w:tcPr>
          <w:p w:rsidR="00B958B1" w:rsidRDefault="00B958B1" w:rsidP="009F3B54">
            <w:pPr>
              <w:pStyle w:val="OGTableofFigures"/>
              <w:rPr>
                <w:rFonts w:cs="Calibri"/>
                <w:lang w:eastAsia="en-AU"/>
              </w:rPr>
            </w:pPr>
            <w:r>
              <w:rPr>
                <w:rFonts w:cs="Calibri"/>
                <w:lang w:eastAsia="en-AU"/>
              </w:rPr>
              <w:t>nm</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C152F1" w:rsidRDefault="00B958B1" w:rsidP="009F3B54">
            <w:pPr>
              <w:pStyle w:val="OGNotes"/>
            </w:pPr>
            <w:r w:rsidRPr="00C152F1">
              <w:t>New performance measure for 2013</w:t>
            </w:r>
            <w:r w:rsidR="009F0F49">
              <w:noBreakHyphen/>
            </w:r>
            <w:r w:rsidRPr="00C152F1">
              <w:t>14 to capture the number of Registered Aboriginal Parties funded to build their effectiveness in performing their cultural heritage management responsibilities.</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Head"/>
              <w:rPr>
                <w:lang w:eastAsia="en-AU"/>
              </w:rPr>
            </w:pPr>
            <w:r>
              <w:rPr>
                <w:lang w:eastAsia="en-AU"/>
              </w:rPr>
              <w:t>Quality</w:t>
            </w:r>
          </w:p>
        </w:tc>
        <w:tc>
          <w:tcPr>
            <w:tcW w:w="907" w:type="dxa"/>
            <w:tcBorders>
              <w:top w:val="single" w:sz="6" w:space="0" w:color="auto"/>
              <w:left w:val="nil"/>
              <w:right w:val="nil"/>
            </w:tcBorders>
            <w:shd w:val="clear" w:color="auto" w:fill="auto"/>
            <w:noWrap/>
          </w:tcPr>
          <w:p w:rsidR="00B958B1" w:rsidRPr="00503D60" w:rsidRDefault="00B958B1" w:rsidP="009F3B54">
            <w:pPr>
              <w:pStyle w:val="OGTabHead"/>
              <w:rPr>
                <w:rFonts w:cs="Calibri"/>
                <w:lang w:eastAsia="en-AU"/>
              </w:rPr>
            </w:pPr>
          </w:p>
        </w:tc>
        <w:tc>
          <w:tcPr>
            <w:tcW w:w="907" w:type="dxa"/>
            <w:tcBorders>
              <w:top w:val="single" w:sz="6" w:space="0" w:color="auto"/>
              <w:left w:val="nil"/>
              <w:right w:val="nil"/>
            </w:tcBorders>
            <w:shd w:val="clear" w:color="auto" w:fill="D9D9D9"/>
            <w:noWrap/>
          </w:tcPr>
          <w:p w:rsidR="00B958B1" w:rsidRPr="00CA5EC9" w:rsidRDefault="00B958B1" w:rsidP="009F3B54">
            <w:pPr>
              <w:pStyle w:val="OGTabHead"/>
              <w:rPr>
                <w:lang w:eastAsia="en-AU"/>
              </w:rPr>
            </w:pPr>
          </w:p>
        </w:tc>
        <w:tc>
          <w:tcPr>
            <w:tcW w:w="993"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c>
          <w:tcPr>
            <w:tcW w:w="907"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c>
          <w:tcPr>
            <w:tcW w:w="907"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r>
      <w:tr w:rsidR="00B958B1" w:rsidRPr="00503D60" w:rsidTr="009F3B54">
        <w:trPr>
          <w:cantSplit/>
        </w:trPr>
        <w:tc>
          <w:tcPr>
            <w:tcW w:w="3155" w:type="dxa"/>
            <w:tcBorders>
              <w:top w:val="nil"/>
              <w:left w:val="nil"/>
              <w:bottom w:val="single" w:sz="6" w:space="0" w:color="auto"/>
              <w:right w:val="nil"/>
            </w:tcBorders>
            <w:shd w:val="clear" w:color="auto" w:fill="auto"/>
          </w:tcPr>
          <w:p w:rsidR="00B958B1" w:rsidRPr="00474CBB" w:rsidRDefault="00B958B1" w:rsidP="009F3B54">
            <w:pPr>
              <w:pStyle w:val="OGTabText"/>
              <w:rPr>
                <w:color w:val="000000"/>
                <w:lang w:eastAsia="en-AU"/>
              </w:rPr>
            </w:pPr>
            <w:r w:rsidRPr="00474CBB">
              <w:rPr>
                <w:color w:val="000000"/>
                <w:lang w:eastAsia="en-AU"/>
              </w:rPr>
              <w:t xml:space="preserve">Funded registered Aboriginal parties able to fulfil their statutory duties in relation to the assessment of cultural heritage management plans </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nil"/>
              <w:left w:val="nil"/>
              <w:bottom w:val="single" w:sz="6" w:space="0" w:color="auto"/>
              <w:right w:val="nil"/>
            </w:tcBorders>
            <w:shd w:val="clear" w:color="auto" w:fill="D9D9D9"/>
            <w:noWrap/>
          </w:tcPr>
          <w:p w:rsidR="00B958B1" w:rsidRPr="00CA5EC9" w:rsidRDefault="00B958B1" w:rsidP="009F3B54">
            <w:pPr>
              <w:pStyle w:val="OGTableofFigures"/>
              <w:rPr>
                <w:lang w:eastAsia="en-AU"/>
              </w:rPr>
            </w:pPr>
            <w:r>
              <w:rPr>
                <w:lang w:eastAsia="en-AU"/>
              </w:rPr>
              <w:t>95</w:t>
            </w:r>
          </w:p>
        </w:tc>
        <w:tc>
          <w:tcPr>
            <w:tcW w:w="993" w:type="dxa"/>
            <w:tcBorders>
              <w:top w:val="nil"/>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95</w:t>
            </w:r>
          </w:p>
        </w:tc>
        <w:tc>
          <w:tcPr>
            <w:tcW w:w="907" w:type="dxa"/>
            <w:tcBorders>
              <w:top w:val="nil"/>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95</w:t>
            </w:r>
          </w:p>
        </w:tc>
        <w:tc>
          <w:tcPr>
            <w:tcW w:w="907" w:type="dxa"/>
            <w:tcBorders>
              <w:top w:val="nil"/>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95</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474CBB" w:rsidRDefault="00B958B1" w:rsidP="009F3B54">
            <w:pPr>
              <w:pStyle w:val="OGTabText"/>
              <w:rPr>
                <w:color w:val="000000"/>
                <w:lang w:eastAsia="en-AU"/>
              </w:rPr>
            </w:pPr>
            <w:r w:rsidRPr="00474CBB">
              <w:rPr>
                <w:color w:val="000000"/>
                <w:lang w:eastAsia="en-AU"/>
              </w:rPr>
              <w:t>Governance training initiatives participant completion rate</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bottom w:val="single" w:sz="6" w:space="0" w:color="auto"/>
              <w:right w:val="nil"/>
            </w:tcBorders>
            <w:shd w:val="clear" w:color="auto" w:fill="D9D9D9"/>
            <w:noWrap/>
          </w:tcPr>
          <w:p w:rsidR="00B958B1" w:rsidRPr="00CA5EC9" w:rsidRDefault="00B958B1" w:rsidP="009F3B54">
            <w:pPr>
              <w:pStyle w:val="OGTableofFigures"/>
              <w:rPr>
                <w:lang w:eastAsia="en-AU"/>
              </w:rPr>
            </w:pPr>
            <w:r>
              <w:rPr>
                <w:lang w:eastAsia="en-AU"/>
              </w:rPr>
              <w:t>80</w:t>
            </w:r>
          </w:p>
        </w:tc>
        <w:tc>
          <w:tcPr>
            <w:tcW w:w="993" w:type="dxa"/>
            <w:tcBorders>
              <w:top w:val="single" w:sz="6" w:space="0" w:color="auto"/>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80</w:t>
            </w:r>
          </w:p>
        </w:tc>
        <w:tc>
          <w:tcPr>
            <w:tcW w:w="907" w:type="dxa"/>
            <w:tcBorders>
              <w:top w:val="single" w:sz="6" w:space="0" w:color="auto"/>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80</w:t>
            </w:r>
          </w:p>
        </w:tc>
        <w:tc>
          <w:tcPr>
            <w:tcW w:w="907" w:type="dxa"/>
            <w:tcBorders>
              <w:top w:val="single" w:sz="6" w:space="0" w:color="auto"/>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95.5</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474CBB" w:rsidRDefault="00B958B1" w:rsidP="009F3B54">
            <w:pPr>
              <w:pStyle w:val="OGTabText"/>
              <w:rPr>
                <w:color w:val="000000"/>
                <w:lang w:eastAsia="en-AU"/>
              </w:rPr>
            </w:pPr>
            <w:r w:rsidRPr="00474CBB">
              <w:rPr>
                <w:color w:val="000000"/>
                <w:lang w:eastAsia="en-AU"/>
              </w:rPr>
              <w:t>Participation of Indigenous people in local indigenous representation groups</w:t>
            </w:r>
          </w:p>
        </w:tc>
        <w:tc>
          <w:tcPr>
            <w:tcW w:w="907" w:type="dxa"/>
            <w:tcBorders>
              <w:top w:val="single" w:sz="6" w:space="0" w:color="auto"/>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right w:val="nil"/>
            </w:tcBorders>
            <w:shd w:val="clear" w:color="auto" w:fill="D9D9D9"/>
            <w:noWrap/>
          </w:tcPr>
          <w:p w:rsidR="00B958B1" w:rsidRPr="00CA5EC9" w:rsidRDefault="00B958B1" w:rsidP="009F3B54">
            <w:pPr>
              <w:pStyle w:val="OGTableofFigures"/>
              <w:rPr>
                <w:lang w:eastAsia="en-AU"/>
              </w:rPr>
            </w:pPr>
            <w:r>
              <w:rPr>
                <w:lang w:eastAsia="en-AU"/>
              </w:rPr>
              <w:t>2 000</w:t>
            </w:r>
          </w:p>
        </w:tc>
        <w:tc>
          <w:tcPr>
            <w:tcW w:w="993" w:type="dxa"/>
            <w:tcBorders>
              <w:top w:val="single" w:sz="6" w:space="0" w:color="auto"/>
              <w:left w:val="nil"/>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1 800</w:t>
            </w:r>
          </w:p>
        </w:tc>
        <w:tc>
          <w:tcPr>
            <w:tcW w:w="907" w:type="dxa"/>
            <w:tcBorders>
              <w:top w:val="single" w:sz="6" w:space="0" w:color="auto"/>
              <w:left w:val="nil"/>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1 800</w:t>
            </w:r>
          </w:p>
        </w:tc>
        <w:tc>
          <w:tcPr>
            <w:tcW w:w="907" w:type="dxa"/>
            <w:tcBorders>
              <w:top w:val="single" w:sz="6" w:space="0" w:color="auto"/>
              <w:left w:val="nil"/>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nm</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474CBB" w:rsidRDefault="00B958B1" w:rsidP="009F3B54">
            <w:pPr>
              <w:pStyle w:val="OGNotes"/>
            </w:pPr>
            <w:r w:rsidRPr="00474CBB">
              <w:t>The</w:t>
            </w:r>
            <w:r>
              <w:t xml:space="preserve"> higher</w:t>
            </w:r>
            <w:r w:rsidRPr="00474CBB">
              <w:t xml:space="preserve"> 2013</w:t>
            </w:r>
            <w:r w:rsidR="009F0F49">
              <w:noBreakHyphen/>
            </w:r>
            <w:r w:rsidRPr="00474CBB">
              <w:t>14 Target reflects an increase in participation by local Aboriginal people.</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Head"/>
              <w:rPr>
                <w:lang w:eastAsia="en-AU"/>
              </w:rPr>
            </w:pPr>
            <w:r>
              <w:rPr>
                <w:lang w:eastAsia="en-AU"/>
              </w:rPr>
              <w:t>Timeliness</w:t>
            </w:r>
          </w:p>
        </w:tc>
        <w:tc>
          <w:tcPr>
            <w:tcW w:w="907" w:type="dxa"/>
            <w:tcBorders>
              <w:top w:val="single" w:sz="6" w:space="0" w:color="auto"/>
              <w:left w:val="nil"/>
              <w:right w:val="nil"/>
            </w:tcBorders>
            <w:shd w:val="clear" w:color="auto" w:fill="auto"/>
            <w:noWrap/>
          </w:tcPr>
          <w:p w:rsidR="00B958B1" w:rsidRPr="00503D60" w:rsidRDefault="00B958B1" w:rsidP="009F3B54">
            <w:pPr>
              <w:pStyle w:val="OGTabHead"/>
              <w:rPr>
                <w:rFonts w:cs="Calibri"/>
                <w:lang w:eastAsia="en-AU"/>
              </w:rPr>
            </w:pPr>
          </w:p>
        </w:tc>
        <w:tc>
          <w:tcPr>
            <w:tcW w:w="907" w:type="dxa"/>
            <w:tcBorders>
              <w:top w:val="single" w:sz="6" w:space="0" w:color="auto"/>
              <w:left w:val="nil"/>
              <w:right w:val="nil"/>
            </w:tcBorders>
            <w:shd w:val="clear" w:color="auto" w:fill="D9D9D9"/>
            <w:noWrap/>
          </w:tcPr>
          <w:p w:rsidR="00B958B1" w:rsidRPr="00CA5EC9" w:rsidRDefault="00B958B1" w:rsidP="009F3B54">
            <w:pPr>
              <w:pStyle w:val="OGTabHead"/>
              <w:rPr>
                <w:lang w:eastAsia="en-AU"/>
              </w:rPr>
            </w:pPr>
          </w:p>
        </w:tc>
        <w:tc>
          <w:tcPr>
            <w:tcW w:w="993"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c>
          <w:tcPr>
            <w:tcW w:w="907"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c>
          <w:tcPr>
            <w:tcW w:w="907"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r>
      <w:tr w:rsidR="00B958B1" w:rsidRPr="00503D60" w:rsidTr="009F3B54">
        <w:trPr>
          <w:cantSplit/>
        </w:trPr>
        <w:tc>
          <w:tcPr>
            <w:tcW w:w="3155" w:type="dxa"/>
            <w:tcBorders>
              <w:top w:val="nil"/>
              <w:left w:val="nil"/>
              <w:right w:val="nil"/>
            </w:tcBorders>
            <w:shd w:val="clear" w:color="auto" w:fill="auto"/>
          </w:tcPr>
          <w:p w:rsidR="00B958B1" w:rsidRPr="00475CCA" w:rsidRDefault="00B958B1" w:rsidP="009F3B54">
            <w:pPr>
              <w:pStyle w:val="OGTabText"/>
              <w:rPr>
                <w:color w:val="000000"/>
                <w:lang w:eastAsia="en-AU"/>
              </w:rPr>
            </w:pPr>
            <w:r w:rsidRPr="00475CCA">
              <w:rPr>
                <w:color w:val="000000"/>
                <w:lang w:eastAsia="en-AU"/>
              </w:rPr>
              <w:t>Assessments completed by Office of Aboriginal Affairs Victoria (OAAV) within legislative timeframe: cultural heritage management plans</w:t>
            </w:r>
          </w:p>
        </w:tc>
        <w:tc>
          <w:tcPr>
            <w:tcW w:w="907" w:type="dxa"/>
            <w:tcBorders>
              <w:top w:val="nil"/>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nil"/>
              <w:left w:val="nil"/>
              <w:right w:val="nil"/>
            </w:tcBorders>
            <w:shd w:val="clear" w:color="auto" w:fill="D9D9D9"/>
            <w:noWrap/>
          </w:tcPr>
          <w:p w:rsidR="00B958B1" w:rsidRPr="00CA5EC9" w:rsidRDefault="00B958B1" w:rsidP="009F3B54">
            <w:pPr>
              <w:pStyle w:val="OGTableofFigures"/>
              <w:rPr>
                <w:lang w:eastAsia="en-AU"/>
              </w:rPr>
            </w:pPr>
            <w:r>
              <w:rPr>
                <w:lang w:eastAsia="en-AU"/>
              </w:rPr>
              <w:t>100</w:t>
            </w:r>
          </w:p>
        </w:tc>
        <w:tc>
          <w:tcPr>
            <w:tcW w:w="993" w:type="dxa"/>
            <w:tcBorders>
              <w:top w:val="nil"/>
              <w:left w:val="nil"/>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100</w:t>
            </w:r>
          </w:p>
        </w:tc>
        <w:tc>
          <w:tcPr>
            <w:tcW w:w="907" w:type="dxa"/>
            <w:tcBorders>
              <w:top w:val="nil"/>
              <w:left w:val="nil"/>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100</w:t>
            </w:r>
          </w:p>
        </w:tc>
        <w:tc>
          <w:tcPr>
            <w:tcW w:w="907" w:type="dxa"/>
            <w:tcBorders>
              <w:top w:val="nil"/>
              <w:left w:val="nil"/>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97.5</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475CCA" w:rsidRDefault="00B958B1" w:rsidP="009F3B54">
            <w:pPr>
              <w:pStyle w:val="OGNotes"/>
            </w:pPr>
            <w:r w:rsidRPr="00475CCA">
              <w:t>This performance measure re</w:t>
            </w:r>
            <w:r>
              <w:t>names</w:t>
            </w:r>
            <w:r w:rsidRPr="00475CCA">
              <w:t xml:space="preserve"> the 2012</w:t>
            </w:r>
            <w:r w:rsidR="009F0F49">
              <w:noBreakHyphen/>
            </w:r>
            <w:r w:rsidRPr="00475CCA">
              <w:t>13 performance measure 'Assessments completed by Aboriginal Affairs Victoria (AAV) within legislative timeframes: cultural heritage management plans'.</w:t>
            </w:r>
            <w:r>
              <w:t xml:space="preserve"> The new measure reports on the same activity as the previous measure</w:t>
            </w:r>
            <w:r w:rsidRPr="00F52FC5">
              <w:t xml:space="preserve"> however has been amended to reflect the name change from ‘Aboriginal Affairs Victoria’ to ‘Office of Aboriginal Affairs Victoria’.</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475CCA" w:rsidRDefault="00B958B1" w:rsidP="009F3B54">
            <w:pPr>
              <w:pStyle w:val="OGTabText"/>
              <w:rPr>
                <w:color w:val="000000"/>
                <w:lang w:eastAsia="en-AU"/>
              </w:rPr>
            </w:pPr>
            <w:r w:rsidRPr="00475CCA">
              <w:rPr>
                <w:color w:val="000000"/>
                <w:lang w:eastAsia="en-AU"/>
              </w:rPr>
              <w:t>Payments made to funding recipient on completion of milestone activities in funding agreement: Reconciliation Victoria</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bottom w:val="single" w:sz="6" w:space="0" w:color="auto"/>
              <w:right w:val="nil"/>
            </w:tcBorders>
            <w:shd w:val="clear" w:color="auto" w:fill="D9D9D9"/>
            <w:noWrap/>
          </w:tcPr>
          <w:p w:rsidR="00B958B1" w:rsidRPr="00CA5EC9" w:rsidRDefault="00B958B1" w:rsidP="009F3B54">
            <w:pPr>
              <w:pStyle w:val="OGTableofFigures"/>
              <w:rPr>
                <w:lang w:eastAsia="en-AU"/>
              </w:rPr>
            </w:pPr>
            <w:r>
              <w:rPr>
                <w:lang w:eastAsia="en-AU"/>
              </w:rPr>
              <w:t>100</w:t>
            </w:r>
          </w:p>
        </w:tc>
        <w:tc>
          <w:tcPr>
            <w:tcW w:w="993" w:type="dxa"/>
            <w:tcBorders>
              <w:top w:val="single" w:sz="6" w:space="0" w:color="auto"/>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100</w:t>
            </w:r>
          </w:p>
        </w:tc>
        <w:tc>
          <w:tcPr>
            <w:tcW w:w="907" w:type="dxa"/>
            <w:tcBorders>
              <w:top w:val="single" w:sz="6" w:space="0" w:color="auto"/>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100</w:t>
            </w:r>
          </w:p>
        </w:tc>
        <w:tc>
          <w:tcPr>
            <w:tcW w:w="907" w:type="dxa"/>
            <w:tcBorders>
              <w:top w:val="single" w:sz="6" w:space="0" w:color="auto"/>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100</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7749BC" w:rsidRDefault="00B958B1" w:rsidP="009F3B54">
            <w:pPr>
              <w:pStyle w:val="OGTabText"/>
              <w:rPr>
                <w:color w:val="000000"/>
                <w:lang w:eastAsia="en-AU"/>
              </w:rPr>
            </w:pPr>
            <w:r w:rsidRPr="007749BC">
              <w:rPr>
                <w:color w:val="000000"/>
                <w:lang w:eastAsia="en-AU"/>
              </w:rPr>
              <w:t>Payments made to funding recipient on completion of milestone activities in funding agreement: Koori Youth Council</w:t>
            </w:r>
          </w:p>
        </w:tc>
        <w:tc>
          <w:tcPr>
            <w:tcW w:w="907" w:type="dxa"/>
            <w:tcBorders>
              <w:top w:val="single" w:sz="6" w:space="0" w:color="auto"/>
              <w:left w:val="nil"/>
              <w:right w:val="nil"/>
            </w:tcBorders>
            <w:shd w:val="clear" w:color="auto" w:fill="auto"/>
            <w:noWrap/>
          </w:tcPr>
          <w:p w:rsidR="00B958B1" w:rsidRPr="007749BC"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right w:val="nil"/>
            </w:tcBorders>
            <w:shd w:val="clear" w:color="auto" w:fill="D9D9D9"/>
            <w:noWrap/>
          </w:tcPr>
          <w:p w:rsidR="00B958B1" w:rsidRPr="007749BC" w:rsidRDefault="00B958B1" w:rsidP="009F3B54">
            <w:pPr>
              <w:pStyle w:val="OGTableofFigures"/>
              <w:rPr>
                <w:lang w:eastAsia="en-AU"/>
              </w:rPr>
            </w:pPr>
            <w:r w:rsidRPr="007749BC">
              <w:rPr>
                <w:lang w:eastAsia="en-AU"/>
              </w:rPr>
              <w:t>100</w:t>
            </w:r>
          </w:p>
        </w:tc>
        <w:tc>
          <w:tcPr>
            <w:tcW w:w="993" w:type="dxa"/>
            <w:tcBorders>
              <w:top w:val="single" w:sz="6" w:space="0" w:color="auto"/>
              <w:left w:val="nil"/>
              <w:right w:val="nil"/>
            </w:tcBorders>
            <w:shd w:val="clear" w:color="auto" w:fill="auto"/>
            <w:noWrap/>
          </w:tcPr>
          <w:p w:rsidR="00B958B1" w:rsidRPr="007749BC" w:rsidRDefault="00B958B1" w:rsidP="009F3B54">
            <w:pPr>
              <w:pStyle w:val="OGTableofFigures"/>
              <w:rPr>
                <w:rFonts w:cs="Calibri"/>
                <w:lang w:eastAsia="en-AU"/>
              </w:rPr>
            </w:pPr>
            <w:r w:rsidRPr="007749BC">
              <w:rPr>
                <w:rFonts w:cs="Calibri"/>
                <w:lang w:eastAsia="en-AU"/>
              </w:rPr>
              <w:t>100</w:t>
            </w:r>
          </w:p>
        </w:tc>
        <w:tc>
          <w:tcPr>
            <w:tcW w:w="907" w:type="dxa"/>
            <w:tcBorders>
              <w:top w:val="single" w:sz="6" w:space="0" w:color="auto"/>
              <w:left w:val="nil"/>
              <w:right w:val="nil"/>
            </w:tcBorders>
            <w:shd w:val="clear" w:color="auto" w:fill="auto"/>
            <w:noWrap/>
          </w:tcPr>
          <w:p w:rsidR="00B958B1" w:rsidRPr="007749BC" w:rsidRDefault="00B958B1" w:rsidP="009F3B54">
            <w:pPr>
              <w:pStyle w:val="OGTableofFigures"/>
              <w:rPr>
                <w:rFonts w:cs="Calibri"/>
                <w:lang w:eastAsia="en-AU"/>
              </w:rPr>
            </w:pPr>
            <w:r w:rsidRPr="007749BC">
              <w:rPr>
                <w:rFonts w:cs="Calibri"/>
                <w:lang w:eastAsia="en-AU"/>
              </w:rPr>
              <w:t>100</w:t>
            </w:r>
          </w:p>
        </w:tc>
        <w:tc>
          <w:tcPr>
            <w:tcW w:w="907" w:type="dxa"/>
            <w:tcBorders>
              <w:top w:val="single" w:sz="6" w:space="0" w:color="auto"/>
              <w:left w:val="nil"/>
              <w:right w:val="nil"/>
            </w:tcBorders>
            <w:shd w:val="clear" w:color="auto" w:fill="auto"/>
            <w:noWrap/>
          </w:tcPr>
          <w:p w:rsidR="00B958B1" w:rsidRPr="007749BC" w:rsidRDefault="00B958B1" w:rsidP="009F3B54">
            <w:pPr>
              <w:pStyle w:val="OGTableofFigures"/>
              <w:rPr>
                <w:rFonts w:cs="Calibri"/>
                <w:lang w:eastAsia="en-AU"/>
              </w:rPr>
            </w:pPr>
            <w:r>
              <w:rPr>
                <w:rFonts w:cs="Calibri"/>
                <w:lang w:eastAsia="en-AU"/>
              </w:rPr>
              <w:t>nm</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7749BC" w:rsidRDefault="00B958B1" w:rsidP="009F3B54">
            <w:pPr>
              <w:pStyle w:val="OGNotes"/>
            </w:pPr>
            <w:r w:rsidRPr="007749BC">
              <w:t>This performance measure replaces the 2012</w:t>
            </w:r>
            <w:r w:rsidR="009F0F49">
              <w:noBreakHyphen/>
            </w:r>
            <w:r w:rsidRPr="007749BC">
              <w:t>13 performance measure 'Payments made to funding recipient on completion of milestone activities in funding agreement: Victorian Indigenous Youth Advisory Council'. The new measure reports on the same activity as the previous measure however has been amended to reflect the organisation's new name.</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Head"/>
              <w:rPr>
                <w:lang w:eastAsia="en-AU"/>
              </w:rPr>
            </w:pPr>
            <w:r>
              <w:rPr>
                <w:lang w:eastAsia="en-AU"/>
              </w:rPr>
              <w:t>Cost</w:t>
            </w:r>
          </w:p>
        </w:tc>
        <w:tc>
          <w:tcPr>
            <w:tcW w:w="907" w:type="dxa"/>
            <w:tcBorders>
              <w:top w:val="single" w:sz="6" w:space="0" w:color="auto"/>
              <w:left w:val="nil"/>
              <w:right w:val="nil"/>
            </w:tcBorders>
            <w:shd w:val="clear" w:color="auto" w:fill="auto"/>
            <w:noWrap/>
          </w:tcPr>
          <w:p w:rsidR="00B958B1" w:rsidRPr="00503D60" w:rsidRDefault="00B958B1" w:rsidP="009F3B54">
            <w:pPr>
              <w:pStyle w:val="OGTabHead"/>
              <w:rPr>
                <w:rFonts w:cs="Calibri"/>
                <w:lang w:eastAsia="en-AU"/>
              </w:rPr>
            </w:pPr>
          </w:p>
        </w:tc>
        <w:tc>
          <w:tcPr>
            <w:tcW w:w="907" w:type="dxa"/>
            <w:tcBorders>
              <w:top w:val="single" w:sz="6" w:space="0" w:color="auto"/>
              <w:left w:val="nil"/>
              <w:right w:val="nil"/>
            </w:tcBorders>
            <w:shd w:val="clear" w:color="auto" w:fill="D9D9D9"/>
            <w:noWrap/>
          </w:tcPr>
          <w:p w:rsidR="00B958B1" w:rsidRPr="00CA5EC9" w:rsidRDefault="00B958B1" w:rsidP="009F3B54">
            <w:pPr>
              <w:pStyle w:val="OGTabHead"/>
              <w:rPr>
                <w:lang w:eastAsia="en-AU"/>
              </w:rPr>
            </w:pPr>
          </w:p>
        </w:tc>
        <w:tc>
          <w:tcPr>
            <w:tcW w:w="993"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c>
          <w:tcPr>
            <w:tcW w:w="907"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c>
          <w:tcPr>
            <w:tcW w:w="907"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r>
      <w:tr w:rsidR="00B958B1" w:rsidRPr="00503D60" w:rsidTr="009F3B54">
        <w:trPr>
          <w:cantSplit/>
        </w:trPr>
        <w:tc>
          <w:tcPr>
            <w:tcW w:w="3155" w:type="dxa"/>
            <w:tcBorders>
              <w:top w:val="nil"/>
              <w:left w:val="nil"/>
              <w:right w:val="nil"/>
            </w:tcBorders>
            <w:shd w:val="clear" w:color="auto" w:fill="auto"/>
          </w:tcPr>
          <w:p w:rsidR="00B958B1" w:rsidRPr="00503D60" w:rsidRDefault="00B958B1" w:rsidP="009F3B54">
            <w:pPr>
              <w:pStyle w:val="OGTabText"/>
              <w:rPr>
                <w:color w:val="000000"/>
                <w:lang w:eastAsia="en-AU"/>
              </w:rPr>
            </w:pPr>
            <w:r>
              <w:rPr>
                <w:color w:val="000000"/>
                <w:lang w:eastAsia="en-AU"/>
              </w:rPr>
              <w:t>Total output cost</w:t>
            </w:r>
          </w:p>
        </w:tc>
        <w:tc>
          <w:tcPr>
            <w:tcW w:w="907" w:type="dxa"/>
            <w:tcBorders>
              <w:top w:val="nil"/>
              <w:left w:val="nil"/>
              <w:right w:val="nil"/>
            </w:tcBorders>
            <w:shd w:val="clear" w:color="auto" w:fill="auto"/>
            <w:noWrap/>
          </w:tcPr>
          <w:p w:rsidR="00B958B1" w:rsidRPr="00503D60" w:rsidRDefault="00B958B1" w:rsidP="009F3B54">
            <w:pPr>
              <w:pStyle w:val="OGUoM"/>
              <w:rPr>
                <w:rFonts w:cs="Calibri"/>
                <w:lang w:eastAsia="en-AU"/>
              </w:rPr>
            </w:pPr>
            <w:r w:rsidRPr="00503D60">
              <w:rPr>
                <w:rFonts w:cs="Calibri"/>
                <w:lang w:eastAsia="en-AU"/>
              </w:rPr>
              <w:t>$</w:t>
            </w:r>
            <w:r>
              <w:rPr>
                <w:rFonts w:cs="Calibri"/>
                <w:lang w:eastAsia="en-AU"/>
              </w:rPr>
              <w:t> million</w:t>
            </w:r>
          </w:p>
        </w:tc>
        <w:tc>
          <w:tcPr>
            <w:tcW w:w="907" w:type="dxa"/>
            <w:tcBorders>
              <w:top w:val="nil"/>
              <w:left w:val="nil"/>
              <w:right w:val="nil"/>
            </w:tcBorders>
            <w:shd w:val="clear" w:color="auto" w:fill="auto"/>
            <w:noWrap/>
          </w:tcPr>
          <w:p w:rsidR="00B958B1" w:rsidRPr="00CA5EC9" w:rsidRDefault="00B958B1" w:rsidP="009F3B54">
            <w:pPr>
              <w:pStyle w:val="OGTableofFigures"/>
              <w:rPr>
                <w:lang w:eastAsia="en-AU"/>
              </w:rPr>
            </w:pPr>
            <w:r>
              <w:rPr>
                <w:lang w:eastAsia="en-AU"/>
              </w:rPr>
              <w:t>18.9</w:t>
            </w:r>
          </w:p>
        </w:tc>
        <w:tc>
          <w:tcPr>
            <w:tcW w:w="993" w:type="dxa"/>
            <w:tcBorders>
              <w:top w:val="nil"/>
              <w:left w:val="nil"/>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20.9</w:t>
            </w:r>
          </w:p>
        </w:tc>
        <w:tc>
          <w:tcPr>
            <w:tcW w:w="907" w:type="dxa"/>
            <w:tcBorders>
              <w:top w:val="nil"/>
              <w:left w:val="nil"/>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21.2</w:t>
            </w:r>
          </w:p>
        </w:tc>
        <w:tc>
          <w:tcPr>
            <w:tcW w:w="907" w:type="dxa"/>
            <w:tcBorders>
              <w:top w:val="nil"/>
              <w:left w:val="nil"/>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24.9</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6914B9" w:rsidRDefault="00B958B1" w:rsidP="009F3B54">
            <w:pPr>
              <w:pStyle w:val="OGNotes"/>
              <w:rPr>
                <w:highlight w:val="yellow"/>
              </w:rPr>
            </w:pPr>
            <w:r w:rsidRPr="00FE3A05">
              <w:t>The lower 2013</w:t>
            </w:r>
            <w:r w:rsidR="009F0F49">
              <w:noBreakHyphen/>
            </w:r>
            <w:r w:rsidRPr="00FE3A05">
              <w:t xml:space="preserve">14 Target reflects </w:t>
            </w:r>
            <w:r>
              <w:t>improved efficiency in exclusion of funding carryovers from 2012</w:t>
            </w:r>
            <w:r w:rsidR="009F0F49">
              <w:noBreakHyphen/>
            </w:r>
            <w:r>
              <w:t>13. The 2012</w:t>
            </w:r>
            <w:r w:rsidR="009F0F49">
              <w:noBreakHyphen/>
            </w:r>
            <w:r>
              <w:t>13 Target included 2011</w:t>
            </w:r>
            <w:r w:rsidR="009F0F49">
              <w:noBreakHyphen/>
            </w:r>
            <w:r>
              <w:t>12 carryovers, but the 2013</w:t>
            </w:r>
            <w:r w:rsidR="009F0F49">
              <w:noBreakHyphen/>
            </w:r>
            <w:r>
              <w:t>14 Target does not include 2012</w:t>
            </w:r>
            <w:r w:rsidR="009F0F49">
              <w:noBreakHyphen/>
            </w:r>
            <w:r>
              <w:t>13 carryovers.</w:t>
            </w:r>
          </w:p>
        </w:tc>
      </w:tr>
      <w:tr w:rsidR="00B958B1" w:rsidRPr="00503D60" w:rsidTr="009F3B54">
        <w:trPr>
          <w:cantSplit/>
        </w:trPr>
        <w:tc>
          <w:tcPr>
            <w:tcW w:w="7776" w:type="dxa"/>
            <w:gridSpan w:val="6"/>
            <w:tcBorders>
              <w:top w:val="single" w:sz="6" w:space="0" w:color="auto"/>
              <w:left w:val="nil"/>
              <w:right w:val="nil"/>
            </w:tcBorders>
            <w:shd w:val="clear" w:color="auto" w:fill="auto"/>
          </w:tcPr>
          <w:p w:rsidR="00B958B1" w:rsidRPr="009924D1" w:rsidRDefault="00B958B1" w:rsidP="009F3B54">
            <w:pPr>
              <w:pStyle w:val="OGHeading2"/>
              <w:rPr>
                <w:lang w:eastAsia="en-AU"/>
              </w:rPr>
            </w:pPr>
            <w:r w:rsidRPr="009924D1">
              <w:rPr>
                <w:lang w:eastAsia="en-AU"/>
              </w:rPr>
              <w:t>Veterans’ Affairs</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CA5EC9" w:rsidRDefault="00B958B1" w:rsidP="009F3B54">
            <w:pPr>
              <w:pStyle w:val="OGText"/>
              <w:rPr>
                <w:rFonts w:cs="Calibri"/>
              </w:rPr>
            </w:pPr>
            <w:r w:rsidRPr="0013658E">
              <w:rPr>
                <w:rFonts w:cs="Calibri"/>
              </w:rPr>
              <w:t>Coordinate veteran</w:t>
            </w:r>
            <w:r w:rsidR="009F0F49">
              <w:rPr>
                <w:rFonts w:cs="Calibri"/>
              </w:rPr>
              <w:noBreakHyphen/>
            </w:r>
            <w:r w:rsidRPr="0013658E">
              <w:rPr>
                <w:rFonts w:cs="Calibri"/>
              </w:rPr>
              <w:t>related issues at a state level, especially in relation to preparations for the Centenary of Anzac</w:t>
            </w:r>
            <w:r>
              <w:rPr>
                <w:rFonts w:cs="Calibri"/>
              </w:rPr>
              <w:t xml:space="preserve">. </w:t>
            </w:r>
            <w:r w:rsidRPr="0013658E">
              <w:rPr>
                <w:rFonts w:cs="Calibri"/>
              </w:rPr>
              <w:t>Oversee commemoration, veteran welfare and education programs</w:t>
            </w:r>
            <w:r>
              <w:rPr>
                <w:rFonts w:cs="Calibri"/>
              </w:rPr>
              <w:t xml:space="preserve">. </w:t>
            </w:r>
            <w:r w:rsidRPr="0013658E">
              <w:rPr>
                <w:rFonts w:cs="Calibri"/>
              </w:rPr>
              <w:t>Support the Shrine of Remembrance and the Victorian Veterans Council.</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Head"/>
              <w:rPr>
                <w:lang w:eastAsia="en-AU"/>
              </w:rPr>
            </w:pPr>
            <w:r w:rsidRPr="006148BC">
              <w:rPr>
                <w:lang w:eastAsia="en-AU"/>
              </w:rPr>
              <w:t>Quantity</w:t>
            </w:r>
          </w:p>
        </w:tc>
        <w:tc>
          <w:tcPr>
            <w:tcW w:w="907" w:type="dxa"/>
            <w:tcBorders>
              <w:top w:val="single" w:sz="6" w:space="0" w:color="auto"/>
              <w:left w:val="nil"/>
              <w:right w:val="nil"/>
            </w:tcBorders>
            <w:shd w:val="clear" w:color="auto" w:fill="auto"/>
            <w:noWrap/>
          </w:tcPr>
          <w:p w:rsidR="00B958B1" w:rsidRPr="00503D60" w:rsidRDefault="00B958B1" w:rsidP="009F3B54">
            <w:pPr>
              <w:pStyle w:val="OGTabHead"/>
              <w:rPr>
                <w:rFonts w:cs="Calibri"/>
                <w:lang w:eastAsia="en-AU"/>
              </w:rPr>
            </w:pPr>
          </w:p>
        </w:tc>
        <w:tc>
          <w:tcPr>
            <w:tcW w:w="907" w:type="dxa"/>
            <w:tcBorders>
              <w:top w:val="single" w:sz="6" w:space="0" w:color="auto"/>
              <w:left w:val="nil"/>
              <w:right w:val="nil"/>
            </w:tcBorders>
            <w:shd w:val="clear" w:color="auto" w:fill="D9D9D9"/>
            <w:noWrap/>
          </w:tcPr>
          <w:p w:rsidR="00B958B1" w:rsidRPr="00CA5EC9" w:rsidRDefault="00B958B1" w:rsidP="009F3B54">
            <w:pPr>
              <w:pStyle w:val="OGTabHead"/>
              <w:rPr>
                <w:lang w:eastAsia="en-AU"/>
              </w:rPr>
            </w:pPr>
          </w:p>
        </w:tc>
        <w:tc>
          <w:tcPr>
            <w:tcW w:w="993"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c>
          <w:tcPr>
            <w:tcW w:w="907"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c>
          <w:tcPr>
            <w:tcW w:w="907"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r>
      <w:tr w:rsidR="00B958B1" w:rsidRPr="00503D60" w:rsidTr="009F3B54">
        <w:trPr>
          <w:cantSplit/>
        </w:trPr>
        <w:tc>
          <w:tcPr>
            <w:tcW w:w="3155" w:type="dxa"/>
            <w:tcBorders>
              <w:top w:val="nil"/>
              <w:left w:val="nil"/>
              <w:right w:val="nil"/>
            </w:tcBorders>
            <w:shd w:val="clear" w:color="auto" w:fill="auto"/>
          </w:tcPr>
          <w:p w:rsidR="00B958B1" w:rsidRPr="00503D60" w:rsidRDefault="00B958B1" w:rsidP="009F3B54">
            <w:pPr>
              <w:pStyle w:val="OGTabText"/>
              <w:rPr>
                <w:color w:val="000000"/>
                <w:lang w:eastAsia="en-AU"/>
              </w:rPr>
            </w:pPr>
            <w:r w:rsidRPr="006148BC">
              <w:rPr>
                <w:color w:val="000000"/>
                <w:lang w:eastAsia="en-AU"/>
              </w:rPr>
              <w:t>Entries received: Premiers’ Spirit of Anzac prize</w:t>
            </w:r>
          </w:p>
        </w:tc>
        <w:tc>
          <w:tcPr>
            <w:tcW w:w="907" w:type="dxa"/>
            <w:tcBorders>
              <w:top w:val="nil"/>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nil"/>
              <w:left w:val="nil"/>
              <w:right w:val="nil"/>
            </w:tcBorders>
            <w:shd w:val="clear" w:color="auto" w:fill="D9D9D9"/>
            <w:noWrap/>
          </w:tcPr>
          <w:p w:rsidR="00B958B1" w:rsidRPr="00CA5EC9" w:rsidRDefault="00B958B1" w:rsidP="009F3B54">
            <w:pPr>
              <w:pStyle w:val="OGTableofFigures"/>
              <w:rPr>
                <w:lang w:eastAsia="en-AU"/>
              </w:rPr>
            </w:pPr>
            <w:r>
              <w:rPr>
                <w:lang w:eastAsia="en-AU"/>
              </w:rPr>
              <w:t>&gt; 170</w:t>
            </w:r>
          </w:p>
        </w:tc>
        <w:tc>
          <w:tcPr>
            <w:tcW w:w="993" w:type="dxa"/>
            <w:tcBorders>
              <w:top w:val="nil"/>
              <w:left w:val="nil"/>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320</w:t>
            </w:r>
          </w:p>
        </w:tc>
        <w:tc>
          <w:tcPr>
            <w:tcW w:w="907" w:type="dxa"/>
            <w:tcBorders>
              <w:top w:val="nil"/>
              <w:left w:val="nil"/>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&gt; 170</w:t>
            </w:r>
          </w:p>
        </w:tc>
        <w:tc>
          <w:tcPr>
            <w:tcW w:w="907" w:type="dxa"/>
            <w:tcBorders>
              <w:top w:val="nil"/>
              <w:left w:val="nil"/>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135</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6148BC" w:rsidRDefault="00B958B1" w:rsidP="009F3B54">
            <w:pPr>
              <w:pStyle w:val="OGNotes"/>
            </w:pPr>
            <w:r w:rsidRPr="006148BC">
              <w:t>The 2012</w:t>
            </w:r>
            <w:r w:rsidR="009F0F49">
              <w:noBreakHyphen/>
            </w:r>
            <w:r w:rsidRPr="006148BC">
              <w:t>13 Expected Outcome is hi</w:t>
            </w:r>
            <w:r>
              <w:t xml:space="preserve">gher than anticipated due to </w:t>
            </w:r>
            <w:r w:rsidRPr="006148BC">
              <w:t>expansion of the marketing program and more direct targeting of teachers, which has resulted in a larger number of entries.</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AD5B10" w:rsidRDefault="00B958B1" w:rsidP="009F3B54">
            <w:pPr>
              <w:pStyle w:val="OGTabText"/>
              <w:rPr>
                <w:color w:val="000000"/>
                <w:lang w:eastAsia="en-AU"/>
              </w:rPr>
            </w:pPr>
            <w:r w:rsidRPr="00AD5B10">
              <w:rPr>
                <w:color w:val="000000"/>
                <w:lang w:eastAsia="en-AU"/>
              </w:rPr>
              <w:t>Event attendance: Student participation in Shrine of Remembrance programs</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bottom w:val="single" w:sz="6" w:space="0" w:color="auto"/>
              <w:right w:val="nil"/>
            </w:tcBorders>
            <w:shd w:val="clear" w:color="auto" w:fill="D9D9D9"/>
            <w:noWrap/>
          </w:tcPr>
          <w:p w:rsidR="00B958B1" w:rsidRPr="00CA5EC9" w:rsidRDefault="00B958B1" w:rsidP="009F3B54">
            <w:pPr>
              <w:pStyle w:val="OGTableofFigures"/>
              <w:rPr>
                <w:lang w:eastAsia="en-AU"/>
              </w:rPr>
            </w:pPr>
            <w:r>
              <w:rPr>
                <w:lang w:eastAsia="en-AU"/>
              </w:rPr>
              <w:t>&gt; 40 000</w:t>
            </w:r>
          </w:p>
        </w:tc>
        <w:tc>
          <w:tcPr>
            <w:tcW w:w="993" w:type="dxa"/>
            <w:tcBorders>
              <w:top w:val="single" w:sz="6" w:space="0" w:color="auto"/>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42 000</w:t>
            </w:r>
          </w:p>
        </w:tc>
        <w:tc>
          <w:tcPr>
            <w:tcW w:w="907" w:type="dxa"/>
            <w:tcBorders>
              <w:top w:val="single" w:sz="6" w:space="0" w:color="auto"/>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40 000</w:t>
            </w:r>
          </w:p>
        </w:tc>
        <w:tc>
          <w:tcPr>
            <w:tcW w:w="907" w:type="dxa"/>
            <w:tcBorders>
              <w:top w:val="single" w:sz="6" w:space="0" w:color="auto"/>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49 585</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AD5B10" w:rsidRDefault="00B958B1" w:rsidP="009F3B54">
            <w:pPr>
              <w:pStyle w:val="OGTabText"/>
              <w:rPr>
                <w:color w:val="000000"/>
                <w:lang w:eastAsia="en-AU"/>
              </w:rPr>
            </w:pPr>
            <w:r w:rsidRPr="00AD5B10">
              <w:rPr>
                <w:color w:val="000000"/>
                <w:lang w:eastAsia="en-AU"/>
              </w:rPr>
              <w:t>Restoring community war memorial grants: projects approved</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bottom w:val="single" w:sz="6" w:space="0" w:color="auto"/>
              <w:right w:val="nil"/>
            </w:tcBorders>
            <w:shd w:val="clear" w:color="auto" w:fill="D9D9D9"/>
            <w:noWrap/>
          </w:tcPr>
          <w:p w:rsidR="00B958B1" w:rsidRPr="00CA5EC9" w:rsidRDefault="00B958B1" w:rsidP="009F3B54">
            <w:pPr>
              <w:pStyle w:val="OGTableofFigures"/>
              <w:rPr>
                <w:lang w:eastAsia="en-AU"/>
              </w:rPr>
            </w:pPr>
            <w:r>
              <w:rPr>
                <w:lang w:eastAsia="en-AU"/>
              </w:rPr>
              <w:t>&gt; 40</w:t>
            </w:r>
          </w:p>
        </w:tc>
        <w:tc>
          <w:tcPr>
            <w:tcW w:w="993" w:type="dxa"/>
            <w:tcBorders>
              <w:top w:val="single" w:sz="6" w:space="0" w:color="auto"/>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41</w:t>
            </w:r>
          </w:p>
        </w:tc>
        <w:tc>
          <w:tcPr>
            <w:tcW w:w="907" w:type="dxa"/>
            <w:tcBorders>
              <w:top w:val="single" w:sz="6" w:space="0" w:color="auto"/>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&gt; 40</w:t>
            </w:r>
          </w:p>
        </w:tc>
        <w:tc>
          <w:tcPr>
            <w:tcW w:w="907" w:type="dxa"/>
            <w:tcBorders>
              <w:top w:val="single" w:sz="6" w:space="0" w:color="auto"/>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43</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Head"/>
              <w:rPr>
                <w:lang w:eastAsia="en-AU"/>
              </w:rPr>
            </w:pPr>
            <w:r>
              <w:rPr>
                <w:lang w:eastAsia="en-AU"/>
              </w:rPr>
              <w:t>Quality</w:t>
            </w:r>
          </w:p>
        </w:tc>
        <w:tc>
          <w:tcPr>
            <w:tcW w:w="907" w:type="dxa"/>
            <w:tcBorders>
              <w:top w:val="single" w:sz="6" w:space="0" w:color="auto"/>
              <w:left w:val="nil"/>
              <w:right w:val="nil"/>
            </w:tcBorders>
            <w:shd w:val="clear" w:color="auto" w:fill="auto"/>
            <w:noWrap/>
          </w:tcPr>
          <w:p w:rsidR="00B958B1" w:rsidRPr="00503D60" w:rsidRDefault="00B958B1" w:rsidP="009F3B54">
            <w:pPr>
              <w:pStyle w:val="OGTabHead"/>
              <w:rPr>
                <w:rFonts w:cs="Calibri"/>
                <w:lang w:eastAsia="en-AU"/>
              </w:rPr>
            </w:pPr>
          </w:p>
        </w:tc>
        <w:tc>
          <w:tcPr>
            <w:tcW w:w="907" w:type="dxa"/>
            <w:tcBorders>
              <w:top w:val="single" w:sz="6" w:space="0" w:color="auto"/>
              <w:left w:val="nil"/>
              <w:right w:val="nil"/>
            </w:tcBorders>
            <w:shd w:val="clear" w:color="auto" w:fill="D9D9D9"/>
            <w:noWrap/>
          </w:tcPr>
          <w:p w:rsidR="00B958B1" w:rsidRPr="00CA5EC9" w:rsidRDefault="00B958B1" w:rsidP="009F3B54">
            <w:pPr>
              <w:pStyle w:val="OGTabHead"/>
              <w:rPr>
                <w:lang w:eastAsia="en-AU"/>
              </w:rPr>
            </w:pPr>
          </w:p>
        </w:tc>
        <w:tc>
          <w:tcPr>
            <w:tcW w:w="993"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c>
          <w:tcPr>
            <w:tcW w:w="907"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c>
          <w:tcPr>
            <w:tcW w:w="907"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r>
      <w:tr w:rsidR="00B958B1" w:rsidRPr="00503D60" w:rsidTr="009F3B54">
        <w:trPr>
          <w:cantSplit/>
        </w:trPr>
        <w:tc>
          <w:tcPr>
            <w:tcW w:w="3155" w:type="dxa"/>
            <w:tcBorders>
              <w:top w:val="nil"/>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F9284F">
              <w:rPr>
                <w:color w:val="000000"/>
                <w:lang w:eastAsia="en-AU"/>
              </w:rPr>
              <w:t>Commemorative and educative projects meet agreed project objectives</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nil"/>
              <w:left w:val="nil"/>
              <w:bottom w:val="single" w:sz="6" w:space="0" w:color="auto"/>
              <w:right w:val="nil"/>
            </w:tcBorders>
            <w:shd w:val="clear" w:color="auto" w:fill="D9D9D9"/>
            <w:noWrap/>
          </w:tcPr>
          <w:p w:rsidR="00B958B1" w:rsidRPr="00CA5EC9" w:rsidRDefault="00B958B1" w:rsidP="009F3B54">
            <w:pPr>
              <w:pStyle w:val="OGTableofFigures"/>
              <w:rPr>
                <w:lang w:eastAsia="en-AU"/>
              </w:rPr>
            </w:pPr>
            <w:r>
              <w:rPr>
                <w:lang w:eastAsia="en-AU"/>
              </w:rPr>
              <w:t>100</w:t>
            </w:r>
          </w:p>
        </w:tc>
        <w:tc>
          <w:tcPr>
            <w:tcW w:w="993" w:type="dxa"/>
            <w:tcBorders>
              <w:top w:val="nil"/>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100</w:t>
            </w:r>
          </w:p>
        </w:tc>
        <w:tc>
          <w:tcPr>
            <w:tcW w:w="907" w:type="dxa"/>
            <w:tcBorders>
              <w:top w:val="nil"/>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100</w:t>
            </w:r>
          </w:p>
        </w:tc>
        <w:tc>
          <w:tcPr>
            <w:tcW w:w="907" w:type="dxa"/>
            <w:tcBorders>
              <w:top w:val="nil"/>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100</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Head"/>
              <w:rPr>
                <w:lang w:eastAsia="en-AU"/>
              </w:rPr>
            </w:pPr>
            <w:r>
              <w:rPr>
                <w:lang w:eastAsia="en-AU"/>
              </w:rPr>
              <w:t>Timeliness</w:t>
            </w:r>
          </w:p>
        </w:tc>
        <w:tc>
          <w:tcPr>
            <w:tcW w:w="907" w:type="dxa"/>
            <w:tcBorders>
              <w:top w:val="single" w:sz="6" w:space="0" w:color="auto"/>
              <w:left w:val="nil"/>
              <w:right w:val="nil"/>
            </w:tcBorders>
            <w:shd w:val="clear" w:color="auto" w:fill="auto"/>
            <w:noWrap/>
          </w:tcPr>
          <w:p w:rsidR="00B958B1" w:rsidRPr="00503D60" w:rsidRDefault="00B958B1" w:rsidP="009F3B54">
            <w:pPr>
              <w:pStyle w:val="OGTabHead"/>
              <w:rPr>
                <w:rFonts w:cs="Calibri"/>
                <w:lang w:eastAsia="en-AU"/>
              </w:rPr>
            </w:pPr>
          </w:p>
        </w:tc>
        <w:tc>
          <w:tcPr>
            <w:tcW w:w="907" w:type="dxa"/>
            <w:tcBorders>
              <w:top w:val="single" w:sz="6" w:space="0" w:color="auto"/>
              <w:left w:val="nil"/>
              <w:right w:val="nil"/>
            </w:tcBorders>
            <w:shd w:val="clear" w:color="auto" w:fill="D9D9D9"/>
            <w:noWrap/>
          </w:tcPr>
          <w:p w:rsidR="00B958B1" w:rsidRPr="00CA5EC9" w:rsidRDefault="00B958B1" w:rsidP="009F3B54">
            <w:pPr>
              <w:pStyle w:val="OGTabHead"/>
              <w:rPr>
                <w:lang w:eastAsia="en-AU"/>
              </w:rPr>
            </w:pPr>
          </w:p>
        </w:tc>
        <w:tc>
          <w:tcPr>
            <w:tcW w:w="993"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c>
          <w:tcPr>
            <w:tcW w:w="907"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c>
          <w:tcPr>
            <w:tcW w:w="907"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r>
      <w:tr w:rsidR="00B958B1" w:rsidRPr="00503D60" w:rsidTr="009F3B54">
        <w:trPr>
          <w:cantSplit/>
        </w:trPr>
        <w:tc>
          <w:tcPr>
            <w:tcW w:w="3155" w:type="dxa"/>
            <w:tcBorders>
              <w:top w:val="nil"/>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F9284F">
              <w:rPr>
                <w:color w:val="000000"/>
                <w:lang w:eastAsia="en-AU"/>
              </w:rPr>
              <w:t>Commemorative and Education program: Grants acquitted within the timeframe specified in the terms and conditions of the funding agreement</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nil"/>
              <w:left w:val="nil"/>
              <w:bottom w:val="single" w:sz="6" w:space="0" w:color="auto"/>
              <w:right w:val="nil"/>
            </w:tcBorders>
            <w:shd w:val="clear" w:color="auto" w:fill="D9D9D9"/>
            <w:noWrap/>
          </w:tcPr>
          <w:p w:rsidR="00B958B1" w:rsidRPr="00CA5EC9" w:rsidRDefault="00B958B1" w:rsidP="009F3B54">
            <w:pPr>
              <w:pStyle w:val="OGTableofFigures"/>
              <w:rPr>
                <w:lang w:eastAsia="en-AU"/>
              </w:rPr>
            </w:pPr>
            <w:r>
              <w:rPr>
                <w:lang w:eastAsia="en-AU"/>
              </w:rPr>
              <w:t>100</w:t>
            </w:r>
          </w:p>
        </w:tc>
        <w:tc>
          <w:tcPr>
            <w:tcW w:w="993" w:type="dxa"/>
            <w:tcBorders>
              <w:top w:val="nil"/>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100</w:t>
            </w:r>
          </w:p>
        </w:tc>
        <w:tc>
          <w:tcPr>
            <w:tcW w:w="907" w:type="dxa"/>
            <w:tcBorders>
              <w:top w:val="nil"/>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100</w:t>
            </w:r>
          </w:p>
        </w:tc>
        <w:tc>
          <w:tcPr>
            <w:tcW w:w="907" w:type="dxa"/>
            <w:tcBorders>
              <w:top w:val="nil"/>
              <w:left w:val="nil"/>
              <w:bottom w:val="single" w:sz="6"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100</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Head"/>
              <w:rPr>
                <w:lang w:eastAsia="en-AU"/>
              </w:rPr>
            </w:pPr>
            <w:r>
              <w:rPr>
                <w:lang w:eastAsia="en-AU"/>
              </w:rPr>
              <w:t>Cost</w:t>
            </w:r>
          </w:p>
        </w:tc>
        <w:tc>
          <w:tcPr>
            <w:tcW w:w="907" w:type="dxa"/>
            <w:tcBorders>
              <w:top w:val="single" w:sz="6" w:space="0" w:color="auto"/>
              <w:left w:val="nil"/>
              <w:right w:val="nil"/>
            </w:tcBorders>
            <w:shd w:val="clear" w:color="auto" w:fill="auto"/>
            <w:noWrap/>
          </w:tcPr>
          <w:p w:rsidR="00B958B1" w:rsidRPr="00503D60" w:rsidRDefault="00B958B1" w:rsidP="009F3B54">
            <w:pPr>
              <w:pStyle w:val="OGTabHead"/>
              <w:rPr>
                <w:rFonts w:cs="Calibri"/>
                <w:lang w:eastAsia="en-AU"/>
              </w:rPr>
            </w:pPr>
          </w:p>
        </w:tc>
        <w:tc>
          <w:tcPr>
            <w:tcW w:w="907" w:type="dxa"/>
            <w:tcBorders>
              <w:top w:val="single" w:sz="6" w:space="0" w:color="auto"/>
              <w:left w:val="nil"/>
              <w:right w:val="nil"/>
            </w:tcBorders>
            <w:shd w:val="clear" w:color="auto" w:fill="D9D9D9"/>
            <w:noWrap/>
          </w:tcPr>
          <w:p w:rsidR="00B958B1" w:rsidRPr="00CA5EC9" w:rsidRDefault="00B958B1" w:rsidP="009F3B54">
            <w:pPr>
              <w:pStyle w:val="OGTabHead"/>
              <w:rPr>
                <w:lang w:eastAsia="en-AU"/>
              </w:rPr>
            </w:pPr>
          </w:p>
        </w:tc>
        <w:tc>
          <w:tcPr>
            <w:tcW w:w="993"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c>
          <w:tcPr>
            <w:tcW w:w="907"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c>
          <w:tcPr>
            <w:tcW w:w="907" w:type="dxa"/>
            <w:tcBorders>
              <w:top w:val="single" w:sz="6" w:space="0" w:color="auto"/>
              <w:left w:val="nil"/>
              <w:right w:val="nil"/>
            </w:tcBorders>
            <w:shd w:val="clear" w:color="auto" w:fill="auto"/>
            <w:noWrap/>
          </w:tcPr>
          <w:p w:rsidR="00B958B1" w:rsidRPr="00CA5EC9" w:rsidRDefault="00B958B1" w:rsidP="009F3B54">
            <w:pPr>
              <w:pStyle w:val="OGTabHead"/>
              <w:rPr>
                <w:rFonts w:cs="Calibri"/>
                <w:lang w:eastAsia="en-AU"/>
              </w:rPr>
            </w:pPr>
          </w:p>
        </w:tc>
      </w:tr>
      <w:tr w:rsidR="00B958B1" w:rsidRPr="00503D60" w:rsidTr="009F3B54">
        <w:trPr>
          <w:cantSplit/>
        </w:trPr>
        <w:tc>
          <w:tcPr>
            <w:tcW w:w="3155" w:type="dxa"/>
            <w:tcBorders>
              <w:top w:val="nil"/>
              <w:left w:val="nil"/>
              <w:bottom w:val="single" w:sz="12" w:space="0" w:color="auto"/>
              <w:right w:val="nil"/>
            </w:tcBorders>
            <w:shd w:val="clear" w:color="auto" w:fill="auto"/>
          </w:tcPr>
          <w:p w:rsidR="00B958B1" w:rsidRPr="00503D60" w:rsidRDefault="00B958B1" w:rsidP="009F3B54">
            <w:pPr>
              <w:pStyle w:val="OGTabText"/>
              <w:rPr>
                <w:color w:val="000000"/>
                <w:lang w:eastAsia="en-AU"/>
              </w:rPr>
            </w:pPr>
            <w:r>
              <w:rPr>
                <w:color w:val="000000"/>
                <w:lang w:eastAsia="en-AU"/>
              </w:rPr>
              <w:t>Total output cost</w:t>
            </w:r>
          </w:p>
        </w:tc>
        <w:tc>
          <w:tcPr>
            <w:tcW w:w="907" w:type="dxa"/>
            <w:tcBorders>
              <w:top w:val="nil"/>
              <w:left w:val="nil"/>
              <w:bottom w:val="single" w:sz="12" w:space="0" w:color="auto"/>
              <w:right w:val="nil"/>
            </w:tcBorders>
            <w:shd w:val="clear" w:color="auto" w:fill="auto"/>
            <w:noWrap/>
          </w:tcPr>
          <w:p w:rsidR="00B958B1" w:rsidRPr="00503D60" w:rsidRDefault="00B958B1" w:rsidP="009F3B54">
            <w:pPr>
              <w:pStyle w:val="OGUoM"/>
              <w:rPr>
                <w:rFonts w:cs="Calibri"/>
                <w:lang w:eastAsia="en-AU"/>
              </w:rPr>
            </w:pPr>
            <w:r w:rsidRPr="00503D60">
              <w:rPr>
                <w:rFonts w:cs="Calibri"/>
                <w:lang w:eastAsia="en-AU"/>
              </w:rPr>
              <w:t>$</w:t>
            </w:r>
            <w:r>
              <w:rPr>
                <w:rFonts w:cs="Calibri"/>
                <w:lang w:eastAsia="en-AU"/>
              </w:rPr>
              <w:t> million</w:t>
            </w:r>
          </w:p>
        </w:tc>
        <w:tc>
          <w:tcPr>
            <w:tcW w:w="907" w:type="dxa"/>
            <w:tcBorders>
              <w:top w:val="nil"/>
              <w:left w:val="nil"/>
              <w:bottom w:val="single" w:sz="12" w:space="0" w:color="auto"/>
              <w:right w:val="nil"/>
            </w:tcBorders>
            <w:shd w:val="clear" w:color="auto" w:fill="D9D9D9"/>
            <w:noWrap/>
          </w:tcPr>
          <w:p w:rsidR="00B958B1" w:rsidRPr="00CA5EC9" w:rsidRDefault="00B958B1" w:rsidP="009F3B54">
            <w:pPr>
              <w:pStyle w:val="OGTableofFigures"/>
              <w:rPr>
                <w:lang w:eastAsia="en-AU"/>
              </w:rPr>
            </w:pPr>
            <w:r>
              <w:rPr>
                <w:lang w:eastAsia="en-AU"/>
              </w:rPr>
              <w:t>4.8</w:t>
            </w:r>
          </w:p>
        </w:tc>
        <w:tc>
          <w:tcPr>
            <w:tcW w:w="993" w:type="dxa"/>
            <w:tcBorders>
              <w:top w:val="nil"/>
              <w:left w:val="nil"/>
              <w:bottom w:val="single" w:sz="12"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4.5</w:t>
            </w:r>
          </w:p>
        </w:tc>
        <w:tc>
          <w:tcPr>
            <w:tcW w:w="907" w:type="dxa"/>
            <w:tcBorders>
              <w:top w:val="nil"/>
              <w:left w:val="nil"/>
              <w:bottom w:val="single" w:sz="12"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4.7</w:t>
            </w:r>
          </w:p>
        </w:tc>
        <w:tc>
          <w:tcPr>
            <w:tcW w:w="907" w:type="dxa"/>
            <w:tcBorders>
              <w:top w:val="nil"/>
              <w:left w:val="nil"/>
              <w:bottom w:val="single" w:sz="12" w:space="0" w:color="auto"/>
              <w:right w:val="nil"/>
            </w:tcBorders>
            <w:shd w:val="clear" w:color="auto" w:fill="auto"/>
            <w:noWrap/>
          </w:tcPr>
          <w:p w:rsidR="00B958B1" w:rsidRPr="00CA5EC9" w:rsidRDefault="00B958B1" w:rsidP="009F3B54">
            <w:pPr>
              <w:pStyle w:val="OGTableofFigures"/>
              <w:rPr>
                <w:rFonts w:cs="Calibri"/>
                <w:lang w:eastAsia="en-AU"/>
              </w:rPr>
            </w:pPr>
            <w:r>
              <w:rPr>
                <w:rFonts w:cs="Calibri"/>
                <w:lang w:eastAsia="en-AU"/>
              </w:rPr>
              <w:t>4.1</w:t>
            </w:r>
          </w:p>
        </w:tc>
      </w:tr>
    </w:tbl>
    <w:bookmarkEnd w:id="134"/>
    <w:p w:rsidR="00B958B1" w:rsidRDefault="00B958B1" w:rsidP="009F3B54">
      <w:pPr>
        <w:pStyle w:val="Source"/>
        <w:rPr>
          <w:lang w:eastAsia="en-AU"/>
        </w:rPr>
      </w:pPr>
      <w:r w:rsidRPr="00714116">
        <w:rPr>
          <w:lang w:eastAsia="en-AU"/>
        </w:rPr>
        <w:t>Sources: Departments of Premier and Cabinet and Treasury and Finance</w:t>
      </w:r>
    </w:p>
    <w:p w:rsidR="00B958B1" w:rsidRPr="00BF72E6" w:rsidRDefault="00B958B1" w:rsidP="009F3B54">
      <w:pPr>
        <w:pStyle w:val="Source"/>
        <w:rPr>
          <w:lang w:eastAsia="en-AU"/>
        </w:rPr>
      </w:pPr>
      <w:r>
        <w:fldChar w:fldCharType="begin"/>
      </w:r>
      <w:r>
        <w:instrText xml:space="preserve"> XE "</w:instrText>
      </w:r>
      <w:r w:rsidRPr="00B238A1">
        <w:instrText>Department of Premier and Cabinet:Supporting and Strengthening Communities</w:instrText>
      </w:r>
      <w:r>
        <w:instrText xml:space="preserve">" \r "BP3DPCSuppandStrengthComm" </w:instrText>
      </w:r>
      <w:r>
        <w:fldChar w:fldCharType="end"/>
      </w:r>
    </w:p>
    <w:p w:rsidR="00B958B1" w:rsidRDefault="00B958B1" w:rsidP="009F3B54">
      <w:pPr>
        <w:pStyle w:val="OGHeading1"/>
      </w:pPr>
      <w:r>
        <w:rPr>
          <w:rFonts w:ascii="Garamond" w:hAnsi="Garamond"/>
          <w:sz w:val="22"/>
          <w:szCs w:val="20"/>
        </w:rPr>
        <w:br w:type="page"/>
      </w:r>
    </w:p>
    <w:p w:rsidR="00B958B1" w:rsidRDefault="00B958B1" w:rsidP="009F3B54">
      <w:pPr>
        <w:pStyle w:val="OGHeading1"/>
        <w:rPr>
          <w:lang w:eastAsia="en-AU"/>
        </w:rPr>
      </w:pPr>
      <w:bookmarkStart w:id="135" w:name="BP3DPCPubSectMgmtGovandSupp"/>
      <w:r w:rsidRPr="00B51122">
        <w:rPr>
          <w:lang w:eastAsia="en-AU"/>
        </w:rPr>
        <w:t>Public Sector Management, Governance and Support</w:t>
      </w:r>
    </w:p>
    <w:p w:rsidR="00B958B1" w:rsidRDefault="00B958B1" w:rsidP="009F3B54">
      <w:pPr>
        <w:pStyle w:val="OGText"/>
        <w:rPr>
          <w:lang w:eastAsia="en-AU"/>
        </w:rPr>
      </w:pPr>
      <w:r>
        <w:rPr>
          <w:lang w:eastAsia="en-AU"/>
        </w:rPr>
        <w:t xml:space="preserve">These outputs relate to the provision of independent services and aim to ensure effective management, governance and support of the public sector. </w:t>
      </w:r>
    </w:p>
    <w:p w:rsidR="00B958B1" w:rsidRDefault="00B958B1" w:rsidP="009F3B54">
      <w:pPr>
        <w:pStyle w:val="OGText"/>
        <w:rPr>
          <w:lang w:eastAsia="en-AU"/>
        </w:rPr>
      </w:pPr>
      <w:r>
        <w:rPr>
          <w:lang w:eastAsia="en-AU"/>
        </w:rPr>
        <w:t>These outputs contribute to the departmental objective of promoting an effective, accountable and professional public administration.</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1414E8" w:rsidTr="009F3B54">
        <w:trPr>
          <w:cantSplit/>
          <w:tblHeader/>
        </w:trPr>
        <w:tc>
          <w:tcPr>
            <w:tcW w:w="3155" w:type="dxa"/>
            <w:tcBorders>
              <w:top w:val="single" w:sz="4" w:space="0" w:color="auto"/>
              <w:left w:val="single" w:sz="4" w:space="0" w:color="auto"/>
              <w:bottom w:val="single" w:sz="4" w:space="0" w:color="auto"/>
              <w:right w:val="nil"/>
            </w:tcBorders>
            <w:shd w:val="clear" w:color="auto" w:fill="000000"/>
            <w:vAlign w:val="bottom"/>
          </w:tcPr>
          <w:p w:rsidR="00B958B1" w:rsidRPr="001414E8" w:rsidRDefault="00B958B1" w:rsidP="009F3B54">
            <w:pPr>
              <w:pStyle w:val="OGTabColLeft"/>
              <w:rPr>
                <w:b w:val="0"/>
                <w:i/>
              </w:rPr>
            </w:pPr>
            <w:r w:rsidRPr="001414E8">
              <w:t>Major Outputs/Deliverables</w:t>
            </w:r>
            <w:r>
              <w:br/>
            </w:r>
            <w:r w:rsidRPr="001414E8">
              <w:rPr>
                <w:b w:val="0"/>
                <w:i/>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1414E8" w:rsidRDefault="00B958B1" w:rsidP="009F3B54">
            <w:pPr>
              <w:pStyle w:val="OGTabColCentred"/>
            </w:pPr>
            <w:r w:rsidRPr="001414E8">
              <w:t xml:space="preserve">Unit of </w:t>
            </w:r>
            <w:r w:rsidRPr="001414E8">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1414E8" w:rsidRDefault="00B958B1" w:rsidP="009F3B54">
            <w:pPr>
              <w:pStyle w:val="OGTabColRight"/>
            </w:pPr>
            <w:r>
              <w:t>2013</w:t>
            </w:r>
            <w:r w:rsidR="009F0F49">
              <w:noBreakHyphen/>
            </w:r>
            <w:r>
              <w:t>14 Target</w:t>
            </w:r>
          </w:p>
        </w:tc>
        <w:tc>
          <w:tcPr>
            <w:tcW w:w="993" w:type="dxa"/>
            <w:tcBorders>
              <w:top w:val="single" w:sz="4" w:space="0" w:color="auto"/>
              <w:left w:val="nil"/>
              <w:bottom w:val="single" w:sz="4" w:space="0" w:color="auto"/>
              <w:right w:val="nil"/>
            </w:tcBorders>
            <w:shd w:val="clear" w:color="auto" w:fill="000000"/>
            <w:noWrap/>
            <w:vAlign w:val="bottom"/>
            <w:hideMark/>
          </w:tcPr>
          <w:p w:rsidR="00B958B1" w:rsidRPr="001414E8" w:rsidRDefault="00B958B1" w:rsidP="009F3B54">
            <w:pPr>
              <w:pStyle w:val="OGTabColRight"/>
            </w:pPr>
            <w:r>
              <w:t>2012</w:t>
            </w:r>
            <w:r w:rsidR="009F0F49">
              <w:noBreakHyphen/>
            </w:r>
            <w:r>
              <w:t>13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1414E8" w:rsidRDefault="00B958B1" w:rsidP="009F3B54">
            <w:pPr>
              <w:pStyle w:val="OGTabColRight"/>
            </w:pPr>
            <w:r>
              <w:t>2012</w:t>
            </w:r>
            <w:r w:rsidR="009F0F49">
              <w:noBreakHyphen/>
            </w:r>
            <w:r>
              <w:t>13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1414E8" w:rsidRDefault="00B958B1" w:rsidP="009F3B54">
            <w:pPr>
              <w:pStyle w:val="OGTabColRight"/>
            </w:pPr>
            <w:r w:rsidRPr="001414E8">
              <w:t>201</w:t>
            </w:r>
            <w:r>
              <w:t>1</w:t>
            </w:r>
            <w:r w:rsidR="009F0F49">
              <w:noBreakHyphen/>
            </w:r>
            <w:r>
              <w:t>12 Actual</w:t>
            </w:r>
          </w:p>
        </w:tc>
      </w:tr>
      <w:tr w:rsidR="00B958B1" w:rsidRPr="00503D60" w:rsidTr="009F3B54">
        <w:trPr>
          <w:cantSplit/>
        </w:trPr>
        <w:tc>
          <w:tcPr>
            <w:tcW w:w="7776" w:type="dxa"/>
            <w:gridSpan w:val="6"/>
            <w:tcBorders>
              <w:top w:val="nil"/>
              <w:left w:val="nil"/>
              <w:bottom w:val="nil"/>
              <w:right w:val="nil"/>
            </w:tcBorders>
            <w:shd w:val="clear" w:color="auto" w:fill="auto"/>
            <w:hideMark/>
          </w:tcPr>
          <w:p w:rsidR="00B958B1" w:rsidRPr="00503D60" w:rsidRDefault="00B958B1" w:rsidP="009F3B54">
            <w:pPr>
              <w:pStyle w:val="OGHeading2"/>
              <w:rPr>
                <w:lang w:eastAsia="en-AU"/>
              </w:rPr>
            </w:pPr>
            <w:r w:rsidRPr="00503D60">
              <w:rPr>
                <w:lang w:eastAsia="en-AU"/>
              </w:rPr>
              <w:t>Advice and Support to the Governor</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hideMark/>
          </w:tcPr>
          <w:p w:rsidR="00B958B1" w:rsidRPr="00503D60" w:rsidRDefault="00B958B1" w:rsidP="009F3B54">
            <w:pPr>
              <w:pStyle w:val="OGText"/>
              <w:rPr>
                <w:lang w:eastAsia="en-AU"/>
              </w:rPr>
            </w:pPr>
            <w:r w:rsidRPr="00E2540D">
              <w:rPr>
                <w:lang w:eastAsia="en-AU"/>
              </w:rPr>
              <w:t>Provide advice and support to the Governor, and maintain Government House and its collections as a heritage asset of national importance.</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lang w:eastAsia="en-AU"/>
              </w:rPr>
              <w:t>Quantity</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996A89">
              <w:rPr>
                <w:color w:val="000000"/>
                <w:lang w:eastAsia="en-AU"/>
              </w:rPr>
              <w:t>Events and services arranged in response to requests by the Governor and the Premier</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nil"/>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100</w:t>
            </w:r>
          </w:p>
        </w:tc>
        <w:tc>
          <w:tcPr>
            <w:tcW w:w="993"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lang w:eastAsia="en-AU"/>
              </w:rPr>
              <w:t>Quality</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TabHead"/>
              <w:rPr>
                <w:lang w:eastAsia="en-AU"/>
              </w:rPr>
            </w:pP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996A89">
              <w:rPr>
                <w:color w:val="000000"/>
                <w:lang w:eastAsia="en-AU"/>
              </w:rPr>
              <w:t>Maintenance of assets in accordance with asset management strategy</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nil"/>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100</w:t>
            </w:r>
          </w:p>
        </w:tc>
        <w:tc>
          <w:tcPr>
            <w:tcW w:w="993"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996A89">
              <w:rPr>
                <w:color w:val="000000"/>
                <w:lang w:eastAsia="en-AU"/>
              </w:rPr>
              <w:t>Management of the program of events and services meets the expectations of the Governor</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95</w:t>
            </w:r>
          </w:p>
        </w:tc>
        <w:tc>
          <w:tcPr>
            <w:tcW w:w="993"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95</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95</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95</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996A89">
              <w:rPr>
                <w:color w:val="000000"/>
                <w:lang w:eastAsia="en-AU"/>
              </w:rPr>
              <w:t>Standard, physical appearance and security of Government House, the gardens and grounds meet appropriate standards as per the asset management strategy</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95</w:t>
            </w:r>
          </w:p>
        </w:tc>
        <w:tc>
          <w:tcPr>
            <w:tcW w:w="993"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95</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95</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95</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lang w:eastAsia="en-AU"/>
              </w:rPr>
              <w:t>Timeliness</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right w:val="nil"/>
            </w:tcBorders>
            <w:shd w:val="clear" w:color="auto" w:fill="auto"/>
          </w:tcPr>
          <w:p w:rsidR="00B958B1" w:rsidRPr="00503D60" w:rsidRDefault="00B958B1" w:rsidP="009F3B54">
            <w:pPr>
              <w:pStyle w:val="OGTabText"/>
              <w:rPr>
                <w:color w:val="000000"/>
                <w:lang w:eastAsia="en-AU"/>
              </w:rPr>
            </w:pPr>
            <w:r w:rsidRPr="00996A89">
              <w:rPr>
                <w:color w:val="000000"/>
                <w:lang w:eastAsia="en-AU"/>
              </w:rPr>
              <w:t>Contract milestones are met</w:t>
            </w:r>
          </w:p>
        </w:tc>
        <w:tc>
          <w:tcPr>
            <w:tcW w:w="907" w:type="dxa"/>
            <w:tcBorders>
              <w:top w:val="nil"/>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nil"/>
              <w:left w:val="nil"/>
              <w:right w:val="nil"/>
            </w:tcBorders>
            <w:shd w:val="clear" w:color="auto" w:fill="D9D9D9"/>
            <w:noWrap/>
          </w:tcPr>
          <w:p w:rsidR="00B958B1" w:rsidRPr="00503D60" w:rsidRDefault="00B958B1" w:rsidP="009F3B54">
            <w:pPr>
              <w:pStyle w:val="OGTableofFigures"/>
              <w:rPr>
                <w:lang w:eastAsia="en-AU"/>
              </w:rPr>
            </w:pPr>
            <w:r>
              <w:rPr>
                <w:lang w:eastAsia="en-AU"/>
              </w:rPr>
              <w:t>100</w:t>
            </w:r>
          </w:p>
        </w:tc>
        <w:tc>
          <w:tcPr>
            <w:tcW w:w="993"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c>
          <w:tcPr>
            <w:tcW w:w="907"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c>
          <w:tcPr>
            <w:tcW w:w="907"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r>
      <w:tr w:rsidR="00B958B1" w:rsidRPr="00503D60" w:rsidTr="009F3B54">
        <w:trPr>
          <w:cantSplit/>
        </w:trPr>
        <w:tc>
          <w:tcPr>
            <w:tcW w:w="3155" w:type="dxa"/>
            <w:tcBorders>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996A89">
              <w:rPr>
                <w:color w:val="000000"/>
                <w:lang w:eastAsia="en-AU"/>
              </w:rPr>
              <w:t>Timely arrangement of events and services</w:t>
            </w:r>
          </w:p>
        </w:tc>
        <w:tc>
          <w:tcPr>
            <w:tcW w:w="907" w:type="dxa"/>
            <w:tcBorders>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100</w:t>
            </w:r>
          </w:p>
        </w:tc>
        <w:tc>
          <w:tcPr>
            <w:tcW w:w="993" w:type="dxa"/>
            <w:tcBorders>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c>
          <w:tcPr>
            <w:tcW w:w="907" w:type="dxa"/>
            <w:tcBorders>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c>
          <w:tcPr>
            <w:tcW w:w="907" w:type="dxa"/>
            <w:tcBorders>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r>
      <w:tr w:rsidR="00B958B1" w:rsidRPr="00503D60" w:rsidTr="009F3B54">
        <w:trPr>
          <w:cantSplit/>
        </w:trPr>
        <w:tc>
          <w:tcPr>
            <w:tcW w:w="3155" w:type="dxa"/>
            <w:tcBorders>
              <w:top w:val="single" w:sz="6" w:space="0" w:color="auto"/>
              <w:left w:val="nil"/>
              <w:right w:val="nil"/>
            </w:tcBorders>
            <w:shd w:val="clear" w:color="auto" w:fill="auto"/>
            <w:hideMark/>
          </w:tcPr>
          <w:p w:rsidR="00B958B1" w:rsidRPr="00503D60" w:rsidRDefault="00B958B1" w:rsidP="009F3B54">
            <w:pPr>
              <w:pStyle w:val="OGTabHead"/>
              <w:rPr>
                <w:lang w:eastAsia="en-AU"/>
              </w:rPr>
            </w:pPr>
            <w:r w:rsidRPr="00560D1F">
              <w:rPr>
                <w:lang w:eastAsia="en-AU"/>
              </w:rPr>
              <w:t>Cost</w:t>
            </w:r>
          </w:p>
        </w:tc>
        <w:tc>
          <w:tcPr>
            <w:tcW w:w="907" w:type="dxa"/>
            <w:tcBorders>
              <w:top w:val="single" w:sz="6" w:space="0" w:color="auto"/>
              <w:left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right w:val="nil"/>
            </w:tcBorders>
            <w:shd w:val="clear" w:color="auto" w:fill="auto"/>
            <w:hideMark/>
          </w:tcPr>
          <w:p w:rsidR="00B958B1" w:rsidRPr="00503D60" w:rsidRDefault="00B958B1" w:rsidP="009F3B54">
            <w:pPr>
              <w:pStyle w:val="OGTabText"/>
              <w:rPr>
                <w:color w:val="000000"/>
                <w:lang w:eastAsia="en-AU"/>
              </w:rPr>
            </w:pPr>
            <w:r w:rsidRPr="00503D60">
              <w:rPr>
                <w:color w:val="000000"/>
                <w:lang w:eastAsia="en-AU"/>
              </w:rPr>
              <w:t>Total output cost</w:t>
            </w:r>
          </w:p>
        </w:tc>
        <w:tc>
          <w:tcPr>
            <w:tcW w:w="907" w:type="dxa"/>
            <w:tcBorders>
              <w:top w:val="nil"/>
              <w:left w:val="nil"/>
              <w:right w:val="nil"/>
            </w:tcBorders>
            <w:shd w:val="clear" w:color="auto" w:fill="auto"/>
            <w:noWrap/>
            <w:hideMark/>
          </w:tcPr>
          <w:p w:rsidR="00B958B1" w:rsidRPr="00503D60" w:rsidRDefault="00B958B1" w:rsidP="009F3B54">
            <w:pPr>
              <w:pStyle w:val="OGUoM"/>
              <w:rPr>
                <w:rFonts w:cs="Calibri"/>
                <w:lang w:eastAsia="en-AU"/>
              </w:rPr>
            </w:pPr>
            <w:r w:rsidRPr="00503D60">
              <w:rPr>
                <w:rFonts w:cs="Calibri"/>
                <w:lang w:eastAsia="en-AU"/>
              </w:rPr>
              <w:t>$</w:t>
            </w:r>
            <w:r>
              <w:rPr>
                <w:rFonts w:cs="Calibri"/>
                <w:lang w:eastAsia="en-AU"/>
              </w:rPr>
              <w:t> million</w:t>
            </w:r>
          </w:p>
        </w:tc>
        <w:tc>
          <w:tcPr>
            <w:tcW w:w="907" w:type="dxa"/>
            <w:tcBorders>
              <w:top w:val="nil"/>
              <w:left w:val="nil"/>
              <w:right w:val="nil"/>
            </w:tcBorders>
            <w:shd w:val="clear" w:color="auto" w:fill="D9D9D9"/>
            <w:noWrap/>
          </w:tcPr>
          <w:p w:rsidR="00B958B1" w:rsidRPr="00CA5EC9" w:rsidRDefault="00B958B1" w:rsidP="009F3B54">
            <w:pPr>
              <w:pStyle w:val="OGTableofFigures"/>
              <w:rPr>
                <w:rFonts w:cs="Calibri"/>
                <w:lang w:eastAsia="en-AU"/>
              </w:rPr>
            </w:pPr>
            <w:r w:rsidRPr="00CA5EC9">
              <w:rPr>
                <w:rFonts w:cs="Calibri"/>
                <w:lang w:eastAsia="en-AU"/>
              </w:rPr>
              <w:t>9.9</w:t>
            </w:r>
          </w:p>
        </w:tc>
        <w:tc>
          <w:tcPr>
            <w:tcW w:w="993" w:type="dxa"/>
            <w:tcBorders>
              <w:top w:val="nil"/>
              <w:left w:val="nil"/>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9.8</w:t>
            </w:r>
          </w:p>
        </w:tc>
        <w:tc>
          <w:tcPr>
            <w:tcW w:w="907" w:type="dxa"/>
            <w:tcBorders>
              <w:top w:val="nil"/>
              <w:left w:val="nil"/>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8.9</w:t>
            </w:r>
          </w:p>
        </w:tc>
        <w:tc>
          <w:tcPr>
            <w:tcW w:w="907" w:type="dxa"/>
            <w:tcBorders>
              <w:top w:val="nil"/>
              <w:left w:val="nil"/>
              <w:right w:val="nil"/>
            </w:tcBorders>
            <w:shd w:val="clear" w:color="auto" w:fill="auto"/>
            <w:noWrap/>
          </w:tcPr>
          <w:p w:rsidR="00B958B1" w:rsidRPr="00CA5EC9" w:rsidRDefault="00B958B1" w:rsidP="009F3B54">
            <w:pPr>
              <w:pStyle w:val="OGTableofFigures"/>
              <w:rPr>
                <w:lang w:eastAsia="en-AU"/>
              </w:rPr>
            </w:pPr>
            <w:r w:rsidRPr="00CA5EC9">
              <w:rPr>
                <w:lang w:eastAsia="en-AU"/>
              </w:rPr>
              <w:t>9.0</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4F14F6" w:rsidRDefault="00B958B1" w:rsidP="009F3B54">
            <w:pPr>
              <w:pStyle w:val="OGNotes"/>
            </w:pPr>
            <w:r w:rsidRPr="005B754B">
              <w:t>The 2013</w:t>
            </w:r>
            <w:r w:rsidR="009F0F49">
              <w:noBreakHyphen/>
            </w:r>
            <w:r w:rsidRPr="005B754B">
              <w:t>14 Target and 2012</w:t>
            </w:r>
            <w:r w:rsidR="009F0F49">
              <w:noBreakHyphen/>
            </w:r>
            <w:r w:rsidRPr="005B754B">
              <w:t>13 Expected Outcome are higher than the 2012</w:t>
            </w:r>
            <w:r w:rsidR="009F0F49">
              <w:noBreakHyphen/>
            </w:r>
            <w:r w:rsidRPr="005B754B">
              <w:t>13 Target due to additional funding for depreciation as a result of revaluation of assets.</w:t>
            </w:r>
          </w:p>
        </w:tc>
      </w:tr>
      <w:tr w:rsidR="00B958B1" w:rsidRPr="00503D60" w:rsidTr="009F3B54">
        <w:trPr>
          <w:cantSplit/>
        </w:trPr>
        <w:tc>
          <w:tcPr>
            <w:tcW w:w="7776" w:type="dxa"/>
            <w:gridSpan w:val="6"/>
            <w:tcBorders>
              <w:top w:val="single" w:sz="6" w:space="0" w:color="auto"/>
              <w:left w:val="nil"/>
              <w:bottom w:val="nil"/>
              <w:right w:val="nil"/>
            </w:tcBorders>
            <w:shd w:val="clear" w:color="auto" w:fill="auto"/>
            <w:hideMark/>
          </w:tcPr>
          <w:p w:rsidR="00B958B1" w:rsidRPr="00503D60" w:rsidRDefault="00B958B1" w:rsidP="009F3B54">
            <w:pPr>
              <w:pStyle w:val="OGHeading2"/>
              <w:rPr>
                <w:lang w:eastAsia="en-AU"/>
              </w:rPr>
            </w:pPr>
            <w:r w:rsidRPr="00503D60">
              <w:rPr>
                <w:lang w:eastAsia="en-AU"/>
              </w:rPr>
              <w:t>State Services Authority</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hideMark/>
          </w:tcPr>
          <w:p w:rsidR="00B958B1" w:rsidRPr="00503D60" w:rsidRDefault="00B958B1" w:rsidP="009F3B54">
            <w:pPr>
              <w:pStyle w:val="OGText"/>
              <w:rPr>
                <w:lang w:eastAsia="en-AU"/>
              </w:rPr>
            </w:pPr>
            <w:r w:rsidRPr="00E2540D">
              <w:rPr>
                <w:lang w:eastAsia="en-AU"/>
              </w:rPr>
              <w:t>Provide recommendations and advice to Government to improve delivery and integration of government services; promote key public sector conduct values and employment principles; undertake independent investigations of complaints; develop public administration capability; and promote high standards of governance, accountability and performance in public entities.</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lang w:eastAsia="en-AU"/>
              </w:rPr>
              <w:t>Quantity</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Head"/>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Head"/>
              <w:rPr>
                <w:lang w:eastAsia="en-AU"/>
              </w:rPr>
            </w:pPr>
            <w:r w:rsidRPr="00503D60">
              <w:rPr>
                <w:lang w:eastAsia="en-AU"/>
              </w:rPr>
              <w:t> </w:t>
            </w:r>
          </w:p>
        </w:tc>
      </w:tr>
      <w:tr w:rsidR="00B958B1" w:rsidRPr="00503D60" w:rsidTr="009F3B54">
        <w:trPr>
          <w:cantSplit/>
        </w:trPr>
        <w:tc>
          <w:tcPr>
            <w:tcW w:w="3155" w:type="dxa"/>
            <w:tcBorders>
              <w:top w:val="nil"/>
              <w:left w:val="nil"/>
              <w:right w:val="nil"/>
            </w:tcBorders>
            <w:shd w:val="clear" w:color="auto" w:fill="auto"/>
          </w:tcPr>
          <w:p w:rsidR="00B958B1" w:rsidRPr="00503D60" w:rsidRDefault="00B958B1" w:rsidP="009F3B54">
            <w:pPr>
              <w:pStyle w:val="OGTabText"/>
              <w:rPr>
                <w:color w:val="000000"/>
                <w:lang w:eastAsia="en-AU"/>
              </w:rPr>
            </w:pPr>
            <w:r w:rsidRPr="00CD5DCD">
              <w:rPr>
                <w:color w:val="000000"/>
                <w:lang w:eastAsia="en-AU"/>
              </w:rPr>
              <w:t>Formal events and activities delivered across the public sector that promote values and employment principles; effective workforce planning and development; good governance in public sector entities; and effectiveness in public administration</w:t>
            </w:r>
          </w:p>
        </w:tc>
        <w:tc>
          <w:tcPr>
            <w:tcW w:w="907" w:type="dxa"/>
            <w:tcBorders>
              <w:top w:val="nil"/>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nil"/>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50</w:t>
            </w:r>
          </w:p>
        </w:tc>
        <w:tc>
          <w:tcPr>
            <w:tcW w:w="993"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c>
          <w:tcPr>
            <w:tcW w:w="907"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c>
          <w:tcPr>
            <w:tcW w:w="907"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118</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7B22A9" w:rsidRDefault="00B958B1" w:rsidP="009F3B54">
            <w:pPr>
              <w:pStyle w:val="OGNotes"/>
            </w:pPr>
            <w:r>
              <w:t>The lower 2013</w:t>
            </w:r>
            <w:r w:rsidR="009F0F49">
              <w:noBreakHyphen/>
            </w:r>
            <w:r>
              <w:t xml:space="preserve">14 Target reflects a </w:t>
            </w:r>
            <w:r w:rsidRPr="00C44AB3">
              <w:t>refocus of the SSA's activities to meet the needs of a contemporary public sector</w:t>
            </w:r>
            <w:r>
              <w:t>.</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CD5DCD">
              <w:rPr>
                <w:color w:val="000000"/>
                <w:lang w:eastAsia="en-AU"/>
              </w:rPr>
              <w:t>Referred reviews aimed at improving service delivery, governance, and/or public administration efficiency and effectiveness completed</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10</w:t>
            </w:r>
          </w:p>
        </w:tc>
        <w:tc>
          <w:tcPr>
            <w:tcW w:w="993"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10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15</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iCs/>
                <w:color w:val="000000"/>
                <w:lang w:eastAsia="en-AU"/>
              </w:rPr>
              <w:t>Quality</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UoM"/>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leofFigures"/>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r>
      <w:tr w:rsidR="00B958B1" w:rsidRPr="00503D60" w:rsidTr="009F3B54">
        <w:trPr>
          <w:cantSplit/>
        </w:trPr>
        <w:tc>
          <w:tcPr>
            <w:tcW w:w="3155" w:type="dxa"/>
            <w:tcBorders>
              <w:top w:val="nil"/>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CD5DCD">
              <w:rPr>
                <w:color w:val="000000"/>
                <w:lang w:eastAsia="en-AU"/>
              </w:rPr>
              <w:t>Recommendations arising from reviews of actions (Section 64) implemented by the public service</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nil"/>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100</w:t>
            </w:r>
          </w:p>
        </w:tc>
        <w:tc>
          <w:tcPr>
            <w:tcW w:w="993"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iCs/>
                <w:color w:val="000000"/>
                <w:lang w:eastAsia="en-AU"/>
              </w:rPr>
              <w:t>Timeliness</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UoM"/>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leofFigures"/>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r>
      <w:tr w:rsidR="00B958B1" w:rsidRPr="00503D60" w:rsidTr="009F3B54">
        <w:trPr>
          <w:cantSplit/>
        </w:trPr>
        <w:tc>
          <w:tcPr>
            <w:tcW w:w="3155" w:type="dxa"/>
            <w:tcBorders>
              <w:top w:val="nil"/>
              <w:left w:val="nil"/>
              <w:right w:val="nil"/>
            </w:tcBorders>
            <w:shd w:val="clear" w:color="auto" w:fill="auto"/>
          </w:tcPr>
          <w:p w:rsidR="00B958B1" w:rsidRPr="00503D60" w:rsidRDefault="00B958B1" w:rsidP="009F3B54">
            <w:pPr>
              <w:pStyle w:val="OGTabText"/>
              <w:rPr>
                <w:color w:val="000000"/>
                <w:lang w:eastAsia="en-AU"/>
              </w:rPr>
            </w:pPr>
            <w:r w:rsidRPr="00CD5DCD">
              <w:rPr>
                <w:color w:val="000000"/>
                <w:lang w:eastAsia="en-AU"/>
              </w:rPr>
              <w:t>Referred reviews completed within agreed timelines</w:t>
            </w:r>
          </w:p>
        </w:tc>
        <w:tc>
          <w:tcPr>
            <w:tcW w:w="907" w:type="dxa"/>
            <w:tcBorders>
              <w:top w:val="nil"/>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nil"/>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90</w:t>
            </w:r>
          </w:p>
        </w:tc>
        <w:tc>
          <w:tcPr>
            <w:tcW w:w="993"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100</w:t>
            </w:r>
          </w:p>
        </w:tc>
        <w:tc>
          <w:tcPr>
            <w:tcW w:w="907"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90</w:t>
            </w:r>
          </w:p>
        </w:tc>
        <w:tc>
          <w:tcPr>
            <w:tcW w:w="907" w:type="dxa"/>
            <w:tcBorders>
              <w:top w:val="nil"/>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87</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EC5408" w:rsidRDefault="00B958B1" w:rsidP="009F3B54">
            <w:pPr>
              <w:pStyle w:val="OGNotes"/>
            </w:pPr>
            <w:r w:rsidRPr="00EC5408">
              <w:t>The 2012</w:t>
            </w:r>
            <w:r w:rsidR="009F0F49">
              <w:noBreakHyphen/>
            </w:r>
            <w:r w:rsidRPr="00EC5408">
              <w:t>13 Expected Outcome is higher than 2012</w:t>
            </w:r>
            <w:r w:rsidR="009F0F49">
              <w:noBreakHyphen/>
            </w:r>
            <w:r w:rsidRPr="00EC5408">
              <w:t xml:space="preserve">13 Target as all referred reviews are currently expected to be completed on time. </w:t>
            </w:r>
            <w:r>
              <w:t>However, g</w:t>
            </w:r>
            <w:r w:rsidRPr="00EC5408">
              <w:t>iven the small number of reviews (10)</w:t>
            </w:r>
            <w:r>
              <w:t>,</w:t>
            </w:r>
            <w:r w:rsidRPr="00EC5408">
              <w:t xml:space="preserve"> an overrun on one review would be sufficient to result in a 90</w:t>
            </w:r>
            <w:r>
              <w:t> per cent</w:t>
            </w:r>
            <w:r w:rsidRPr="00EC5408">
              <w:t xml:space="preserve"> outcome.</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iCs/>
                <w:color w:val="000000"/>
                <w:lang w:eastAsia="en-AU"/>
              </w:rPr>
              <w:t>Cost</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UoM"/>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leofFigures"/>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r>
      <w:tr w:rsidR="00B958B1" w:rsidRPr="00503D60" w:rsidTr="009F3B54">
        <w:trPr>
          <w:cantSplit/>
        </w:trPr>
        <w:tc>
          <w:tcPr>
            <w:tcW w:w="3155" w:type="dxa"/>
            <w:tcBorders>
              <w:top w:val="nil"/>
              <w:left w:val="nil"/>
              <w:bottom w:val="nil"/>
              <w:right w:val="nil"/>
            </w:tcBorders>
            <w:shd w:val="clear" w:color="auto" w:fill="auto"/>
            <w:hideMark/>
          </w:tcPr>
          <w:p w:rsidR="00B958B1" w:rsidRPr="00503D60" w:rsidRDefault="00B958B1" w:rsidP="009F3B54">
            <w:pPr>
              <w:pStyle w:val="OGTabText"/>
              <w:rPr>
                <w:color w:val="000000"/>
                <w:lang w:eastAsia="en-AU"/>
              </w:rPr>
            </w:pPr>
            <w:r w:rsidRPr="00503D60">
              <w:rPr>
                <w:color w:val="000000"/>
                <w:lang w:eastAsia="en-AU"/>
              </w:rPr>
              <w:t>Total output cost</w:t>
            </w:r>
          </w:p>
        </w:tc>
        <w:tc>
          <w:tcPr>
            <w:tcW w:w="907" w:type="dxa"/>
            <w:tcBorders>
              <w:top w:val="nil"/>
              <w:left w:val="nil"/>
              <w:bottom w:val="nil"/>
              <w:right w:val="nil"/>
            </w:tcBorders>
            <w:shd w:val="clear" w:color="auto" w:fill="auto"/>
            <w:noWrap/>
            <w:hideMark/>
          </w:tcPr>
          <w:p w:rsidR="00B958B1" w:rsidRPr="00503D60" w:rsidRDefault="00B958B1" w:rsidP="009F3B54">
            <w:pPr>
              <w:pStyle w:val="OGUoM"/>
              <w:rPr>
                <w:rFonts w:cs="Calibri"/>
                <w:lang w:eastAsia="en-AU"/>
              </w:rPr>
            </w:pPr>
            <w:r w:rsidRPr="00503D60">
              <w:rPr>
                <w:rFonts w:cs="Calibri"/>
                <w:lang w:eastAsia="en-AU"/>
              </w:rPr>
              <w:t>$</w:t>
            </w:r>
            <w:r>
              <w:rPr>
                <w:rFonts w:cs="Calibri"/>
                <w:lang w:eastAsia="en-AU"/>
              </w:rPr>
              <w:t> million</w:t>
            </w:r>
          </w:p>
        </w:tc>
        <w:tc>
          <w:tcPr>
            <w:tcW w:w="907" w:type="dxa"/>
            <w:tcBorders>
              <w:top w:val="nil"/>
              <w:left w:val="nil"/>
              <w:bottom w:val="nil"/>
              <w:right w:val="nil"/>
            </w:tcBorders>
            <w:shd w:val="clear" w:color="auto" w:fill="D9D9D9"/>
            <w:noWrap/>
          </w:tcPr>
          <w:p w:rsidR="00B958B1" w:rsidRPr="00CA5EC9" w:rsidRDefault="00B958B1" w:rsidP="009F3B54">
            <w:pPr>
              <w:pStyle w:val="OGTableofFigures"/>
              <w:rPr>
                <w:lang w:eastAsia="en-AU"/>
              </w:rPr>
            </w:pPr>
            <w:r w:rsidRPr="00CA5EC9">
              <w:rPr>
                <w:lang w:eastAsia="en-AU"/>
              </w:rPr>
              <w:t>6.7</w:t>
            </w:r>
          </w:p>
        </w:tc>
        <w:tc>
          <w:tcPr>
            <w:tcW w:w="993" w:type="dxa"/>
            <w:tcBorders>
              <w:top w:val="nil"/>
              <w:left w:val="nil"/>
              <w:bottom w:val="nil"/>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11.0</w:t>
            </w:r>
          </w:p>
        </w:tc>
        <w:tc>
          <w:tcPr>
            <w:tcW w:w="907" w:type="dxa"/>
            <w:tcBorders>
              <w:top w:val="nil"/>
              <w:left w:val="nil"/>
              <w:bottom w:val="nil"/>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10.4</w:t>
            </w:r>
          </w:p>
        </w:tc>
        <w:tc>
          <w:tcPr>
            <w:tcW w:w="907" w:type="dxa"/>
            <w:tcBorders>
              <w:top w:val="nil"/>
              <w:left w:val="nil"/>
              <w:bottom w:val="nil"/>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11.7</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503D60" w:rsidRDefault="00B958B1" w:rsidP="009F3B54">
            <w:pPr>
              <w:pStyle w:val="OGNotes"/>
            </w:pPr>
            <w:r>
              <w:t>The lower 2013</w:t>
            </w:r>
            <w:r w:rsidR="009F0F49">
              <w:noBreakHyphen/>
            </w:r>
            <w:r>
              <w:t xml:space="preserve">14 Target reflects a </w:t>
            </w:r>
            <w:r w:rsidRPr="00C44AB3">
              <w:t>refocus of the SSA's activities to meet the needs of a contemporary public sector</w:t>
            </w:r>
            <w:r>
              <w:t>. The 2012</w:t>
            </w:r>
            <w:r w:rsidR="009F0F49">
              <w:noBreakHyphen/>
            </w:r>
            <w:r>
              <w:t>13 Expected Outcome is higher than the 2012</w:t>
            </w:r>
            <w:r w:rsidR="009F0F49">
              <w:noBreakHyphen/>
            </w:r>
            <w:r>
              <w:t>13 Target as the 2012</w:t>
            </w:r>
            <w:r w:rsidR="009F0F49">
              <w:noBreakHyphen/>
            </w:r>
            <w:r>
              <w:t>13 Target did not include carryovers from 2011</w:t>
            </w:r>
            <w:r w:rsidR="009F0F49">
              <w:noBreakHyphen/>
            </w:r>
            <w:r>
              <w:t>12.</w:t>
            </w:r>
          </w:p>
        </w:tc>
      </w:tr>
      <w:tr w:rsidR="00B958B1" w:rsidRPr="00503D60" w:rsidTr="009F3B54">
        <w:trPr>
          <w:cantSplit/>
        </w:trPr>
        <w:tc>
          <w:tcPr>
            <w:tcW w:w="7776" w:type="dxa"/>
            <w:gridSpan w:val="6"/>
            <w:tcBorders>
              <w:top w:val="nil"/>
              <w:left w:val="nil"/>
              <w:bottom w:val="nil"/>
              <w:right w:val="nil"/>
            </w:tcBorders>
            <w:shd w:val="clear" w:color="auto" w:fill="auto"/>
            <w:hideMark/>
          </w:tcPr>
          <w:p w:rsidR="00B958B1" w:rsidRPr="00503D60" w:rsidRDefault="00B958B1" w:rsidP="009F3B54">
            <w:pPr>
              <w:pStyle w:val="OGHeading2"/>
              <w:rPr>
                <w:lang w:eastAsia="en-AU"/>
              </w:rPr>
            </w:pPr>
            <w:r w:rsidRPr="00503D60">
              <w:rPr>
                <w:lang w:eastAsia="en-AU"/>
              </w:rPr>
              <w:t>Ombudsman Services</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hideMark/>
          </w:tcPr>
          <w:p w:rsidR="00B958B1" w:rsidRPr="00503D60" w:rsidRDefault="00B958B1" w:rsidP="009F3B54">
            <w:pPr>
              <w:pStyle w:val="OGText"/>
              <w:rPr>
                <w:lang w:eastAsia="en-AU"/>
              </w:rPr>
            </w:pPr>
            <w:r w:rsidRPr="00E2540D">
              <w:rPr>
                <w:lang w:eastAsia="en-AU"/>
              </w:rPr>
              <w:t>Responsible for independent investigation of complaints concerning administrative actions taken in Government departments, statutory bodies, or by officers and employees of municipal councils.</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iCs/>
                <w:color w:val="000000"/>
                <w:lang w:eastAsia="en-AU"/>
              </w:rPr>
              <w:t>Quantity</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UoM"/>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leofFigures"/>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r>
      <w:tr w:rsidR="00B958B1" w:rsidRPr="00503D60" w:rsidTr="009F3B54">
        <w:trPr>
          <w:cantSplit/>
        </w:trPr>
        <w:tc>
          <w:tcPr>
            <w:tcW w:w="3155" w:type="dxa"/>
            <w:tcBorders>
              <w:top w:val="nil"/>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582AF7">
              <w:rPr>
                <w:color w:val="000000"/>
                <w:lang w:eastAsia="en-AU"/>
              </w:rPr>
              <w:t>Initiatives delivered under the Outreach program</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nil"/>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115</w:t>
            </w:r>
          </w:p>
        </w:tc>
        <w:tc>
          <w:tcPr>
            <w:tcW w:w="993"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115</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115</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135</w:t>
            </w:r>
          </w:p>
        </w:tc>
      </w:tr>
      <w:tr w:rsidR="00B958B1" w:rsidRPr="00503D60" w:rsidTr="009F3B54">
        <w:trPr>
          <w:cantSplit/>
        </w:trPr>
        <w:tc>
          <w:tcPr>
            <w:tcW w:w="3155" w:type="dxa"/>
            <w:tcBorders>
              <w:top w:val="single" w:sz="6" w:space="0" w:color="auto"/>
              <w:left w:val="nil"/>
              <w:bottom w:val="nil"/>
              <w:right w:val="nil"/>
            </w:tcBorders>
            <w:shd w:val="clear" w:color="auto" w:fill="auto"/>
          </w:tcPr>
          <w:p w:rsidR="00B958B1" w:rsidRPr="00503D60" w:rsidRDefault="00B958B1" w:rsidP="009F3B54">
            <w:pPr>
              <w:pStyle w:val="OGTabText"/>
              <w:rPr>
                <w:color w:val="000000"/>
                <w:lang w:eastAsia="en-AU"/>
              </w:rPr>
            </w:pPr>
            <w:r w:rsidRPr="00582AF7">
              <w:rPr>
                <w:color w:val="000000"/>
                <w:lang w:eastAsia="en-AU"/>
              </w:rPr>
              <w:t>Internal reviews of complaint investigations conducted at the request of the complainant</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bottom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&lt; 70</w:t>
            </w:r>
          </w:p>
        </w:tc>
        <w:tc>
          <w:tcPr>
            <w:tcW w:w="993" w:type="dxa"/>
            <w:tcBorders>
              <w:top w:val="single" w:sz="6" w:space="0" w:color="auto"/>
              <w:left w:val="nil"/>
              <w:bottom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40</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70</w:t>
            </w:r>
          </w:p>
        </w:tc>
        <w:tc>
          <w:tcPr>
            <w:tcW w:w="907" w:type="dxa"/>
            <w:tcBorders>
              <w:top w:val="single" w:sz="6" w:space="0" w:color="auto"/>
              <w:left w:val="nil"/>
              <w:bottom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26</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EC5408" w:rsidRDefault="00B958B1" w:rsidP="009F3B54">
            <w:pPr>
              <w:pStyle w:val="OGNotes"/>
            </w:pPr>
            <w:r>
              <w:t>The 2012</w:t>
            </w:r>
            <w:r w:rsidR="009F0F49">
              <w:noBreakHyphen/>
            </w:r>
            <w:r>
              <w:t>13 Expected Outcome is lower than the 2012</w:t>
            </w:r>
            <w:r w:rsidR="009F0F49">
              <w:noBreakHyphen/>
            </w:r>
            <w:r>
              <w:t>13 Target due to volatility in the number of requests for reviews of complaint investigations, both from year to year and within years. The 2013</w:t>
            </w:r>
            <w:r w:rsidR="009F0F49">
              <w:noBreakHyphen/>
            </w:r>
            <w:r>
              <w:t>14 Target has been amended to reflect this, and that a low result against this performance measure is a positive outcome.</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582AF7">
              <w:rPr>
                <w:color w:val="000000"/>
                <w:lang w:eastAsia="en-AU"/>
              </w:rPr>
              <w:t>Jurisdictional complaints finalised, including general, Freedom of Information and Whistleblower complaints</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14 000</w:t>
            </w:r>
          </w:p>
        </w:tc>
        <w:tc>
          <w:tcPr>
            <w:tcW w:w="993"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14 500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14 000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15 336</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582AF7">
              <w:rPr>
                <w:color w:val="000000"/>
                <w:lang w:eastAsia="en-AU"/>
              </w:rPr>
              <w:t>Reports tabled in Parliament</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10</w:t>
            </w:r>
          </w:p>
        </w:tc>
        <w:tc>
          <w:tcPr>
            <w:tcW w:w="993"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12</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iCs/>
                <w:color w:val="000000"/>
                <w:lang w:eastAsia="en-AU"/>
              </w:rPr>
              <w:t>Quality</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UoM"/>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leofFigures"/>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r>
      <w:tr w:rsidR="00B958B1" w:rsidRPr="00503D60" w:rsidTr="009F3B54">
        <w:trPr>
          <w:cantSplit/>
        </w:trPr>
        <w:tc>
          <w:tcPr>
            <w:tcW w:w="3155" w:type="dxa"/>
            <w:tcBorders>
              <w:top w:val="nil"/>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582AF7">
              <w:rPr>
                <w:color w:val="000000"/>
                <w:lang w:eastAsia="en-AU"/>
              </w:rPr>
              <w:t>Proportion of complaint investigations reviewed at the request of complainants (by a fresh, senior investigator) where the original findings were found to be sound and well founded</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nil"/>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80</w:t>
            </w:r>
          </w:p>
        </w:tc>
        <w:tc>
          <w:tcPr>
            <w:tcW w:w="993"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80</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80</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73</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Text"/>
              <w:rPr>
                <w:color w:val="000000"/>
                <w:lang w:eastAsia="en-AU"/>
              </w:rPr>
            </w:pPr>
            <w:r w:rsidRPr="00582AF7">
              <w:rPr>
                <w:color w:val="000000"/>
                <w:lang w:eastAsia="en-AU"/>
              </w:rPr>
              <w:t>Recommendations made in jurisdictional complaint investigations that are accepted by respondent agencies</w:t>
            </w:r>
          </w:p>
        </w:tc>
        <w:tc>
          <w:tcPr>
            <w:tcW w:w="907" w:type="dxa"/>
            <w:tcBorders>
              <w:top w:val="single" w:sz="6" w:space="0" w:color="auto"/>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80</w:t>
            </w:r>
          </w:p>
        </w:tc>
        <w:tc>
          <w:tcPr>
            <w:tcW w:w="993"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90</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80</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87</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EC5408" w:rsidRDefault="00B958B1" w:rsidP="009F3B54">
            <w:pPr>
              <w:pStyle w:val="OGNotes"/>
            </w:pPr>
            <w:r w:rsidRPr="00EC5408">
              <w:t>The 2012</w:t>
            </w:r>
            <w:r w:rsidR="009F0F49">
              <w:noBreakHyphen/>
            </w:r>
            <w:r w:rsidRPr="00EC5408">
              <w:t>13 Expected Ou</w:t>
            </w:r>
            <w:r>
              <w:t>tcome is higher than the 2012</w:t>
            </w:r>
            <w:r w:rsidR="009F0F49">
              <w:noBreakHyphen/>
            </w:r>
            <w:r>
              <w:t>13</w:t>
            </w:r>
            <w:r w:rsidRPr="00EC5408">
              <w:t xml:space="preserve"> Target because VO continues to put much effort into ensuring that its recommendations are well founded, reasonable and practical</w:t>
            </w:r>
            <w:r>
              <w:t xml:space="preserve">. </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582AF7">
              <w:rPr>
                <w:color w:val="000000"/>
                <w:lang w:eastAsia="en-AU"/>
              </w:rPr>
              <w:t>Recommendations made in reports tabled in Parliament which respondent agencies agreed to implement</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90</w:t>
            </w:r>
          </w:p>
        </w:tc>
        <w:tc>
          <w:tcPr>
            <w:tcW w:w="993"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77</w:t>
            </w:r>
          </w:p>
        </w:tc>
      </w:tr>
      <w:tr w:rsidR="00B958B1" w:rsidRPr="00503D60" w:rsidTr="009F3B54">
        <w:trPr>
          <w:cantSplit/>
        </w:trPr>
        <w:tc>
          <w:tcPr>
            <w:tcW w:w="3155" w:type="dxa"/>
            <w:tcBorders>
              <w:top w:val="single" w:sz="6" w:space="0" w:color="auto"/>
              <w:left w:val="nil"/>
              <w:right w:val="nil"/>
            </w:tcBorders>
            <w:shd w:val="clear" w:color="auto" w:fill="auto"/>
            <w:hideMark/>
          </w:tcPr>
          <w:p w:rsidR="00B958B1" w:rsidRPr="00503D60" w:rsidRDefault="00B958B1" w:rsidP="009F3B54">
            <w:pPr>
              <w:pStyle w:val="OGTabHead"/>
              <w:rPr>
                <w:lang w:eastAsia="en-AU"/>
              </w:rPr>
            </w:pPr>
            <w:r w:rsidRPr="00560D1F">
              <w:rPr>
                <w:iCs/>
                <w:color w:val="000000"/>
                <w:lang w:eastAsia="en-AU"/>
              </w:rPr>
              <w:t>Timeliness</w:t>
            </w:r>
          </w:p>
        </w:tc>
        <w:tc>
          <w:tcPr>
            <w:tcW w:w="907" w:type="dxa"/>
            <w:tcBorders>
              <w:top w:val="single" w:sz="6" w:space="0" w:color="auto"/>
              <w:left w:val="nil"/>
              <w:right w:val="nil"/>
            </w:tcBorders>
            <w:shd w:val="clear" w:color="auto" w:fill="auto"/>
            <w:noWrap/>
            <w:hideMark/>
          </w:tcPr>
          <w:p w:rsidR="00B958B1" w:rsidRPr="00503D60" w:rsidRDefault="00B958B1" w:rsidP="009F3B54">
            <w:pPr>
              <w:pStyle w:val="OGUoM"/>
              <w:rPr>
                <w:lang w:eastAsia="en-AU"/>
              </w:rPr>
            </w:pPr>
            <w:r w:rsidRPr="00503D60">
              <w:rPr>
                <w:lang w:eastAsia="en-AU"/>
              </w:rPr>
              <w:t> </w:t>
            </w:r>
          </w:p>
        </w:tc>
        <w:tc>
          <w:tcPr>
            <w:tcW w:w="907" w:type="dxa"/>
            <w:tcBorders>
              <w:top w:val="single" w:sz="6" w:space="0" w:color="auto"/>
              <w:left w:val="nil"/>
              <w:right w:val="nil"/>
            </w:tcBorders>
            <w:shd w:val="clear" w:color="auto" w:fill="D9D9D9"/>
            <w:noWrap/>
            <w:hideMark/>
          </w:tcPr>
          <w:p w:rsidR="00B958B1" w:rsidRPr="00503D60" w:rsidRDefault="00B958B1" w:rsidP="009F3B54">
            <w:pPr>
              <w:pStyle w:val="OGTableofFigures"/>
              <w:rPr>
                <w:lang w:eastAsia="en-AU"/>
              </w:rPr>
            </w:pPr>
            <w:r w:rsidRPr="00503D60">
              <w:rPr>
                <w:lang w:eastAsia="en-AU"/>
              </w:rPr>
              <w:t> </w:t>
            </w:r>
          </w:p>
        </w:tc>
        <w:tc>
          <w:tcPr>
            <w:tcW w:w="993" w:type="dxa"/>
            <w:tcBorders>
              <w:top w:val="single" w:sz="6" w:space="0" w:color="auto"/>
              <w:left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r>
      <w:tr w:rsidR="00B958B1" w:rsidRPr="00503D60" w:rsidTr="009F3B54">
        <w:trPr>
          <w:cantSplit/>
        </w:trPr>
        <w:tc>
          <w:tcPr>
            <w:tcW w:w="3155" w:type="dxa"/>
            <w:tcBorders>
              <w:top w:val="nil"/>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582AF7">
              <w:rPr>
                <w:color w:val="000000"/>
                <w:lang w:eastAsia="en-AU"/>
              </w:rPr>
              <w:t>Complaints resolved within required timelines</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nil"/>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95</w:t>
            </w:r>
          </w:p>
        </w:tc>
        <w:tc>
          <w:tcPr>
            <w:tcW w:w="993"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95</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95</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97</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pageBreakBefore/>
              <w:rPr>
                <w:lang w:eastAsia="en-AU"/>
              </w:rPr>
            </w:pPr>
            <w:r w:rsidRPr="00560D1F">
              <w:rPr>
                <w:iCs/>
                <w:color w:val="000000"/>
                <w:lang w:eastAsia="en-AU"/>
              </w:rPr>
              <w:t>Cost</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UoM"/>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leofFigures"/>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r>
      <w:tr w:rsidR="00B958B1" w:rsidRPr="00503D60" w:rsidTr="009F3B54">
        <w:trPr>
          <w:cantSplit/>
        </w:trPr>
        <w:tc>
          <w:tcPr>
            <w:tcW w:w="3155" w:type="dxa"/>
            <w:tcBorders>
              <w:top w:val="nil"/>
              <w:left w:val="nil"/>
              <w:bottom w:val="nil"/>
              <w:right w:val="nil"/>
            </w:tcBorders>
            <w:shd w:val="clear" w:color="auto" w:fill="auto"/>
            <w:hideMark/>
          </w:tcPr>
          <w:p w:rsidR="00B958B1" w:rsidRPr="00503D60" w:rsidRDefault="00B958B1" w:rsidP="009F3B54">
            <w:pPr>
              <w:pStyle w:val="OGTabText"/>
              <w:rPr>
                <w:color w:val="000000"/>
                <w:lang w:eastAsia="en-AU"/>
              </w:rPr>
            </w:pPr>
            <w:r w:rsidRPr="00503D60">
              <w:rPr>
                <w:color w:val="000000"/>
                <w:lang w:eastAsia="en-AU"/>
              </w:rPr>
              <w:t>Total output cost</w:t>
            </w:r>
          </w:p>
        </w:tc>
        <w:tc>
          <w:tcPr>
            <w:tcW w:w="907" w:type="dxa"/>
            <w:tcBorders>
              <w:top w:val="nil"/>
              <w:left w:val="nil"/>
              <w:bottom w:val="nil"/>
              <w:right w:val="nil"/>
            </w:tcBorders>
            <w:shd w:val="clear" w:color="auto" w:fill="auto"/>
            <w:noWrap/>
            <w:hideMark/>
          </w:tcPr>
          <w:p w:rsidR="00B958B1" w:rsidRPr="00503D60" w:rsidRDefault="00B958B1" w:rsidP="009F3B54">
            <w:pPr>
              <w:pStyle w:val="OGUoM"/>
              <w:rPr>
                <w:rFonts w:cs="Calibri"/>
                <w:lang w:eastAsia="en-AU"/>
              </w:rPr>
            </w:pPr>
            <w:r w:rsidRPr="00503D60">
              <w:rPr>
                <w:rFonts w:cs="Calibri"/>
                <w:lang w:eastAsia="en-AU"/>
              </w:rPr>
              <w:t>$</w:t>
            </w:r>
            <w:r>
              <w:rPr>
                <w:rFonts w:cs="Calibri"/>
                <w:lang w:eastAsia="en-AU"/>
              </w:rPr>
              <w:t> million</w:t>
            </w:r>
          </w:p>
        </w:tc>
        <w:tc>
          <w:tcPr>
            <w:tcW w:w="907" w:type="dxa"/>
            <w:tcBorders>
              <w:top w:val="nil"/>
              <w:left w:val="nil"/>
              <w:bottom w:val="nil"/>
              <w:right w:val="nil"/>
            </w:tcBorders>
            <w:shd w:val="clear" w:color="auto" w:fill="D9D9D9"/>
            <w:noWrap/>
          </w:tcPr>
          <w:p w:rsidR="00B958B1" w:rsidRPr="00CA5EC9" w:rsidRDefault="00B958B1" w:rsidP="009F3B54">
            <w:pPr>
              <w:pStyle w:val="OGTableofFigures"/>
              <w:rPr>
                <w:lang w:eastAsia="en-AU"/>
              </w:rPr>
            </w:pPr>
            <w:r w:rsidRPr="00CA5EC9">
              <w:rPr>
                <w:lang w:eastAsia="en-AU"/>
              </w:rPr>
              <w:t>10.5</w:t>
            </w:r>
          </w:p>
        </w:tc>
        <w:tc>
          <w:tcPr>
            <w:tcW w:w="993" w:type="dxa"/>
            <w:tcBorders>
              <w:top w:val="nil"/>
              <w:left w:val="nil"/>
              <w:bottom w:val="nil"/>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10.5</w:t>
            </w:r>
          </w:p>
        </w:tc>
        <w:tc>
          <w:tcPr>
            <w:tcW w:w="907" w:type="dxa"/>
            <w:tcBorders>
              <w:top w:val="nil"/>
              <w:left w:val="nil"/>
              <w:bottom w:val="nil"/>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8.5</w:t>
            </w:r>
          </w:p>
        </w:tc>
        <w:tc>
          <w:tcPr>
            <w:tcW w:w="907" w:type="dxa"/>
            <w:tcBorders>
              <w:top w:val="nil"/>
              <w:left w:val="nil"/>
              <w:bottom w:val="nil"/>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9.6</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tcPr>
          <w:p w:rsidR="00B958B1" w:rsidRPr="00503D60" w:rsidRDefault="00B958B1" w:rsidP="009F3B54">
            <w:pPr>
              <w:pStyle w:val="OGNotes"/>
            </w:pPr>
            <w:r w:rsidRPr="00695A97">
              <w:t>The 2013</w:t>
            </w:r>
            <w:r w:rsidR="009F0F49">
              <w:noBreakHyphen/>
            </w:r>
            <w:r w:rsidRPr="00695A97">
              <w:t>14 Target and 2012</w:t>
            </w:r>
            <w:r w:rsidR="009F0F49">
              <w:noBreakHyphen/>
            </w:r>
            <w:r w:rsidRPr="00695A97">
              <w:t>13 Expected Outcome are higher than the 2012</w:t>
            </w:r>
            <w:r w:rsidR="009F0F49">
              <w:noBreakHyphen/>
            </w:r>
            <w:r w:rsidRPr="00695A97">
              <w:t>13 Target due to funding internally reprioritised to address greater than anticipated demand for VO services.</w:t>
            </w:r>
          </w:p>
        </w:tc>
      </w:tr>
      <w:tr w:rsidR="00B958B1" w:rsidRPr="00503D60" w:rsidTr="009F3B54">
        <w:trPr>
          <w:cantSplit/>
        </w:trPr>
        <w:tc>
          <w:tcPr>
            <w:tcW w:w="7776" w:type="dxa"/>
            <w:gridSpan w:val="6"/>
            <w:tcBorders>
              <w:top w:val="nil"/>
              <w:left w:val="nil"/>
              <w:bottom w:val="nil"/>
              <w:right w:val="nil"/>
            </w:tcBorders>
            <w:shd w:val="clear" w:color="auto" w:fill="auto"/>
            <w:hideMark/>
          </w:tcPr>
          <w:p w:rsidR="00B958B1" w:rsidRPr="00503D60" w:rsidRDefault="00B958B1" w:rsidP="009F3B54">
            <w:pPr>
              <w:pStyle w:val="OGHeading2"/>
              <w:rPr>
                <w:lang w:eastAsia="en-AU"/>
              </w:rPr>
            </w:pPr>
            <w:r w:rsidRPr="00503D60">
              <w:rPr>
                <w:lang w:eastAsia="en-AU"/>
              </w:rPr>
              <w:t>Chief Parliamentary Counsel Services</w:t>
            </w:r>
          </w:p>
        </w:tc>
      </w:tr>
      <w:tr w:rsidR="00B958B1" w:rsidRPr="00503D60" w:rsidTr="009F3B54">
        <w:trPr>
          <w:cantSplit/>
        </w:trPr>
        <w:tc>
          <w:tcPr>
            <w:tcW w:w="7776" w:type="dxa"/>
            <w:gridSpan w:val="6"/>
            <w:tcBorders>
              <w:top w:val="nil"/>
              <w:left w:val="nil"/>
              <w:bottom w:val="single" w:sz="6" w:space="0" w:color="auto"/>
              <w:right w:val="nil"/>
            </w:tcBorders>
            <w:shd w:val="clear" w:color="auto" w:fill="auto"/>
            <w:hideMark/>
          </w:tcPr>
          <w:p w:rsidR="00B958B1" w:rsidRPr="00503D60" w:rsidRDefault="00B958B1" w:rsidP="009F3B54">
            <w:pPr>
              <w:pStyle w:val="OGText"/>
              <w:rPr>
                <w:lang w:eastAsia="en-AU"/>
              </w:rPr>
            </w:pPr>
            <w:r w:rsidRPr="00E2540D">
              <w:rPr>
                <w:lang w:eastAsia="en-AU"/>
              </w:rPr>
              <w:t>Preparation of Bills for introduction in Parliament, including: provision of advice on proposed Statutory Rules and other subordinate legislation; publishing and reprinting of Acts and Statutory Rules; and the maintenance of a database of Victorian legislation.</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iCs/>
                <w:color w:val="000000"/>
                <w:lang w:eastAsia="en-AU"/>
              </w:rPr>
              <w:t>Quantity</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UoM"/>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leofFigures"/>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r>
      <w:tr w:rsidR="00B958B1" w:rsidRPr="00503D60" w:rsidTr="009F3B54">
        <w:trPr>
          <w:cantSplit/>
        </w:trPr>
        <w:tc>
          <w:tcPr>
            <w:tcW w:w="3155" w:type="dxa"/>
            <w:tcBorders>
              <w:top w:val="nil"/>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541C19">
              <w:rPr>
                <w:color w:val="000000"/>
                <w:lang w:eastAsia="en-AU"/>
              </w:rPr>
              <w:t>Advice given on legislation in response to written requests</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nil"/>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96</w:t>
            </w:r>
          </w:p>
        </w:tc>
        <w:tc>
          <w:tcPr>
            <w:tcW w:w="993"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98</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96</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nm</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541C19">
              <w:rPr>
                <w:color w:val="000000"/>
                <w:lang w:eastAsia="en-AU"/>
              </w:rPr>
              <w:t>Statutory Rules made and bills prepared and introduced into Parliament</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290</w:t>
            </w:r>
          </w:p>
        </w:tc>
        <w:tc>
          <w:tcPr>
            <w:tcW w:w="993"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280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290</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280</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Text"/>
              <w:rPr>
                <w:color w:val="000000"/>
                <w:lang w:eastAsia="en-AU"/>
              </w:rPr>
            </w:pPr>
            <w:r w:rsidRPr="00541C19">
              <w:rPr>
                <w:color w:val="000000"/>
                <w:lang w:eastAsia="en-AU"/>
              </w:rPr>
              <w:t>Versions of Acts and Statutory Rules published electronically</w:t>
            </w:r>
          </w:p>
        </w:tc>
        <w:tc>
          <w:tcPr>
            <w:tcW w:w="907" w:type="dxa"/>
            <w:tcBorders>
              <w:top w:val="single" w:sz="6" w:space="0" w:color="auto"/>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number</w:t>
            </w:r>
          </w:p>
        </w:tc>
        <w:tc>
          <w:tcPr>
            <w:tcW w:w="907" w:type="dxa"/>
            <w:tcBorders>
              <w:top w:val="single" w:sz="6" w:space="0" w:color="auto"/>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800</w:t>
            </w:r>
          </w:p>
        </w:tc>
        <w:tc>
          <w:tcPr>
            <w:tcW w:w="993"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1 000</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800</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932</w:t>
            </w:r>
          </w:p>
        </w:tc>
      </w:tr>
      <w:tr w:rsidR="00B958B1" w:rsidRPr="00503D60" w:rsidTr="009F3B54">
        <w:trPr>
          <w:cantSplit/>
        </w:trPr>
        <w:tc>
          <w:tcPr>
            <w:tcW w:w="7776" w:type="dxa"/>
            <w:gridSpan w:val="6"/>
            <w:tcBorders>
              <w:left w:val="nil"/>
              <w:bottom w:val="single" w:sz="6" w:space="0" w:color="auto"/>
              <w:right w:val="nil"/>
            </w:tcBorders>
            <w:shd w:val="clear" w:color="auto" w:fill="auto"/>
          </w:tcPr>
          <w:p w:rsidR="00B958B1" w:rsidRPr="00EC5408" w:rsidRDefault="00B958B1" w:rsidP="009F3B54">
            <w:pPr>
              <w:pStyle w:val="OGNotes"/>
            </w:pPr>
            <w:r w:rsidRPr="00EC5408">
              <w:t>The 2012</w:t>
            </w:r>
            <w:r w:rsidR="009F0F49">
              <w:noBreakHyphen/>
            </w:r>
            <w:r w:rsidRPr="00EC5408">
              <w:t>13 Expected Outcome is higher than the 2012</w:t>
            </w:r>
            <w:r w:rsidR="009F0F49">
              <w:noBreakHyphen/>
            </w:r>
            <w:r w:rsidRPr="00EC5408">
              <w:t>13 Target primarily due to the two year program to provide authorised Act versions online, where previously these have not been published. This program, which commenced in January 2011, has now been completed.</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iCs/>
                <w:color w:val="000000"/>
                <w:lang w:eastAsia="en-AU"/>
              </w:rPr>
              <w:t>Quality</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UoM"/>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leofFigures"/>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r>
      <w:tr w:rsidR="00B958B1" w:rsidRPr="00503D60" w:rsidTr="009F3B54">
        <w:trPr>
          <w:cantSplit/>
        </w:trPr>
        <w:tc>
          <w:tcPr>
            <w:tcW w:w="3155" w:type="dxa"/>
            <w:tcBorders>
              <w:top w:val="nil"/>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541C19">
              <w:rPr>
                <w:color w:val="000000"/>
                <w:lang w:eastAsia="en-AU"/>
              </w:rPr>
              <w:t>Accuracy levels maintained in terms of document management, printing and publishing</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nil"/>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96</w:t>
            </w:r>
          </w:p>
        </w:tc>
        <w:tc>
          <w:tcPr>
            <w:tcW w:w="993"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98</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96</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95</w:t>
            </w:r>
          </w:p>
        </w:tc>
      </w:tr>
      <w:tr w:rsidR="00B958B1" w:rsidRPr="00503D60" w:rsidTr="009F3B54">
        <w:trPr>
          <w:cantSplit/>
        </w:trPr>
        <w:tc>
          <w:tcPr>
            <w:tcW w:w="3155" w:type="dxa"/>
            <w:tcBorders>
              <w:top w:val="single" w:sz="6" w:space="0" w:color="auto"/>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541C19">
              <w:rPr>
                <w:color w:val="000000"/>
                <w:lang w:eastAsia="en-AU"/>
              </w:rPr>
              <w:t>Bills and Statutory Rules drafted or settled to the required standard</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96</w:t>
            </w:r>
          </w:p>
        </w:tc>
        <w:tc>
          <w:tcPr>
            <w:tcW w:w="993"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98</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96</w:t>
            </w:r>
          </w:p>
        </w:tc>
        <w:tc>
          <w:tcPr>
            <w:tcW w:w="907" w:type="dxa"/>
            <w:tcBorders>
              <w:top w:val="single" w:sz="6" w:space="0" w:color="auto"/>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98</w:t>
            </w:r>
          </w:p>
        </w:tc>
      </w:tr>
      <w:tr w:rsidR="00B958B1" w:rsidRPr="00503D60" w:rsidTr="009F3B54">
        <w:trPr>
          <w:cantSplit/>
        </w:trPr>
        <w:tc>
          <w:tcPr>
            <w:tcW w:w="3155" w:type="dxa"/>
            <w:tcBorders>
              <w:top w:val="single" w:sz="6" w:space="0" w:color="auto"/>
              <w:left w:val="nil"/>
              <w:bottom w:val="nil"/>
              <w:right w:val="nil"/>
            </w:tcBorders>
            <w:shd w:val="clear" w:color="auto" w:fill="auto"/>
            <w:hideMark/>
          </w:tcPr>
          <w:p w:rsidR="00B958B1" w:rsidRPr="00503D60" w:rsidRDefault="00B958B1" w:rsidP="009F3B54">
            <w:pPr>
              <w:pStyle w:val="OGTabHead"/>
              <w:rPr>
                <w:lang w:eastAsia="en-AU"/>
              </w:rPr>
            </w:pPr>
            <w:r w:rsidRPr="00560D1F">
              <w:rPr>
                <w:iCs/>
                <w:color w:val="000000"/>
                <w:lang w:eastAsia="en-AU"/>
              </w:rPr>
              <w:t>Timeliness</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UoM"/>
              <w:rPr>
                <w:lang w:eastAsia="en-AU"/>
              </w:rPr>
            </w:pPr>
            <w:r w:rsidRPr="00503D60">
              <w:rPr>
                <w:lang w:eastAsia="en-AU"/>
              </w:rPr>
              <w:t> </w:t>
            </w:r>
          </w:p>
        </w:tc>
        <w:tc>
          <w:tcPr>
            <w:tcW w:w="907" w:type="dxa"/>
            <w:tcBorders>
              <w:top w:val="single" w:sz="6" w:space="0" w:color="auto"/>
              <w:left w:val="nil"/>
              <w:bottom w:val="nil"/>
              <w:right w:val="nil"/>
            </w:tcBorders>
            <w:shd w:val="clear" w:color="auto" w:fill="D9D9D9"/>
            <w:noWrap/>
            <w:hideMark/>
          </w:tcPr>
          <w:p w:rsidR="00B958B1" w:rsidRPr="00503D60" w:rsidRDefault="00B958B1" w:rsidP="009F3B54">
            <w:pPr>
              <w:pStyle w:val="OGTableofFigures"/>
              <w:rPr>
                <w:lang w:eastAsia="en-AU"/>
              </w:rPr>
            </w:pPr>
            <w:r w:rsidRPr="00503D60">
              <w:rPr>
                <w:lang w:eastAsia="en-AU"/>
              </w:rPr>
              <w:t> </w:t>
            </w:r>
          </w:p>
        </w:tc>
        <w:tc>
          <w:tcPr>
            <w:tcW w:w="993"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top w:val="single" w:sz="6" w:space="0" w:color="auto"/>
              <w:left w:val="nil"/>
              <w:bottom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r>
      <w:tr w:rsidR="00B958B1" w:rsidRPr="00503D60" w:rsidTr="009F3B54">
        <w:trPr>
          <w:cantSplit/>
        </w:trPr>
        <w:tc>
          <w:tcPr>
            <w:tcW w:w="3155" w:type="dxa"/>
            <w:tcBorders>
              <w:top w:val="nil"/>
              <w:left w:val="nil"/>
              <w:bottom w:val="single" w:sz="6" w:space="0" w:color="auto"/>
              <w:right w:val="nil"/>
            </w:tcBorders>
            <w:shd w:val="clear" w:color="auto" w:fill="auto"/>
          </w:tcPr>
          <w:p w:rsidR="00B958B1" w:rsidRPr="00503D60" w:rsidRDefault="00B958B1" w:rsidP="009F3B54">
            <w:pPr>
              <w:pStyle w:val="OGTabText"/>
              <w:rPr>
                <w:color w:val="000000"/>
                <w:lang w:eastAsia="en-AU"/>
              </w:rPr>
            </w:pPr>
            <w:r w:rsidRPr="00541C19">
              <w:rPr>
                <w:color w:val="000000"/>
                <w:lang w:eastAsia="en-AU"/>
              </w:rPr>
              <w:t>Bills and Statutory Rules drafted or settled within required timeframe</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nil"/>
              <w:left w:val="nil"/>
              <w:bottom w:val="single" w:sz="6" w:space="0" w:color="auto"/>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96</w:t>
            </w:r>
          </w:p>
        </w:tc>
        <w:tc>
          <w:tcPr>
            <w:tcW w:w="993" w:type="dxa"/>
            <w:tcBorders>
              <w:top w:val="nil"/>
              <w:left w:val="nil"/>
              <w:bottom w:val="single" w:sz="6" w:space="0" w:color="auto"/>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98</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96</w:t>
            </w:r>
          </w:p>
        </w:tc>
        <w:tc>
          <w:tcPr>
            <w:tcW w:w="907" w:type="dxa"/>
            <w:tcBorders>
              <w:top w:val="nil"/>
              <w:left w:val="nil"/>
              <w:bottom w:val="single" w:sz="6" w:space="0" w:color="auto"/>
              <w:right w:val="nil"/>
            </w:tcBorders>
            <w:shd w:val="clear" w:color="auto" w:fill="auto"/>
            <w:noWrap/>
          </w:tcPr>
          <w:p w:rsidR="00B958B1" w:rsidRPr="00503D60" w:rsidRDefault="00B958B1" w:rsidP="009F3B54">
            <w:pPr>
              <w:pStyle w:val="OGTableofFigures"/>
              <w:rPr>
                <w:lang w:eastAsia="en-AU"/>
              </w:rPr>
            </w:pPr>
            <w:r>
              <w:rPr>
                <w:lang w:eastAsia="en-AU"/>
              </w:rPr>
              <w:t>98</w:t>
            </w:r>
          </w:p>
        </w:tc>
      </w:tr>
      <w:tr w:rsidR="00B958B1" w:rsidRPr="00503D60" w:rsidTr="009F3B54">
        <w:trPr>
          <w:cantSplit/>
        </w:trPr>
        <w:tc>
          <w:tcPr>
            <w:tcW w:w="3155" w:type="dxa"/>
            <w:tcBorders>
              <w:top w:val="single" w:sz="6" w:space="0" w:color="auto"/>
              <w:left w:val="nil"/>
              <w:right w:val="nil"/>
            </w:tcBorders>
            <w:shd w:val="clear" w:color="auto" w:fill="auto"/>
          </w:tcPr>
          <w:p w:rsidR="00B958B1" w:rsidRPr="00503D60" w:rsidRDefault="00B958B1" w:rsidP="009F3B54">
            <w:pPr>
              <w:pStyle w:val="OGTabText"/>
              <w:keepNext/>
              <w:ind w:left="142"/>
              <w:rPr>
                <w:color w:val="000000"/>
                <w:lang w:eastAsia="en-AU"/>
              </w:rPr>
            </w:pPr>
            <w:r w:rsidRPr="00541C19">
              <w:rPr>
                <w:color w:val="000000"/>
                <w:lang w:eastAsia="en-AU"/>
              </w:rPr>
              <w:t xml:space="preserve">Electronic versions published within </w:t>
            </w:r>
            <w:r>
              <w:rPr>
                <w:color w:val="000000"/>
                <w:lang w:eastAsia="en-AU"/>
              </w:rPr>
              <w:t>the required timeframe</w:t>
            </w:r>
          </w:p>
        </w:tc>
        <w:tc>
          <w:tcPr>
            <w:tcW w:w="907" w:type="dxa"/>
            <w:tcBorders>
              <w:top w:val="single" w:sz="6" w:space="0" w:color="auto"/>
              <w:left w:val="nil"/>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per cent</w:t>
            </w:r>
          </w:p>
        </w:tc>
        <w:tc>
          <w:tcPr>
            <w:tcW w:w="907" w:type="dxa"/>
            <w:tcBorders>
              <w:top w:val="single" w:sz="6" w:space="0" w:color="auto"/>
              <w:left w:val="nil"/>
              <w:right w:val="nil"/>
            </w:tcBorders>
            <w:shd w:val="clear" w:color="auto" w:fill="D9D9D9"/>
            <w:noWrap/>
          </w:tcPr>
          <w:p w:rsidR="00B958B1" w:rsidRPr="00503D60" w:rsidRDefault="00B958B1" w:rsidP="009F3B54">
            <w:pPr>
              <w:pStyle w:val="OGTableofFigures"/>
              <w:rPr>
                <w:rFonts w:cs="Calibri"/>
                <w:lang w:eastAsia="en-AU"/>
              </w:rPr>
            </w:pPr>
            <w:r>
              <w:rPr>
                <w:rFonts w:cs="Calibri"/>
                <w:lang w:eastAsia="en-AU"/>
              </w:rPr>
              <w:t>96</w:t>
            </w:r>
          </w:p>
        </w:tc>
        <w:tc>
          <w:tcPr>
            <w:tcW w:w="993"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96</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96</w:t>
            </w:r>
          </w:p>
        </w:tc>
        <w:tc>
          <w:tcPr>
            <w:tcW w:w="907" w:type="dxa"/>
            <w:tcBorders>
              <w:top w:val="single" w:sz="6" w:space="0" w:color="auto"/>
              <w:left w:val="nil"/>
              <w:right w:val="nil"/>
            </w:tcBorders>
            <w:shd w:val="clear" w:color="auto" w:fill="auto"/>
            <w:noWrap/>
          </w:tcPr>
          <w:p w:rsidR="00B958B1" w:rsidRPr="00503D60" w:rsidRDefault="00B958B1" w:rsidP="009F3B54">
            <w:pPr>
              <w:pStyle w:val="OGTableofFigures"/>
              <w:rPr>
                <w:rFonts w:cs="Calibri"/>
                <w:lang w:eastAsia="en-AU"/>
              </w:rPr>
            </w:pPr>
            <w:r>
              <w:rPr>
                <w:rFonts w:cs="Calibri"/>
                <w:lang w:eastAsia="en-AU"/>
              </w:rPr>
              <w:t>98</w:t>
            </w:r>
          </w:p>
        </w:tc>
      </w:tr>
      <w:tr w:rsidR="00B958B1" w:rsidRPr="00503D60" w:rsidTr="009F3B54">
        <w:trPr>
          <w:cantSplit/>
        </w:trPr>
        <w:tc>
          <w:tcPr>
            <w:tcW w:w="3155" w:type="dxa"/>
            <w:tcBorders>
              <w:left w:val="nil"/>
              <w:right w:val="nil"/>
            </w:tcBorders>
            <w:shd w:val="clear" w:color="auto" w:fill="auto"/>
            <w:hideMark/>
          </w:tcPr>
          <w:p w:rsidR="00B958B1" w:rsidRPr="00503D60" w:rsidRDefault="00B958B1" w:rsidP="009F3B54">
            <w:pPr>
              <w:pStyle w:val="OGTabHead"/>
              <w:rPr>
                <w:lang w:eastAsia="en-AU"/>
              </w:rPr>
            </w:pPr>
            <w:r w:rsidRPr="00560D1F">
              <w:rPr>
                <w:iCs/>
                <w:color w:val="000000"/>
                <w:lang w:eastAsia="en-AU"/>
              </w:rPr>
              <w:t>Cost</w:t>
            </w:r>
          </w:p>
        </w:tc>
        <w:tc>
          <w:tcPr>
            <w:tcW w:w="907" w:type="dxa"/>
            <w:tcBorders>
              <w:left w:val="nil"/>
              <w:right w:val="nil"/>
            </w:tcBorders>
            <w:shd w:val="clear" w:color="auto" w:fill="auto"/>
            <w:noWrap/>
            <w:hideMark/>
          </w:tcPr>
          <w:p w:rsidR="00B958B1" w:rsidRPr="00503D60" w:rsidRDefault="00B958B1" w:rsidP="009F3B54">
            <w:pPr>
              <w:pStyle w:val="OGUoM"/>
              <w:rPr>
                <w:lang w:eastAsia="en-AU"/>
              </w:rPr>
            </w:pPr>
            <w:r w:rsidRPr="00503D60">
              <w:rPr>
                <w:lang w:eastAsia="en-AU"/>
              </w:rPr>
              <w:t> </w:t>
            </w:r>
          </w:p>
        </w:tc>
        <w:tc>
          <w:tcPr>
            <w:tcW w:w="907" w:type="dxa"/>
            <w:tcBorders>
              <w:left w:val="nil"/>
              <w:right w:val="nil"/>
            </w:tcBorders>
            <w:shd w:val="clear" w:color="auto" w:fill="D9D9D9"/>
            <w:noWrap/>
            <w:hideMark/>
          </w:tcPr>
          <w:p w:rsidR="00B958B1" w:rsidRPr="00503D60" w:rsidRDefault="00B958B1" w:rsidP="009F3B54">
            <w:pPr>
              <w:pStyle w:val="OGTableofFigures"/>
              <w:rPr>
                <w:lang w:eastAsia="en-AU"/>
              </w:rPr>
            </w:pPr>
            <w:r w:rsidRPr="00503D60">
              <w:rPr>
                <w:lang w:eastAsia="en-AU"/>
              </w:rPr>
              <w:t> </w:t>
            </w:r>
          </w:p>
        </w:tc>
        <w:tc>
          <w:tcPr>
            <w:tcW w:w="993" w:type="dxa"/>
            <w:tcBorders>
              <w:left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left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c>
          <w:tcPr>
            <w:tcW w:w="907" w:type="dxa"/>
            <w:tcBorders>
              <w:left w:val="nil"/>
              <w:right w:val="nil"/>
            </w:tcBorders>
            <w:shd w:val="clear" w:color="auto" w:fill="auto"/>
            <w:noWrap/>
            <w:hideMark/>
          </w:tcPr>
          <w:p w:rsidR="00B958B1" w:rsidRPr="00503D60" w:rsidRDefault="00B958B1" w:rsidP="009F3B54">
            <w:pPr>
              <w:pStyle w:val="OGTableofFigures"/>
              <w:rPr>
                <w:lang w:eastAsia="en-AU"/>
              </w:rPr>
            </w:pPr>
            <w:r w:rsidRPr="00503D60">
              <w:rPr>
                <w:lang w:eastAsia="en-AU"/>
              </w:rPr>
              <w:t> </w:t>
            </w:r>
          </w:p>
        </w:tc>
      </w:tr>
      <w:tr w:rsidR="00B958B1" w:rsidRPr="00503D60" w:rsidTr="009F3B54">
        <w:trPr>
          <w:cantSplit/>
        </w:trPr>
        <w:tc>
          <w:tcPr>
            <w:tcW w:w="3155" w:type="dxa"/>
            <w:tcBorders>
              <w:top w:val="nil"/>
              <w:left w:val="nil"/>
              <w:bottom w:val="single" w:sz="12" w:space="0" w:color="auto"/>
              <w:right w:val="nil"/>
            </w:tcBorders>
            <w:shd w:val="clear" w:color="auto" w:fill="auto"/>
            <w:hideMark/>
          </w:tcPr>
          <w:p w:rsidR="00B958B1" w:rsidRPr="00503D60" w:rsidRDefault="00B958B1" w:rsidP="009F3B54">
            <w:pPr>
              <w:pStyle w:val="OGTabText"/>
              <w:rPr>
                <w:color w:val="000000"/>
                <w:lang w:eastAsia="en-AU"/>
              </w:rPr>
            </w:pPr>
            <w:r w:rsidRPr="00503D60">
              <w:rPr>
                <w:color w:val="000000"/>
                <w:lang w:eastAsia="en-AU"/>
              </w:rPr>
              <w:t>Total output cost</w:t>
            </w:r>
          </w:p>
        </w:tc>
        <w:tc>
          <w:tcPr>
            <w:tcW w:w="907" w:type="dxa"/>
            <w:tcBorders>
              <w:top w:val="nil"/>
              <w:left w:val="nil"/>
              <w:bottom w:val="single" w:sz="12" w:space="0" w:color="auto"/>
              <w:right w:val="nil"/>
            </w:tcBorders>
            <w:shd w:val="clear" w:color="auto" w:fill="auto"/>
            <w:noWrap/>
          </w:tcPr>
          <w:p w:rsidR="00B958B1" w:rsidRPr="00503D60" w:rsidRDefault="00B958B1" w:rsidP="009F3B54">
            <w:pPr>
              <w:pStyle w:val="OGUoM"/>
              <w:rPr>
                <w:rFonts w:cs="Calibri"/>
                <w:lang w:eastAsia="en-AU"/>
              </w:rPr>
            </w:pPr>
            <w:r>
              <w:rPr>
                <w:rFonts w:cs="Calibri"/>
                <w:lang w:eastAsia="en-AU"/>
              </w:rPr>
              <w:t>$ million</w:t>
            </w:r>
          </w:p>
        </w:tc>
        <w:tc>
          <w:tcPr>
            <w:tcW w:w="907" w:type="dxa"/>
            <w:tcBorders>
              <w:top w:val="nil"/>
              <w:left w:val="nil"/>
              <w:bottom w:val="single" w:sz="12" w:space="0" w:color="auto"/>
              <w:right w:val="nil"/>
            </w:tcBorders>
            <w:shd w:val="clear" w:color="auto" w:fill="D9D9D9"/>
            <w:noWrap/>
          </w:tcPr>
          <w:p w:rsidR="00B958B1" w:rsidRPr="00CA5EC9" w:rsidRDefault="00B958B1" w:rsidP="009F3B54">
            <w:pPr>
              <w:pStyle w:val="OGTableofFigures"/>
              <w:rPr>
                <w:lang w:eastAsia="en-AU"/>
              </w:rPr>
            </w:pPr>
            <w:r w:rsidRPr="00CA5EC9">
              <w:rPr>
                <w:lang w:eastAsia="en-AU"/>
              </w:rPr>
              <w:t>5.1</w:t>
            </w:r>
          </w:p>
        </w:tc>
        <w:tc>
          <w:tcPr>
            <w:tcW w:w="993" w:type="dxa"/>
            <w:tcBorders>
              <w:top w:val="nil"/>
              <w:left w:val="nil"/>
              <w:bottom w:val="single" w:sz="12" w:space="0" w:color="auto"/>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5.0</w:t>
            </w:r>
          </w:p>
        </w:tc>
        <w:tc>
          <w:tcPr>
            <w:tcW w:w="907" w:type="dxa"/>
            <w:tcBorders>
              <w:top w:val="nil"/>
              <w:left w:val="nil"/>
              <w:bottom w:val="single" w:sz="12" w:space="0" w:color="auto"/>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5.0</w:t>
            </w:r>
          </w:p>
        </w:tc>
        <w:tc>
          <w:tcPr>
            <w:tcW w:w="907" w:type="dxa"/>
            <w:tcBorders>
              <w:top w:val="nil"/>
              <w:left w:val="nil"/>
              <w:bottom w:val="single" w:sz="12" w:space="0" w:color="auto"/>
              <w:right w:val="nil"/>
            </w:tcBorders>
            <w:shd w:val="clear" w:color="auto" w:fill="auto"/>
            <w:noWrap/>
          </w:tcPr>
          <w:p w:rsidR="00B958B1" w:rsidRPr="00CA5EC9" w:rsidRDefault="00B958B1" w:rsidP="009F3B54">
            <w:pPr>
              <w:pStyle w:val="OGTableofFigures"/>
              <w:rPr>
                <w:rFonts w:cs="Calibri"/>
                <w:lang w:eastAsia="en-AU"/>
              </w:rPr>
            </w:pPr>
            <w:r w:rsidRPr="00CA5EC9">
              <w:rPr>
                <w:rFonts w:cs="Calibri"/>
                <w:lang w:eastAsia="en-AU"/>
              </w:rPr>
              <w:t>4.8</w:t>
            </w:r>
          </w:p>
        </w:tc>
      </w:tr>
    </w:tbl>
    <w:p w:rsidR="00B958B1" w:rsidRDefault="00B958B1" w:rsidP="009F3B54">
      <w:pPr>
        <w:pStyle w:val="Source"/>
      </w:pPr>
      <w:r w:rsidRPr="006A1481">
        <w:t xml:space="preserve">Sources: Departments of Premier and Cabinet and Treasury and Finance </w:t>
      </w:r>
    </w:p>
    <w:bookmarkEnd w:id="135"/>
    <w:p w:rsidR="00B958B1" w:rsidRDefault="00B958B1" w:rsidP="009F3B54">
      <w:pPr>
        <w:pStyle w:val="Source"/>
      </w:pPr>
      <w:r>
        <w:fldChar w:fldCharType="begin"/>
      </w:r>
      <w:r>
        <w:instrText xml:space="preserve"> XE "</w:instrText>
      </w:r>
      <w:r w:rsidRPr="00D20F66">
        <w:instrText>Department of Premier and Cabinet:Public Sector Management, Governance and Support</w:instrText>
      </w:r>
      <w:r>
        <w:instrText xml:space="preserve">" \r "BP3DPCPubSectMgmtGovandSupp" </w:instrText>
      </w:r>
      <w:r>
        <w:fldChar w:fldCharType="end"/>
      </w:r>
    </w:p>
    <w:p w:rsidR="00B958B1" w:rsidRPr="00EA2E45" w:rsidRDefault="00B958B1" w:rsidP="009F3B54"/>
    <w:p w:rsidR="00B958B1" w:rsidRDefault="00B958B1" w:rsidP="00497606"/>
    <w:p w:rsidR="00B958B1" w:rsidRDefault="00B958B1" w:rsidP="00C45CC5">
      <w:pPr>
        <w:sectPr w:rsidR="00B958B1" w:rsidSect="004B42A1">
          <w:footerReference w:type="even" r:id="rId30"/>
          <w:footerReference w:type="default" r:id="rId31"/>
          <w:pgSz w:w="9979" w:h="14181" w:code="138"/>
          <w:pgMar w:top="1138" w:right="1138" w:bottom="1138" w:left="1138" w:header="720" w:footer="720" w:gutter="0"/>
          <w:cols w:space="708"/>
          <w:docGrid w:linePitch="360"/>
        </w:sectPr>
      </w:pPr>
    </w:p>
    <w:p w:rsidR="00B958B1" w:rsidRPr="00741E60" w:rsidRDefault="00B958B1" w:rsidP="009F3B54">
      <w:pPr>
        <w:pStyle w:val="Heading1"/>
      </w:pPr>
      <w:bookmarkStart w:id="136" w:name="_Toc355362286"/>
      <w:r>
        <w:t xml:space="preserve">Department of State Development, Business </w:t>
      </w:r>
      <w:r w:rsidRPr="00376BA6">
        <w:t>and</w:t>
      </w:r>
      <w:r w:rsidRPr="00741E60">
        <w:t xml:space="preserve"> Innovation</w:t>
      </w:r>
      <w:bookmarkEnd w:id="136"/>
    </w:p>
    <w:p w:rsidR="00B958B1" w:rsidRPr="00741E60" w:rsidRDefault="00B958B1" w:rsidP="009F3B54">
      <w:pPr>
        <w:pStyle w:val="Heading2"/>
      </w:pPr>
      <w:r w:rsidRPr="00741E60">
        <w:t>Ministerial portfolios</w:t>
      </w:r>
    </w:p>
    <w:p w:rsidR="00B958B1" w:rsidRPr="00741E60" w:rsidRDefault="00B958B1" w:rsidP="009F3B54">
      <w:r w:rsidRPr="00741E60">
        <w:t xml:space="preserve">The Department supports the ministerial portfolios of State Development, Regional and Rural Development, Regional Cities, Innovation, Services and Small Business, Tourism and Major Events, Employment and Trade, Manufacturing, Major Projects, Energy and Resources, Technology and the Aviation Industry. </w:t>
      </w:r>
    </w:p>
    <w:p w:rsidR="00B958B1" w:rsidRPr="00741E60" w:rsidRDefault="00B958B1" w:rsidP="009F3B54">
      <w:pPr>
        <w:pStyle w:val="Heading2"/>
      </w:pPr>
      <w:r w:rsidRPr="00741E60">
        <w:t>Departmental mission statement</w:t>
      </w:r>
    </w:p>
    <w:p w:rsidR="00B958B1" w:rsidRPr="00741E60" w:rsidRDefault="00B958B1" w:rsidP="009F3B54">
      <w:r w:rsidRPr="00741E60">
        <w:t>The Department of State Development, Business and Innovation is the Victorian Government’s lead agency for the promotion and facilitation of the State’s economic development. The Department develops and implements a diverse range of programs, initiatives and projects designed to attract and facilitate investment, encourage exports, generate job opportunities, stimulate innovation, and promote Victoria nationally and internationally.</w:t>
      </w:r>
    </w:p>
    <w:p w:rsidR="00B958B1" w:rsidRPr="00741E60" w:rsidRDefault="00B958B1" w:rsidP="009F3B54">
      <w:pPr>
        <w:pStyle w:val="Heading2"/>
      </w:pPr>
      <w:r w:rsidRPr="00741E60">
        <w:t>Departmental objectives</w:t>
      </w:r>
      <w:r>
        <w:t>, indicators</w:t>
      </w:r>
      <w:r w:rsidRPr="00741E60">
        <w:t xml:space="preserve"> and outputs</w:t>
      </w:r>
    </w:p>
    <w:p w:rsidR="00B958B1" w:rsidRPr="00741E60" w:rsidRDefault="00B958B1" w:rsidP="009F3B54">
      <w:r w:rsidRPr="00741E60">
        <w:t>The Department of State Development, Business and Innovation’s objectives</w:t>
      </w:r>
      <w:r>
        <w:t>, indicators</w:t>
      </w:r>
      <w:r w:rsidRPr="00741E60">
        <w:t xml:space="preserve"> and linked outputs are:</w:t>
      </w:r>
    </w:p>
    <w:tbl>
      <w:tblPr>
        <w:tblStyle w:val="TableGrid"/>
        <w:tblW w:w="7776" w:type="dxa"/>
        <w:tblInd w:w="29" w:type="dxa"/>
        <w:tblBorders>
          <w:insideH w:val="single" w:sz="6" w:space="0" w:color="auto"/>
        </w:tblBorders>
        <w:tblLayout w:type="fixed"/>
        <w:tblCellMar>
          <w:left w:w="43" w:type="dxa"/>
          <w:right w:w="43" w:type="dxa"/>
        </w:tblCellMar>
        <w:tblLook w:val="04A0" w:firstRow="1" w:lastRow="0" w:firstColumn="1" w:lastColumn="0" w:noHBand="0" w:noVBand="1"/>
      </w:tblPr>
      <w:tblGrid>
        <w:gridCol w:w="2592"/>
        <w:gridCol w:w="2592"/>
        <w:gridCol w:w="2592"/>
      </w:tblGrid>
      <w:tr w:rsidR="00B958B1" w:rsidRPr="00741E60" w:rsidTr="009F3B54">
        <w:trPr>
          <w:cantSplit/>
        </w:trPr>
        <w:tc>
          <w:tcPr>
            <w:tcW w:w="2592" w:type="dxa"/>
            <w:shd w:val="clear" w:color="auto" w:fill="000000"/>
          </w:tcPr>
          <w:p w:rsidR="00B958B1" w:rsidRPr="00741E60" w:rsidRDefault="00B958B1" w:rsidP="009F3B54">
            <w:pPr>
              <w:pStyle w:val="Tabletextheadingleft"/>
            </w:pPr>
            <w:r w:rsidRPr="00741E60">
              <w:t>Departmental objectives</w:t>
            </w:r>
          </w:p>
        </w:tc>
        <w:tc>
          <w:tcPr>
            <w:tcW w:w="2592" w:type="dxa"/>
            <w:shd w:val="clear" w:color="auto" w:fill="000000"/>
          </w:tcPr>
          <w:p w:rsidR="00B958B1" w:rsidRPr="00741E60" w:rsidRDefault="00B958B1" w:rsidP="009F3B54">
            <w:pPr>
              <w:pStyle w:val="Tabletextheadingleft"/>
            </w:pPr>
            <w:r w:rsidRPr="00741E60">
              <w:t>Objective Indicators</w:t>
            </w:r>
          </w:p>
        </w:tc>
        <w:tc>
          <w:tcPr>
            <w:tcW w:w="2592" w:type="dxa"/>
            <w:shd w:val="clear" w:color="auto" w:fill="000000"/>
          </w:tcPr>
          <w:p w:rsidR="00B958B1" w:rsidRPr="00741E60" w:rsidRDefault="00B958B1" w:rsidP="009F3B54">
            <w:pPr>
              <w:pStyle w:val="Tabletextheadingleft"/>
            </w:pPr>
            <w:r w:rsidRPr="00741E60">
              <w:t>Outputs</w:t>
            </w:r>
          </w:p>
        </w:tc>
      </w:tr>
      <w:tr w:rsidR="00B958B1" w:rsidRPr="00741E60" w:rsidTr="009F3B54">
        <w:trPr>
          <w:cantSplit/>
        </w:trPr>
        <w:tc>
          <w:tcPr>
            <w:tcW w:w="2592" w:type="dxa"/>
          </w:tcPr>
          <w:p w:rsidR="00B958B1" w:rsidRPr="00741E60" w:rsidRDefault="00B958B1" w:rsidP="009F3B54">
            <w:pPr>
              <w:pStyle w:val="Tabletextnoindent"/>
            </w:pPr>
            <w:r w:rsidRPr="00741E60">
              <w:t>Assist businesses in accessing skilled workers to align with Victoria’s industry needs</w:t>
            </w:r>
          </w:p>
        </w:tc>
        <w:tc>
          <w:tcPr>
            <w:tcW w:w="2592" w:type="dxa"/>
          </w:tcPr>
          <w:p w:rsidR="00B958B1" w:rsidRPr="00741E60" w:rsidRDefault="00B958B1" w:rsidP="009F3B54">
            <w:pPr>
              <w:pStyle w:val="Tabletextnoindent"/>
            </w:pPr>
            <w:r w:rsidRPr="00741E60">
              <w:t>Business skills needs assisted</w:t>
            </w:r>
          </w:p>
        </w:tc>
        <w:tc>
          <w:tcPr>
            <w:tcW w:w="2592" w:type="dxa"/>
          </w:tcPr>
          <w:p w:rsidR="00B958B1" w:rsidRPr="00741E60" w:rsidRDefault="00B958B1" w:rsidP="009F3B54">
            <w:pPr>
              <w:pStyle w:val="Tabletextnoindent"/>
            </w:pPr>
            <w:r w:rsidRPr="00741E60">
              <w:t xml:space="preserve">Employment </w:t>
            </w:r>
          </w:p>
        </w:tc>
      </w:tr>
      <w:tr w:rsidR="00B958B1" w:rsidRPr="00741E60" w:rsidTr="009F3B54">
        <w:trPr>
          <w:cantSplit/>
        </w:trPr>
        <w:tc>
          <w:tcPr>
            <w:tcW w:w="2592" w:type="dxa"/>
          </w:tcPr>
          <w:p w:rsidR="00B958B1" w:rsidRPr="00741E60" w:rsidRDefault="00B958B1" w:rsidP="009F3B54">
            <w:pPr>
              <w:pStyle w:val="Tabletextnoindent"/>
            </w:pPr>
            <w:r w:rsidRPr="00741E60">
              <w:t>Promote Victoria to attract tourists, investors and students</w:t>
            </w:r>
          </w:p>
        </w:tc>
        <w:tc>
          <w:tcPr>
            <w:tcW w:w="2592" w:type="dxa"/>
          </w:tcPr>
          <w:p w:rsidR="00B958B1" w:rsidRPr="00741E60" w:rsidRDefault="00B958B1" w:rsidP="009F3B54">
            <w:pPr>
              <w:pStyle w:val="Tabletextnoindent"/>
            </w:pPr>
            <w:r w:rsidRPr="00741E60">
              <w:t>Tourists, investors and students attracted</w:t>
            </w:r>
          </w:p>
        </w:tc>
        <w:tc>
          <w:tcPr>
            <w:tcW w:w="2592" w:type="dxa"/>
          </w:tcPr>
          <w:p w:rsidR="00B958B1" w:rsidRPr="00741E60" w:rsidRDefault="00B958B1" w:rsidP="009F3B54">
            <w:pPr>
              <w:pStyle w:val="Tabletextnoindent"/>
            </w:pPr>
            <w:r w:rsidRPr="00741E60">
              <w:t>Tourism and Marketing</w:t>
            </w:r>
          </w:p>
        </w:tc>
      </w:tr>
      <w:tr w:rsidR="00B958B1" w:rsidRPr="00741E60" w:rsidTr="009F3B54">
        <w:trPr>
          <w:cantSplit/>
        </w:trPr>
        <w:tc>
          <w:tcPr>
            <w:tcW w:w="2592" w:type="dxa"/>
          </w:tcPr>
          <w:p w:rsidR="00B958B1" w:rsidRPr="00741E60" w:rsidRDefault="00B958B1" w:rsidP="009F3B54">
            <w:pPr>
              <w:pStyle w:val="Tabletextnoindent"/>
            </w:pPr>
            <w:r w:rsidRPr="00741E60">
              <w:t>Support organisations to boost their productivity through innovation</w:t>
            </w:r>
          </w:p>
        </w:tc>
        <w:tc>
          <w:tcPr>
            <w:tcW w:w="2592" w:type="dxa"/>
          </w:tcPr>
          <w:p w:rsidR="00B958B1" w:rsidRPr="00741E60" w:rsidRDefault="00B958B1" w:rsidP="009F3B54">
            <w:pPr>
              <w:pStyle w:val="Tabletextnoindent"/>
            </w:pPr>
            <w:r w:rsidRPr="00741E60">
              <w:t>Collaborations assisted</w:t>
            </w:r>
          </w:p>
        </w:tc>
        <w:tc>
          <w:tcPr>
            <w:tcW w:w="2592" w:type="dxa"/>
          </w:tcPr>
          <w:p w:rsidR="00B958B1" w:rsidRPr="00741E60" w:rsidRDefault="00B958B1" w:rsidP="009F3B54">
            <w:pPr>
              <w:pStyle w:val="Tabletextnoindent"/>
            </w:pPr>
            <w:r w:rsidRPr="00741E60">
              <w:t>Innovation and Technology</w:t>
            </w:r>
          </w:p>
        </w:tc>
      </w:tr>
      <w:tr w:rsidR="00B958B1" w:rsidRPr="00741E60" w:rsidTr="009F3B54">
        <w:trPr>
          <w:cantSplit/>
        </w:trPr>
        <w:tc>
          <w:tcPr>
            <w:tcW w:w="2592" w:type="dxa"/>
            <w:tcBorders>
              <w:bottom w:val="single" w:sz="6" w:space="0" w:color="auto"/>
            </w:tcBorders>
          </w:tcPr>
          <w:p w:rsidR="00B958B1" w:rsidRPr="00741E60" w:rsidRDefault="00B958B1" w:rsidP="009F3B54">
            <w:pPr>
              <w:pStyle w:val="Tabletextnoindent"/>
            </w:pPr>
            <w:r w:rsidRPr="00741E60">
              <w:t>Provide market intelligence and assistance to organisations to make it easy to invest in Victoria</w:t>
            </w:r>
          </w:p>
        </w:tc>
        <w:tc>
          <w:tcPr>
            <w:tcW w:w="2592" w:type="dxa"/>
            <w:tcBorders>
              <w:bottom w:val="single" w:sz="6" w:space="0" w:color="auto"/>
            </w:tcBorders>
          </w:tcPr>
          <w:p w:rsidR="00B958B1" w:rsidRPr="00741E60" w:rsidRDefault="00B958B1" w:rsidP="009F3B54">
            <w:pPr>
              <w:pStyle w:val="Tabletextnoindent"/>
            </w:pPr>
            <w:r w:rsidRPr="00741E60">
              <w:t xml:space="preserve">Investment facilitated </w:t>
            </w:r>
          </w:p>
          <w:p w:rsidR="00B958B1" w:rsidRPr="00741E60" w:rsidRDefault="00B958B1" w:rsidP="009F3B54">
            <w:pPr>
              <w:pStyle w:val="Tabletextnoindent"/>
            </w:pPr>
            <w:r w:rsidRPr="00741E60">
              <w:t>Jobs derived</w:t>
            </w:r>
          </w:p>
        </w:tc>
        <w:tc>
          <w:tcPr>
            <w:tcW w:w="2592" w:type="dxa"/>
            <w:tcBorders>
              <w:bottom w:val="single" w:sz="6" w:space="0" w:color="auto"/>
            </w:tcBorders>
          </w:tcPr>
          <w:p w:rsidR="00B958B1" w:rsidRPr="00741E60" w:rsidRDefault="00B958B1" w:rsidP="009F3B54">
            <w:pPr>
              <w:pStyle w:val="Tabletextnoindent"/>
            </w:pPr>
            <w:r w:rsidRPr="00741E60">
              <w:t>Investment Attraction, Facilitation and Major Projects</w:t>
            </w:r>
          </w:p>
          <w:p w:rsidR="00B958B1" w:rsidRPr="00741E60" w:rsidRDefault="00B958B1" w:rsidP="009F3B54">
            <w:pPr>
              <w:pStyle w:val="Tabletextnoindent"/>
            </w:pPr>
            <w:r w:rsidRPr="00741E60">
              <w:t>Regional Development and Regional Cities</w:t>
            </w:r>
          </w:p>
          <w:p w:rsidR="00B958B1" w:rsidRPr="00741E60" w:rsidRDefault="00B958B1" w:rsidP="009F3B54">
            <w:pPr>
              <w:pStyle w:val="Tabletextnoindent"/>
            </w:pPr>
            <w:r w:rsidRPr="00741E60">
              <w:t>Energy and Resources</w:t>
            </w:r>
          </w:p>
        </w:tc>
      </w:tr>
      <w:tr w:rsidR="00B958B1" w:rsidRPr="00741E60" w:rsidTr="009F3B54">
        <w:trPr>
          <w:cantSplit/>
        </w:trPr>
        <w:tc>
          <w:tcPr>
            <w:tcW w:w="2592" w:type="dxa"/>
            <w:tcBorders>
              <w:top w:val="single" w:sz="6" w:space="0" w:color="auto"/>
              <w:bottom w:val="single" w:sz="12" w:space="0" w:color="auto"/>
            </w:tcBorders>
          </w:tcPr>
          <w:p w:rsidR="00B958B1" w:rsidRPr="00741E60" w:rsidRDefault="00B958B1" w:rsidP="009F3B54">
            <w:pPr>
              <w:pStyle w:val="Tabletextnoindent"/>
            </w:pPr>
            <w:r w:rsidRPr="00741E60">
              <w:t>Create more opportunities for Victorian businesses to grow and become more productive and competitive in the global marketplace</w:t>
            </w:r>
          </w:p>
        </w:tc>
        <w:tc>
          <w:tcPr>
            <w:tcW w:w="2592" w:type="dxa"/>
            <w:tcBorders>
              <w:top w:val="single" w:sz="6" w:space="0" w:color="auto"/>
              <w:bottom w:val="single" w:sz="12" w:space="0" w:color="auto"/>
            </w:tcBorders>
          </w:tcPr>
          <w:p w:rsidR="00B958B1" w:rsidRPr="00741E60" w:rsidRDefault="00B958B1" w:rsidP="009F3B54">
            <w:pPr>
              <w:pStyle w:val="Tabletextnoindent"/>
            </w:pPr>
            <w:r w:rsidRPr="00741E60">
              <w:t>Exports facilitated</w:t>
            </w:r>
          </w:p>
          <w:p w:rsidR="00B958B1" w:rsidRPr="00741E60" w:rsidRDefault="00B958B1" w:rsidP="009F3B54">
            <w:pPr>
              <w:pStyle w:val="Tabletextnoindent"/>
            </w:pPr>
            <w:r w:rsidRPr="00741E60">
              <w:t>Businesses engaged and assisted</w:t>
            </w:r>
          </w:p>
        </w:tc>
        <w:tc>
          <w:tcPr>
            <w:tcW w:w="2592" w:type="dxa"/>
            <w:tcBorders>
              <w:top w:val="single" w:sz="6" w:space="0" w:color="auto"/>
              <w:bottom w:val="single" w:sz="12" w:space="0" w:color="auto"/>
            </w:tcBorders>
          </w:tcPr>
          <w:p w:rsidR="00B958B1" w:rsidRPr="00741E60" w:rsidRDefault="00B958B1" w:rsidP="009F3B54">
            <w:pPr>
              <w:pStyle w:val="Tabletextnoindent"/>
            </w:pPr>
            <w:r w:rsidRPr="00741E60">
              <w:t>Small Business Assistance</w:t>
            </w:r>
          </w:p>
          <w:p w:rsidR="00B958B1" w:rsidRPr="00741E60" w:rsidRDefault="00B958B1" w:rsidP="009F3B54">
            <w:pPr>
              <w:pStyle w:val="Tabletextnoindent"/>
            </w:pPr>
            <w:r w:rsidRPr="00741E60">
              <w:t>Trade and Export Facilitation</w:t>
            </w:r>
          </w:p>
          <w:p w:rsidR="00B958B1" w:rsidRPr="00741E60" w:rsidRDefault="00B958B1" w:rsidP="009F3B54">
            <w:pPr>
              <w:pStyle w:val="Tabletextnoindent"/>
            </w:pPr>
            <w:r w:rsidRPr="00741E60">
              <w:t>Energy and Resources</w:t>
            </w:r>
          </w:p>
        </w:tc>
      </w:tr>
    </w:tbl>
    <w:p w:rsidR="00B958B1" w:rsidRPr="00741E60" w:rsidRDefault="00B958B1" w:rsidP="009F3B54">
      <w:pPr>
        <w:pStyle w:val="Source"/>
      </w:pPr>
      <w:r>
        <w:t xml:space="preserve">Source: </w:t>
      </w:r>
      <w:r w:rsidRPr="00741E60">
        <w:t>Department of State Development, Business and Innovation</w:t>
      </w:r>
    </w:p>
    <w:p w:rsidR="00B958B1" w:rsidRDefault="00B958B1" w:rsidP="009F3B54">
      <w:pPr>
        <w:pStyle w:val="Heading2"/>
      </w:pPr>
      <w:r w:rsidRPr="00741E60">
        <w:br w:type="page"/>
      </w:r>
      <w:r>
        <w:t>Changes to Output Structure</w:t>
      </w:r>
    </w:p>
    <w:p w:rsidR="00B958B1" w:rsidRDefault="00B958B1" w:rsidP="009F3B54">
      <w:r>
        <w:t>The Department has made changes to its output structure for 2013</w:t>
      </w:r>
      <w:r w:rsidR="009F0F49">
        <w:noBreakHyphen/>
      </w:r>
      <w:r>
        <w:t>14, as shown in the table below:</w:t>
      </w:r>
    </w:p>
    <w:tbl>
      <w:tblPr>
        <w:tblStyle w:val="TableGrid"/>
        <w:tblW w:w="7776" w:type="dxa"/>
        <w:tblInd w:w="29" w:type="dxa"/>
        <w:tblLayout w:type="fixed"/>
        <w:tblCellMar>
          <w:left w:w="43" w:type="dxa"/>
          <w:right w:w="43" w:type="dxa"/>
        </w:tblCellMar>
        <w:tblLook w:val="04A0" w:firstRow="1" w:lastRow="0" w:firstColumn="1" w:lastColumn="0" w:noHBand="0" w:noVBand="1"/>
      </w:tblPr>
      <w:tblGrid>
        <w:gridCol w:w="2592"/>
        <w:gridCol w:w="2592"/>
        <w:gridCol w:w="2592"/>
      </w:tblGrid>
      <w:tr w:rsidR="00B958B1" w:rsidTr="009F3B54">
        <w:trPr>
          <w:cantSplit/>
        </w:trPr>
        <w:tc>
          <w:tcPr>
            <w:tcW w:w="2592" w:type="dxa"/>
            <w:tcBorders>
              <w:left w:val="single" w:sz="4" w:space="0" w:color="auto"/>
            </w:tcBorders>
            <w:shd w:val="clear" w:color="auto" w:fill="000000"/>
          </w:tcPr>
          <w:p w:rsidR="00B958B1" w:rsidRPr="00267164" w:rsidRDefault="00B958B1" w:rsidP="009F3B54">
            <w:pPr>
              <w:pStyle w:val="Tabletextheadingleft"/>
            </w:pPr>
            <w:r w:rsidRPr="00267164">
              <w:t>2012</w:t>
            </w:r>
            <w:r w:rsidR="009F0F49">
              <w:noBreakHyphen/>
            </w:r>
            <w:r w:rsidRPr="00267164">
              <w:t>13 outputs</w:t>
            </w:r>
          </w:p>
        </w:tc>
        <w:tc>
          <w:tcPr>
            <w:tcW w:w="2592" w:type="dxa"/>
            <w:shd w:val="clear" w:color="auto" w:fill="000000"/>
          </w:tcPr>
          <w:p w:rsidR="00B958B1" w:rsidRPr="00267164" w:rsidRDefault="00B958B1" w:rsidP="009F3B54">
            <w:pPr>
              <w:pStyle w:val="Tabletextheadingleft"/>
            </w:pPr>
            <w:r w:rsidRPr="00267164">
              <w:t>Reason</w:t>
            </w:r>
          </w:p>
        </w:tc>
        <w:tc>
          <w:tcPr>
            <w:tcW w:w="2592" w:type="dxa"/>
            <w:tcBorders>
              <w:right w:val="single" w:sz="4" w:space="0" w:color="auto"/>
            </w:tcBorders>
            <w:shd w:val="clear" w:color="auto" w:fill="000000"/>
          </w:tcPr>
          <w:p w:rsidR="00B958B1" w:rsidRPr="00267164" w:rsidRDefault="00B958B1" w:rsidP="009F3B54">
            <w:pPr>
              <w:pStyle w:val="Tabletextheadingleft"/>
            </w:pPr>
            <w:r w:rsidRPr="00267164">
              <w:t>2013</w:t>
            </w:r>
            <w:r w:rsidR="009F0F49">
              <w:noBreakHyphen/>
            </w:r>
            <w:r w:rsidRPr="00267164">
              <w:t>14 outputs</w:t>
            </w:r>
          </w:p>
        </w:tc>
      </w:tr>
      <w:tr w:rsidR="00B958B1" w:rsidTr="009F3B54">
        <w:trPr>
          <w:cantSplit/>
        </w:trPr>
        <w:tc>
          <w:tcPr>
            <w:tcW w:w="2592" w:type="dxa"/>
          </w:tcPr>
          <w:p w:rsidR="00B958B1" w:rsidRPr="009A5B54" w:rsidRDefault="00B958B1" w:rsidP="009F3B54">
            <w:pPr>
              <w:pStyle w:val="Tabletextnoindent"/>
            </w:pPr>
            <w:r w:rsidRPr="009A5B54">
              <w:t>Employment and Industrial Relations</w:t>
            </w:r>
          </w:p>
        </w:tc>
        <w:tc>
          <w:tcPr>
            <w:tcW w:w="2592" w:type="dxa"/>
          </w:tcPr>
          <w:p w:rsidR="00B958B1" w:rsidRPr="009A5B54" w:rsidRDefault="00B958B1" w:rsidP="009F3B54">
            <w:pPr>
              <w:pStyle w:val="Tabletextnoindent"/>
            </w:pPr>
            <w:r w:rsidRPr="009A5B54">
              <w:t>Machinery of government. Industrial Relations has been transferred to the Department of Treasury and Finance.</w:t>
            </w:r>
          </w:p>
        </w:tc>
        <w:tc>
          <w:tcPr>
            <w:tcW w:w="2592" w:type="dxa"/>
          </w:tcPr>
          <w:p w:rsidR="00B958B1" w:rsidRPr="009A5B54" w:rsidRDefault="00B958B1" w:rsidP="009F3B54">
            <w:pPr>
              <w:pStyle w:val="Tabletextnoindent"/>
            </w:pPr>
            <w:r w:rsidRPr="009A5B54">
              <w:t>Employment</w:t>
            </w:r>
          </w:p>
        </w:tc>
      </w:tr>
      <w:tr w:rsidR="00B958B1" w:rsidTr="009F3B54">
        <w:trPr>
          <w:cantSplit/>
        </w:trPr>
        <w:tc>
          <w:tcPr>
            <w:tcW w:w="2592" w:type="dxa"/>
            <w:shd w:val="clear" w:color="auto" w:fill="EAEAEA"/>
          </w:tcPr>
          <w:p w:rsidR="00B958B1" w:rsidRPr="009A5B54" w:rsidRDefault="00B958B1" w:rsidP="009F3B54">
            <w:pPr>
              <w:pStyle w:val="Tabletextnoindent"/>
            </w:pPr>
            <w:r w:rsidRPr="009A5B54">
              <w:t>None</w:t>
            </w:r>
          </w:p>
        </w:tc>
        <w:tc>
          <w:tcPr>
            <w:tcW w:w="2592" w:type="dxa"/>
            <w:shd w:val="clear" w:color="auto" w:fill="EAEAEA"/>
          </w:tcPr>
          <w:p w:rsidR="00B958B1" w:rsidRPr="009A5B54" w:rsidRDefault="00B958B1" w:rsidP="009F3B54">
            <w:pPr>
              <w:pStyle w:val="Tabletextnoindent"/>
            </w:pPr>
            <w:r w:rsidRPr="009A5B54">
              <w:t>Machinery of government. This output has been transferred from the former Department of Planning and Community Development.</w:t>
            </w:r>
          </w:p>
        </w:tc>
        <w:tc>
          <w:tcPr>
            <w:tcW w:w="2592" w:type="dxa"/>
            <w:shd w:val="clear" w:color="auto" w:fill="EAEAEA"/>
          </w:tcPr>
          <w:p w:rsidR="00B958B1" w:rsidRPr="009A5B54" w:rsidRDefault="00B958B1" w:rsidP="009F3B54">
            <w:pPr>
              <w:pStyle w:val="Tabletextnoindent"/>
            </w:pPr>
            <w:r w:rsidRPr="009A5B54">
              <w:t>Regional Development and Regional Cities</w:t>
            </w:r>
          </w:p>
        </w:tc>
      </w:tr>
      <w:tr w:rsidR="00B958B1" w:rsidTr="009F3B54">
        <w:trPr>
          <w:cantSplit/>
        </w:trPr>
        <w:tc>
          <w:tcPr>
            <w:tcW w:w="2592" w:type="dxa"/>
            <w:tcBorders>
              <w:bottom w:val="single" w:sz="12" w:space="0" w:color="auto"/>
            </w:tcBorders>
          </w:tcPr>
          <w:p w:rsidR="00B958B1" w:rsidRPr="009A5B54" w:rsidRDefault="00B958B1" w:rsidP="009F3B54">
            <w:pPr>
              <w:pStyle w:val="Tabletextnoindent"/>
            </w:pPr>
            <w:r w:rsidRPr="009A5B54">
              <w:t>None</w:t>
            </w:r>
          </w:p>
        </w:tc>
        <w:tc>
          <w:tcPr>
            <w:tcW w:w="2592" w:type="dxa"/>
            <w:tcBorders>
              <w:bottom w:val="single" w:sz="12" w:space="0" w:color="auto"/>
            </w:tcBorders>
          </w:tcPr>
          <w:p w:rsidR="00B958B1" w:rsidRPr="009A5B54" w:rsidRDefault="00B958B1" w:rsidP="009F3B54">
            <w:pPr>
              <w:pStyle w:val="Tabletextnoindent"/>
            </w:pPr>
            <w:r w:rsidRPr="009A5B54">
              <w:t>Machinery of government. This output has been transferred from the former Department of Primary Industries.</w:t>
            </w:r>
          </w:p>
        </w:tc>
        <w:tc>
          <w:tcPr>
            <w:tcW w:w="2592" w:type="dxa"/>
            <w:tcBorders>
              <w:bottom w:val="single" w:sz="12" w:space="0" w:color="auto"/>
            </w:tcBorders>
          </w:tcPr>
          <w:p w:rsidR="00B958B1" w:rsidRPr="009A5B54" w:rsidRDefault="00B958B1" w:rsidP="009F3B54">
            <w:pPr>
              <w:pStyle w:val="Tabletextnoindent"/>
            </w:pPr>
            <w:r w:rsidRPr="009A5B54">
              <w:t>Energy and Resources</w:t>
            </w:r>
          </w:p>
        </w:tc>
      </w:tr>
    </w:tbl>
    <w:p w:rsidR="00B958B1" w:rsidRDefault="00B958B1" w:rsidP="009F3B54">
      <w:pPr>
        <w:pStyle w:val="Source"/>
      </w:pPr>
      <w:r>
        <w:t xml:space="preserve">Source: </w:t>
      </w:r>
      <w:r w:rsidRPr="00741E60">
        <w:t>Department of State Development, Business and Innovation</w:t>
      </w:r>
    </w:p>
    <w:p w:rsidR="00B958B1" w:rsidRDefault="00B958B1" w:rsidP="009F3B54">
      <w:pPr>
        <w:pStyle w:val="Source"/>
      </w:pPr>
    </w:p>
    <w:p w:rsidR="00B958B1" w:rsidRDefault="00B958B1" w:rsidP="009F3B54">
      <w:pPr>
        <w:pStyle w:val="Tableheading"/>
      </w:pPr>
      <w:r w:rsidRPr="001E3944">
        <w:t xml:space="preserve">Table </w:t>
      </w:r>
      <w:r>
        <w:t>2.20</w:t>
      </w:r>
      <w:r w:rsidRPr="001E3944">
        <w:t>:</w:t>
      </w:r>
      <w:r w:rsidRPr="001E3944">
        <w:tab/>
        <w:t>Output summary</w:t>
      </w:r>
    </w:p>
    <w:p w:rsidR="00B958B1" w:rsidRDefault="00B958B1" w:rsidP="009F3B54">
      <w:pPr>
        <w:pStyle w:val="million"/>
        <w:rPr>
          <w:rFonts w:ascii="Times New Roman" w:hAnsi="Times New Roman"/>
          <w:sz w:val="20"/>
          <w:lang w:eastAsia="en-AU"/>
        </w:rPr>
      </w:pP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4154"/>
        <w:gridCol w:w="840"/>
        <w:gridCol w:w="840"/>
        <w:gridCol w:w="840"/>
        <w:gridCol w:w="1102"/>
      </w:tblGrid>
      <w:tr w:rsidR="00B958B1" w:rsidRPr="00D63680" w:rsidTr="009F3B54">
        <w:trPr>
          <w:cantSplit/>
        </w:trPr>
        <w:tc>
          <w:tcPr>
            <w:tcW w:w="4154" w:type="dxa"/>
            <w:tcBorders>
              <w:top w:val="single" w:sz="4" w:space="0" w:color="auto"/>
              <w:left w:val="single" w:sz="4" w:space="0" w:color="auto"/>
              <w:bottom w:val="nil"/>
              <w:right w:val="nil"/>
            </w:tcBorders>
            <w:shd w:val="clear" w:color="auto" w:fill="000000"/>
          </w:tcPr>
          <w:p w:rsidR="00B958B1" w:rsidRPr="00D63680" w:rsidRDefault="00B958B1" w:rsidP="009F3B54">
            <w:pPr>
              <w:pStyle w:val="Tabletext"/>
              <w:rPr>
                <w:lang w:eastAsia="en-AU"/>
              </w:rPr>
            </w:pPr>
            <w:r w:rsidRPr="00D63680">
              <w:rPr>
                <w:lang w:eastAsia="en-AU"/>
              </w:rPr>
              <w:t xml:space="preserve">  </w:t>
            </w:r>
          </w:p>
        </w:tc>
        <w:tc>
          <w:tcPr>
            <w:tcW w:w="840" w:type="dxa"/>
            <w:tcBorders>
              <w:top w:val="single" w:sz="4" w:space="0" w:color="auto"/>
              <w:left w:val="nil"/>
              <w:bottom w:val="nil"/>
              <w:right w:val="nil"/>
            </w:tcBorders>
            <w:shd w:val="clear" w:color="auto" w:fill="000000"/>
          </w:tcPr>
          <w:p w:rsidR="00B958B1" w:rsidRPr="00D63680" w:rsidRDefault="00B958B1" w:rsidP="009F3B54">
            <w:pPr>
              <w:pStyle w:val="Tabletextheading"/>
              <w:rPr>
                <w:lang w:eastAsia="en-AU"/>
              </w:rPr>
            </w:pPr>
            <w:r w:rsidRPr="00D63680">
              <w:rPr>
                <w:lang w:eastAsia="en-AU"/>
              </w:rPr>
              <w:t>2012</w:t>
            </w:r>
            <w:r w:rsidR="009F0F49">
              <w:rPr>
                <w:lang w:eastAsia="en-AU"/>
              </w:rPr>
              <w:noBreakHyphen/>
            </w:r>
            <w:r w:rsidRPr="00D63680">
              <w:rPr>
                <w:lang w:eastAsia="en-AU"/>
              </w:rPr>
              <w:t>13</w:t>
            </w:r>
          </w:p>
        </w:tc>
        <w:tc>
          <w:tcPr>
            <w:tcW w:w="840" w:type="dxa"/>
            <w:tcBorders>
              <w:top w:val="single" w:sz="4" w:space="0" w:color="auto"/>
              <w:left w:val="nil"/>
              <w:bottom w:val="nil"/>
              <w:right w:val="nil"/>
            </w:tcBorders>
            <w:shd w:val="clear" w:color="auto" w:fill="000000"/>
          </w:tcPr>
          <w:p w:rsidR="00B958B1" w:rsidRPr="00D63680" w:rsidRDefault="00B958B1" w:rsidP="009F3B54">
            <w:pPr>
              <w:pStyle w:val="Tabletextheading"/>
              <w:rPr>
                <w:lang w:eastAsia="en-AU"/>
              </w:rPr>
            </w:pPr>
            <w:r w:rsidRPr="00D63680">
              <w:rPr>
                <w:lang w:eastAsia="en-AU"/>
              </w:rPr>
              <w:t>2012</w:t>
            </w:r>
            <w:r w:rsidR="009F0F49">
              <w:rPr>
                <w:lang w:eastAsia="en-AU"/>
              </w:rPr>
              <w:noBreakHyphen/>
            </w:r>
            <w:r w:rsidRPr="00D63680">
              <w:rPr>
                <w:lang w:eastAsia="en-AU"/>
              </w:rPr>
              <w:t>13</w:t>
            </w:r>
          </w:p>
        </w:tc>
        <w:tc>
          <w:tcPr>
            <w:tcW w:w="840" w:type="dxa"/>
            <w:tcBorders>
              <w:top w:val="single" w:sz="4" w:space="0" w:color="auto"/>
              <w:left w:val="nil"/>
              <w:bottom w:val="nil"/>
              <w:right w:val="nil"/>
            </w:tcBorders>
            <w:shd w:val="clear" w:color="auto" w:fill="000000"/>
          </w:tcPr>
          <w:p w:rsidR="00B958B1" w:rsidRPr="00D63680" w:rsidRDefault="00B958B1" w:rsidP="009F3B54">
            <w:pPr>
              <w:pStyle w:val="Tabletextheading"/>
              <w:rPr>
                <w:lang w:eastAsia="en-AU"/>
              </w:rPr>
            </w:pPr>
            <w:r w:rsidRPr="00D63680">
              <w:rPr>
                <w:lang w:eastAsia="en-AU"/>
              </w:rPr>
              <w:t>2013</w:t>
            </w:r>
            <w:r w:rsidR="009F0F49">
              <w:rPr>
                <w:lang w:eastAsia="en-AU"/>
              </w:rPr>
              <w:noBreakHyphen/>
            </w:r>
            <w:r w:rsidRPr="00D63680">
              <w:rPr>
                <w:lang w:eastAsia="en-AU"/>
              </w:rPr>
              <w:t>14</w:t>
            </w:r>
          </w:p>
        </w:tc>
        <w:tc>
          <w:tcPr>
            <w:tcW w:w="1102" w:type="dxa"/>
            <w:tcBorders>
              <w:top w:val="single" w:sz="4" w:space="0" w:color="auto"/>
              <w:left w:val="nil"/>
              <w:bottom w:val="nil"/>
              <w:right w:val="single" w:sz="4" w:space="0" w:color="auto"/>
            </w:tcBorders>
            <w:shd w:val="clear" w:color="auto" w:fill="000000"/>
          </w:tcPr>
          <w:p w:rsidR="00B958B1" w:rsidRPr="00D63680" w:rsidRDefault="00B958B1" w:rsidP="009F3B54">
            <w:pPr>
              <w:pStyle w:val="Tabletextheading"/>
              <w:rPr>
                <w:vertAlign w:val="superscript"/>
                <w:lang w:eastAsia="en-AU"/>
              </w:rPr>
            </w:pPr>
            <w:r w:rsidRPr="00D63680">
              <w:rPr>
                <w:lang w:eastAsia="en-AU"/>
              </w:rPr>
              <w:t xml:space="preserve">Variation </w:t>
            </w:r>
            <w:r w:rsidRPr="00D63680">
              <w:rPr>
                <w:vertAlign w:val="superscript"/>
                <w:lang w:eastAsia="en-AU"/>
              </w:rPr>
              <w:t>(a)</w:t>
            </w:r>
          </w:p>
        </w:tc>
      </w:tr>
      <w:tr w:rsidR="00B958B1" w:rsidRPr="00D63680" w:rsidTr="009F3B54">
        <w:trPr>
          <w:cantSplit/>
        </w:trPr>
        <w:tc>
          <w:tcPr>
            <w:tcW w:w="4154" w:type="dxa"/>
            <w:tcBorders>
              <w:top w:val="nil"/>
              <w:left w:val="single" w:sz="4" w:space="0" w:color="auto"/>
              <w:bottom w:val="single" w:sz="4" w:space="0" w:color="auto"/>
              <w:right w:val="nil"/>
            </w:tcBorders>
            <w:shd w:val="clear" w:color="auto" w:fill="000000"/>
          </w:tcPr>
          <w:p w:rsidR="00B958B1" w:rsidRPr="00D63680" w:rsidRDefault="00B958B1" w:rsidP="009F3B54">
            <w:pPr>
              <w:pStyle w:val="Tabletext"/>
              <w:rPr>
                <w:lang w:eastAsia="en-AU"/>
              </w:rPr>
            </w:pPr>
            <w:r w:rsidRPr="00D63680">
              <w:rPr>
                <w:lang w:eastAsia="en-AU"/>
              </w:rPr>
              <w:t xml:space="preserve">  </w:t>
            </w:r>
          </w:p>
        </w:tc>
        <w:tc>
          <w:tcPr>
            <w:tcW w:w="840" w:type="dxa"/>
            <w:tcBorders>
              <w:top w:val="nil"/>
              <w:left w:val="nil"/>
              <w:bottom w:val="single" w:sz="4" w:space="0" w:color="auto"/>
              <w:right w:val="nil"/>
            </w:tcBorders>
            <w:shd w:val="clear" w:color="auto" w:fill="000000"/>
          </w:tcPr>
          <w:p w:rsidR="00B958B1" w:rsidRPr="00D63680" w:rsidRDefault="00B958B1" w:rsidP="009F3B54">
            <w:pPr>
              <w:pStyle w:val="Tabletextheading"/>
              <w:rPr>
                <w:lang w:eastAsia="en-AU"/>
              </w:rPr>
            </w:pPr>
            <w:r w:rsidRPr="00D63680">
              <w:rPr>
                <w:lang w:eastAsia="en-AU"/>
              </w:rPr>
              <w:t>Budget</w:t>
            </w:r>
          </w:p>
        </w:tc>
        <w:tc>
          <w:tcPr>
            <w:tcW w:w="840" w:type="dxa"/>
            <w:tcBorders>
              <w:top w:val="nil"/>
              <w:left w:val="nil"/>
              <w:bottom w:val="single" w:sz="4" w:space="0" w:color="auto"/>
              <w:right w:val="nil"/>
            </w:tcBorders>
            <w:shd w:val="clear" w:color="auto" w:fill="000000"/>
          </w:tcPr>
          <w:p w:rsidR="00B958B1" w:rsidRPr="00D63680" w:rsidRDefault="00B958B1" w:rsidP="009F3B54">
            <w:pPr>
              <w:pStyle w:val="Tabletextheading"/>
              <w:rPr>
                <w:lang w:eastAsia="en-AU"/>
              </w:rPr>
            </w:pPr>
            <w:r w:rsidRPr="00D63680">
              <w:rPr>
                <w:lang w:eastAsia="en-AU"/>
              </w:rPr>
              <w:t>Revised</w:t>
            </w:r>
          </w:p>
        </w:tc>
        <w:tc>
          <w:tcPr>
            <w:tcW w:w="840" w:type="dxa"/>
            <w:tcBorders>
              <w:top w:val="nil"/>
              <w:left w:val="nil"/>
              <w:bottom w:val="single" w:sz="4" w:space="0" w:color="auto"/>
              <w:right w:val="nil"/>
            </w:tcBorders>
            <w:shd w:val="clear" w:color="auto" w:fill="000000"/>
          </w:tcPr>
          <w:p w:rsidR="00B958B1" w:rsidRPr="00D63680" w:rsidRDefault="00B958B1" w:rsidP="009F3B54">
            <w:pPr>
              <w:pStyle w:val="Tabletextheading"/>
              <w:rPr>
                <w:lang w:eastAsia="en-AU"/>
              </w:rPr>
            </w:pPr>
            <w:r w:rsidRPr="00D63680">
              <w:rPr>
                <w:lang w:eastAsia="en-AU"/>
              </w:rPr>
              <w:t>Budget</w:t>
            </w:r>
          </w:p>
        </w:tc>
        <w:tc>
          <w:tcPr>
            <w:tcW w:w="1102" w:type="dxa"/>
            <w:tcBorders>
              <w:top w:val="nil"/>
              <w:left w:val="nil"/>
              <w:bottom w:val="single" w:sz="4" w:space="0" w:color="auto"/>
              <w:right w:val="single" w:sz="4" w:space="0" w:color="auto"/>
            </w:tcBorders>
            <w:shd w:val="clear" w:color="auto" w:fill="000000"/>
          </w:tcPr>
          <w:p w:rsidR="00B958B1" w:rsidRPr="00D63680" w:rsidRDefault="00B958B1" w:rsidP="009F3B54">
            <w:pPr>
              <w:pStyle w:val="Tabletextheading"/>
              <w:rPr>
                <w:lang w:eastAsia="en-AU"/>
              </w:rPr>
            </w:pPr>
            <w:r w:rsidRPr="00D63680">
              <w:rPr>
                <w:lang w:eastAsia="en-AU"/>
              </w:rPr>
              <w:t>%</w:t>
            </w:r>
          </w:p>
        </w:tc>
      </w:tr>
      <w:tr w:rsidR="00B958B1" w:rsidRPr="00D63680" w:rsidTr="009F3B54">
        <w:trPr>
          <w:cantSplit/>
        </w:trPr>
        <w:tc>
          <w:tcPr>
            <w:tcW w:w="4154" w:type="dxa"/>
            <w:tcBorders>
              <w:top w:val="single" w:sz="4" w:space="0" w:color="auto"/>
              <w:left w:val="nil"/>
              <w:bottom w:val="nil"/>
              <w:right w:val="nil"/>
            </w:tcBorders>
          </w:tcPr>
          <w:p w:rsidR="00B958B1" w:rsidRPr="00D63680" w:rsidRDefault="00B958B1" w:rsidP="009F3B54">
            <w:pPr>
              <w:pStyle w:val="Tabletext"/>
              <w:rPr>
                <w:color w:val="000000"/>
                <w:sz w:val="13"/>
                <w:szCs w:val="13"/>
                <w:vertAlign w:val="superscript"/>
                <w:lang w:eastAsia="en-AU"/>
              </w:rPr>
            </w:pPr>
            <w:r w:rsidRPr="00D63680">
              <w:rPr>
                <w:color w:val="000000"/>
                <w:lang w:eastAsia="en-AU"/>
              </w:rPr>
              <w:t xml:space="preserve">Employment </w:t>
            </w:r>
            <w:r w:rsidRPr="00D63680">
              <w:rPr>
                <w:color w:val="000000"/>
                <w:vertAlign w:val="superscript"/>
                <w:lang w:eastAsia="en-AU"/>
              </w:rPr>
              <w:t>(b)</w:t>
            </w:r>
            <w:r w:rsidRPr="00D63680">
              <w:rPr>
                <w:color w:val="000000"/>
                <w:sz w:val="13"/>
                <w:szCs w:val="13"/>
                <w:vertAlign w:val="superscript"/>
                <w:lang w:eastAsia="en-AU"/>
              </w:rPr>
              <w:t xml:space="preserve"> </w:t>
            </w:r>
          </w:p>
        </w:tc>
        <w:tc>
          <w:tcPr>
            <w:tcW w:w="840" w:type="dxa"/>
            <w:tcBorders>
              <w:top w:val="single" w:sz="4" w:space="0" w:color="auto"/>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15.4</w:t>
            </w:r>
          </w:p>
        </w:tc>
        <w:tc>
          <w:tcPr>
            <w:tcW w:w="840" w:type="dxa"/>
            <w:tcBorders>
              <w:top w:val="single" w:sz="4" w:space="0" w:color="auto"/>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14.4</w:t>
            </w:r>
          </w:p>
        </w:tc>
        <w:tc>
          <w:tcPr>
            <w:tcW w:w="840" w:type="dxa"/>
            <w:tcBorders>
              <w:top w:val="single" w:sz="4" w:space="0" w:color="auto"/>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15.3</w:t>
            </w:r>
          </w:p>
        </w:tc>
        <w:tc>
          <w:tcPr>
            <w:tcW w:w="1102" w:type="dxa"/>
            <w:tcBorders>
              <w:top w:val="single" w:sz="4" w:space="0" w:color="auto"/>
              <w:left w:val="nil"/>
              <w:bottom w:val="nil"/>
              <w:right w:val="nil"/>
            </w:tcBorders>
          </w:tcPr>
          <w:p w:rsidR="00B958B1" w:rsidRPr="00D63680" w:rsidRDefault="009F0F49" w:rsidP="009F3B54">
            <w:pPr>
              <w:pStyle w:val="TableofFigures"/>
              <w:rPr>
                <w:color w:val="000000"/>
                <w:lang w:eastAsia="en-AU"/>
              </w:rPr>
            </w:pPr>
            <w:r>
              <w:rPr>
                <w:color w:val="000000"/>
                <w:lang w:eastAsia="en-AU"/>
              </w:rPr>
              <w:noBreakHyphen/>
            </w:r>
            <w:r w:rsidR="00B958B1" w:rsidRPr="00D63680">
              <w:rPr>
                <w:color w:val="000000"/>
                <w:lang w:eastAsia="en-AU"/>
              </w:rPr>
              <w:t xml:space="preserve"> 0.8</w:t>
            </w:r>
          </w:p>
        </w:tc>
      </w:tr>
      <w:tr w:rsidR="00B958B1" w:rsidRPr="00D63680" w:rsidTr="009F3B54">
        <w:trPr>
          <w:cantSplit/>
        </w:trPr>
        <w:tc>
          <w:tcPr>
            <w:tcW w:w="4154" w:type="dxa"/>
            <w:tcBorders>
              <w:top w:val="nil"/>
              <w:left w:val="nil"/>
              <w:bottom w:val="nil"/>
              <w:right w:val="nil"/>
            </w:tcBorders>
          </w:tcPr>
          <w:p w:rsidR="00B958B1" w:rsidRPr="00D63680" w:rsidRDefault="00B958B1" w:rsidP="009F3B54">
            <w:pPr>
              <w:pStyle w:val="Tabletext"/>
              <w:rPr>
                <w:color w:val="000000"/>
                <w:vertAlign w:val="superscript"/>
                <w:lang w:eastAsia="en-AU"/>
              </w:rPr>
            </w:pPr>
            <w:r w:rsidRPr="00D63680">
              <w:rPr>
                <w:color w:val="000000"/>
                <w:lang w:eastAsia="en-AU"/>
              </w:rPr>
              <w:t xml:space="preserve">Tourism and Marketing </w:t>
            </w:r>
            <w:r w:rsidRPr="00D63680">
              <w:rPr>
                <w:color w:val="000000"/>
                <w:vertAlign w:val="superscript"/>
                <w:lang w:eastAsia="en-AU"/>
              </w:rPr>
              <w:t xml:space="preserve">(c) </w:t>
            </w:r>
          </w:p>
        </w:tc>
        <w:tc>
          <w:tcPr>
            <w:tcW w:w="840"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81.8</w:t>
            </w:r>
          </w:p>
        </w:tc>
        <w:tc>
          <w:tcPr>
            <w:tcW w:w="840"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157.3</w:t>
            </w:r>
          </w:p>
        </w:tc>
        <w:tc>
          <w:tcPr>
            <w:tcW w:w="840"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82.7</w:t>
            </w:r>
          </w:p>
        </w:tc>
        <w:tc>
          <w:tcPr>
            <w:tcW w:w="1102"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1.1</w:t>
            </w:r>
          </w:p>
        </w:tc>
      </w:tr>
      <w:tr w:rsidR="00B958B1" w:rsidRPr="00D63680" w:rsidTr="009F3B54">
        <w:trPr>
          <w:cantSplit/>
        </w:trPr>
        <w:tc>
          <w:tcPr>
            <w:tcW w:w="4154" w:type="dxa"/>
            <w:tcBorders>
              <w:top w:val="nil"/>
              <w:left w:val="nil"/>
              <w:bottom w:val="nil"/>
              <w:right w:val="nil"/>
            </w:tcBorders>
          </w:tcPr>
          <w:p w:rsidR="00B958B1" w:rsidRPr="00D63680" w:rsidRDefault="00B958B1" w:rsidP="009F3B54">
            <w:pPr>
              <w:pStyle w:val="Tabletext"/>
              <w:rPr>
                <w:color w:val="000000"/>
                <w:vertAlign w:val="superscript"/>
                <w:lang w:eastAsia="en-AU"/>
              </w:rPr>
            </w:pPr>
            <w:r w:rsidRPr="00D63680">
              <w:rPr>
                <w:color w:val="000000"/>
                <w:lang w:eastAsia="en-AU"/>
              </w:rPr>
              <w:t xml:space="preserve">Innovation and Technology </w:t>
            </w:r>
            <w:r w:rsidRPr="00D63680">
              <w:rPr>
                <w:color w:val="000000"/>
                <w:vertAlign w:val="superscript"/>
                <w:lang w:eastAsia="en-AU"/>
              </w:rPr>
              <w:t xml:space="preserve">(d) </w:t>
            </w:r>
          </w:p>
        </w:tc>
        <w:tc>
          <w:tcPr>
            <w:tcW w:w="840"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193.7</w:t>
            </w:r>
          </w:p>
        </w:tc>
        <w:tc>
          <w:tcPr>
            <w:tcW w:w="840"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170.1</w:t>
            </w:r>
          </w:p>
        </w:tc>
        <w:tc>
          <w:tcPr>
            <w:tcW w:w="840"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181.5</w:t>
            </w:r>
          </w:p>
        </w:tc>
        <w:tc>
          <w:tcPr>
            <w:tcW w:w="1102" w:type="dxa"/>
            <w:tcBorders>
              <w:top w:val="nil"/>
              <w:left w:val="nil"/>
              <w:bottom w:val="nil"/>
              <w:right w:val="nil"/>
            </w:tcBorders>
          </w:tcPr>
          <w:p w:rsidR="00B958B1" w:rsidRPr="00D63680" w:rsidRDefault="009F0F49" w:rsidP="009F3B54">
            <w:pPr>
              <w:pStyle w:val="TableofFigures"/>
              <w:rPr>
                <w:color w:val="000000"/>
                <w:lang w:eastAsia="en-AU"/>
              </w:rPr>
            </w:pPr>
            <w:r>
              <w:rPr>
                <w:color w:val="000000"/>
                <w:lang w:eastAsia="en-AU"/>
              </w:rPr>
              <w:noBreakHyphen/>
            </w:r>
            <w:r w:rsidR="00B958B1" w:rsidRPr="00D63680">
              <w:rPr>
                <w:color w:val="000000"/>
                <w:lang w:eastAsia="en-AU"/>
              </w:rPr>
              <w:t xml:space="preserve"> 6.3</w:t>
            </w:r>
          </w:p>
        </w:tc>
      </w:tr>
      <w:tr w:rsidR="00B958B1" w:rsidRPr="00D63680" w:rsidTr="009F3B54">
        <w:trPr>
          <w:cantSplit/>
        </w:trPr>
        <w:tc>
          <w:tcPr>
            <w:tcW w:w="4154" w:type="dxa"/>
            <w:tcBorders>
              <w:top w:val="nil"/>
              <w:left w:val="nil"/>
              <w:bottom w:val="nil"/>
              <w:right w:val="nil"/>
            </w:tcBorders>
          </w:tcPr>
          <w:p w:rsidR="00B958B1" w:rsidRPr="00D63680" w:rsidRDefault="00B958B1" w:rsidP="009F3B54">
            <w:pPr>
              <w:pStyle w:val="Tabletext"/>
              <w:rPr>
                <w:color w:val="000000"/>
                <w:vertAlign w:val="superscript"/>
                <w:lang w:eastAsia="en-AU"/>
              </w:rPr>
            </w:pPr>
            <w:r w:rsidRPr="00D63680">
              <w:rPr>
                <w:color w:val="000000"/>
                <w:lang w:eastAsia="en-AU"/>
              </w:rPr>
              <w:t>Investment Attraction, Facilitation and Major Projects</w:t>
            </w:r>
            <w:r w:rsidRPr="00D63680">
              <w:rPr>
                <w:color w:val="000000"/>
                <w:vertAlign w:val="superscript"/>
                <w:lang w:eastAsia="en-AU"/>
              </w:rPr>
              <w:t xml:space="preserve">(e) </w:t>
            </w:r>
          </w:p>
        </w:tc>
        <w:tc>
          <w:tcPr>
            <w:tcW w:w="840"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263.5</w:t>
            </w:r>
          </w:p>
        </w:tc>
        <w:tc>
          <w:tcPr>
            <w:tcW w:w="840"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241.5</w:t>
            </w:r>
          </w:p>
        </w:tc>
        <w:tc>
          <w:tcPr>
            <w:tcW w:w="840"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301.4</w:t>
            </w:r>
          </w:p>
        </w:tc>
        <w:tc>
          <w:tcPr>
            <w:tcW w:w="1102"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14.4</w:t>
            </w:r>
          </w:p>
        </w:tc>
      </w:tr>
      <w:tr w:rsidR="00B958B1" w:rsidRPr="00D63680" w:rsidTr="009F3B54">
        <w:trPr>
          <w:cantSplit/>
        </w:trPr>
        <w:tc>
          <w:tcPr>
            <w:tcW w:w="4154" w:type="dxa"/>
            <w:tcBorders>
              <w:top w:val="nil"/>
              <w:left w:val="nil"/>
              <w:bottom w:val="nil"/>
              <w:right w:val="nil"/>
            </w:tcBorders>
          </w:tcPr>
          <w:p w:rsidR="00B958B1" w:rsidRPr="00D63680" w:rsidRDefault="00B958B1" w:rsidP="009F3B54">
            <w:pPr>
              <w:pStyle w:val="Tabletext"/>
              <w:rPr>
                <w:color w:val="000000"/>
                <w:vertAlign w:val="superscript"/>
                <w:lang w:eastAsia="en-AU"/>
              </w:rPr>
            </w:pPr>
            <w:r w:rsidRPr="00D63680">
              <w:rPr>
                <w:color w:val="000000"/>
                <w:lang w:eastAsia="en-AU"/>
              </w:rPr>
              <w:t xml:space="preserve">Trade and Export Facilitation </w:t>
            </w:r>
            <w:r w:rsidRPr="00D63680">
              <w:rPr>
                <w:color w:val="000000"/>
                <w:vertAlign w:val="superscript"/>
                <w:lang w:eastAsia="en-AU"/>
              </w:rPr>
              <w:t xml:space="preserve">(f) </w:t>
            </w:r>
          </w:p>
        </w:tc>
        <w:tc>
          <w:tcPr>
            <w:tcW w:w="840"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32.2</w:t>
            </w:r>
          </w:p>
        </w:tc>
        <w:tc>
          <w:tcPr>
            <w:tcW w:w="840"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28.8</w:t>
            </w:r>
          </w:p>
        </w:tc>
        <w:tc>
          <w:tcPr>
            <w:tcW w:w="840"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34.1</w:t>
            </w:r>
          </w:p>
        </w:tc>
        <w:tc>
          <w:tcPr>
            <w:tcW w:w="1102"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5.9</w:t>
            </w:r>
          </w:p>
        </w:tc>
      </w:tr>
      <w:tr w:rsidR="00B958B1" w:rsidRPr="00D63680" w:rsidTr="009F3B54">
        <w:trPr>
          <w:cantSplit/>
        </w:trPr>
        <w:tc>
          <w:tcPr>
            <w:tcW w:w="4154" w:type="dxa"/>
            <w:tcBorders>
              <w:top w:val="nil"/>
              <w:left w:val="nil"/>
              <w:bottom w:val="nil"/>
              <w:right w:val="nil"/>
            </w:tcBorders>
          </w:tcPr>
          <w:p w:rsidR="00B958B1" w:rsidRPr="00D63680" w:rsidRDefault="00B958B1" w:rsidP="009F3B54">
            <w:pPr>
              <w:pStyle w:val="Tabletext"/>
              <w:rPr>
                <w:color w:val="000000"/>
                <w:sz w:val="13"/>
                <w:szCs w:val="13"/>
                <w:lang w:eastAsia="en-AU"/>
              </w:rPr>
            </w:pPr>
            <w:r w:rsidRPr="00D63680">
              <w:rPr>
                <w:color w:val="000000"/>
                <w:lang w:eastAsia="en-AU"/>
              </w:rPr>
              <w:t xml:space="preserve">Small Business Assistance </w:t>
            </w:r>
            <w:r w:rsidRPr="00D63680">
              <w:rPr>
                <w:color w:val="000000"/>
                <w:vertAlign w:val="superscript"/>
                <w:lang w:eastAsia="en-AU"/>
              </w:rPr>
              <w:t>(g)</w:t>
            </w:r>
            <w:r w:rsidRPr="00D63680">
              <w:rPr>
                <w:color w:val="000000"/>
                <w:sz w:val="13"/>
                <w:szCs w:val="13"/>
                <w:lang w:eastAsia="en-AU"/>
              </w:rPr>
              <w:t xml:space="preserve"> </w:t>
            </w:r>
          </w:p>
        </w:tc>
        <w:tc>
          <w:tcPr>
            <w:tcW w:w="840"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34.4</w:t>
            </w:r>
          </w:p>
        </w:tc>
        <w:tc>
          <w:tcPr>
            <w:tcW w:w="840"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34.4</w:t>
            </w:r>
          </w:p>
        </w:tc>
        <w:tc>
          <w:tcPr>
            <w:tcW w:w="840"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32.6</w:t>
            </w:r>
          </w:p>
        </w:tc>
        <w:tc>
          <w:tcPr>
            <w:tcW w:w="1102" w:type="dxa"/>
            <w:tcBorders>
              <w:top w:val="nil"/>
              <w:left w:val="nil"/>
              <w:bottom w:val="nil"/>
              <w:right w:val="nil"/>
            </w:tcBorders>
          </w:tcPr>
          <w:p w:rsidR="00B958B1" w:rsidRPr="00D63680" w:rsidRDefault="009F0F49" w:rsidP="009F3B54">
            <w:pPr>
              <w:pStyle w:val="TableofFigures"/>
              <w:rPr>
                <w:color w:val="000000"/>
                <w:lang w:eastAsia="en-AU"/>
              </w:rPr>
            </w:pPr>
            <w:r>
              <w:rPr>
                <w:color w:val="000000"/>
                <w:lang w:eastAsia="en-AU"/>
              </w:rPr>
              <w:noBreakHyphen/>
            </w:r>
            <w:r w:rsidR="00B958B1" w:rsidRPr="00D63680">
              <w:rPr>
                <w:color w:val="000000"/>
                <w:lang w:eastAsia="en-AU"/>
              </w:rPr>
              <w:t xml:space="preserve"> 5.2</w:t>
            </w:r>
          </w:p>
        </w:tc>
      </w:tr>
      <w:tr w:rsidR="00B958B1" w:rsidRPr="00D63680" w:rsidTr="009F3B54">
        <w:trPr>
          <w:cantSplit/>
        </w:trPr>
        <w:tc>
          <w:tcPr>
            <w:tcW w:w="4154" w:type="dxa"/>
            <w:tcBorders>
              <w:top w:val="nil"/>
              <w:left w:val="nil"/>
              <w:bottom w:val="nil"/>
              <w:right w:val="nil"/>
            </w:tcBorders>
          </w:tcPr>
          <w:p w:rsidR="00B958B1" w:rsidRPr="00D63680" w:rsidRDefault="00B958B1" w:rsidP="009F3B54">
            <w:pPr>
              <w:pStyle w:val="Tabletext"/>
              <w:rPr>
                <w:color w:val="000000"/>
                <w:vertAlign w:val="superscript"/>
                <w:lang w:eastAsia="en-AU"/>
              </w:rPr>
            </w:pPr>
            <w:r w:rsidRPr="00D63680">
              <w:rPr>
                <w:color w:val="000000"/>
                <w:lang w:eastAsia="en-AU"/>
              </w:rPr>
              <w:t xml:space="preserve">Regional Development and Regional Cities </w:t>
            </w:r>
            <w:r w:rsidRPr="00D63680">
              <w:rPr>
                <w:color w:val="000000"/>
                <w:vertAlign w:val="superscript"/>
                <w:lang w:eastAsia="en-AU"/>
              </w:rPr>
              <w:t>(h)</w:t>
            </w:r>
          </w:p>
        </w:tc>
        <w:tc>
          <w:tcPr>
            <w:tcW w:w="840"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175.2</w:t>
            </w:r>
          </w:p>
        </w:tc>
        <w:tc>
          <w:tcPr>
            <w:tcW w:w="840"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179.4</w:t>
            </w:r>
          </w:p>
        </w:tc>
        <w:tc>
          <w:tcPr>
            <w:tcW w:w="840"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222.5</w:t>
            </w:r>
          </w:p>
        </w:tc>
        <w:tc>
          <w:tcPr>
            <w:tcW w:w="1102"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27.0</w:t>
            </w:r>
          </w:p>
        </w:tc>
      </w:tr>
      <w:tr w:rsidR="00B958B1" w:rsidRPr="00D63680" w:rsidTr="009F3B54">
        <w:trPr>
          <w:cantSplit/>
        </w:trPr>
        <w:tc>
          <w:tcPr>
            <w:tcW w:w="4154" w:type="dxa"/>
            <w:tcBorders>
              <w:top w:val="nil"/>
              <w:left w:val="nil"/>
              <w:bottom w:val="nil"/>
              <w:right w:val="nil"/>
            </w:tcBorders>
          </w:tcPr>
          <w:p w:rsidR="00B958B1" w:rsidRPr="00D63680" w:rsidRDefault="00B958B1" w:rsidP="009F3B54">
            <w:pPr>
              <w:pStyle w:val="Tabletext"/>
              <w:rPr>
                <w:color w:val="000000"/>
                <w:vertAlign w:val="superscript"/>
                <w:lang w:eastAsia="en-AU"/>
              </w:rPr>
            </w:pPr>
            <w:r w:rsidRPr="00D63680">
              <w:rPr>
                <w:color w:val="000000"/>
                <w:lang w:eastAsia="en-AU"/>
              </w:rPr>
              <w:t xml:space="preserve">Energy and Resources </w:t>
            </w:r>
            <w:r w:rsidRPr="00D63680">
              <w:rPr>
                <w:color w:val="000000"/>
                <w:vertAlign w:val="superscript"/>
                <w:lang w:eastAsia="en-AU"/>
              </w:rPr>
              <w:t>(i)</w:t>
            </w:r>
          </w:p>
        </w:tc>
        <w:tc>
          <w:tcPr>
            <w:tcW w:w="840"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na</w:t>
            </w:r>
          </w:p>
        </w:tc>
        <w:tc>
          <w:tcPr>
            <w:tcW w:w="840"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na</w:t>
            </w:r>
          </w:p>
        </w:tc>
        <w:tc>
          <w:tcPr>
            <w:tcW w:w="840"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 xml:space="preserve"> 188.4</w:t>
            </w:r>
          </w:p>
        </w:tc>
        <w:tc>
          <w:tcPr>
            <w:tcW w:w="1102" w:type="dxa"/>
            <w:tcBorders>
              <w:top w:val="nil"/>
              <w:left w:val="nil"/>
              <w:bottom w:val="nil"/>
              <w:right w:val="nil"/>
            </w:tcBorders>
          </w:tcPr>
          <w:p w:rsidR="00B958B1" w:rsidRPr="00D63680" w:rsidRDefault="00B958B1" w:rsidP="009F3B54">
            <w:pPr>
              <w:pStyle w:val="TableofFigures"/>
              <w:rPr>
                <w:color w:val="000000"/>
                <w:lang w:eastAsia="en-AU"/>
              </w:rPr>
            </w:pPr>
            <w:r w:rsidRPr="00D63680">
              <w:rPr>
                <w:color w:val="000000"/>
                <w:lang w:eastAsia="en-AU"/>
              </w:rPr>
              <w:t>na</w:t>
            </w:r>
          </w:p>
        </w:tc>
      </w:tr>
      <w:tr w:rsidR="00B958B1" w:rsidRPr="00D63680" w:rsidTr="009F3B54">
        <w:trPr>
          <w:cantSplit/>
        </w:trPr>
        <w:tc>
          <w:tcPr>
            <w:tcW w:w="4154" w:type="dxa"/>
            <w:tcBorders>
              <w:top w:val="single" w:sz="6" w:space="0" w:color="auto"/>
              <w:left w:val="nil"/>
              <w:bottom w:val="single" w:sz="12" w:space="0" w:color="auto"/>
              <w:right w:val="nil"/>
            </w:tcBorders>
          </w:tcPr>
          <w:p w:rsidR="00B958B1" w:rsidRPr="00D63680" w:rsidRDefault="00B958B1" w:rsidP="009F3B54">
            <w:pPr>
              <w:pStyle w:val="Tabletext"/>
              <w:rPr>
                <w:b/>
                <w:bCs/>
                <w:color w:val="000000"/>
                <w:lang w:eastAsia="en-AU"/>
              </w:rPr>
            </w:pPr>
            <w:r w:rsidRPr="00D63680">
              <w:rPr>
                <w:b/>
                <w:bCs/>
                <w:color w:val="000000"/>
                <w:lang w:eastAsia="en-AU"/>
              </w:rPr>
              <w:t>Total</w:t>
            </w:r>
          </w:p>
        </w:tc>
        <w:tc>
          <w:tcPr>
            <w:tcW w:w="840" w:type="dxa"/>
            <w:tcBorders>
              <w:top w:val="single" w:sz="6" w:space="0" w:color="auto"/>
              <w:left w:val="nil"/>
              <w:bottom w:val="single" w:sz="12" w:space="0" w:color="auto"/>
              <w:right w:val="nil"/>
            </w:tcBorders>
          </w:tcPr>
          <w:p w:rsidR="00B958B1" w:rsidRPr="00D63680" w:rsidRDefault="00B958B1" w:rsidP="009F3B54">
            <w:pPr>
              <w:pStyle w:val="TableofFigures"/>
              <w:rPr>
                <w:b/>
                <w:bCs/>
                <w:color w:val="000000"/>
                <w:szCs w:val="22"/>
                <w:lang w:eastAsia="en-AU"/>
              </w:rPr>
            </w:pPr>
            <w:r w:rsidRPr="00D63680">
              <w:rPr>
                <w:b/>
                <w:bCs/>
                <w:color w:val="000000"/>
                <w:szCs w:val="22"/>
                <w:lang w:eastAsia="en-AU"/>
              </w:rPr>
              <w:t xml:space="preserve"> 796.2</w:t>
            </w:r>
          </w:p>
        </w:tc>
        <w:tc>
          <w:tcPr>
            <w:tcW w:w="840" w:type="dxa"/>
            <w:tcBorders>
              <w:top w:val="single" w:sz="6" w:space="0" w:color="auto"/>
              <w:left w:val="nil"/>
              <w:bottom w:val="single" w:sz="12" w:space="0" w:color="auto"/>
              <w:right w:val="nil"/>
            </w:tcBorders>
          </w:tcPr>
          <w:p w:rsidR="00B958B1" w:rsidRPr="00D63680" w:rsidRDefault="00B958B1" w:rsidP="009F3B54">
            <w:pPr>
              <w:pStyle w:val="TableofFigures"/>
              <w:rPr>
                <w:b/>
                <w:bCs/>
                <w:color w:val="000000"/>
                <w:szCs w:val="22"/>
                <w:lang w:eastAsia="en-AU"/>
              </w:rPr>
            </w:pPr>
            <w:r w:rsidRPr="00D63680">
              <w:rPr>
                <w:b/>
                <w:bCs/>
                <w:color w:val="000000"/>
                <w:szCs w:val="22"/>
                <w:lang w:eastAsia="en-AU"/>
              </w:rPr>
              <w:t xml:space="preserve"> 825.9</w:t>
            </w:r>
          </w:p>
        </w:tc>
        <w:tc>
          <w:tcPr>
            <w:tcW w:w="840" w:type="dxa"/>
            <w:tcBorders>
              <w:top w:val="single" w:sz="6" w:space="0" w:color="auto"/>
              <w:left w:val="nil"/>
              <w:bottom w:val="single" w:sz="12" w:space="0" w:color="auto"/>
              <w:right w:val="nil"/>
            </w:tcBorders>
          </w:tcPr>
          <w:p w:rsidR="00B958B1" w:rsidRPr="00D63680" w:rsidRDefault="00B958B1" w:rsidP="009F3B54">
            <w:pPr>
              <w:pStyle w:val="TableofFigures"/>
              <w:rPr>
                <w:b/>
                <w:bCs/>
                <w:color w:val="000000"/>
                <w:szCs w:val="22"/>
                <w:lang w:eastAsia="en-AU"/>
              </w:rPr>
            </w:pPr>
            <w:r w:rsidRPr="00D63680">
              <w:rPr>
                <w:b/>
                <w:bCs/>
                <w:color w:val="000000"/>
                <w:szCs w:val="22"/>
                <w:lang w:eastAsia="en-AU"/>
              </w:rPr>
              <w:t>1 058.5</w:t>
            </w:r>
          </w:p>
        </w:tc>
        <w:tc>
          <w:tcPr>
            <w:tcW w:w="1102" w:type="dxa"/>
            <w:tcBorders>
              <w:top w:val="single" w:sz="6" w:space="0" w:color="auto"/>
              <w:left w:val="nil"/>
              <w:bottom w:val="single" w:sz="12" w:space="0" w:color="auto"/>
              <w:right w:val="nil"/>
            </w:tcBorders>
          </w:tcPr>
          <w:p w:rsidR="00B958B1" w:rsidRPr="00D63680" w:rsidRDefault="00B958B1" w:rsidP="009F3B54">
            <w:pPr>
              <w:pStyle w:val="TableofFigures"/>
              <w:rPr>
                <w:b/>
                <w:bCs/>
                <w:color w:val="000000"/>
                <w:szCs w:val="22"/>
                <w:lang w:eastAsia="en-AU"/>
              </w:rPr>
            </w:pPr>
            <w:r w:rsidRPr="00D63680">
              <w:rPr>
                <w:b/>
                <w:bCs/>
                <w:color w:val="000000"/>
                <w:szCs w:val="22"/>
                <w:lang w:eastAsia="en-AU"/>
              </w:rPr>
              <w:t xml:space="preserve"> 32.9</w:t>
            </w:r>
          </w:p>
        </w:tc>
      </w:tr>
    </w:tbl>
    <w:p w:rsidR="00B958B1" w:rsidRDefault="00B958B1" w:rsidP="009F3B54">
      <w:pPr>
        <w:pStyle w:val="Source"/>
      </w:pPr>
      <w:r>
        <w:t>Source: Department of State Development, Business and Innovation</w:t>
      </w:r>
    </w:p>
    <w:p w:rsidR="00B958B1" w:rsidRDefault="00B958B1" w:rsidP="009F3B54">
      <w:pPr>
        <w:pStyle w:val="Notes"/>
      </w:pPr>
      <w:r w:rsidRPr="00D63680">
        <w:t>Notes</w:t>
      </w:r>
      <w:r>
        <w:t>:</w:t>
      </w:r>
    </w:p>
    <w:p w:rsidR="00B958B1" w:rsidRDefault="00B958B1" w:rsidP="009F3B54">
      <w:pPr>
        <w:pStyle w:val="Notes"/>
      </w:pPr>
      <w:r>
        <w:t>(a)</w:t>
      </w:r>
      <w:r>
        <w:tab/>
        <w:t>Variation between 2012</w:t>
      </w:r>
      <w:r w:rsidR="009F0F49">
        <w:noBreakHyphen/>
      </w:r>
      <w:r>
        <w:t>13 budget and 2013</w:t>
      </w:r>
      <w:r w:rsidR="009F0F49">
        <w:noBreakHyphen/>
      </w:r>
      <w:r>
        <w:t>14 budget.</w:t>
      </w:r>
    </w:p>
    <w:p w:rsidR="00B958B1" w:rsidRDefault="00B958B1" w:rsidP="009F3B54">
      <w:pPr>
        <w:pStyle w:val="Notes"/>
      </w:pPr>
      <w:r>
        <w:t>(b)</w:t>
      </w:r>
      <w:r>
        <w:tab/>
        <w:t>Variation between 2012</w:t>
      </w:r>
      <w:r w:rsidR="009F0F49">
        <w:noBreakHyphen/>
      </w:r>
      <w:r>
        <w:t>13 budget and 2013</w:t>
      </w:r>
      <w:r w:rsidR="009F0F49">
        <w:noBreakHyphen/>
      </w:r>
      <w:r>
        <w:t>14 budget reflects new funding received for the Employment Start Up initiative offset by the transfer out of the Industrial Relations output as part of the machinery of government changes, effective from 1 July 2013. The 2012</w:t>
      </w:r>
      <w:r w:rsidR="009F0F49">
        <w:noBreakHyphen/>
      </w:r>
      <w:r>
        <w:t>13 Budget and 2012</w:t>
      </w:r>
      <w:r w:rsidR="009F0F49">
        <w:noBreakHyphen/>
      </w:r>
      <w:r>
        <w:t xml:space="preserve">13 Revised amounts include the Industrial Relations output costs. </w:t>
      </w:r>
    </w:p>
    <w:p w:rsidR="00B958B1" w:rsidRDefault="00B958B1" w:rsidP="009F3B54">
      <w:pPr>
        <w:pStyle w:val="Notes"/>
      </w:pPr>
      <w:r>
        <w:t>(c)</w:t>
      </w:r>
      <w:r>
        <w:tab/>
        <w:t>Variation between 2012</w:t>
      </w:r>
      <w:r w:rsidR="009F0F49">
        <w:noBreakHyphen/>
      </w:r>
      <w:r>
        <w:t>13 budget and 2013</w:t>
      </w:r>
      <w:r w:rsidR="009F0F49">
        <w:noBreakHyphen/>
      </w:r>
      <w:r>
        <w:t>14 budget reflects new funding received for international education, regional tourism, China tourism, and international markets, partly offset by the completion of other initiatives. Variation between 2012</w:t>
      </w:r>
      <w:r w:rsidR="009F0F49">
        <w:noBreakHyphen/>
      </w:r>
      <w:r>
        <w:t>13 Budgets and 2012</w:t>
      </w:r>
      <w:r w:rsidR="009F0F49">
        <w:noBreakHyphen/>
      </w:r>
      <w:r>
        <w:t>13 Revised reflects additional funding received for Major Events.</w:t>
      </w:r>
    </w:p>
    <w:p w:rsidR="00B958B1" w:rsidRDefault="00B958B1">
      <w:pPr>
        <w:spacing w:after="0"/>
        <w:rPr>
          <w:rFonts w:ascii="Calibri" w:hAnsi="Calibri"/>
          <w:i/>
          <w:sz w:val="15"/>
        </w:rPr>
      </w:pPr>
      <w:r>
        <w:br w:type="page"/>
      </w:r>
    </w:p>
    <w:p w:rsidR="00B958B1" w:rsidRDefault="00B958B1" w:rsidP="009F3B54">
      <w:pPr>
        <w:pStyle w:val="Notes"/>
      </w:pPr>
      <w:r>
        <w:t>Notes (continued):</w:t>
      </w:r>
    </w:p>
    <w:p w:rsidR="00B958B1" w:rsidRDefault="00B958B1" w:rsidP="009F3B54">
      <w:pPr>
        <w:pStyle w:val="Notes"/>
      </w:pPr>
      <w:r>
        <w:t>(d)</w:t>
      </w:r>
      <w:r>
        <w:tab/>
        <w:t>Variation between 2012</w:t>
      </w:r>
      <w:r w:rsidR="009F0F49">
        <w:noBreakHyphen/>
      </w:r>
      <w:r>
        <w:t>13 Budget and 2013</w:t>
      </w:r>
      <w:r w:rsidR="009F0F49">
        <w:noBreakHyphen/>
      </w:r>
      <w:r>
        <w:t xml:space="preserve">14 Budget reflects the inclusion of the Government Technology Group that transferred as part of the machinery of government changes, new funding received for Victoria’s Technology Plan for the Future and Government ICT Strategy, Driving Business Innovation, Health Exports Strategy and programs supporting the Film and TV industry offset by completed projects such as the Olivia Newton John Cancer and Wellness Centre, and variations in annual funding for the Victorian Innovation Statement and other Innovation and Technology programs. </w:t>
      </w:r>
    </w:p>
    <w:p w:rsidR="00B958B1" w:rsidRDefault="00B958B1" w:rsidP="009F3B54">
      <w:pPr>
        <w:pStyle w:val="Notes"/>
      </w:pPr>
      <w:r>
        <w:t>(e)</w:t>
      </w:r>
      <w:r>
        <w:tab/>
        <w:t>Variation between 2012</w:t>
      </w:r>
      <w:r w:rsidR="009F0F49">
        <w:noBreakHyphen/>
      </w:r>
      <w:r>
        <w:t>13 Budget and 2013</w:t>
      </w:r>
      <w:r w:rsidR="009F0F49">
        <w:noBreakHyphen/>
      </w:r>
      <w:r>
        <w:t>14 Budget reflects increased cost of sales due to the land sales for the Kew Residential Development being brought forward to 2013</w:t>
      </w:r>
      <w:r w:rsidR="009F0F49">
        <w:noBreakHyphen/>
      </w:r>
      <w:r>
        <w:t>14 (from later years), funding for the establishment of the Office of State Development offset by variations in annual funding for the Investment Support Program and other industry support programs.</w:t>
      </w:r>
    </w:p>
    <w:p w:rsidR="00B958B1" w:rsidRDefault="00B958B1" w:rsidP="009F3B54">
      <w:pPr>
        <w:pStyle w:val="Notes"/>
      </w:pPr>
      <w:r>
        <w:t>(f)</w:t>
      </w:r>
      <w:r>
        <w:tab/>
        <w:t>Variation between 2012</w:t>
      </w:r>
      <w:r w:rsidR="009F0F49">
        <w:noBreakHyphen/>
      </w:r>
      <w:r>
        <w:t>13 Budget and 2013</w:t>
      </w:r>
      <w:r w:rsidR="009F0F49">
        <w:noBreakHyphen/>
      </w:r>
      <w:r>
        <w:t>14 Budget reflects new funding received for International Engagement programs offset by variations in annual funding for other Trade and Export programs.</w:t>
      </w:r>
    </w:p>
    <w:p w:rsidR="00B958B1" w:rsidRDefault="00B958B1" w:rsidP="009F3B54">
      <w:pPr>
        <w:pStyle w:val="Notes"/>
      </w:pPr>
      <w:r>
        <w:t>(g)</w:t>
      </w:r>
      <w:r>
        <w:tab/>
        <w:t>Variation between 2012</w:t>
      </w:r>
      <w:r w:rsidR="009F0F49">
        <w:noBreakHyphen/>
      </w:r>
      <w:r>
        <w:t>13 Budget and 2013</w:t>
      </w:r>
      <w:r w:rsidR="009F0F49">
        <w:noBreakHyphen/>
      </w:r>
      <w:r>
        <w:t>14 Budget reflects new funding received for Business Victoria offset by variations in annual funding for other Small Business programs.</w:t>
      </w:r>
    </w:p>
    <w:p w:rsidR="00B958B1" w:rsidRDefault="00B958B1" w:rsidP="009F3B54">
      <w:pPr>
        <w:pStyle w:val="Notes"/>
      </w:pPr>
      <w:r>
        <w:t>(h)</w:t>
      </w:r>
      <w:r>
        <w:tab/>
        <w:t>The 2012</w:t>
      </w:r>
      <w:r w:rsidR="009F0F49">
        <w:noBreakHyphen/>
      </w:r>
      <w:r>
        <w:t>13 Budget and 2013</w:t>
      </w:r>
      <w:r w:rsidR="009F0F49">
        <w:noBreakHyphen/>
      </w:r>
      <w:r>
        <w:t>14 Budget reflects the inclusion of funding by the former Department of Planning and Community Development.</w:t>
      </w:r>
    </w:p>
    <w:p w:rsidR="00B958B1" w:rsidRDefault="00B958B1" w:rsidP="009F3B54">
      <w:pPr>
        <w:pStyle w:val="Notes"/>
      </w:pPr>
      <w:r>
        <w:t>(i)</w:t>
      </w:r>
      <w:r>
        <w:tab/>
        <w:t>The 2012</w:t>
      </w:r>
      <w:r w:rsidR="009F0F49">
        <w:noBreakHyphen/>
      </w:r>
      <w:r>
        <w:t xml:space="preserve">13 data is not available as output was previously delivered by the former Department of Primary Industries. </w:t>
      </w:r>
    </w:p>
    <w:p w:rsidR="00B958B1" w:rsidRPr="001E3944" w:rsidRDefault="00B958B1" w:rsidP="009F3B54">
      <w:pPr>
        <w:pStyle w:val="Notes"/>
      </w:pPr>
    </w:p>
    <w:p w:rsidR="00B958B1" w:rsidRDefault="00B958B1" w:rsidP="009F3B54">
      <w:pPr>
        <w:pStyle w:val="Heading2"/>
      </w:pPr>
      <w:r w:rsidRPr="007362CB">
        <w:t>Amounts available</w:t>
      </w:r>
    </w:p>
    <w:p w:rsidR="00B958B1" w:rsidRDefault="00B958B1" w:rsidP="009F3B54">
      <w:r>
        <w:t>The following tables detail the amounts available to the Department from Parliamentary authority and income generated through transactions.</w:t>
      </w:r>
    </w:p>
    <w:p w:rsidR="00B958B1" w:rsidRPr="007362CB" w:rsidRDefault="00B958B1" w:rsidP="009F3B54">
      <w:r>
        <w:t>Table 2.21 outlines the Department’s income from transactions and Table 2.22 summarises the sources of Parliamentary authority available to the Department to fund the provision of outputs, additions to the net asset base and payments made on behalf of the State.</w:t>
      </w:r>
    </w:p>
    <w:p w:rsidR="00B958B1" w:rsidRPr="00741E60" w:rsidRDefault="00B958B1" w:rsidP="009F3B54">
      <w:pPr>
        <w:pStyle w:val="Tableheading"/>
      </w:pPr>
      <w:r w:rsidRPr="00741E60">
        <w:t>Table</w:t>
      </w:r>
      <w:r>
        <w:t> 2.21</w:t>
      </w:r>
      <w:r w:rsidRPr="00741E60">
        <w:t>:</w:t>
      </w:r>
      <w:r w:rsidRPr="00741E60">
        <w:tab/>
        <w:t>Income from transactions</w:t>
      </w:r>
    </w:p>
    <w:p w:rsidR="00B958B1" w:rsidRPr="00903C8F" w:rsidRDefault="00B958B1" w:rsidP="009F3B54">
      <w:pPr>
        <w:pStyle w:val="million"/>
      </w:pPr>
      <w:r w:rsidRPr="00741E60">
        <w:t>($</w:t>
      </w:r>
      <w:r>
        <w:t> million)</w:t>
      </w:r>
    </w:p>
    <w:tbl>
      <w:tblPr>
        <w:tblW w:w="7776" w:type="dxa"/>
        <w:tblInd w:w="29" w:type="dxa"/>
        <w:tblLayout w:type="fixed"/>
        <w:tblCellMar>
          <w:left w:w="43" w:type="dxa"/>
          <w:right w:w="43" w:type="dxa"/>
        </w:tblCellMar>
        <w:tblLook w:val="0000" w:firstRow="0" w:lastRow="0" w:firstColumn="0" w:lastColumn="0" w:noHBand="0" w:noVBand="0"/>
      </w:tblPr>
      <w:tblGrid>
        <w:gridCol w:w="3803"/>
        <w:gridCol w:w="994"/>
        <w:gridCol w:w="993"/>
        <w:gridCol w:w="993"/>
        <w:gridCol w:w="993"/>
      </w:tblGrid>
      <w:tr w:rsidR="00B958B1" w:rsidRPr="00903C8F" w:rsidTr="009F3B54">
        <w:tc>
          <w:tcPr>
            <w:tcW w:w="3801" w:type="dxa"/>
            <w:tcBorders>
              <w:top w:val="single" w:sz="4" w:space="0" w:color="auto"/>
              <w:left w:val="single" w:sz="4" w:space="0" w:color="auto"/>
              <w:bottom w:val="nil"/>
              <w:right w:val="nil"/>
            </w:tcBorders>
            <w:shd w:val="clear" w:color="auto" w:fill="000000"/>
          </w:tcPr>
          <w:p w:rsidR="00B958B1" w:rsidRPr="00903C8F" w:rsidRDefault="00B958B1" w:rsidP="009F3B54">
            <w:pPr>
              <w:pStyle w:val="Tabletext"/>
              <w:rPr>
                <w:lang w:eastAsia="en-AU"/>
              </w:rPr>
            </w:pPr>
            <w:r w:rsidRPr="00903C8F">
              <w:rPr>
                <w:lang w:eastAsia="en-AU"/>
              </w:rPr>
              <w:t xml:space="preserve"> </w:t>
            </w:r>
          </w:p>
        </w:tc>
        <w:tc>
          <w:tcPr>
            <w:tcW w:w="993" w:type="dxa"/>
            <w:tcBorders>
              <w:top w:val="single" w:sz="4" w:space="0" w:color="auto"/>
              <w:left w:val="nil"/>
              <w:bottom w:val="nil"/>
              <w:right w:val="nil"/>
            </w:tcBorders>
            <w:shd w:val="clear" w:color="auto" w:fill="000000"/>
          </w:tcPr>
          <w:p w:rsidR="00B958B1" w:rsidRPr="00903C8F" w:rsidRDefault="00B958B1" w:rsidP="009F3B54">
            <w:pPr>
              <w:pStyle w:val="Tabletextheading"/>
              <w:rPr>
                <w:lang w:eastAsia="en-AU"/>
              </w:rPr>
            </w:pPr>
            <w:r w:rsidRPr="00903C8F">
              <w:rPr>
                <w:lang w:eastAsia="en-AU"/>
              </w:rPr>
              <w:t>2011</w:t>
            </w:r>
            <w:r w:rsidR="009F0F49">
              <w:rPr>
                <w:lang w:eastAsia="en-AU"/>
              </w:rPr>
              <w:noBreakHyphen/>
            </w:r>
            <w:r w:rsidRPr="00903C8F">
              <w:rPr>
                <w:lang w:eastAsia="en-AU"/>
              </w:rPr>
              <w:t>12</w:t>
            </w:r>
          </w:p>
        </w:tc>
        <w:tc>
          <w:tcPr>
            <w:tcW w:w="993" w:type="dxa"/>
            <w:tcBorders>
              <w:top w:val="single" w:sz="4" w:space="0" w:color="auto"/>
              <w:left w:val="nil"/>
              <w:bottom w:val="nil"/>
              <w:right w:val="nil"/>
            </w:tcBorders>
            <w:shd w:val="clear" w:color="auto" w:fill="000000"/>
          </w:tcPr>
          <w:p w:rsidR="00B958B1" w:rsidRPr="00903C8F" w:rsidRDefault="00B958B1" w:rsidP="009F3B54">
            <w:pPr>
              <w:pStyle w:val="Tabletextheading"/>
              <w:rPr>
                <w:lang w:eastAsia="en-AU"/>
              </w:rPr>
            </w:pPr>
            <w:r w:rsidRPr="00903C8F">
              <w:rPr>
                <w:lang w:eastAsia="en-AU"/>
              </w:rPr>
              <w:t>2012</w:t>
            </w:r>
            <w:r w:rsidR="009F0F49">
              <w:rPr>
                <w:lang w:eastAsia="en-AU"/>
              </w:rPr>
              <w:noBreakHyphen/>
            </w:r>
            <w:r w:rsidRPr="00903C8F">
              <w:rPr>
                <w:lang w:eastAsia="en-AU"/>
              </w:rPr>
              <w:t>13</w:t>
            </w:r>
          </w:p>
        </w:tc>
        <w:tc>
          <w:tcPr>
            <w:tcW w:w="993" w:type="dxa"/>
            <w:tcBorders>
              <w:top w:val="single" w:sz="4" w:space="0" w:color="auto"/>
              <w:left w:val="nil"/>
              <w:bottom w:val="nil"/>
              <w:right w:val="nil"/>
            </w:tcBorders>
            <w:shd w:val="clear" w:color="auto" w:fill="000000"/>
          </w:tcPr>
          <w:p w:rsidR="00B958B1" w:rsidRPr="00903C8F" w:rsidRDefault="00B958B1" w:rsidP="009F3B54">
            <w:pPr>
              <w:pStyle w:val="Tabletextheading"/>
              <w:rPr>
                <w:lang w:eastAsia="en-AU"/>
              </w:rPr>
            </w:pPr>
            <w:r w:rsidRPr="00903C8F">
              <w:rPr>
                <w:lang w:eastAsia="en-AU"/>
              </w:rPr>
              <w:t>2012</w:t>
            </w:r>
            <w:r w:rsidR="009F0F49">
              <w:rPr>
                <w:lang w:eastAsia="en-AU"/>
              </w:rPr>
              <w:noBreakHyphen/>
            </w:r>
            <w:r w:rsidRPr="00903C8F">
              <w:rPr>
                <w:lang w:eastAsia="en-AU"/>
              </w:rPr>
              <w:t>13</w:t>
            </w:r>
          </w:p>
        </w:tc>
        <w:tc>
          <w:tcPr>
            <w:tcW w:w="993" w:type="dxa"/>
            <w:tcBorders>
              <w:top w:val="single" w:sz="4" w:space="0" w:color="auto"/>
              <w:left w:val="nil"/>
              <w:bottom w:val="nil"/>
              <w:right w:val="single" w:sz="4" w:space="0" w:color="auto"/>
            </w:tcBorders>
            <w:shd w:val="clear" w:color="auto" w:fill="000000"/>
          </w:tcPr>
          <w:p w:rsidR="00B958B1" w:rsidRPr="00903C8F" w:rsidRDefault="00B958B1" w:rsidP="009F3B54">
            <w:pPr>
              <w:pStyle w:val="Tabletextheading"/>
              <w:rPr>
                <w:lang w:eastAsia="en-AU"/>
              </w:rPr>
            </w:pPr>
            <w:r w:rsidRPr="00903C8F">
              <w:rPr>
                <w:lang w:eastAsia="en-AU"/>
              </w:rPr>
              <w:t>2013</w:t>
            </w:r>
            <w:r w:rsidR="009F0F49">
              <w:rPr>
                <w:lang w:eastAsia="en-AU"/>
              </w:rPr>
              <w:noBreakHyphen/>
            </w:r>
            <w:r w:rsidRPr="00903C8F">
              <w:rPr>
                <w:lang w:eastAsia="en-AU"/>
              </w:rPr>
              <w:t>14</w:t>
            </w:r>
          </w:p>
        </w:tc>
      </w:tr>
      <w:tr w:rsidR="00B958B1" w:rsidRPr="00903C8F" w:rsidTr="009F3B54">
        <w:tc>
          <w:tcPr>
            <w:tcW w:w="3801" w:type="dxa"/>
            <w:tcBorders>
              <w:top w:val="nil"/>
              <w:left w:val="single" w:sz="4" w:space="0" w:color="auto"/>
              <w:bottom w:val="single" w:sz="4" w:space="0" w:color="auto"/>
              <w:right w:val="nil"/>
            </w:tcBorders>
            <w:shd w:val="clear" w:color="auto" w:fill="000000"/>
          </w:tcPr>
          <w:p w:rsidR="00B958B1" w:rsidRPr="00903C8F" w:rsidRDefault="00B958B1" w:rsidP="009F3B54">
            <w:pPr>
              <w:pStyle w:val="Tabletext"/>
              <w:rPr>
                <w:lang w:eastAsia="en-AU"/>
              </w:rPr>
            </w:pPr>
            <w:r w:rsidRPr="00903C8F">
              <w:rPr>
                <w:lang w:eastAsia="en-AU"/>
              </w:rPr>
              <w:t xml:space="preserve"> </w:t>
            </w:r>
          </w:p>
        </w:tc>
        <w:tc>
          <w:tcPr>
            <w:tcW w:w="993" w:type="dxa"/>
            <w:tcBorders>
              <w:top w:val="nil"/>
              <w:left w:val="nil"/>
              <w:bottom w:val="single" w:sz="4" w:space="0" w:color="auto"/>
              <w:right w:val="nil"/>
            </w:tcBorders>
            <w:shd w:val="clear" w:color="auto" w:fill="000000"/>
          </w:tcPr>
          <w:p w:rsidR="00B958B1" w:rsidRPr="00903C8F" w:rsidRDefault="00B958B1" w:rsidP="009F3B54">
            <w:pPr>
              <w:pStyle w:val="Tabletextheading"/>
              <w:rPr>
                <w:vertAlign w:val="superscript"/>
                <w:lang w:eastAsia="en-AU"/>
              </w:rPr>
            </w:pPr>
            <w:r w:rsidRPr="00903C8F">
              <w:rPr>
                <w:lang w:eastAsia="en-AU"/>
              </w:rPr>
              <w:t xml:space="preserve">Actual </w:t>
            </w:r>
            <w:r w:rsidRPr="00903C8F">
              <w:rPr>
                <w:vertAlign w:val="superscript"/>
                <w:lang w:eastAsia="en-AU"/>
              </w:rPr>
              <w:t>(a)</w:t>
            </w:r>
          </w:p>
        </w:tc>
        <w:tc>
          <w:tcPr>
            <w:tcW w:w="993" w:type="dxa"/>
            <w:tcBorders>
              <w:top w:val="nil"/>
              <w:left w:val="nil"/>
              <w:bottom w:val="single" w:sz="4" w:space="0" w:color="auto"/>
              <w:right w:val="nil"/>
            </w:tcBorders>
            <w:shd w:val="clear" w:color="auto" w:fill="000000"/>
          </w:tcPr>
          <w:p w:rsidR="00B958B1" w:rsidRPr="00903C8F" w:rsidRDefault="00B958B1" w:rsidP="009F3B54">
            <w:pPr>
              <w:pStyle w:val="Tabletextheading"/>
              <w:rPr>
                <w:vertAlign w:val="superscript"/>
                <w:lang w:eastAsia="en-AU"/>
              </w:rPr>
            </w:pPr>
            <w:r w:rsidRPr="00903C8F">
              <w:rPr>
                <w:lang w:eastAsia="en-AU"/>
              </w:rPr>
              <w:t xml:space="preserve">Budget </w:t>
            </w:r>
            <w:r w:rsidRPr="00903C8F">
              <w:rPr>
                <w:vertAlign w:val="superscript"/>
                <w:lang w:eastAsia="en-AU"/>
              </w:rPr>
              <w:t>(a)</w:t>
            </w:r>
          </w:p>
        </w:tc>
        <w:tc>
          <w:tcPr>
            <w:tcW w:w="993" w:type="dxa"/>
            <w:tcBorders>
              <w:top w:val="nil"/>
              <w:left w:val="nil"/>
              <w:bottom w:val="single" w:sz="4" w:space="0" w:color="auto"/>
              <w:right w:val="nil"/>
            </w:tcBorders>
            <w:shd w:val="clear" w:color="auto" w:fill="000000"/>
          </w:tcPr>
          <w:p w:rsidR="00B958B1" w:rsidRPr="00903C8F" w:rsidRDefault="00B958B1" w:rsidP="009F3B54">
            <w:pPr>
              <w:pStyle w:val="Tabletextheading"/>
              <w:rPr>
                <w:vertAlign w:val="superscript"/>
                <w:lang w:eastAsia="en-AU"/>
              </w:rPr>
            </w:pPr>
            <w:r w:rsidRPr="00903C8F">
              <w:rPr>
                <w:lang w:eastAsia="en-AU"/>
              </w:rPr>
              <w:t xml:space="preserve">Revised </w:t>
            </w:r>
            <w:r w:rsidRPr="00903C8F">
              <w:rPr>
                <w:vertAlign w:val="superscript"/>
                <w:lang w:eastAsia="en-AU"/>
              </w:rPr>
              <w:t>(a)</w:t>
            </w:r>
          </w:p>
        </w:tc>
        <w:tc>
          <w:tcPr>
            <w:tcW w:w="993" w:type="dxa"/>
            <w:tcBorders>
              <w:top w:val="nil"/>
              <w:left w:val="nil"/>
              <w:bottom w:val="single" w:sz="4" w:space="0" w:color="auto"/>
              <w:right w:val="single" w:sz="4" w:space="0" w:color="auto"/>
            </w:tcBorders>
            <w:shd w:val="clear" w:color="auto" w:fill="000000"/>
          </w:tcPr>
          <w:p w:rsidR="00B958B1" w:rsidRPr="00903C8F" w:rsidRDefault="00B958B1" w:rsidP="009F3B54">
            <w:pPr>
              <w:pStyle w:val="Tabletextheading"/>
              <w:rPr>
                <w:vertAlign w:val="superscript"/>
                <w:lang w:eastAsia="en-AU"/>
              </w:rPr>
            </w:pPr>
            <w:r w:rsidRPr="00903C8F">
              <w:rPr>
                <w:lang w:eastAsia="en-AU"/>
              </w:rPr>
              <w:t xml:space="preserve">Budget </w:t>
            </w:r>
            <w:r w:rsidRPr="00903C8F">
              <w:rPr>
                <w:vertAlign w:val="superscript"/>
                <w:lang w:eastAsia="en-AU"/>
              </w:rPr>
              <w:t>(b)</w:t>
            </w:r>
          </w:p>
        </w:tc>
      </w:tr>
      <w:tr w:rsidR="00B958B1" w:rsidRPr="00903C8F" w:rsidTr="009F3B54">
        <w:tc>
          <w:tcPr>
            <w:tcW w:w="3801" w:type="dxa"/>
            <w:tcBorders>
              <w:top w:val="single" w:sz="4" w:space="0" w:color="auto"/>
              <w:left w:val="nil"/>
              <w:bottom w:val="nil"/>
              <w:right w:val="nil"/>
            </w:tcBorders>
          </w:tcPr>
          <w:p w:rsidR="00B958B1" w:rsidRPr="00903C8F" w:rsidRDefault="00B958B1" w:rsidP="009F3B54">
            <w:pPr>
              <w:pStyle w:val="Tabletext"/>
              <w:rPr>
                <w:lang w:eastAsia="en-AU"/>
              </w:rPr>
            </w:pPr>
            <w:r w:rsidRPr="00903C8F">
              <w:rPr>
                <w:lang w:eastAsia="en-AU"/>
              </w:rPr>
              <w:t>Output appropriations</w:t>
            </w:r>
          </w:p>
        </w:tc>
        <w:tc>
          <w:tcPr>
            <w:tcW w:w="993" w:type="dxa"/>
            <w:tcBorders>
              <w:top w:val="single" w:sz="4" w:space="0" w:color="auto"/>
              <w:left w:val="nil"/>
              <w:bottom w:val="nil"/>
              <w:right w:val="nil"/>
            </w:tcBorders>
          </w:tcPr>
          <w:p w:rsidR="00B958B1" w:rsidRPr="00903C8F" w:rsidRDefault="00B958B1" w:rsidP="009F3B54">
            <w:pPr>
              <w:pStyle w:val="TableofFigures"/>
              <w:rPr>
                <w:lang w:eastAsia="en-AU"/>
              </w:rPr>
            </w:pPr>
            <w:r w:rsidRPr="00903C8F">
              <w:rPr>
                <w:lang w:eastAsia="en-AU"/>
              </w:rPr>
              <w:t xml:space="preserve"> 435.6</w:t>
            </w:r>
          </w:p>
        </w:tc>
        <w:tc>
          <w:tcPr>
            <w:tcW w:w="993" w:type="dxa"/>
            <w:tcBorders>
              <w:top w:val="single" w:sz="4" w:space="0" w:color="auto"/>
              <w:left w:val="nil"/>
              <w:bottom w:val="nil"/>
              <w:right w:val="nil"/>
            </w:tcBorders>
          </w:tcPr>
          <w:p w:rsidR="00B958B1" w:rsidRPr="00903C8F" w:rsidRDefault="00B958B1" w:rsidP="009F3B54">
            <w:pPr>
              <w:pStyle w:val="TableofFigures"/>
              <w:rPr>
                <w:lang w:eastAsia="en-AU"/>
              </w:rPr>
            </w:pPr>
            <w:r w:rsidRPr="00903C8F">
              <w:rPr>
                <w:lang w:eastAsia="en-AU"/>
              </w:rPr>
              <w:t xml:space="preserve"> 496.6</w:t>
            </w:r>
          </w:p>
        </w:tc>
        <w:tc>
          <w:tcPr>
            <w:tcW w:w="993" w:type="dxa"/>
            <w:tcBorders>
              <w:top w:val="single" w:sz="4" w:space="0" w:color="auto"/>
              <w:left w:val="nil"/>
              <w:bottom w:val="nil"/>
              <w:right w:val="nil"/>
            </w:tcBorders>
          </w:tcPr>
          <w:p w:rsidR="00B958B1" w:rsidRPr="00903C8F" w:rsidRDefault="00B958B1" w:rsidP="009F3B54">
            <w:pPr>
              <w:pStyle w:val="TableofFigures"/>
              <w:rPr>
                <w:lang w:eastAsia="en-AU"/>
              </w:rPr>
            </w:pPr>
            <w:r w:rsidRPr="00903C8F">
              <w:rPr>
                <w:lang w:eastAsia="en-AU"/>
              </w:rPr>
              <w:t xml:space="preserve"> 467.5</w:t>
            </w:r>
          </w:p>
        </w:tc>
        <w:tc>
          <w:tcPr>
            <w:tcW w:w="993" w:type="dxa"/>
            <w:tcBorders>
              <w:top w:val="single" w:sz="4" w:space="0" w:color="auto"/>
              <w:left w:val="nil"/>
              <w:bottom w:val="nil"/>
              <w:right w:val="nil"/>
            </w:tcBorders>
          </w:tcPr>
          <w:p w:rsidR="00B958B1" w:rsidRPr="00903C8F" w:rsidRDefault="00B958B1" w:rsidP="009F3B54">
            <w:pPr>
              <w:pStyle w:val="TableofFigures"/>
              <w:rPr>
                <w:lang w:eastAsia="en-AU"/>
              </w:rPr>
            </w:pPr>
            <w:r w:rsidRPr="00903C8F">
              <w:rPr>
                <w:lang w:eastAsia="en-AU"/>
              </w:rPr>
              <w:t xml:space="preserve"> 787.3</w:t>
            </w:r>
          </w:p>
        </w:tc>
      </w:tr>
      <w:tr w:rsidR="00B958B1" w:rsidRPr="00903C8F" w:rsidTr="009F3B54">
        <w:tc>
          <w:tcPr>
            <w:tcW w:w="3801" w:type="dxa"/>
            <w:tcBorders>
              <w:top w:val="nil"/>
              <w:left w:val="nil"/>
              <w:bottom w:val="nil"/>
              <w:right w:val="nil"/>
            </w:tcBorders>
          </w:tcPr>
          <w:p w:rsidR="00B958B1" w:rsidRPr="00903C8F" w:rsidRDefault="00B958B1" w:rsidP="009F3B54">
            <w:pPr>
              <w:pStyle w:val="Tabletext"/>
              <w:rPr>
                <w:lang w:eastAsia="en-AU"/>
              </w:rPr>
            </w:pPr>
            <w:r w:rsidRPr="00903C8F">
              <w:rPr>
                <w:lang w:eastAsia="en-AU"/>
              </w:rPr>
              <w:t>Interest</w:t>
            </w:r>
          </w:p>
        </w:tc>
        <w:tc>
          <w:tcPr>
            <w:tcW w:w="993" w:type="dxa"/>
            <w:tcBorders>
              <w:top w:val="nil"/>
              <w:left w:val="nil"/>
              <w:bottom w:val="nil"/>
              <w:right w:val="nil"/>
            </w:tcBorders>
          </w:tcPr>
          <w:p w:rsidR="00B958B1" w:rsidRPr="00903C8F" w:rsidRDefault="00B958B1" w:rsidP="009F3B54">
            <w:pPr>
              <w:pStyle w:val="TableofFigures"/>
              <w:rPr>
                <w:lang w:eastAsia="en-AU"/>
              </w:rPr>
            </w:pPr>
            <w:r w:rsidRPr="00903C8F">
              <w:rPr>
                <w:lang w:eastAsia="en-AU"/>
              </w:rPr>
              <w:t xml:space="preserve"> 3.8</w:t>
            </w:r>
          </w:p>
        </w:tc>
        <w:tc>
          <w:tcPr>
            <w:tcW w:w="993" w:type="dxa"/>
            <w:tcBorders>
              <w:top w:val="nil"/>
              <w:left w:val="nil"/>
              <w:bottom w:val="nil"/>
              <w:right w:val="nil"/>
            </w:tcBorders>
          </w:tcPr>
          <w:p w:rsidR="00B958B1" w:rsidRPr="00903C8F" w:rsidRDefault="00B958B1" w:rsidP="009F3B54">
            <w:pPr>
              <w:pStyle w:val="TableofFigures"/>
              <w:rPr>
                <w:lang w:eastAsia="en-AU"/>
              </w:rPr>
            </w:pPr>
            <w:r w:rsidRPr="00903C8F">
              <w:rPr>
                <w:lang w:eastAsia="en-AU"/>
              </w:rPr>
              <w:t xml:space="preserve"> 2.5</w:t>
            </w:r>
          </w:p>
        </w:tc>
        <w:tc>
          <w:tcPr>
            <w:tcW w:w="993" w:type="dxa"/>
            <w:tcBorders>
              <w:top w:val="nil"/>
              <w:left w:val="nil"/>
              <w:bottom w:val="nil"/>
              <w:right w:val="nil"/>
            </w:tcBorders>
          </w:tcPr>
          <w:p w:rsidR="00B958B1" w:rsidRPr="00903C8F" w:rsidRDefault="00B958B1" w:rsidP="009F3B54">
            <w:pPr>
              <w:pStyle w:val="TableofFigures"/>
              <w:rPr>
                <w:lang w:eastAsia="en-AU"/>
              </w:rPr>
            </w:pPr>
            <w:r w:rsidRPr="00903C8F">
              <w:rPr>
                <w:lang w:eastAsia="en-AU"/>
              </w:rPr>
              <w:t xml:space="preserve"> 2.3</w:t>
            </w:r>
          </w:p>
        </w:tc>
        <w:tc>
          <w:tcPr>
            <w:tcW w:w="993" w:type="dxa"/>
            <w:tcBorders>
              <w:top w:val="nil"/>
              <w:left w:val="nil"/>
              <w:bottom w:val="nil"/>
              <w:right w:val="nil"/>
            </w:tcBorders>
          </w:tcPr>
          <w:p w:rsidR="00B958B1" w:rsidRPr="00903C8F" w:rsidRDefault="00B958B1" w:rsidP="009F3B54">
            <w:pPr>
              <w:pStyle w:val="TableofFigures"/>
              <w:rPr>
                <w:lang w:eastAsia="en-AU"/>
              </w:rPr>
            </w:pPr>
            <w:r w:rsidRPr="00903C8F">
              <w:rPr>
                <w:lang w:eastAsia="en-AU"/>
              </w:rPr>
              <w:t xml:space="preserve"> 10.2</w:t>
            </w:r>
          </w:p>
        </w:tc>
      </w:tr>
      <w:tr w:rsidR="00B958B1" w:rsidRPr="00903C8F" w:rsidTr="009F3B54">
        <w:tc>
          <w:tcPr>
            <w:tcW w:w="3801" w:type="dxa"/>
            <w:tcBorders>
              <w:top w:val="nil"/>
              <w:left w:val="nil"/>
              <w:bottom w:val="nil"/>
              <w:right w:val="nil"/>
            </w:tcBorders>
          </w:tcPr>
          <w:p w:rsidR="00B958B1" w:rsidRPr="00903C8F" w:rsidRDefault="00B958B1" w:rsidP="009F3B54">
            <w:pPr>
              <w:pStyle w:val="Tabletext"/>
              <w:rPr>
                <w:lang w:eastAsia="en-AU"/>
              </w:rPr>
            </w:pPr>
            <w:r w:rsidRPr="00903C8F">
              <w:rPr>
                <w:lang w:eastAsia="en-AU"/>
              </w:rPr>
              <w:t>Sale of goods and services</w:t>
            </w:r>
          </w:p>
        </w:tc>
        <w:tc>
          <w:tcPr>
            <w:tcW w:w="993" w:type="dxa"/>
            <w:tcBorders>
              <w:top w:val="nil"/>
              <w:left w:val="nil"/>
              <w:bottom w:val="nil"/>
              <w:right w:val="nil"/>
            </w:tcBorders>
          </w:tcPr>
          <w:p w:rsidR="00B958B1" w:rsidRPr="00903C8F" w:rsidRDefault="00B958B1" w:rsidP="009F3B54">
            <w:pPr>
              <w:pStyle w:val="TableofFigures"/>
              <w:rPr>
                <w:lang w:eastAsia="en-AU"/>
              </w:rPr>
            </w:pPr>
            <w:r w:rsidRPr="00903C8F">
              <w:rPr>
                <w:lang w:eastAsia="en-AU"/>
              </w:rPr>
              <w:t xml:space="preserve"> 31.9</w:t>
            </w:r>
          </w:p>
        </w:tc>
        <w:tc>
          <w:tcPr>
            <w:tcW w:w="993" w:type="dxa"/>
            <w:tcBorders>
              <w:top w:val="nil"/>
              <w:left w:val="nil"/>
              <w:bottom w:val="nil"/>
              <w:right w:val="nil"/>
            </w:tcBorders>
          </w:tcPr>
          <w:p w:rsidR="00B958B1" w:rsidRPr="00903C8F" w:rsidRDefault="00B958B1" w:rsidP="009F3B54">
            <w:pPr>
              <w:pStyle w:val="TableofFigures"/>
              <w:rPr>
                <w:lang w:eastAsia="en-AU"/>
              </w:rPr>
            </w:pPr>
            <w:r w:rsidRPr="00903C8F">
              <w:rPr>
                <w:lang w:eastAsia="en-AU"/>
              </w:rPr>
              <w:t>..</w:t>
            </w:r>
          </w:p>
        </w:tc>
        <w:tc>
          <w:tcPr>
            <w:tcW w:w="993" w:type="dxa"/>
            <w:tcBorders>
              <w:top w:val="nil"/>
              <w:left w:val="nil"/>
              <w:bottom w:val="nil"/>
              <w:right w:val="nil"/>
            </w:tcBorders>
          </w:tcPr>
          <w:p w:rsidR="00B958B1" w:rsidRPr="00903C8F" w:rsidRDefault="00B958B1" w:rsidP="009F3B54">
            <w:pPr>
              <w:pStyle w:val="TableofFigures"/>
              <w:rPr>
                <w:lang w:eastAsia="en-AU"/>
              </w:rPr>
            </w:pPr>
            <w:r w:rsidRPr="00903C8F">
              <w:rPr>
                <w:lang w:eastAsia="en-AU"/>
              </w:rPr>
              <w:t>..</w:t>
            </w:r>
          </w:p>
        </w:tc>
        <w:tc>
          <w:tcPr>
            <w:tcW w:w="993" w:type="dxa"/>
            <w:tcBorders>
              <w:top w:val="nil"/>
              <w:left w:val="nil"/>
              <w:bottom w:val="nil"/>
              <w:right w:val="nil"/>
            </w:tcBorders>
          </w:tcPr>
          <w:p w:rsidR="00B958B1" w:rsidRPr="00903C8F" w:rsidRDefault="00B958B1" w:rsidP="009F3B54">
            <w:pPr>
              <w:pStyle w:val="TableofFigures"/>
              <w:rPr>
                <w:lang w:eastAsia="en-AU"/>
              </w:rPr>
            </w:pPr>
            <w:r w:rsidRPr="00903C8F">
              <w:rPr>
                <w:lang w:eastAsia="en-AU"/>
              </w:rPr>
              <w:t xml:space="preserve"> 60.8</w:t>
            </w:r>
          </w:p>
        </w:tc>
      </w:tr>
      <w:tr w:rsidR="00B958B1" w:rsidRPr="00903C8F" w:rsidTr="009F3B54">
        <w:tc>
          <w:tcPr>
            <w:tcW w:w="3801" w:type="dxa"/>
            <w:tcBorders>
              <w:top w:val="nil"/>
              <w:left w:val="nil"/>
              <w:bottom w:val="nil"/>
              <w:right w:val="nil"/>
            </w:tcBorders>
          </w:tcPr>
          <w:p w:rsidR="00B958B1" w:rsidRPr="00903C8F" w:rsidRDefault="00B958B1" w:rsidP="009F3B54">
            <w:pPr>
              <w:pStyle w:val="Tabletext"/>
              <w:rPr>
                <w:lang w:eastAsia="en-AU"/>
              </w:rPr>
            </w:pPr>
            <w:r w:rsidRPr="00903C8F">
              <w:rPr>
                <w:lang w:eastAsia="en-AU"/>
              </w:rPr>
              <w:t>Grants</w:t>
            </w:r>
          </w:p>
        </w:tc>
        <w:tc>
          <w:tcPr>
            <w:tcW w:w="993" w:type="dxa"/>
            <w:tcBorders>
              <w:top w:val="nil"/>
              <w:left w:val="nil"/>
              <w:bottom w:val="nil"/>
              <w:right w:val="nil"/>
            </w:tcBorders>
          </w:tcPr>
          <w:p w:rsidR="00B958B1" w:rsidRPr="00903C8F" w:rsidRDefault="00B958B1" w:rsidP="009F3B54">
            <w:pPr>
              <w:pStyle w:val="TableofFigures"/>
              <w:rPr>
                <w:lang w:eastAsia="en-AU"/>
              </w:rPr>
            </w:pPr>
            <w:r w:rsidRPr="00903C8F">
              <w:rPr>
                <w:lang w:eastAsia="en-AU"/>
              </w:rPr>
              <w:t xml:space="preserve"> 88.0</w:t>
            </w:r>
          </w:p>
        </w:tc>
        <w:tc>
          <w:tcPr>
            <w:tcW w:w="993" w:type="dxa"/>
            <w:tcBorders>
              <w:top w:val="nil"/>
              <w:left w:val="nil"/>
              <w:bottom w:val="nil"/>
              <w:right w:val="nil"/>
            </w:tcBorders>
          </w:tcPr>
          <w:p w:rsidR="00B958B1" w:rsidRPr="00903C8F" w:rsidRDefault="00B958B1" w:rsidP="009F3B54">
            <w:pPr>
              <w:pStyle w:val="TableofFigures"/>
              <w:rPr>
                <w:lang w:eastAsia="en-AU"/>
              </w:rPr>
            </w:pPr>
            <w:r w:rsidRPr="00903C8F">
              <w:rPr>
                <w:lang w:eastAsia="en-AU"/>
              </w:rPr>
              <w:t>..</w:t>
            </w:r>
          </w:p>
        </w:tc>
        <w:tc>
          <w:tcPr>
            <w:tcW w:w="993" w:type="dxa"/>
            <w:tcBorders>
              <w:top w:val="nil"/>
              <w:left w:val="nil"/>
              <w:bottom w:val="nil"/>
              <w:right w:val="nil"/>
            </w:tcBorders>
          </w:tcPr>
          <w:p w:rsidR="00B958B1" w:rsidRPr="00903C8F" w:rsidRDefault="00B958B1" w:rsidP="009F3B54">
            <w:pPr>
              <w:pStyle w:val="TableofFigures"/>
              <w:rPr>
                <w:lang w:eastAsia="en-AU"/>
              </w:rPr>
            </w:pPr>
            <w:r w:rsidRPr="00903C8F">
              <w:rPr>
                <w:lang w:eastAsia="en-AU"/>
              </w:rPr>
              <w:t xml:space="preserve"> 76.1</w:t>
            </w:r>
          </w:p>
        </w:tc>
        <w:tc>
          <w:tcPr>
            <w:tcW w:w="993" w:type="dxa"/>
            <w:tcBorders>
              <w:top w:val="nil"/>
              <w:left w:val="nil"/>
              <w:bottom w:val="nil"/>
              <w:right w:val="nil"/>
            </w:tcBorders>
          </w:tcPr>
          <w:p w:rsidR="00B958B1" w:rsidRPr="00903C8F" w:rsidRDefault="00B958B1" w:rsidP="009F3B54">
            <w:pPr>
              <w:pStyle w:val="TableofFigures"/>
              <w:rPr>
                <w:lang w:eastAsia="en-AU"/>
              </w:rPr>
            </w:pPr>
            <w:r w:rsidRPr="00903C8F">
              <w:rPr>
                <w:lang w:eastAsia="en-AU"/>
              </w:rPr>
              <w:t xml:space="preserve"> 11.6</w:t>
            </w:r>
          </w:p>
        </w:tc>
      </w:tr>
      <w:tr w:rsidR="00B958B1" w:rsidRPr="00903C8F" w:rsidTr="009F3B54">
        <w:tc>
          <w:tcPr>
            <w:tcW w:w="3801" w:type="dxa"/>
            <w:tcBorders>
              <w:top w:val="nil"/>
              <w:left w:val="nil"/>
              <w:bottom w:val="single" w:sz="6" w:space="0" w:color="auto"/>
              <w:right w:val="nil"/>
            </w:tcBorders>
          </w:tcPr>
          <w:p w:rsidR="00B958B1" w:rsidRPr="00903C8F" w:rsidRDefault="00B958B1" w:rsidP="009F3B54">
            <w:pPr>
              <w:pStyle w:val="Tabletext"/>
              <w:rPr>
                <w:lang w:eastAsia="en-AU"/>
              </w:rPr>
            </w:pPr>
            <w:r w:rsidRPr="00903C8F">
              <w:rPr>
                <w:lang w:eastAsia="en-AU"/>
              </w:rPr>
              <w:t>Other income</w:t>
            </w:r>
          </w:p>
        </w:tc>
        <w:tc>
          <w:tcPr>
            <w:tcW w:w="993" w:type="dxa"/>
            <w:tcBorders>
              <w:top w:val="nil"/>
              <w:left w:val="nil"/>
              <w:bottom w:val="single" w:sz="6" w:space="0" w:color="auto"/>
              <w:right w:val="nil"/>
            </w:tcBorders>
          </w:tcPr>
          <w:p w:rsidR="00B958B1" w:rsidRPr="00903C8F" w:rsidRDefault="00B958B1" w:rsidP="009F3B54">
            <w:pPr>
              <w:pStyle w:val="TableofFigures"/>
              <w:rPr>
                <w:lang w:eastAsia="en-AU"/>
              </w:rPr>
            </w:pPr>
            <w:r w:rsidRPr="00903C8F">
              <w:rPr>
                <w:lang w:eastAsia="en-AU"/>
              </w:rPr>
              <w:t xml:space="preserve"> 6.3</w:t>
            </w:r>
          </w:p>
        </w:tc>
        <w:tc>
          <w:tcPr>
            <w:tcW w:w="993" w:type="dxa"/>
            <w:tcBorders>
              <w:top w:val="nil"/>
              <w:left w:val="nil"/>
              <w:bottom w:val="single" w:sz="6" w:space="0" w:color="auto"/>
              <w:right w:val="nil"/>
            </w:tcBorders>
          </w:tcPr>
          <w:p w:rsidR="00B958B1" w:rsidRPr="00903C8F" w:rsidRDefault="00B958B1" w:rsidP="009F3B54">
            <w:pPr>
              <w:pStyle w:val="TableofFigures"/>
              <w:rPr>
                <w:lang w:eastAsia="en-AU"/>
              </w:rPr>
            </w:pPr>
            <w:r w:rsidRPr="00903C8F">
              <w:rPr>
                <w:lang w:eastAsia="en-AU"/>
              </w:rPr>
              <w:t xml:space="preserve"> 118.9</w:t>
            </w:r>
          </w:p>
        </w:tc>
        <w:tc>
          <w:tcPr>
            <w:tcW w:w="993" w:type="dxa"/>
            <w:tcBorders>
              <w:top w:val="nil"/>
              <w:left w:val="nil"/>
              <w:bottom w:val="single" w:sz="6" w:space="0" w:color="auto"/>
              <w:right w:val="nil"/>
            </w:tcBorders>
          </w:tcPr>
          <w:p w:rsidR="00B958B1" w:rsidRPr="00903C8F" w:rsidRDefault="00B958B1" w:rsidP="009F3B54">
            <w:pPr>
              <w:pStyle w:val="TableofFigures"/>
              <w:rPr>
                <w:lang w:eastAsia="en-AU"/>
              </w:rPr>
            </w:pPr>
            <w:r w:rsidRPr="00903C8F">
              <w:rPr>
                <w:lang w:eastAsia="en-AU"/>
              </w:rPr>
              <w:t xml:space="preserve"> 89.4</w:t>
            </w:r>
          </w:p>
        </w:tc>
        <w:tc>
          <w:tcPr>
            <w:tcW w:w="993" w:type="dxa"/>
            <w:tcBorders>
              <w:top w:val="nil"/>
              <w:left w:val="nil"/>
              <w:bottom w:val="single" w:sz="6" w:space="0" w:color="auto"/>
              <w:right w:val="nil"/>
            </w:tcBorders>
          </w:tcPr>
          <w:p w:rsidR="00B958B1" w:rsidRPr="00903C8F" w:rsidRDefault="00B958B1" w:rsidP="009F3B54">
            <w:pPr>
              <w:pStyle w:val="TableofFigures"/>
              <w:rPr>
                <w:lang w:eastAsia="en-AU"/>
              </w:rPr>
            </w:pPr>
            <w:r w:rsidRPr="00903C8F">
              <w:rPr>
                <w:lang w:eastAsia="en-AU"/>
              </w:rPr>
              <w:t xml:space="preserve"> 189.7</w:t>
            </w:r>
          </w:p>
        </w:tc>
      </w:tr>
      <w:tr w:rsidR="00B958B1" w:rsidRPr="00903C8F" w:rsidTr="009F3B54">
        <w:tc>
          <w:tcPr>
            <w:tcW w:w="3801" w:type="dxa"/>
            <w:tcBorders>
              <w:top w:val="single" w:sz="6" w:space="0" w:color="auto"/>
              <w:left w:val="nil"/>
              <w:bottom w:val="single" w:sz="12" w:space="0" w:color="auto"/>
              <w:right w:val="nil"/>
            </w:tcBorders>
          </w:tcPr>
          <w:p w:rsidR="00B958B1" w:rsidRPr="00903C8F" w:rsidRDefault="00B958B1" w:rsidP="009F3B54">
            <w:pPr>
              <w:pStyle w:val="Tabletext"/>
              <w:rPr>
                <w:b/>
                <w:bCs/>
                <w:lang w:eastAsia="en-AU"/>
              </w:rPr>
            </w:pPr>
            <w:r w:rsidRPr="00903C8F">
              <w:rPr>
                <w:b/>
                <w:bCs/>
                <w:lang w:eastAsia="en-AU"/>
              </w:rPr>
              <w:t>Total income from transactions</w:t>
            </w:r>
          </w:p>
        </w:tc>
        <w:tc>
          <w:tcPr>
            <w:tcW w:w="993" w:type="dxa"/>
            <w:tcBorders>
              <w:top w:val="single" w:sz="6" w:space="0" w:color="auto"/>
              <w:left w:val="nil"/>
              <w:bottom w:val="single" w:sz="12" w:space="0" w:color="auto"/>
              <w:right w:val="nil"/>
            </w:tcBorders>
          </w:tcPr>
          <w:p w:rsidR="00B958B1" w:rsidRPr="00903C8F" w:rsidRDefault="00B958B1" w:rsidP="009F3B54">
            <w:pPr>
              <w:pStyle w:val="TableofFigures"/>
              <w:rPr>
                <w:b/>
                <w:lang w:eastAsia="en-AU"/>
              </w:rPr>
            </w:pPr>
            <w:r w:rsidRPr="00903C8F">
              <w:rPr>
                <w:b/>
                <w:lang w:eastAsia="en-AU"/>
              </w:rPr>
              <w:t xml:space="preserve"> 565.7</w:t>
            </w:r>
          </w:p>
        </w:tc>
        <w:tc>
          <w:tcPr>
            <w:tcW w:w="993" w:type="dxa"/>
            <w:tcBorders>
              <w:top w:val="single" w:sz="6" w:space="0" w:color="auto"/>
              <w:left w:val="nil"/>
              <w:bottom w:val="single" w:sz="12" w:space="0" w:color="auto"/>
              <w:right w:val="nil"/>
            </w:tcBorders>
          </w:tcPr>
          <w:p w:rsidR="00B958B1" w:rsidRPr="00903C8F" w:rsidRDefault="00B958B1" w:rsidP="009F3B54">
            <w:pPr>
              <w:pStyle w:val="TableofFigures"/>
              <w:rPr>
                <w:b/>
                <w:lang w:eastAsia="en-AU"/>
              </w:rPr>
            </w:pPr>
            <w:r w:rsidRPr="00903C8F">
              <w:rPr>
                <w:b/>
                <w:lang w:eastAsia="en-AU"/>
              </w:rPr>
              <w:t xml:space="preserve"> 618.0</w:t>
            </w:r>
          </w:p>
        </w:tc>
        <w:tc>
          <w:tcPr>
            <w:tcW w:w="993" w:type="dxa"/>
            <w:tcBorders>
              <w:top w:val="single" w:sz="6" w:space="0" w:color="auto"/>
              <w:left w:val="nil"/>
              <w:bottom w:val="single" w:sz="12" w:space="0" w:color="auto"/>
              <w:right w:val="nil"/>
            </w:tcBorders>
          </w:tcPr>
          <w:p w:rsidR="00B958B1" w:rsidRPr="00903C8F" w:rsidRDefault="00B958B1" w:rsidP="009F3B54">
            <w:pPr>
              <w:pStyle w:val="TableofFigures"/>
              <w:rPr>
                <w:b/>
                <w:lang w:eastAsia="en-AU"/>
              </w:rPr>
            </w:pPr>
            <w:r w:rsidRPr="00903C8F">
              <w:rPr>
                <w:b/>
                <w:lang w:eastAsia="en-AU"/>
              </w:rPr>
              <w:t xml:space="preserve"> 635.4</w:t>
            </w:r>
          </w:p>
        </w:tc>
        <w:tc>
          <w:tcPr>
            <w:tcW w:w="993" w:type="dxa"/>
            <w:tcBorders>
              <w:top w:val="single" w:sz="6" w:space="0" w:color="auto"/>
              <w:left w:val="nil"/>
              <w:bottom w:val="single" w:sz="12" w:space="0" w:color="auto"/>
              <w:right w:val="nil"/>
            </w:tcBorders>
          </w:tcPr>
          <w:p w:rsidR="00B958B1" w:rsidRPr="00903C8F" w:rsidRDefault="00B958B1" w:rsidP="009F3B54">
            <w:pPr>
              <w:pStyle w:val="TableofFigures"/>
              <w:rPr>
                <w:rFonts w:cs="Calibri"/>
                <w:b/>
                <w:lang w:eastAsia="en-AU"/>
              </w:rPr>
            </w:pPr>
            <w:r w:rsidRPr="00903C8F">
              <w:rPr>
                <w:b/>
                <w:lang w:eastAsia="en-AU"/>
              </w:rPr>
              <w:t xml:space="preserve">1 </w:t>
            </w:r>
            <w:r w:rsidRPr="00903C8F">
              <w:rPr>
                <w:rFonts w:cs="Calibri"/>
                <w:b/>
                <w:lang w:eastAsia="en-AU"/>
              </w:rPr>
              <w:t>059.6</w:t>
            </w:r>
          </w:p>
        </w:tc>
      </w:tr>
    </w:tbl>
    <w:p w:rsidR="00B958B1" w:rsidRDefault="00B958B1" w:rsidP="009F3B54">
      <w:pPr>
        <w:pStyle w:val="Source"/>
      </w:pPr>
      <w:r w:rsidRPr="001464D4">
        <w:t>Sources: Departments of State Development, Business and Innovation and Treasury and Finance</w:t>
      </w:r>
    </w:p>
    <w:p w:rsidR="00B958B1" w:rsidRPr="001464D4" w:rsidRDefault="00B958B1" w:rsidP="009F3B54">
      <w:pPr>
        <w:pStyle w:val="Notes"/>
      </w:pPr>
      <w:r>
        <w:fldChar w:fldCharType="begin"/>
      </w:r>
      <w:r>
        <w:instrText xml:space="preserve"> XE "</w:instrText>
      </w:r>
      <w:r w:rsidRPr="006560CC">
        <w:instrText>Departments of State Development, Business and Innovation and Treasury and Finance:Income from transactions</w:instrText>
      </w:r>
      <w:r>
        <w:instrText xml:space="preserve">" </w:instrText>
      </w:r>
      <w:r>
        <w:fldChar w:fldCharType="end"/>
      </w:r>
      <w:r w:rsidRPr="001464D4">
        <w:t xml:space="preserve">Notes: </w:t>
      </w:r>
    </w:p>
    <w:p w:rsidR="00B958B1" w:rsidRPr="001464D4" w:rsidRDefault="00B958B1" w:rsidP="009F3B54">
      <w:pPr>
        <w:pStyle w:val="Notes"/>
      </w:pPr>
      <w:r w:rsidRPr="001464D4">
        <w:t>(a)</w:t>
      </w:r>
      <w:r w:rsidRPr="001464D4">
        <w:tab/>
        <w:t>Figures for 2011</w:t>
      </w:r>
      <w:r w:rsidR="009F0F49">
        <w:noBreakHyphen/>
      </w:r>
      <w:r w:rsidRPr="001464D4">
        <w:t>12 and 2012</w:t>
      </w:r>
      <w:r w:rsidR="009F0F49">
        <w:noBreakHyphen/>
      </w:r>
      <w:r w:rsidRPr="001464D4">
        <w:t xml:space="preserve">13 reflect the operations of the former Department of </w:t>
      </w:r>
      <w:r>
        <w:t xml:space="preserve">Business and Innovation and </w:t>
      </w:r>
      <w:r w:rsidRPr="001464D4">
        <w:t xml:space="preserve">do not include </w:t>
      </w:r>
      <w:r w:rsidRPr="004D565A">
        <w:t>the</w:t>
      </w:r>
      <w:r w:rsidRPr="001464D4">
        <w:t xml:space="preserve"> impact of machinery of government changes effective from 1 July 2013.</w:t>
      </w:r>
    </w:p>
    <w:p w:rsidR="00B958B1" w:rsidRPr="001464D4" w:rsidRDefault="00B958B1" w:rsidP="009F3B54">
      <w:pPr>
        <w:pStyle w:val="Notes"/>
      </w:pPr>
      <w:r w:rsidRPr="001464D4">
        <w:t>(b)</w:t>
      </w:r>
      <w:r w:rsidRPr="001464D4">
        <w:tab/>
        <w:t>The 2013</w:t>
      </w:r>
      <w:r w:rsidR="009F0F49">
        <w:noBreakHyphen/>
      </w:r>
      <w:r>
        <w:t>14 B</w:t>
      </w:r>
      <w:r w:rsidRPr="001464D4">
        <w:t>udget reflects the full impact of the machinery of government changes effective from 1 July 2013.</w:t>
      </w:r>
    </w:p>
    <w:p w:rsidR="00B958B1" w:rsidRPr="001464D4" w:rsidRDefault="00B958B1" w:rsidP="009F3B54">
      <w:pPr>
        <w:pStyle w:val="Tableheading"/>
      </w:pPr>
      <w:r w:rsidRPr="001464D4">
        <w:br w:type="page"/>
        <w:t>Table </w:t>
      </w:r>
      <w:r>
        <w:t>2.22</w:t>
      </w:r>
      <w:r w:rsidRPr="001464D4">
        <w:t>:</w:t>
      </w:r>
      <w:r w:rsidRPr="001464D4">
        <w:tab/>
        <w:t>Parliamentary authority for resources</w:t>
      </w:r>
    </w:p>
    <w:p w:rsidR="00B958B1" w:rsidRPr="00017560" w:rsidRDefault="00B958B1" w:rsidP="009F3B54">
      <w:pPr>
        <w:pStyle w:val="million"/>
      </w:pPr>
      <w:r w:rsidRPr="001464D4">
        <w:t>($</w:t>
      </w:r>
      <w:r>
        <w:t> million</w:t>
      </w:r>
      <w:r w:rsidRPr="001464D4">
        <w:t>)</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B958B1" w:rsidRPr="00017560" w:rsidTr="009F3B54">
        <w:tc>
          <w:tcPr>
            <w:tcW w:w="4665" w:type="dxa"/>
            <w:tcBorders>
              <w:top w:val="single" w:sz="4" w:space="0" w:color="auto"/>
              <w:left w:val="single" w:sz="4" w:space="0" w:color="auto"/>
              <w:bottom w:val="nil"/>
              <w:right w:val="nil"/>
            </w:tcBorders>
            <w:shd w:val="clear" w:color="auto" w:fill="000000"/>
          </w:tcPr>
          <w:p w:rsidR="00B958B1" w:rsidRPr="00017560" w:rsidRDefault="00B958B1" w:rsidP="009F3B54">
            <w:pPr>
              <w:pStyle w:val="Tabletext"/>
              <w:rPr>
                <w:lang w:eastAsia="en-AU"/>
              </w:rPr>
            </w:pPr>
            <w:r w:rsidRPr="00017560">
              <w:rPr>
                <w:lang w:eastAsia="en-AU"/>
              </w:rPr>
              <w:t xml:space="preserve"> </w:t>
            </w:r>
          </w:p>
        </w:tc>
        <w:tc>
          <w:tcPr>
            <w:tcW w:w="1036" w:type="dxa"/>
            <w:tcBorders>
              <w:top w:val="single" w:sz="4" w:space="0" w:color="auto"/>
              <w:left w:val="nil"/>
              <w:bottom w:val="nil"/>
              <w:right w:val="nil"/>
            </w:tcBorders>
            <w:shd w:val="clear" w:color="auto" w:fill="000000"/>
          </w:tcPr>
          <w:p w:rsidR="00B958B1" w:rsidRPr="00017560" w:rsidRDefault="00B958B1" w:rsidP="009F3B54">
            <w:pPr>
              <w:pStyle w:val="Tabletextheading"/>
              <w:rPr>
                <w:lang w:eastAsia="en-AU"/>
              </w:rPr>
            </w:pPr>
            <w:r w:rsidRPr="00017560">
              <w:rPr>
                <w:lang w:eastAsia="en-AU"/>
              </w:rPr>
              <w:t>2012</w:t>
            </w:r>
            <w:r w:rsidR="009F0F49">
              <w:rPr>
                <w:lang w:eastAsia="en-AU"/>
              </w:rPr>
              <w:noBreakHyphen/>
            </w:r>
            <w:r w:rsidRPr="00017560">
              <w:rPr>
                <w:lang w:eastAsia="en-AU"/>
              </w:rPr>
              <w:t>13</w:t>
            </w:r>
          </w:p>
        </w:tc>
        <w:tc>
          <w:tcPr>
            <w:tcW w:w="1036" w:type="dxa"/>
            <w:tcBorders>
              <w:top w:val="single" w:sz="4" w:space="0" w:color="auto"/>
              <w:left w:val="nil"/>
              <w:bottom w:val="nil"/>
              <w:right w:val="nil"/>
            </w:tcBorders>
            <w:shd w:val="clear" w:color="auto" w:fill="000000"/>
          </w:tcPr>
          <w:p w:rsidR="00B958B1" w:rsidRPr="00017560" w:rsidRDefault="00B958B1" w:rsidP="009F3B54">
            <w:pPr>
              <w:pStyle w:val="Tabletextheading"/>
              <w:rPr>
                <w:lang w:eastAsia="en-AU"/>
              </w:rPr>
            </w:pPr>
            <w:r w:rsidRPr="00017560">
              <w:rPr>
                <w:lang w:eastAsia="en-AU"/>
              </w:rPr>
              <w:t>2012</w:t>
            </w:r>
            <w:r w:rsidR="009F0F49">
              <w:rPr>
                <w:lang w:eastAsia="en-AU"/>
              </w:rPr>
              <w:noBreakHyphen/>
            </w:r>
            <w:r w:rsidRPr="00017560">
              <w:rPr>
                <w:lang w:eastAsia="en-AU"/>
              </w:rPr>
              <w:t>13</w:t>
            </w:r>
          </w:p>
        </w:tc>
        <w:tc>
          <w:tcPr>
            <w:tcW w:w="1036" w:type="dxa"/>
            <w:tcBorders>
              <w:top w:val="single" w:sz="4" w:space="0" w:color="auto"/>
              <w:left w:val="nil"/>
              <w:bottom w:val="nil"/>
              <w:right w:val="single" w:sz="4" w:space="0" w:color="auto"/>
            </w:tcBorders>
            <w:shd w:val="clear" w:color="auto" w:fill="000000"/>
          </w:tcPr>
          <w:p w:rsidR="00B958B1" w:rsidRPr="00017560" w:rsidRDefault="00B958B1" w:rsidP="009F3B54">
            <w:pPr>
              <w:pStyle w:val="Tabletextheading"/>
              <w:rPr>
                <w:lang w:eastAsia="en-AU"/>
              </w:rPr>
            </w:pPr>
            <w:r w:rsidRPr="00017560">
              <w:rPr>
                <w:lang w:eastAsia="en-AU"/>
              </w:rPr>
              <w:t>2013</w:t>
            </w:r>
            <w:r w:rsidR="009F0F49">
              <w:rPr>
                <w:lang w:eastAsia="en-AU"/>
              </w:rPr>
              <w:noBreakHyphen/>
            </w:r>
            <w:r w:rsidRPr="00017560">
              <w:rPr>
                <w:lang w:eastAsia="en-AU"/>
              </w:rPr>
              <w:t>14</w:t>
            </w:r>
          </w:p>
        </w:tc>
      </w:tr>
      <w:tr w:rsidR="00B958B1" w:rsidRPr="00017560" w:rsidTr="009F3B54">
        <w:tc>
          <w:tcPr>
            <w:tcW w:w="4665" w:type="dxa"/>
            <w:tcBorders>
              <w:top w:val="nil"/>
              <w:left w:val="single" w:sz="4" w:space="0" w:color="auto"/>
              <w:bottom w:val="single" w:sz="4" w:space="0" w:color="auto"/>
              <w:right w:val="nil"/>
            </w:tcBorders>
            <w:shd w:val="clear" w:color="auto" w:fill="000000"/>
          </w:tcPr>
          <w:p w:rsidR="00B958B1" w:rsidRPr="00017560" w:rsidRDefault="00B958B1" w:rsidP="009F3B54">
            <w:pPr>
              <w:pStyle w:val="Tabletext"/>
              <w:rPr>
                <w:lang w:eastAsia="en-AU"/>
              </w:rPr>
            </w:pPr>
            <w:r w:rsidRPr="00017560">
              <w:rPr>
                <w:lang w:eastAsia="en-AU"/>
              </w:rPr>
              <w:t xml:space="preserve"> </w:t>
            </w:r>
          </w:p>
        </w:tc>
        <w:tc>
          <w:tcPr>
            <w:tcW w:w="1036" w:type="dxa"/>
            <w:tcBorders>
              <w:top w:val="nil"/>
              <w:left w:val="nil"/>
              <w:bottom w:val="single" w:sz="4" w:space="0" w:color="auto"/>
              <w:right w:val="nil"/>
            </w:tcBorders>
            <w:shd w:val="clear" w:color="auto" w:fill="000000"/>
          </w:tcPr>
          <w:p w:rsidR="00B958B1" w:rsidRPr="00017560" w:rsidRDefault="00B958B1" w:rsidP="009F3B54">
            <w:pPr>
              <w:pStyle w:val="Tabletextheading"/>
              <w:rPr>
                <w:vertAlign w:val="superscript"/>
                <w:lang w:eastAsia="en-AU"/>
              </w:rPr>
            </w:pPr>
            <w:r w:rsidRPr="00017560">
              <w:rPr>
                <w:lang w:eastAsia="en-AU"/>
              </w:rPr>
              <w:t xml:space="preserve">Budget </w:t>
            </w:r>
            <w:r w:rsidRPr="00017560">
              <w:rPr>
                <w:vertAlign w:val="superscript"/>
                <w:lang w:eastAsia="en-AU"/>
              </w:rPr>
              <w:t>(a)</w:t>
            </w:r>
          </w:p>
        </w:tc>
        <w:tc>
          <w:tcPr>
            <w:tcW w:w="1036" w:type="dxa"/>
            <w:tcBorders>
              <w:top w:val="nil"/>
              <w:left w:val="nil"/>
              <w:bottom w:val="single" w:sz="4" w:space="0" w:color="auto"/>
              <w:right w:val="nil"/>
            </w:tcBorders>
            <w:shd w:val="clear" w:color="auto" w:fill="000000"/>
          </w:tcPr>
          <w:p w:rsidR="00B958B1" w:rsidRPr="00017560" w:rsidRDefault="00B958B1" w:rsidP="009F3B54">
            <w:pPr>
              <w:pStyle w:val="Tabletextheading"/>
              <w:rPr>
                <w:vertAlign w:val="superscript"/>
                <w:lang w:eastAsia="en-AU"/>
              </w:rPr>
            </w:pPr>
            <w:r w:rsidRPr="00017560">
              <w:rPr>
                <w:lang w:eastAsia="en-AU"/>
              </w:rPr>
              <w:t xml:space="preserve">Revised </w:t>
            </w:r>
            <w:r w:rsidRPr="00017560">
              <w:rPr>
                <w:vertAlign w:val="superscript"/>
                <w:lang w:eastAsia="en-AU"/>
              </w:rPr>
              <w:t>(a)</w:t>
            </w:r>
          </w:p>
        </w:tc>
        <w:tc>
          <w:tcPr>
            <w:tcW w:w="1036" w:type="dxa"/>
            <w:tcBorders>
              <w:top w:val="nil"/>
              <w:left w:val="nil"/>
              <w:bottom w:val="single" w:sz="4" w:space="0" w:color="auto"/>
              <w:right w:val="single" w:sz="4" w:space="0" w:color="auto"/>
            </w:tcBorders>
            <w:shd w:val="clear" w:color="auto" w:fill="000000"/>
          </w:tcPr>
          <w:p w:rsidR="00B958B1" w:rsidRPr="00017560" w:rsidRDefault="00B958B1" w:rsidP="009F3B54">
            <w:pPr>
              <w:pStyle w:val="Tabletextheading"/>
              <w:rPr>
                <w:lang w:eastAsia="en-AU"/>
              </w:rPr>
            </w:pPr>
            <w:r w:rsidRPr="00017560">
              <w:rPr>
                <w:lang w:eastAsia="en-AU"/>
              </w:rPr>
              <w:t>Budget</w:t>
            </w:r>
          </w:p>
        </w:tc>
      </w:tr>
      <w:tr w:rsidR="00B958B1" w:rsidRPr="00017560" w:rsidTr="009F3B54">
        <w:tc>
          <w:tcPr>
            <w:tcW w:w="4665" w:type="dxa"/>
            <w:tcBorders>
              <w:top w:val="single" w:sz="4" w:space="0" w:color="auto"/>
              <w:left w:val="nil"/>
              <w:bottom w:val="nil"/>
              <w:right w:val="nil"/>
            </w:tcBorders>
            <w:shd w:val="solid" w:color="FFFFFF" w:fill="auto"/>
          </w:tcPr>
          <w:p w:rsidR="00B958B1" w:rsidRPr="00017560" w:rsidRDefault="00B958B1" w:rsidP="009F3B54">
            <w:pPr>
              <w:pStyle w:val="Tabletext"/>
              <w:rPr>
                <w:b/>
                <w:bCs/>
                <w:lang w:eastAsia="en-AU"/>
              </w:rPr>
            </w:pPr>
            <w:r w:rsidRPr="00017560">
              <w:rPr>
                <w:b/>
                <w:bCs/>
                <w:lang w:eastAsia="en-AU"/>
              </w:rPr>
              <w:t>Annual appropriations</w:t>
            </w:r>
          </w:p>
        </w:tc>
        <w:tc>
          <w:tcPr>
            <w:tcW w:w="1036" w:type="dxa"/>
            <w:tcBorders>
              <w:top w:val="single" w:sz="4" w:space="0" w:color="auto"/>
              <w:left w:val="nil"/>
              <w:bottom w:val="nil"/>
              <w:right w:val="nil"/>
            </w:tcBorders>
            <w:shd w:val="solid" w:color="FFFFFF" w:fill="auto"/>
          </w:tcPr>
          <w:p w:rsidR="00B958B1" w:rsidRPr="00017560" w:rsidRDefault="00B958B1" w:rsidP="009F3B54">
            <w:pPr>
              <w:pStyle w:val="TableofFigures"/>
              <w:rPr>
                <w:b/>
                <w:bCs/>
                <w:lang w:eastAsia="en-AU"/>
              </w:rPr>
            </w:pPr>
            <w:r w:rsidRPr="00017560">
              <w:rPr>
                <w:b/>
                <w:bCs/>
                <w:lang w:eastAsia="en-AU"/>
              </w:rPr>
              <w:t xml:space="preserve"> 725.9</w:t>
            </w:r>
          </w:p>
        </w:tc>
        <w:tc>
          <w:tcPr>
            <w:tcW w:w="1036" w:type="dxa"/>
            <w:tcBorders>
              <w:top w:val="single" w:sz="4" w:space="0" w:color="auto"/>
              <w:left w:val="nil"/>
              <w:bottom w:val="nil"/>
              <w:right w:val="nil"/>
            </w:tcBorders>
            <w:shd w:val="solid" w:color="FFFFFF" w:fill="auto"/>
          </w:tcPr>
          <w:p w:rsidR="00B958B1" w:rsidRPr="00017560" w:rsidRDefault="00B958B1" w:rsidP="009F3B54">
            <w:pPr>
              <w:pStyle w:val="TableofFigures"/>
              <w:rPr>
                <w:b/>
                <w:bCs/>
                <w:lang w:eastAsia="en-AU"/>
              </w:rPr>
            </w:pPr>
            <w:r w:rsidRPr="00017560">
              <w:rPr>
                <w:b/>
                <w:bCs/>
                <w:lang w:eastAsia="en-AU"/>
              </w:rPr>
              <w:t xml:space="preserve"> 608.5</w:t>
            </w:r>
          </w:p>
        </w:tc>
        <w:tc>
          <w:tcPr>
            <w:tcW w:w="1036" w:type="dxa"/>
            <w:tcBorders>
              <w:top w:val="single" w:sz="4" w:space="0" w:color="auto"/>
              <w:left w:val="nil"/>
              <w:bottom w:val="nil"/>
              <w:right w:val="nil"/>
            </w:tcBorders>
            <w:shd w:val="solid" w:color="FFFFFF" w:fill="auto"/>
          </w:tcPr>
          <w:p w:rsidR="00B958B1" w:rsidRPr="00017560" w:rsidRDefault="00B958B1" w:rsidP="009F3B54">
            <w:pPr>
              <w:pStyle w:val="TableofFigures"/>
              <w:rPr>
                <w:b/>
                <w:bCs/>
                <w:lang w:eastAsia="en-AU"/>
              </w:rPr>
            </w:pPr>
            <w:r w:rsidRPr="00017560">
              <w:rPr>
                <w:b/>
                <w:bCs/>
                <w:lang w:eastAsia="en-AU"/>
              </w:rPr>
              <w:t xml:space="preserve"> 897.2</w:t>
            </w:r>
          </w:p>
        </w:tc>
      </w:tr>
      <w:tr w:rsidR="00B958B1" w:rsidRPr="00017560" w:rsidTr="009F3B54">
        <w:tc>
          <w:tcPr>
            <w:tcW w:w="4665" w:type="dxa"/>
            <w:tcBorders>
              <w:top w:val="nil"/>
              <w:left w:val="nil"/>
              <w:bottom w:val="nil"/>
              <w:right w:val="nil"/>
            </w:tcBorders>
            <w:shd w:val="solid" w:color="FFFFFF" w:fill="auto"/>
          </w:tcPr>
          <w:p w:rsidR="00B958B1" w:rsidRPr="00017560" w:rsidRDefault="00B958B1" w:rsidP="009F3B54">
            <w:pPr>
              <w:pStyle w:val="Tabletext"/>
              <w:rPr>
                <w:lang w:eastAsia="en-AU"/>
              </w:rPr>
            </w:pPr>
            <w:r w:rsidRPr="00017560">
              <w:rPr>
                <w:lang w:eastAsia="en-AU"/>
              </w:rPr>
              <w:t xml:space="preserve"> Provision of outputs</w:t>
            </w:r>
          </w:p>
        </w:tc>
        <w:tc>
          <w:tcPr>
            <w:tcW w:w="1036" w:type="dxa"/>
            <w:tcBorders>
              <w:top w:val="nil"/>
              <w:left w:val="nil"/>
              <w:bottom w:val="nil"/>
              <w:right w:val="nil"/>
            </w:tcBorders>
            <w:shd w:val="solid" w:color="FFFFFF" w:fill="auto"/>
          </w:tcPr>
          <w:p w:rsidR="00B958B1" w:rsidRPr="00017560" w:rsidRDefault="00B958B1" w:rsidP="009F3B54">
            <w:pPr>
              <w:pStyle w:val="TableofFigures"/>
              <w:rPr>
                <w:lang w:eastAsia="en-AU"/>
              </w:rPr>
            </w:pPr>
            <w:r w:rsidRPr="00017560">
              <w:rPr>
                <w:lang w:eastAsia="en-AU"/>
              </w:rPr>
              <w:t xml:space="preserve"> 477.9</w:t>
            </w:r>
          </w:p>
        </w:tc>
        <w:tc>
          <w:tcPr>
            <w:tcW w:w="1036" w:type="dxa"/>
            <w:tcBorders>
              <w:top w:val="nil"/>
              <w:left w:val="nil"/>
              <w:bottom w:val="nil"/>
              <w:right w:val="nil"/>
            </w:tcBorders>
            <w:shd w:val="solid" w:color="FFFFFF" w:fill="auto"/>
          </w:tcPr>
          <w:p w:rsidR="00B958B1" w:rsidRPr="00017560" w:rsidRDefault="00B958B1" w:rsidP="009F3B54">
            <w:pPr>
              <w:pStyle w:val="TableofFigures"/>
              <w:rPr>
                <w:lang w:eastAsia="en-AU"/>
              </w:rPr>
            </w:pPr>
            <w:r w:rsidRPr="00017560">
              <w:rPr>
                <w:lang w:eastAsia="en-AU"/>
              </w:rPr>
              <w:t xml:space="preserve"> 423.7</w:t>
            </w:r>
          </w:p>
        </w:tc>
        <w:tc>
          <w:tcPr>
            <w:tcW w:w="1036" w:type="dxa"/>
            <w:tcBorders>
              <w:top w:val="nil"/>
              <w:left w:val="nil"/>
              <w:bottom w:val="nil"/>
              <w:right w:val="nil"/>
            </w:tcBorders>
            <w:shd w:val="solid" w:color="FFFFFF" w:fill="auto"/>
          </w:tcPr>
          <w:p w:rsidR="00B958B1" w:rsidRPr="00017560" w:rsidRDefault="00B958B1" w:rsidP="009F3B54">
            <w:pPr>
              <w:pStyle w:val="TableofFigures"/>
              <w:rPr>
                <w:lang w:eastAsia="en-AU"/>
              </w:rPr>
            </w:pPr>
            <w:r w:rsidRPr="00017560">
              <w:rPr>
                <w:lang w:eastAsia="en-AU"/>
              </w:rPr>
              <w:t xml:space="preserve"> 751.8</w:t>
            </w:r>
          </w:p>
        </w:tc>
      </w:tr>
      <w:tr w:rsidR="00B958B1" w:rsidRPr="00017560" w:rsidTr="009F3B54">
        <w:tc>
          <w:tcPr>
            <w:tcW w:w="4665" w:type="dxa"/>
            <w:tcBorders>
              <w:top w:val="nil"/>
              <w:left w:val="nil"/>
              <w:bottom w:val="nil"/>
              <w:right w:val="nil"/>
            </w:tcBorders>
            <w:shd w:val="solid" w:color="FFFFFF" w:fill="auto"/>
          </w:tcPr>
          <w:p w:rsidR="00B958B1" w:rsidRPr="00017560" w:rsidRDefault="00B958B1" w:rsidP="009F3B54">
            <w:pPr>
              <w:pStyle w:val="Tabletext"/>
              <w:rPr>
                <w:lang w:eastAsia="en-AU"/>
              </w:rPr>
            </w:pPr>
            <w:r w:rsidRPr="00017560">
              <w:rPr>
                <w:lang w:eastAsia="en-AU"/>
              </w:rPr>
              <w:t xml:space="preserve"> Additions to the net asset base</w:t>
            </w:r>
          </w:p>
        </w:tc>
        <w:tc>
          <w:tcPr>
            <w:tcW w:w="1036" w:type="dxa"/>
            <w:tcBorders>
              <w:top w:val="nil"/>
              <w:left w:val="nil"/>
              <w:bottom w:val="nil"/>
              <w:right w:val="nil"/>
            </w:tcBorders>
            <w:shd w:val="solid" w:color="FFFFFF" w:fill="auto"/>
          </w:tcPr>
          <w:p w:rsidR="00B958B1" w:rsidRPr="00017560" w:rsidRDefault="00B958B1" w:rsidP="009F3B54">
            <w:pPr>
              <w:pStyle w:val="TableofFigures"/>
              <w:rPr>
                <w:lang w:eastAsia="en-AU"/>
              </w:rPr>
            </w:pPr>
            <w:r w:rsidRPr="00017560">
              <w:rPr>
                <w:lang w:eastAsia="en-AU"/>
              </w:rPr>
              <w:t xml:space="preserve"> 194.0</w:t>
            </w:r>
          </w:p>
        </w:tc>
        <w:tc>
          <w:tcPr>
            <w:tcW w:w="1036" w:type="dxa"/>
            <w:tcBorders>
              <w:top w:val="nil"/>
              <w:left w:val="nil"/>
              <w:bottom w:val="nil"/>
              <w:right w:val="nil"/>
            </w:tcBorders>
            <w:shd w:val="solid" w:color="FFFFFF" w:fill="auto"/>
          </w:tcPr>
          <w:p w:rsidR="00B958B1" w:rsidRPr="00017560" w:rsidRDefault="00B958B1" w:rsidP="009F3B54">
            <w:pPr>
              <w:pStyle w:val="TableofFigures"/>
              <w:rPr>
                <w:lang w:eastAsia="en-AU"/>
              </w:rPr>
            </w:pPr>
            <w:r w:rsidRPr="00017560">
              <w:rPr>
                <w:lang w:eastAsia="en-AU"/>
              </w:rPr>
              <w:t xml:space="preserve"> 125.8</w:t>
            </w:r>
          </w:p>
        </w:tc>
        <w:tc>
          <w:tcPr>
            <w:tcW w:w="1036" w:type="dxa"/>
            <w:tcBorders>
              <w:top w:val="nil"/>
              <w:left w:val="nil"/>
              <w:bottom w:val="nil"/>
              <w:right w:val="nil"/>
            </w:tcBorders>
            <w:shd w:val="solid" w:color="FFFFFF" w:fill="auto"/>
          </w:tcPr>
          <w:p w:rsidR="00B958B1" w:rsidRPr="00017560" w:rsidRDefault="00B958B1" w:rsidP="009F3B54">
            <w:pPr>
              <w:pStyle w:val="TableofFigures"/>
              <w:rPr>
                <w:lang w:eastAsia="en-AU"/>
              </w:rPr>
            </w:pPr>
            <w:r w:rsidRPr="00017560">
              <w:rPr>
                <w:lang w:eastAsia="en-AU"/>
              </w:rPr>
              <w:t xml:space="preserve"> 81.4</w:t>
            </w:r>
          </w:p>
        </w:tc>
      </w:tr>
      <w:tr w:rsidR="00B958B1" w:rsidRPr="00017560" w:rsidTr="009F3B54">
        <w:tc>
          <w:tcPr>
            <w:tcW w:w="4665" w:type="dxa"/>
            <w:tcBorders>
              <w:top w:val="nil"/>
              <w:left w:val="nil"/>
              <w:bottom w:val="nil"/>
              <w:right w:val="nil"/>
            </w:tcBorders>
            <w:shd w:val="solid" w:color="FFFFFF" w:fill="auto"/>
          </w:tcPr>
          <w:p w:rsidR="00B958B1" w:rsidRPr="00017560" w:rsidRDefault="00B958B1" w:rsidP="009F3B54">
            <w:pPr>
              <w:pStyle w:val="Tabletext"/>
              <w:rPr>
                <w:lang w:eastAsia="en-AU"/>
              </w:rPr>
            </w:pPr>
            <w:r w:rsidRPr="00017560">
              <w:rPr>
                <w:lang w:eastAsia="en-AU"/>
              </w:rPr>
              <w:t xml:space="preserve"> Payments made on behalf of the State</w:t>
            </w:r>
          </w:p>
        </w:tc>
        <w:tc>
          <w:tcPr>
            <w:tcW w:w="1036" w:type="dxa"/>
            <w:tcBorders>
              <w:top w:val="nil"/>
              <w:left w:val="nil"/>
              <w:bottom w:val="nil"/>
              <w:right w:val="nil"/>
            </w:tcBorders>
            <w:shd w:val="solid" w:color="FFFFFF" w:fill="auto"/>
          </w:tcPr>
          <w:p w:rsidR="00B958B1" w:rsidRPr="00017560" w:rsidRDefault="00B958B1" w:rsidP="009F3B54">
            <w:pPr>
              <w:pStyle w:val="TableofFigures"/>
              <w:rPr>
                <w:lang w:eastAsia="en-AU"/>
              </w:rPr>
            </w:pPr>
            <w:r w:rsidRPr="00017560">
              <w:rPr>
                <w:lang w:eastAsia="en-AU"/>
              </w:rPr>
              <w:t xml:space="preserve"> 54.0</w:t>
            </w:r>
          </w:p>
        </w:tc>
        <w:tc>
          <w:tcPr>
            <w:tcW w:w="1036" w:type="dxa"/>
            <w:tcBorders>
              <w:top w:val="nil"/>
              <w:left w:val="nil"/>
              <w:bottom w:val="nil"/>
              <w:right w:val="nil"/>
            </w:tcBorders>
            <w:shd w:val="solid" w:color="FFFFFF" w:fill="auto"/>
          </w:tcPr>
          <w:p w:rsidR="00B958B1" w:rsidRPr="00017560" w:rsidRDefault="00B958B1" w:rsidP="009F3B54">
            <w:pPr>
              <w:pStyle w:val="TableofFigures"/>
              <w:rPr>
                <w:lang w:eastAsia="en-AU"/>
              </w:rPr>
            </w:pPr>
            <w:r w:rsidRPr="00017560">
              <w:rPr>
                <w:lang w:eastAsia="en-AU"/>
              </w:rPr>
              <w:t xml:space="preserve"> 59.0</w:t>
            </w:r>
          </w:p>
        </w:tc>
        <w:tc>
          <w:tcPr>
            <w:tcW w:w="1036" w:type="dxa"/>
            <w:tcBorders>
              <w:top w:val="nil"/>
              <w:left w:val="nil"/>
              <w:bottom w:val="nil"/>
              <w:right w:val="nil"/>
            </w:tcBorders>
            <w:shd w:val="solid" w:color="FFFFFF" w:fill="auto"/>
          </w:tcPr>
          <w:p w:rsidR="00B958B1" w:rsidRPr="00017560" w:rsidRDefault="00B958B1" w:rsidP="009F3B54">
            <w:pPr>
              <w:pStyle w:val="TableofFigures"/>
              <w:rPr>
                <w:lang w:eastAsia="en-AU"/>
              </w:rPr>
            </w:pPr>
            <w:r w:rsidRPr="00017560">
              <w:rPr>
                <w:lang w:eastAsia="en-AU"/>
              </w:rPr>
              <w:t xml:space="preserve"> 64.0</w:t>
            </w:r>
          </w:p>
        </w:tc>
      </w:tr>
      <w:tr w:rsidR="00B958B1" w:rsidRPr="00017560" w:rsidTr="009F3B54">
        <w:tc>
          <w:tcPr>
            <w:tcW w:w="4665" w:type="dxa"/>
            <w:tcBorders>
              <w:top w:val="nil"/>
              <w:left w:val="nil"/>
              <w:bottom w:val="nil"/>
              <w:right w:val="nil"/>
            </w:tcBorders>
            <w:shd w:val="solid" w:color="FFFFFF" w:fill="auto"/>
          </w:tcPr>
          <w:p w:rsidR="00B958B1" w:rsidRPr="00017560" w:rsidRDefault="00B958B1" w:rsidP="009F3B54">
            <w:pPr>
              <w:pStyle w:val="Tabletext"/>
              <w:rPr>
                <w:lang w:eastAsia="en-AU"/>
              </w:rPr>
            </w:pPr>
            <w:r w:rsidRPr="00017560">
              <w:rPr>
                <w:lang w:eastAsia="en-AU"/>
              </w:rPr>
              <w:t>Receipts credited to appropriations</w:t>
            </w:r>
          </w:p>
        </w:tc>
        <w:tc>
          <w:tcPr>
            <w:tcW w:w="1036" w:type="dxa"/>
            <w:tcBorders>
              <w:top w:val="nil"/>
              <w:left w:val="nil"/>
              <w:bottom w:val="nil"/>
              <w:right w:val="nil"/>
            </w:tcBorders>
            <w:shd w:val="solid" w:color="FFFFFF" w:fill="auto"/>
          </w:tcPr>
          <w:p w:rsidR="00B958B1" w:rsidRPr="00017560" w:rsidRDefault="00B958B1" w:rsidP="009F3B54">
            <w:pPr>
              <w:pStyle w:val="TableofFigures"/>
              <w:rPr>
                <w:lang w:eastAsia="en-AU"/>
              </w:rPr>
            </w:pPr>
            <w:r w:rsidRPr="00017560">
              <w:rPr>
                <w:lang w:eastAsia="en-AU"/>
              </w:rPr>
              <w:t>..</w:t>
            </w:r>
          </w:p>
        </w:tc>
        <w:tc>
          <w:tcPr>
            <w:tcW w:w="1036" w:type="dxa"/>
            <w:tcBorders>
              <w:top w:val="nil"/>
              <w:left w:val="nil"/>
              <w:bottom w:val="nil"/>
              <w:right w:val="nil"/>
            </w:tcBorders>
            <w:shd w:val="solid" w:color="FFFFFF" w:fill="auto"/>
          </w:tcPr>
          <w:p w:rsidR="00B958B1" w:rsidRPr="00017560" w:rsidRDefault="00B958B1" w:rsidP="009F3B54">
            <w:pPr>
              <w:pStyle w:val="TableofFigures"/>
              <w:rPr>
                <w:lang w:eastAsia="en-AU"/>
              </w:rPr>
            </w:pPr>
            <w:r w:rsidRPr="00017560">
              <w:rPr>
                <w:lang w:eastAsia="en-AU"/>
              </w:rPr>
              <w:t xml:space="preserve"> 1.7</w:t>
            </w:r>
          </w:p>
        </w:tc>
        <w:tc>
          <w:tcPr>
            <w:tcW w:w="1036" w:type="dxa"/>
            <w:tcBorders>
              <w:top w:val="nil"/>
              <w:left w:val="nil"/>
              <w:bottom w:val="nil"/>
              <w:right w:val="nil"/>
            </w:tcBorders>
            <w:shd w:val="solid" w:color="FFFFFF" w:fill="auto"/>
          </w:tcPr>
          <w:p w:rsidR="00B958B1" w:rsidRPr="00017560" w:rsidRDefault="00B958B1" w:rsidP="009F3B54">
            <w:pPr>
              <w:pStyle w:val="TableofFigures"/>
              <w:rPr>
                <w:lang w:eastAsia="en-AU"/>
              </w:rPr>
            </w:pPr>
            <w:r w:rsidRPr="00017560">
              <w:rPr>
                <w:lang w:eastAsia="en-AU"/>
              </w:rPr>
              <w:t xml:space="preserve"> 5.6</w:t>
            </w:r>
          </w:p>
        </w:tc>
      </w:tr>
      <w:tr w:rsidR="00B958B1" w:rsidRPr="00017560" w:rsidTr="009F3B54">
        <w:tc>
          <w:tcPr>
            <w:tcW w:w="4665" w:type="dxa"/>
            <w:tcBorders>
              <w:top w:val="nil"/>
              <w:left w:val="nil"/>
              <w:bottom w:val="nil"/>
              <w:right w:val="nil"/>
            </w:tcBorders>
            <w:shd w:val="solid" w:color="FFFFFF" w:fill="auto"/>
          </w:tcPr>
          <w:p w:rsidR="00B958B1" w:rsidRPr="00017560" w:rsidRDefault="00B958B1" w:rsidP="009F3B54">
            <w:pPr>
              <w:pStyle w:val="Tabletext"/>
              <w:rPr>
                <w:b/>
                <w:bCs/>
                <w:lang w:eastAsia="en-AU"/>
              </w:rPr>
            </w:pPr>
            <w:r w:rsidRPr="00017560">
              <w:rPr>
                <w:b/>
                <w:bCs/>
                <w:lang w:eastAsia="en-AU"/>
              </w:rPr>
              <w:t>Unapplied previous years appropriation</w:t>
            </w:r>
          </w:p>
        </w:tc>
        <w:tc>
          <w:tcPr>
            <w:tcW w:w="1036" w:type="dxa"/>
            <w:tcBorders>
              <w:top w:val="nil"/>
              <w:left w:val="nil"/>
              <w:bottom w:val="nil"/>
              <w:right w:val="nil"/>
            </w:tcBorders>
            <w:shd w:val="solid" w:color="FFFFFF" w:fill="auto"/>
          </w:tcPr>
          <w:p w:rsidR="00B958B1" w:rsidRPr="00017560" w:rsidRDefault="00B958B1" w:rsidP="009F3B54">
            <w:pPr>
              <w:pStyle w:val="TableofFigures"/>
              <w:rPr>
                <w:lang w:eastAsia="en-AU"/>
              </w:rPr>
            </w:pPr>
            <w:r w:rsidRPr="00017560">
              <w:rPr>
                <w:lang w:eastAsia="en-AU"/>
              </w:rPr>
              <w:t xml:space="preserve"> 18.7</w:t>
            </w:r>
          </w:p>
        </w:tc>
        <w:tc>
          <w:tcPr>
            <w:tcW w:w="1036" w:type="dxa"/>
            <w:tcBorders>
              <w:top w:val="nil"/>
              <w:left w:val="nil"/>
              <w:bottom w:val="nil"/>
              <w:right w:val="nil"/>
            </w:tcBorders>
            <w:shd w:val="solid" w:color="FFFFFF" w:fill="auto"/>
          </w:tcPr>
          <w:p w:rsidR="00B958B1" w:rsidRPr="00017560" w:rsidRDefault="00B958B1" w:rsidP="009F3B54">
            <w:pPr>
              <w:pStyle w:val="TableofFigures"/>
              <w:rPr>
                <w:lang w:eastAsia="en-AU"/>
              </w:rPr>
            </w:pPr>
            <w:r w:rsidRPr="00017560">
              <w:rPr>
                <w:lang w:eastAsia="en-AU"/>
              </w:rPr>
              <w:t xml:space="preserve"> 49.1</w:t>
            </w:r>
          </w:p>
        </w:tc>
        <w:tc>
          <w:tcPr>
            <w:tcW w:w="1036" w:type="dxa"/>
            <w:tcBorders>
              <w:top w:val="nil"/>
              <w:left w:val="nil"/>
              <w:bottom w:val="nil"/>
              <w:right w:val="nil"/>
            </w:tcBorders>
            <w:shd w:val="solid" w:color="FFFFFF" w:fill="auto"/>
          </w:tcPr>
          <w:p w:rsidR="00B958B1" w:rsidRPr="00017560" w:rsidRDefault="00B958B1" w:rsidP="009F3B54">
            <w:pPr>
              <w:pStyle w:val="TableofFigures"/>
              <w:rPr>
                <w:lang w:eastAsia="en-AU"/>
              </w:rPr>
            </w:pPr>
            <w:r w:rsidRPr="00017560">
              <w:rPr>
                <w:lang w:eastAsia="en-AU"/>
              </w:rPr>
              <w:t xml:space="preserve"> 55.7</w:t>
            </w:r>
          </w:p>
        </w:tc>
      </w:tr>
      <w:tr w:rsidR="00B958B1" w:rsidRPr="00017560" w:rsidTr="009F3B54">
        <w:tc>
          <w:tcPr>
            <w:tcW w:w="4665" w:type="dxa"/>
            <w:tcBorders>
              <w:top w:val="nil"/>
              <w:left w:val="nil"/>
              <w:bottom w:val="nil"/>
              <w:right w:val="nil"/>
            </w:tcBorders>
            <w:shd w:val="solid" w:color="FFFFFF" w:fill="auto"/>
          </w:tcPr>
          <w:p w:rsidR="00B958B1" w:rsidRPr="00017560" w:rsidRDefault="00B958B1" w:rsidP="009F3B54">
            <w:pPr>
              <w:pStyle w:val="Tabletext"/>
              <w:rPr>
                <w:lang w:eastAsia="en-AU"/>
              </w:rPr>
            </w:pPr>
            <w:r w:rsidRPr="00017560">
              <w:rPr>
                <w:lang w:eastAsia="en-AU"/>
              </w:rPr>
              <w:t xml:space="preserve"> Provision of outputs</w:t>
            </w:r>
          </w:p>
        </w:tc>
        <w:tc>
          <w:tcPr>
            <w:tcW w:w="1036" w:type="dxa"/>
            <w:tcBorders>
              <w:top w:val="nil"/>
              <w:left w:val="nil"/>
              <w:bottom w:val="nil"/>
              <w:right w:val="nil"/>
            </w:tcBorders>
            <w:shd w:val="solid" w:color="FFFFFF" w:fill="auto"/>
          </w:tcPr>
          <w:p w:rsidR="00B958B1" w:rsidRPr="00017560" w:rsidRDefault="00B958B1" w:rsidP="009F3B54">
            <w:pPr>
              <w:pStyle w:val="TableofFigures"/>
              <w:rPr>
                <w:lang w:eastAsia="en-AU"/>
              </w:rPr>
            </w:pPr>
            <w:r w:rsidRPr="00017560">
              <w:rPr>
                <w:lang w:eastAsia="en-AU"/>
              </w:rPr>
              <w:t xml:space="preserve"> 18.7</w:t>
            </w:r>
          </w:p>
        </w:tc>
        <w:tc>
          <w:tcPr>
            <w:tcW w:w="1036" w:type="dxa"/>
            <w:tcBorders>
              <w:top w:val="nil"/>
              <w:left w:val="nil"/>
              <w:bottom w:val="nil"/>
              <w:right w:val="nil"/>
            </w:tcBorders>
            <w:shd w:val="solid" w:color="FFFFFF" w:fill="auto"/>
          </w:tcPr>
          <w:p w:rsidR="00B958B1" w:rsidRPr="00017560" w:rsidRDefault="00B958B1" w:rsidP="009F3B54">
            <w:pPr>
              <w:pStyle w:val="TableofFigures"/>
              <w:rPr>
                <w:lang w:eastAsia="en-AU"/>
              </w:rPr>
            </w:pPr>
            <w:r w:rsidRPr="00017560">
              <w:rPr>
                <w:lang w:eastAsia="en-AU"/>
              </w:rPr>
              <w:t xml:space="preserve"> 42.1</w:t>
            </w:r>
          </w:p>
        </w:tc>
        <w:tc>
          <w:tcPr>
            <w:tcW w:w="1036" w:type="dxa"/>
            <w:tcBorders>
              <w:top w:val="nil"/>
              <w:left w:val="nil"/>
              <w:bottom w:val="nil"/>
              <w:right w:val="nil"/>
            </w:tcBorders>
            <w:shd w:val="solid" w:color="FFFFFF" w:fill="auto"/>
          </w:tcPr>
          <w:p w:rsidR="00B958B1" w:rsidRPr="00017560" w:rsidRDefault="00B958B1" w:rsidP="009F3B54">
            <w:pPr>
              <w:pStyle w:val="TableofFigures"/>
              <w:rPr>
                <w:lang w:eastAsia="en-AU"/>
              </w:rPr>
            </w:pPr>
            <w:r w:rsidRPr="00017560">
              <w:rPr>
                <w:lang w:eastAsia="en-AU"/>
              </w:rPr>
              <w:t xml:space="preserve"> 29.9</w:t>
            </w:r>
          </w:p>
        </w:tc>
      </w:tr>
      <w:tr w:rsidR="00B958B1" w:rsidRPr="00017560" w:rsidTr="009F3B54">
        <w:tc>
          <w:tcPr>
            <w:tcW w:w="4665" w:type="dxa"/>
            <w:tcBorders>
              <w:top w:val="nil"/>
              <w:left w:val="nil"/>
              <w:bottom w:val="nil"/>
              <w:right w:val="nil"/>
            </w:tcBorders>
            <w:shd w:val="solid" w:color="FFFFFF" w:fill="auto"/>
          </w:tcPr>
          <w:p w:rsidR="00B958B1" w:rsidRPr="00017560" w:rsidRDefault="00B958B1" w:rsidP="009F3B54">
            <w:pPr>
              <w:pStyle w:val="Tabletext"/>
              <w:rPr>
                <w:lang w:eastAsia="en-AU"/>
              </w:rPr>
            </w:pPr>
            <w:r w:rsidRPr="00017560">
              <w:rPr>
                <w:lang w:eastAsia="en-AU"/>
              </w:rPr>
              <w:t xml:space="preserve"> Additions to the net asset base</w:t>
            </w:r>
          </w:p>
        </w:tc>
        <w:tc>
          <w:tcPr>
            <w:tcW w:w="1036" w:type="dxa"/>
            <w:tcBorders>
              <w:top w:val="nil"/>
              <w:left w:val="nil"/>
              <w:bottom w:val="nil"/>
              <w:right w:val="nil"/>
            </w:tcBorders>
            <w:shd w:val="solid" w:color="FFFFFF" w:fill="auto"/>
          </w:tcPr>
          <w:p w:rsidR="00B958B1" w:rsidRPr="00017560" w:rsidRDefault="00B958B1" w:rsidP="009F3B54">
            <w:pPr>
              <w:pStyle w:val="TableofFigures"/>
              <w:rPr>
                <w:lang w:eastAsia="en-AU"/>
              </w:rPr>
            </w:pPr>
            <w:r w:rsidRPr="00017560">
              <w:rPr>
                <w:lang w:eastAsia="en-AU"/>
              </w:rPr>
              <w:t>..</w:t>
            </w:r>
          </w:p>
        </w:tc>
        <w:tc>
          <w:tcPr>
            <w:tcW w:w="1036" w:type="dxa"/>
            <w:tcBorders>
              <w:top w:val="nil"/>
              <w:left w:val="nil"/>
              <w:bottom w:val="nil"/>
              <w:right w:val="nil"/>
            </w:tcBorders>
            <w:shd w:val="solid" w:color="FFFFFF" w:fill="auto"/>
          </w:tcPr>
          <w:p w:rsidR="00B958B1" w:rsidRPr="00017560" w:rsidRDefault="00B958B1" w:rsidP="009F3B54">
            <w:pPr>
              <w:pStyle w:val="TableofFigures"/>
              <w:rPr>
                <w:lang w:eastAsia="en-AU"/>
              </w:rPr>
            </w:pPr>
            <w:r w:rsidRPr="00017560">
              <w:rPr>
                <w:lang w:eastAsia="en-AU"/>
              </w:rPr>
              <w:t xml:space="preserve"> 7.0</w:t>
            </w:r>
          </w:p>
        </w:tc>
        <w:tc>
          <w:tcPr>
            <w:tcW w:w="1036" w:type="dxa"/>
            <w:tcBorders>
              <w:top w:val="nil"/>
              <w:left w:val="nil"/>
              <w:bottom w:val="nil"/>
              <w:right w:val="nil"/>
            </w:tcBorders>
            <w:shd w:val="solid" w:color="FFFFFF" w:fill="auto"/>
          </w:tcPr>
          <w:p w:rsidR="00B958B1" w:rsidRPr="00017560" w:rsidRDefault="00B958B1" w:rsidP="009F3B54">
            <w:pPr>
              <w:pStyle w:val="TableofFigures"/>
              <w:rPr>
                <w:lang w:eastAsia="en-AU"/>
              </w:rPr>
            </w:pPr>
            <w:r w:rsidRPr="00017560">
              <w:rPr>
                <w:lang w:eastAsia="en-AU"/>
              </w:rPr>
              <w:t xml:space="preserve"> 25.8</w:t>
            </w:r>
          </w:p>
        </w:tc>
      </w:tr>
      <w:tr w:rsidR="00B958B1" w:rsidRPr="00017560" w:rsidTr="009F3B54">
        <w:tc>
          <w:tcPr>
            <w:tcW w:w="4665" w:type="dxa"/>
            <w:tcBorders>
              <w:top w:val="nil"/>
              <w:left w:val="nil"/>
              <w:bottom w:val="nil"/>
              <w:right w:val="nil"/>
            </w:tcBorders>
            <w:shd w:val="solid" w:color="FFFFFF" w:fill="auto"/>
          </w:tcPr>
          <w:p w:rsidR="00B958B1" w:rsidRPr="00017560" w:rsidRDefault="00B958B1" w:rsidP="009F3B54">
            <w:pPr>
              <w:pStyle w:val="Tabletext"/>
              <w:rPr>
                <w:b/>
                <w:bCs/>
                <w:lang w:eastAsia="en-AU"/>
              </w:rPr>
            </w:pPr>
            <w:r w:rsidRPr="00017560">
              <w:rPr>
                <w:b/>
                <w:bCs/>
                <w:lang w:eastAsia="en-AU"/>
              </w:rPr>
              <w:t>Gross annual appropriation</w:t>
            </w:r>
          </w:p>
        </w:tc>
        <w:tc>
          <w:tcPr>
            <w:tcW w:w="1036" w:type="dxa"/>
            <w:tcBorders>
              <w:top w:val="nil"/>
              <w:left w:val="nil"/>
              <w:bottom w:val="nil"/>
              <w:right w:val="nil"/>
            </w:tcBorders>
            <w:shd w:val="solid" w:color="FFFFFF" w:fill="auto"/>
          </w:tcPr>
          <w:p w:rsidR="00B958B1" w:rsidRPr="00017560" w:rsidRDefault="00B958B1" w:rsidP="009F3B54">
            <w:pPr>
              <w:pStyle w:val="TableofFigures"/>
              <w:rPr>
                <w:b/>
                <w:bCs/>
                <w:lang w:eastAsia="en-AU"/>
              </w:rPr>
            </w:pPr>
            <w:r w:rsidRPr="00017560">
              <w:rPr>
                <w:b/>
                <w:bCs/>
                <w:lang w:eastAsia="en-AU"/>
              </w:rPr>
              <w:t xml:space="preserve"> 744.6</w:t>
            </w:r>
          </w:p>
        </w:tc>
        <w:tc>
          <w:tcPr>
            <w:tcW w:w="1036" w:type="dxa"/>
            <w:tcBorders>
              <w:top w:val="nil"/>
              <w:left w:val="nil"/>
              <w:bottom w:val="nil"/>
              <w:right w:val="nil"/>
            </w:tcBorders>
            <w:shd w:val="solid" w:color="FFFFFF" w:fill="auto"/>
          </w:tcPr>
          <w:p w:rsidR="00B958B1" w:rsidRPr="00017560" w:rsidRDefault="00B958B1" w:rsidP="009F3B54">
            <w:pPr>
              <w:pStyle w:val="TableofFigures"/>
              <w:rPr>
                <w:b/>
                <w:bCs/>
                <w:lang w:eastAsia="en-AU"/>
              </w:rPr>
            </w:pPr>
            <w:r w:rsidRPr="00017560">
              <w:rPr>
                <w:b/>
                <w:bCs/>
                <w:lang w:eastAsia="en-AU"/>
              </w:rPr>
              <w:t xml:space="preserve"> 659.3</w:t>
            </w:r>
          </w:p>
        </w:tc>
        <w:tc>
          <w:tcPr>
            <w:tcW w:w="1036" w:type="dxa"/>
            <w:tcBorders>
              <w:top w:val="nil"/>
              <w:left w:val="nil"/>
              <w:bottom w:val="nil"/>
              <w:right w:val="nil"/>
            </w:tcBorders>
            <w:shd w:val="solid" w:color="FFFFFF" w:fill="auto"/>
          </w:tcPr>
          <w:p w:rsidR="00B958B1" w:rsidRPr="00017560" w:rsidRDefault="00B958B1" w:rsidP="009F3B54">
            <w:pPr>
              <w:pStyle w:val="TableofFigures"/>
              <w:rPr>
                <w:b/>
                <w:bCs/>
                <w:lang w:eastAsia="en-AU"/>
              </w:rPr>
            </w:pPr>
            <w:r w:rsidRPr="00017560">
              <w:rPr>
                <w:b/>
                <w:bCs/>
                <w:lang w:eastAsia="en-AU"/>
              </w:rPr>
              <w:t xml:space="preserve"> 958.4</w:t>
            </w:r>
          </w:p>
        </w:tc>
      </w:tr>
      <w:tr w:rsidR="00B958B1" w:rsidRPr="00017560" w:rsidTr="009F3B54">
        <w:tc>
          <w:tcPr>
            <w:tcW w:w="4665" w:type="dxa"/>
            <w:tcBorders>
              <w:top w:val="nil"/>
              <w:left w:val="nil"/>
              <w:bottom w:val="single" w:sz="6" w:space="0" w:color="auto"/>
              <w:right w:val="nil"/>
            </w:tcBorders>
            <w:shd w:val="solid" w:color="FFFFFF" w:fill="auto"/>
          </w:tcPr>
          <w:p w:rsidR="00B958B1" w:rsidRPr="00017560" w:rsidRDefault="00B958B1" w:rsidP="009F3B54">
            <w:pPr>
              <w:pStyle w:val="Tabletext"/>
              <w:rPr>
                <w:lang w:eastAsia="en-AU"/>
              </w:rPr>
            </w:pPr>
            <w:r w:rsidRPr="00017560">
              <w:rPr>
                <w:lang w:eastAsia="en-AU"/>
              </w:rPr>
              <w:t>Trust funds</w:t>
            </w:r>
          </w:p>
        </w:tc>
        <w:tc>
          <w:tcPr>
            <w:tcW w:w="1036" w:type="dxa"/>
            <w:tcBorders>
              <w:top w:val="nil"/>
              <w:left w:val="nil"/>
              <w:bottom w:val="single" w:sz="6" w:space="0" w:color="auto"/>
              <w:right w:val="nil"/>
            </w:tcBorders>
            <w:shd w:val="solid" w:color="FFFFFF" w:fill="auto"/>
          </w:tcPr>
          <w:p w:rsidR="00B958B1" w:rsidRPr="00017560" w:rsidRDefault="00B958B1" w:rsidP="009F3B54">
            <w:pPr>
              <w:pStyle w:val="TableofFigures"/>
              <w:rPr>
                <w:lang w:eastAsia="en-AU"/>
              </w:rPr>
            </w:pPr>
            <w:r w:rsidRPr="00017560">
              <w:rPr>
                <w:lang w:eastAsia="en-AU"/>
              </w:rPr>
              <w:t>..</w:t>
            </w:r>
          </w:p>
        </w:tc>
        <w:tc>
          <w:tcPr>
            <w:tcW w:w="1036" w:type="dxa"/>
            <w:tcBorders>
              <w:top w:val="nil"/>
              <w:left w:val="nil"/>
              <w:bottom w:val="single" w:sz="6" w:space="0" w:color="auto"/>
              <w:right w:val="nil"/>
            </w:tcBorders>
            <w:shd w:val="solid" w:color="FFFFFF" w:fill="auto"/>
          </w:tcPr>
          <w:p w:rsidR="00B958B1" w:rsidRPr="00017560" w:rsidRDefault="00B958B1" w:rsidP="009F3B54">
            <w:pPr>
              <w:pStyle w:val="TableofFigures"/>
              <w:rPr>
                <w:lang w:eastAsia="en-AU"/>
              </w:rPr>
            </w:pPr>
            <w:r w:rsidRPr="00017560">
              <w:rPr>
                <w:lang w:eastAsia="en-AU"/>
              </w:rPr>
              <w:t xml:space="preserve"> 76.0</w:t>
            </w:r>
          </w:p>
        </w:tc>
        <w:tc>
          <w:tcPr>
            <w:tcW w:w="1036" w:type="dxa"/>
            <w:tcBorders>
              <w:top w:val="nil"/>
              <w:left w:val="nil"/>
              <w:bottom w:val="single" w:sz="6" w:space="0" w:color="auto"/>
              <w:right w:val="nil"/>
            </w:tcBorders>
            <w:shd w:val="solid" w:color="FFFFFF" w:fill="auto"/>
          </w:tcPr>
          <w:p w:rsidR="00B958B1" w:rsidRPr="00017560" w:rsidRDefault="00B958B1" w:rsidP="009F3B54">
            <w:pPr>
              <w:pStyle w:val="TableofFigures"/>
              <w:rPr>
                <w:lang w:eastAsia="en-AU"/>
              </w:rPr>
            </w:pPr>
            <w:r w:rsidRPr="00017560">
              <w:rPr>
                <w:lang w:eastAsia="en-AU"/>
              </w:rPr>
              <w:t xml:space="preserve"> 80.7</w:t>
            </w:r>
          </w:p>
        </w:tc>
      </w:tr>
      <w:tr w:rsidR="00B958B1" w:rsidRPr="00017560" w:rsidTr="009F3B54">
        <w:tc>
          <w:tcPr>
            <w:tcW w:w="4665" w:type="dxa"/>
            <w:tcBorders>
              <w:top w:val="nil"/>
              <w:left w:val="nil"/>
              <w:bottom w:val="single" w:sz="12" w:space="0" w:color="auto"/>
              <w:right w:val="nil"/>
            </w:tcBorders>
            <w:shd w:val="solid" w:color="FFFFFF" w:fill="auto"/>
          </w:tcPr>
          <w:p w:rsidR="00B958B1" w:rsidRPr="00017560" w:rsidRDefault="00B958B1" w:rsidP="009F3B54">
            <w:pPr>
              <w:pStyle w:val="Tabletext"/>
              <w:rPr>
                <w:b/>
                <w:bCs/>
                <w:lang w:eastAsia="en-AU"/>
              </w:rPr>
            </w:pPr>
            <w:r w:rsidRPr="00017560">
              <w:rPr>
                <w:b/>
                <w:bCs/>
                <w:lang w:eastAsia="en-AU"/>
              </w:rPr>
              <w:t>Total parliamentary authority</w:t>
            </w:r>
          </w:p>
        </w:tc>
        <w:tc>
          <w:tcPr>
            <w:tcW w:w="1036" w:type="dxa"/>
            <w:tcBorders>
              <w:top w:val="nil"/>
              <w:left w:val="nil"/>
              <w:bottom w:val="single" w:sz="12" w:space="0" w:color="auto"/>
              <w:right w:val="nil"/>
            </w:tcBorders>
            <w:shd w:val="solid" w:color="FFFFFF" w:fill="auto"/>
          </w:tcPr>
          <w:p w:rsidR="00B958B1" w:rsidRPr="00017560" w:rsidRDefault="00B958B1" w:rsidP="009F3B54">
            <w:pPr>
              <w:pStyle w:val="TableofFigures"/>
              <w:rPr>
                <w:b/>
                <w:bCs/>
                <w:lang w:eastAsia="en-AU"/>
              </w:rPr>
            </w:pPr>
            <w:r w:rsidRPr="00017560">
              <w:rPr>
                <w:b/>
                <w:bCs/>
                <w:lang w:eastAsia="en-AU"/>
              </w:rPr>
              <w:t xml:space="preserve"> 744.6</w:t>
            </w:r>
          </w:p>
        </w:tc>
        <w:tc>
          <w:tcPr>
            <w:tcW w:w="1036" w:type="dxa"/>
            <w:tcBorders>
              <w:top w:val="nil"/>
              <w:left w:val="nil"/>
              <w:bottom w:val="single" w:sz="12" w:space="0" w:color="auto"/>
              <w:right w:val="nil"/>
            </w:tcBorders>
            <w:shd w:val="solid" w:color="FFFFFF" w:fill="auto"/>
          </w:tcPr>
          <w:p w:rsidR="00B958B1" w:rsidRPr="00017560" w:rsidRDefault="00B958B1" w:rsidP="009F3B54">
            <w:pPr>
              <w:pStyle w:val="TableofFigures"/>
              <w:rPr>
                <w:b/>
                <w:bCs/>
                <w:lang w:eastAsia="en-AU"/>
              </w:rPr>
            </w:pPr>
            <w:r w:rsidRPr="00017560">
              <w:rPr>
                <w:b/>
                <w:bCs/>
                <w:lang w:eastAsia="en-AU"/>
              </w:rPr>
              <w:t xml:space="preserve"> 735.4</w:t>
            </w:r>
          </w:p>
        </w:tc>
        <w:tc>
          <w:tcPr>
            <w:tcW w:w="1036" w:type="dxa"/>
            <w:tcBorders>
              <w:top w:val="nil"/>
              <w:left w:val="nil"/>
              <w:bottom w:val="single" w:sz="12" w:space="0" w:color="auto"/>
              <w:right w:val="nil"/>
            </w:tcBorders>
            <w:shd w:val="solid" w:color="FFFFFF" w:fill="auto"/>
          </w:tcPr>
          <w:p w:rsidR="00B958B1" w:rsidRPr="00017560" w:rsidRDefault="00B958B1" w:rsidP="009F3B54">
            <w:pPr>
              <w:pStyle w:val="TableofFigures"/>
              <w:rPr>
                <w:rFonts w:cs="Calibri"/>
                <w:b/>
                <w:bCs/>
                <w:color w:val="0000FF"/>
                <w:lang w:eastAsia="en-AU"/>
              </w:rPr>
            </w:pPr>
            <w:r w:rsidRPr="00017560">
              <w:rPr>
                <w:b/>
                <w:bCs/>
                <w:lang w:eastAsia="en-AU"/>
              </w:rPr>
              <w:t>1 039.1</w:t>
            </w:r>
          </w:p>
        </w:tc>
      </w:tr>
    </w:tbl>
    <w:p w:rsidR="00B958B1" w:rsidRPr="001464D4" w:rsidRDefault="00B958B1" w:rsidP="009F3B54">
      <w:pPr>
        <w:pStyle w:val="Source"/>
      </w:pPr>
      <w:r w:rsidRPr="001464D4">
        <w:t>Sources: Departments of State Development, Business and Innovation and Treasury and Finance</w:t>
      </w:r>
    </w:p>
    <w:p w:rsidR="00B958B1" w:rsidRPr="001464D4" w:rsidRDefault="00B958B1" w:rsidP="009F3B54">
      <w:pPr>
        <w:pStyle w:val="Notes"/>
      </w:pPr>
      <w:r>
        <w:fldChar w:fldCharType="begin"/>
      </w:r>
      <w:r>
        <w:instrText xml:space="preserve"> XE "</w:instrText>
      </w:r>
      <w:r w:rsidRPr="006560CC">
        <w:instrText>Departments of State Development, Business and Innovation and Treasury and Finance:</w:instrText>
      </w:r>
      <w:r>
        <w:instrText xml:space="preserve">Parliamentary authority for resources" </w:instrText>
      </w:r>
      <w:r>
        <w:fldChar w:fldCharType="end"/>
      </w:r>
      <w:r w:rsidRPr="001464D4">
        <w:t xml:space="preserve">Note: </w:t>
      </w:r>
    </w:p>
    <w:p w:rsidR="00B958B1" w:rsidRPr="00741E60" w:rsidRDefault="00B958B1" w:rsidP="009F3B54">
      <w:pPr>
        <w:pStyle w:val="Notes"/>
      </w:pPr>
      <w:r w:rsidRPr="00741E60">
        <w:t>(a)</w:t>
      </w:r>
      <w:r w:rsidRPr="00741E60">
        <w:tab/>
        <w:t>Figures for 2012</w:t>
      </w:r>
      <w:r w:rsidR="009F0F49">
        <w:noBreakHyphen/>
      </w:r>
      <w:r w:rsidRPr="00741E60">
        <w:t xml:space="preserve">13 reflect the operations of the former Department </w:t>
      </w:r>
      <w:r>
        <w:t>of Business and Innovation and</w:t>
      </w:r>
      <w:r w:rsidRPr="00741E60">
        <w:t xml:space="preserve"> do not include the impact of machinery of government changes effective from 1 July 2013.</w:t>
      </w:r>
    </w:p>
    <w:p w:rsidR="00B958B1" w:rsidRPr="00741E60" w:rsidRDefault="00B958B1" w:rsidP="009F3B54">
      <w:pPr>
        <w:pStyle w:val="million"/>
      </w:pPr>
    </w:p>
    <w:p w:rsidR="00B958B1" w:rsidRDefault="00B958B1" w:rsidP="009F3B54">
      <w:pPr>
        <w:pStyle w:val="OGHeading1"/>
      </w:pPr>
      <w:r w:rsidRPr="00741E60">
        <w:br w:type="page"/>
      </w:r>
      <w:r w:rsidRPr="00325BCA">
        <w:t>Developing Business and Innovation</w:t>
      </w:r>
    </w:p>
    <w:p w:rsidR="00B958B1" w:rsidRDefault="00B958B1" w:rsidP="009F3B54">
      <w:pPr>
        <w:pStyle w:val="OGText"/>
      </w:pPr>
      <w:r>
        <w:t>The Department is Victoria’s lead economic development agency and provides the interface between government and the business community, playing a major role in developing and implementing policies that create investment, exports and jobs for the State. It aims to help grow Victoria’s diverse and vibrant economy by supporting pro</w:t>
      </w:r>
      <w:r w:rsidR="009F0F49">
        <w:noBreakHyphen/>
      </w:r>
      <w:r>
        <w:t xml:space="preserve">business policies and programs and the development of innovative industries by engaging with businesses large and small and representing their needs to government at all levels. </w:t>
      </w:r>
    </w:p>
    <w:p w:rsidR="00B958B1" w:rsidRDefault="00B958B1" w:rsidP="009F3B54">
      <w:pPr>
        <w:pStyle w:val="OGText"/>
      </w:pPr>
      <w:r>
        <w:t>The Department's services are delivered through eight outputs encompassing Employment, Tourism and Marketing, Innovation and Technology, Investment Attraction, Facilitation and Major Projects, Trade and Export Facilitation, Small Business Assistance, Regional Development and Regional Cities, and Energy and Resources.</w:t>
      </w:r>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1414E8" w:rsidTr="009F3B54">
        <w:trPr>
          <w:cantSplit/>
          <w:tblHeader/>
        </w:trPr>
        <w:tc>
          <w:tcPr>
            <w:tcW w:w="3155" w:type="dxa"/>
            <w:tcBorders>
              <w:top w:val="single" w:sz="4" w:space="0" w:color="auto"/>
              <w:left w:val="single" w:sz="4" w:space="0" w:color="auto"/>
              <w:bottom w:val="single" w:sz="4" w:space="0" w:color="auto"/>
            </w:tcBorders>
            <w:shd w:val="clear" w:color="auto" w:fill="000000"/>
            <w:vAlign w:val="bottom"/>
          </w:tcPr>
          <w:p w:rsidR="00B958B1" w:rsidRPr="001414E8" w:rsidRDefault="00B958B1" w:rsidP="009F3B54">
            <w:pPr>
              <w:pStyle w:val="OGTabColLeft"/>
              <w:rPr>
                <w:i/>
              </w:rPr>
            </w:pPr>
            <w:r w:rsidRPr="00072ADE">
              <w:rPr>
                <w:shd w:val="clear" w:color="auto" w:fill="000000"/>
              </w:rPr>
              <w:t xml:space="preserve">Major </w:t>
            </w:r>
            <w:r w:rsidRPr="001414E8">
              <w:t>Outputs/Deliverables</w:t>
            </w:r>
            <w:r>
              <w:br/>
            </w:r>
            <w:r w:rsidRPr="000A69B9">
              <w:rPr>
                <w:b w:val="0"/>
                <w:i/>
              </w:rPr>
              <w:t>Performance measures</w:t>
            </w:r>
          </w:p>
        </w:tc>
        <w:tc>
          <w:tcPr>
            <w:tcW w:w="907" w:type="dxa"/>
            <w:tcBorders>
              <w:top w:val="single" w:sz="4" w:space="0" w:color="auto"/>
              <w:bottom w:val="single" w:sz="4" w:space="0" w:color="auto"/>
            </w:tcBorders>
            <w:shd w:val="clear" w:color="auto" w:fill="000000"/>
            <w:noWrap/>
            <w:vAlign w:val="bottom"/>
          </w:tcPr>
          <w:p w:rsidR="00B958B1" w:rsidRPr="001414E8" w:rsidRDefault="00B958B1" w:rsidP="009F3B54">
            <w:pPr>
              <w:pStyle w:val="OGTabColCentred"/>
            </w:pPr>
            <w:r w:rsidRPr="001414E8">
              <w:t xml:space="preserve">Unit of </w:t>
            </w:r>
            <w:r w:rsidRPr="001414E8">
              <w:br/>
              <w:t>Measure</w:t>
            </w:r>
          </w:p>
        </w:tc>
        <w:tc>
          <w:tcPr>
            <w:tcW w:w="907" w:type="dxa"/>
            <w:tcBorders>
              <w:top w:val="single" w:sz="4" w:space="0" w:color="auto"/>
              <w:bottom w:val="single" w:sz="4" w:space="0" w:color="auto"/>
            </w:tcBorders>
            <w:shd w:val="clear" w:color="auto" w:fill="000000"/>
            <w:noWrap/>
            <w:vAlign w:val="bottom"/>
          </w:tcPr>
          <w:p w:rsidR="00B958B1" w:rsidRPr="001414E8" w:rsidRDefault="00B958B1" w:rsidP="009F3B54">
            <w:pPr>
              <w:pStyle w:val="OGTabColRight"/>
            </w:pPr>
            <w:r>
              <w:t>2013</w:t>
            </w:r>
            <w:r w:rsidR="009F0F49">
              <w:noBreakHyphen/>
            </w:r>
            <w:r>
              <w:t>14</w:t>
            </w:r>
            <w:r w:rsidRPr="001414E8">
              <w:t xml:space="preserve"> Target </w:t>
            </w:r>
          </w:p>
        </w:tc>
        <w:tc>
          <w:tcPr>
            <w:tcW w:w="993" w:type="dxa"/>
            <w:tcBorders>
              <w:top w:val="single" w:sz="4" w:space="0" w:color="auto"/>
              <w:bottom w:val="single" w:sz="4" w:space="0" w:color="auto"/>
            </w:tcBorders>
            <w:shd w:val="clear" w:color="auto" w:fill="000000"/>
            <w:noWrap/>
            <w:vAlign w:val="bottom"/>
          </w:tcPr>
          <w:p w:rsidR="00B958B1" w:rsidRPr="001414E8" w:rsidRDefault="00B958B1" w:rsidP="009F3B54">
            <w:pPr>
              <w:pStyle w:val="OGTabColRight"/>
            </w:pPr>
            <w:r>
              <w:t>2012</w:t>
            </w:r>
            <w:r w:rsidR="009F0F49">
              <w:noBreakHyphen/>
            </w:r>
            <w:r>
              <w:t>13</w:t>
            </w:r>
            <w:r w:rsidRPr="001414E8">
              <w:t xml:space="preserve"> </w:t>
            </w:r>
            <w:r>
              <w:t>Expected Outcome</w:t>
            </w:r>
            <w:r w:rsidRPr="001414E8">
              <w:t> </w:t>
            </w:r>
          </w:p>
        </w:tc>
        <w:tc>
          <w:tcPr>
            <w:tcW w:w="907" w:type="dxa"/>
            <w:tcBorders>
              <w:top w:val="single" w:sz="4" w:space="0" w:color="auto"/>
              <w:bottom w:val="single" w:sz="4" w:space="0" w:color="auto"/>
            </w:tcBorders>
            <w:shd w:val="clear" w:color="auto" w:fill="000000"/>
            <w:noWrap/>
            <w:vAlign w:val="bottom"/>
          </w:tcPr>
          <w:p w:rsidR="00B958B1" w:rsidRPr="001414E8" w:rsidRDefault="00B958B1" w:rsidP="009F3B54">
            <w:pPr>
              <w:pStyle w:val="OGTabColRight"/>
            </w:pPr>
            <w:r>
              <w:t>2012</w:t>
            </w:r>
            <w:r w:rsidR="009F0F49">
              <w:noBreakHyphen/>
            </w:r>
            <w:r>
              <w:t>13</w:t>
            </w:r>
            <w:r w:rsidRPr="001414E8">
              <w:t xml:space="preserve"> Target </w:t>
            </w:r>
          </w:p>
        </w:tc>
        <w:tc>
          <w:tcPr>
            <w:tcW w:w="907" w:type="dxa"/>
            <w:tcBorders>
              <w:top w:val="single" w:sz="4" w:space="0" w:color="auto"/>
              <w:bottom w:val="single" w:sz="4" w:space="0" w:color="auto"/>
              <w:right w:val="single" w:sz="4" w:space="0" w:color="auto"/>
            </w:tcBorders>
            <w:shd w:val="clear" w:color="auto" w:fill="000000"/>
            <w:noWrap/>
            <w:vAlign w:val="bottom"/>
          </w:tcPr>
          <w:p w:rsidR="00B958B1" w:rsidRPr="001414E8" w:rsidRDefault="00B958B1" w:rsidP="009F3B54">
            <w:pPr>
              <w:pStyle w:val="OGTabColRight"/>
            </w:pPr>
            <w:r>
              <w:t>2011</w:t>
            </w:r>
            <w:r w:rsidR="009F0F49">
              <w:noBreakHyphen/>
            </w:r>
            <w:r>
              <w:t>12</w:t>
            </w:r>
            <w:r w:rsidRPr="001414E8">
              <w:t xml:space="preserve"> Actual </w:t>
            </w:r>
          </w:p>
        </w:tc>
      </w:tr>
      <w:tr w:rsidR="00B958B1" w:rsidRPr="00025E6A" w:rsidTr="009F3B54">
        <w:trPr>
          <w:cantSplit/>
        </w:trPr>
        <w:tc>
          <w:tcPr>
            <w:tcW w:w="7776" w:type="dxa"/>
            <w:gridSpan w:val="6"/>
            <w:tcBorders>
              <w:top w:val="single" w:sz="4" w:space="0" w:color="auto"/>
            </w:tcBorders>
            <w:shd w:val="clear" w:color="auto" w:fill="auto"/>
          </w:tcPr>
          <w:p w:rsidR="00B958B1" w:rsidRPr="00025E6A" w:rsidRDefault="00B958B1" w:rsidP="009F3B54">
            <w:pPr>
              <w:pStyle w:val="OGHeading2"/>
            </w:pPr>
            <w:r w:rsidRPr="00025E6A">
              <w:t xml:space="preserve">Employment </w:t>
            </w:r>
          </w:p>
        </w:tc>
      </w:tr>
      <w:tr w:rsidR="00B958B1" w:rsidRPr="00025E6A" w:rsidTr="009F3B54">
        <w:trPr>
          <w:cantSplit/>
        </w:trPr>
        <w:tc>
          <w:tcPr>
            <w:tcW w:w="7776" w:type="dxa"/>
            <w:gridSpan w:val="6"/>
            <w:tcBorders>
              <w:bottom w:val="single" w:sz="6" w:space="0" w:color="auto"/>
            </w:tcBorders>
            <w:shd w:val="clear" w:color="auto" w:fill="auto"/>
          </w:tcPr>
          <w:p w:rsidR="00B958B1" w:rsidRPr="00025E6A" w:rsidRDefault="00B958B1" w:rsidP="009F3B54">
            <w:pPr>
              <w:pStyle w:val="OGText"/>
            </w:pPr>
            <w:r w:rsidRPr="00025E6A">
              <w:t>Provides programs to link business workforce needs with skilled migration and untapped labour sources to meet Victoria’s skills requirements.</w:t>
            </w:r>
          </w:p>
        </w:tc>
      </w:tr>
      <w:tr w:rsidR="00B958B1" w:rsidRPr="00C76446" w:rsidTr="009F3B54">
        <w:trPr>
          <w:cantSplit/>
        </w:trPr>
        <w:tc>
          <w:tcPr>
            <w:tcW w:w="3155" w:type="dxa"/>
            <w:tcBorders>
              <w:top w:val="single" w:sz="6" w:space="0" w:color="auto"/>
            </w:tcBorders>
            <w:shd w:val="clear" w:color="auto" w:fill="auto"/>
          </w:tcPr>
          <w:p w:rsidR="00B958B1" w:rsidRPr="00A649E2" w:rsidRDefault="00B958B1" w:rsidP="009F3B54">
            <w:pPr>
              <w:pStyle w:val="OGTabHead"/>
              <w:rPr>
                <w:lang w:eastAsia="en-AU"/>
              </w:rPr>
            </w:pPr>
            <w:r w:rsidRPr="004F1A91">
              <w:rPr>
                <w:lang w:eastAsia="en-AU"/>
              </w:rPr>
              <w:t>Quantity</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D9D9D9"/>
            <w:noWrap/>
          </w:tcPr>
          <w:p w:rsidR="00B958B1" w:rsidRPr="00C76446" w:rsidRDefault="00B958B1" w:rsidP="009F3B54">
            <w:pPr>
              <w:pStyle w:val="OGTabHead"/>
              <w:rPr>
                <w:lang w:eastAsia="en-AU"/>
              </w:rPr>
            </w:pPr>
            <w:r w:rsidRPr="00C76446">
              <w:rPr>
                <w:lang w:eastAsia="en-AU"/>
              </w:rPr>
              <w:t> </w:t>
            </w:r>
          </w:p>
        </w:tc>
        <w:tc>
          <w:tcPr>
            <w:tcW w:w="993"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r>
      <w:tr w:rsidR="00B958B1" w:rsidRPr="00C76446" w:rsidTr="009F3B54">
        <w:trPr>
          <w:cantSplit/>
        </w:trPr>
        <w:tc>
          <w:tcPr>
            <w:tcW w:w="3155" w:type="dxa"/>
            <w:tcBorders>
              <w:bottom w:val="single" w:sz="6" w:space="0" w:color="auto"/>
            </w:tcBorders>
            <w:shd w:val="clear" w:color="auto" w:fill="auto"/>
          </w:tcPr>
          <w:p w:rsidR="00B958B1" w:rsidRPr="00C76446" w:rsidRDefault="00B958B1" w:rsidP="009F3B54">
            <w:pPr>
              <w:pStyle w:val="OGTabText"/>
              <w:rPr>
                <w:color w:val="000000"/>
                <w:lang w:eastAsia="en-AU"/>
              </w:rPr>
            </w:pPr>
            <w:r w:rsidRPr="006D352A">
              <w:rPr>
                <w:color w:val="000000"/>
                <w:lang w:eastAsia="en-AU"/>
              </w:rPr>
              <w:t>Businesses assisted with skills needs</w:t>
            </w:r>
          </w:p>
        </w:tc>
        <w:tc>
          <w:tcPr>
            <w:tcW w:w="907" w:type="dxa"/>
            <w:tcBorders>
              <w:bottom w:val="single" w:sz="6" w:space="0" w:color="auto"/>
            </w:tcBorders>
            <w:shd w:val="clear" w:color="auto" w:fill="auto"/>
            <w:noWrap/>
          </w:tcPr>
          <w:p w:rsidR="00B958B1" w:rsidRDefault="00B958B1" w:rsidP="009F3B54">
            <w:pPr>
              <w:pStyle w:val="OGUoM"/>
              <w:rPr>
                <w:rFonts w:cs="Calibri"/>
                <w:szCs w:val="20"/>
              </w:rPr>
            </w:pPr>
            <w:r>
              <w:rPr>
                <w:rFonts w:cs="Calibri"/>
                <w:szCs w:val="20"/>
              </w:rPr>
              <w:t>number</w:t>
            </w:r>
          </w:p>
        </w:tc>
        <w:tc>
          <w:tcPr>
            <w:tcW w:w="907" w:type="dxa"/>
            <w:tcBorders>
              <w:bottom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 xml:space="preserve">1 200 </w:t>
            </w:r>
          </w:p>
        </w:tc>
        <w:tc>
          <w:tcPr>
            <w:tcW w:w="993" w:type="dxa"/>
            <w:tcBorders>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1 200</w:t>
            </w:r>
          </w:p>
        </w:tc>
        <w:tc>
          <w:tcPr>
            <w:tcW w:w="907" w:type="dxa"/>
            <w:tcBorders>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 xml:space="preserve">1 200 </w:t>
            </w:r>
          </w:p>
        </w:tc>
        <w:tc>
          <w:tcPr>
            <w:tcW w:w="907" w:type="dxa"/>
            <w:tcBorders>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 xml:space="preserve">nm </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Text"/>
              <w:rPr>
                <w:color w:val="000000"/>
                <w:lang w:eastAsia="en-AU"/>
              </w:rPr>
            </w:pPr>
            <w:r w:rsidRPr="006D352A">
              <w:rPr>
                <w:color w:val="000000"/>
                <w:lang w:eastAsia="en-AU"/>
              </w:rPr>
              <w:t>Government Youth Employment Scheme – traineeships commenced</w:t>
            </w:r>
          </w:p>
        </w:tc>
        <w:tc>
          <w:tcPr>
            <w:tcW w:w="907" w:type="dxa"/>
            <w:tcBorders>
              <w:top w:val="single" w:sz="6" w:space="0" w:color="auto"/>
            </w:tcBorders>
            <w:shd w:val="clear" w:color="auto" w:fill="auto"/>
            <w:noWrap/>
          </w:tcPr>
          <w:p w:rsidR="00B958B1" w:rsidRDefault="00B958B1" w:rsidP="009F3B54">
            <w:pPr>
              <w:pStyle w:val="OGUoM"/>
              <w:rPr>
                <w:rFonts w:cs="Calibri"/>
                <w:szCs w:val="20"/>
              </w:rPr>
            </w:pPr>
            <w:r>
              <w:rPr>
                <w:rFonts w:cs="Calibri"/>
                <w:szCs w:val="20"/>
              </w:rPr>
              <w:t>number</w:t>
            </w:r>
          </w:p>
        </w:tc>
        <w:tc>
          <w:tcPr>
            <w:tcW w:w="907" w:type="dxa"/>
            <w:tcBorders>
              <w:top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450</w:t>
            </w:r>
          </w:p>
        </w:tc>
        <w:tc>
          <w:tcPr>
            <w:tcW w:w="993"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350</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450</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545</w:t>
            </w:r>
          </w:p>
        </w:tc>
      </w:tr>
      <w:tr w:rsidR="00B958B1" w:rsidRPr="00863949" w:rsidTr="009F3B54">
        <w:trPr>
          <w:cantSplit/>
        </w:trPr>
        <w:tc>
          <w:tcPr>
            <w:tcW w:w="7776" w:type="dxa"/>
            <w:gridSpan w:val="6"/>
            <w:tcBorders>
              <w:bottom w:val="single" w:sz="6" w:space="0" w:color="auto"/>
            </w:tcBorders>
            <w:shd w:val="clear" w:color="auto" w:fill="auto"/>
          </w:tcPr>
          <w:p w:rsidR="00B958B1" w:rsidRPr="00863949" w:rsidRDefault="00B958B1" w:rsidP="009F3B54">
            <w:pPr>
              <w:pStyle w:val="OGTableofFigures"/>
              <w:ind w:left="397" w:right="64"/>
              <w:jc w:val="left"/>
              <w:rPr>
                <w:rFonts w:cs="Calibri"/>
                <w:i/>
                <w:sz w:val="15"/>
                <w:szCs w:val="15"/>
                <w:highlight w:val="yellow"/>
              </w:rPr>
            </w:pPr>
            <w:r w:rsidRPr="00863949">
              <w:rPr>
                <w:rFonts w:cs="Calibri"/>
                <w:i/>
                <w:sz w:val="15"/>
                <w:szCs w:val="15"/>
              </w:rPr>
              <w:t>The 2012</w:t>
            </w:r>
            <w:r w:rsidR="009F0F49">
              <w:rPr>
                <w:rFonts w:cs="Calibri"/>
                <w:i/>
                <w:sz w:val="15"/>
                <w:szCs w:val="15"/>
              </w:rPr>
              <w:noBreakHyphen/>
            </w:r>
            <w:r w:rsidRPr="00863949">
              <w:rPr>
                <w:rFonts w:cs="Calibri"/>
                <w:i/>
                <w:sz w:val="15"/>
                <w:szCs w:val="15"/>
              </w:rPr>
              <w:t>13 Expected Outcome is lower than the 2012</w:t>
            </w:r>
            <w:r w:rsidR="009F0F49">
              <w:rPr>
                <w:rFonts w:cs="Calibri"/>
                <w:i/>
                <w:sz w:val="15"/>
                <w:szCs w:val="15"/>
              </w:rPr>
              <w:noBreakHyphen/>
            </w:r>
            <w:r w:rsidRPr="00863949">
              <w:rPr>
                <w:rFonts w:cs="Calibri"/>
                <w:i/>
                <w:sz w:val="15"/>
                <w:szCs w:val="15"/>
              </w:rPr>
              <w:t>13 Target due to lower than anticipated placement of trainees as a result of structural changes occurring in the VPS.</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Head"/>
              <w:rPr>
                <w:lang w:eastAsia="en-AU"/>
              </w:rPr>
            </w:pPr>
            <w:r w:rsidRPr="004F1A91">
              <w:rPr>
                <w:lang w:eastAsia="en-AU"/>
              </w:rPr>
              <w:t>Quality</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D9D9D9"/>
            <w:noWrap/>
          </w:tcPr>
          <w:p w:rsidR="00B958B1" w:rsidRPr="00C76446" w:rsidRDefault="00B958B1" w:rsidP="009F3B54">
            <w:pPr>
              <w:pStyle w:val="OGTabHead"/>
              <w:rPr>
                <w:lang w:eastAsia="en-AU"/>
              </w:rPr>
            </w:pPr>
            <w:r w:rsidRPr="00C76446">
              <w:rPr>
                <w:lang w:eastAsia="en-AU"/>
              </w:rPr>
              <w:t> </w:t>
            </w:r>
          </w:p>
        </w:tc>
        <w:tc>
          <w:tcPr>
            <w:tcW w:w="993"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r>
      <w:tr w:rsidR="00B958B1" w:rsidRPr="00C76446" w:rsidTr="009F3B54">
        <w:trPr>
          <w:cantSplit/>
        </w:trPr>
        <w:tc>
          <w:tcPr>
            <w:tcW w:w="3155" w:type="dxa"/>
            <w:tcBorders>
              <w:bottom w:val="single" w:sz="6" w:space="0" w:color="auto"/>
            </w:tcBorders>
            <w:shd w:val="clear" w:color="auto" w:fill="auto"/>
          </w:tcPr>
          <w:p w:rsidR="00B958B1" w:rsidRPr="00C76446" w:rsidRDefault="00B958B1" w:rsidP="009F3B54">
            <w:pPr>
              <w:pStyle w:val="OGTabText"/>
              <w:rPr>
                <w:color w:val="000000"/>
                <w:lang w:eastAsia="en-AU"/>
              </w:rPr>
            </w:pPr>
            <w:r w:rsidRPr="006D352A">
              <w:rPr>
                <w:color w:val="000000"/>
                <w:lang w:eastAsia="en-AU"/>
              </w:rPr>
              <w:t>Proportion of skilled migrants working in nominated field</w:t>
            </w:r>
          </w:p>
        </w:tc>
        <w:tc>
          <w:tcPr>
            <w:tcW w:w="907" w:type="dxa"/>
            <w:tcBorders>
              <w:bottom w:val="single" w:sz="6" w:space="0" w:color="auto"/>
            </w:tcBorders>
            <w:shd w:val="clear" w:color="auto" w:fill="auto"/>
            <w:noWrap/>
          </w:tcPr>
          <w:p w:rsidR="00B958B1" w:rsidRDefault="00B958B1" w:rsidP="009F3B54">
            <w:pPr>
              <w:pStyle w:val="OGUoM"/>
              <w:rPr>
                <w:rFonts w:cs="Calibri"/>
                <w:szCs w:val="20"/>
              </w:rPr>
            </w:pPr>
            <w:r>
              <w:rPr>
                <w:rFonts w:cs="Calibri"/>
                <w:szCs w:val="20"/>
              </w:rPr>
              <w:t>per cent</w:t>
            </w:r>
          </w:p>
        </w:tc>
        <w:tc>
          <w:tcPr>
            <w:tcW w:w="907" w:type="dxa"/>
            <w:tcBorders>
              <w:bottom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70</w:t>
            </w:r>
          </w:p>
        </w:tc>
        <w:tc>
          <w:tcPr>
            <w:tcW w:w="993" w:type="dxa"/>
            <w:tcBorders>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70</w:t>
            </w:r>
          </w:p>
        </w:tc>
        <w:tc>
          <w:tcPr>
            <w:tcW w:w="907" w:type="dxa"/>
            <w:tcBorders>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70</w:t>
            </w:r>
          </w:p>
        </w:tc>
        <w:tc>
          <w:tcPr>
            <w:tcW w:w="907" w:type="dxa"/>
            <w:tcBorders>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nm</w:t>
            </w:r>
          </w:p>
        </w:tc>
      </w:tr>
      <w:tr w:rsidR="00B958B1" w:rsidRPr="00C76446" w:rsidTr="009F3B54">
        <w:trPr>
          <w:cantSplit/>
        </w:trPr>
        <w:tc>
          <w:tcPr>
            <w:tcW w:w="3155" w:type="dxa"/>
            <w:tcBorders>
              <w:top w:val="single" w:sz="6" w:space="0" w:color="auto"/>
              <w:bottom w:val="single" w:sz="6" w:space="0" w:color="auto"/>
            </w:tcBorders>
            <w:shd w:val="clear" w:color="auto" w:fill="auto"/>
          </w:tcPr>
          <w:p w:rsidR="00B958B1" w:rsidRPr="00C76446" w:rsidRDefault="00B958B1" w:rsidP="009F3B54">
            <w:pPr>
              <w:pStyle w:val="OGTabText"/>
              <w:rPr>
                <w:color w:val="000000"/>
                <w:lang w:eastAsia="en-AU"/>
              </w:rPr>
            </w:pPr>
            <w:r w:rsidRPr="006D352A">
              <w:rPr>
                <w:color w:val="000000"/>
                <w:lang w:eastAsia="en-AU"/>
              </w:rPr>
              <w:t>Skilled Migration Victoria – client satisfaction with services provided</w:t>
            </w:r>
          </w:p>
        </w:tc>
        <w:tc>
          <w:tcPr>
            <w:tcW w:w="907" w:type="dxa"/>
            <w:tcBorders>
              <w:top w:val="single" w:sz="6" w:space="0" w:color="auto"/>
              <w:bottom w:val="single" w:sz="6" w:space="0" w:color="auto"/>
            </w:tcBorders>
            <w:shd w:val="clear" w:color="auto" w:fill="auto"/>
            <w:noWrap/>
          </w:tcPr>
          <w:p w:rsidR="00B958B1" w:rsidRDefault="00B958B1" w:rsidP="009F3B54">
            <w:pPr>
              <w:pStyle w:val="OGUoM"/>
              <w:rPr>
                <w:rFonts w:cs="Calibri"/>
                <w:szCs w:val="20"/>
              </w:rPr>
            </w:pPr>
            <w:r>
              <w:rPr>
                <w:rFonts w:cs="Calibri"/>
                <w:szCs w:val="20"/>
              </w:rPr>
              <w:t>per cent</w:t>
            </w:r>
          </w:p>
        </w:tc>
        <w:tc>
          <w:tcPr>
            <w:tcW w:w="907" w:type="dxa"/>
            <w:tcBorders>
              <w:top w:val="single" w:sz="6" w:space="0" w:color="auto"/>
              <w:bottom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85</w:t>
            </w:r>
          </w:p>
        </w:tc>
        <w:tc>
          <w:tcPr>
            <w:tcW w:w="993" w:type="dxa"/>
            <w:tcBorders>
              <w:top w:val="single" w:sz="6" w:space="0" w:color="auto"/>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85</w:t>
            </w:r>
          </w:p>
        </w:tc>
        <w:tc>
          <w:tcPr>
            <w:tcW w:w="907" w:type="dxa"/>
            <w:tcBorders>
              <w:top w:val="single" w:sz="6" w:space="0" w:color="auto"/>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85</w:t>
            </w:r>
          </w:p>
        </w:tc>
        <w:tc>
          <w:tcPr>
            <w:tcW w:w="907" w:type="dxa"/>
            <w:tcBorders>
              <w:top w:val="single" w:sz="6" w:space="0" w:color="auto"/>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92</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Head"/>
              <w:rPr>
                <w:lang w:eastAsia="en-AU"/>
              </w:rPr>
            </w:pPr>
            <w:r>
              <w:rPr>
                <w:lang w:eastAsia="en-AU"/>
              </w:rPr>
              <w:t>Timeliness</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D9D9D9"/>
            <w:noWrap/>
          </w:tcPr>
          <w:p w:rsidR="00B958B1" w:rsidRPr="00C76446" w:rsidRDefault="00B958B1" w:rsidP="009F3B54">
            <w:pPr>
              <w:pStyle w:val="OGTabHead"/>
              <w:rPr>
                <w:lang w:eastAsia="en-AU"/>
              </w:rPr>
            </w:pPr>
            <w:r w:rsidRPr="00C76446">
              <w:rPr>
                <w:lang w:eastAsia="en-AU"/>
              </w:rPr>
              <w:t> </w:t>
            </w:r>
          </w:p>
        </w:tc>
        <w:tc>
          <w:tcPr>
            <w:tcW w:w="993"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r>
      <w:tr w:rsidR="00B958B1" w:rsidRPr="00C76446" w:rsidTr="009F3B54">
        <w:trPr>
          <w:cantSplit/>
        </w:trPr>
        <w:tc>
          <w:tcPr>
            <w:tcW w:w="3155" w:type="dxa"/>
            <w:tcBorders>
              <w:bottom w:val="single" w:sz="6" w:space="0" w:color="auto"/>
            </w:tcBorders>
            <w:shd w:val="clear" w:color="auto" w:fill="auto"/>
          </w:tcPr>
          <w:p w:rsidR="00B958B1" w:rsidRPr="008D6F42" w:rsidRDefault="00B958B1" w:rsidP="009F3B54">
            <w:pPr>
              <w:pStyle w:val="OGTabText"/>
              <w:rPr>
                <w:color w:val="000000"/>
                <w:sz w:val="15"/>
                <w:szCs w:val="15"/>
                <w:lang w:eastAsia="en-AU"/>
              </w:rPr>
            </w:pPr>
            <w:r w:rsidRPr="006D352A">
              <w:rPr>
                <w:color w:val="000000"/>
                <w:lang w:eastAsia="en-AU"/>
              </w:rPr>
              <w:t>Skilled Migration Victoria</w:t>
            </w:r>
            <w:r>
              <w:rPr>
                <w:color w:val="000000"/>
                <w:lang w:eastAsia="en-AU"/>
              </w:rPr>
              <w:t xml:space="preserve"> – </w:t>
            </w:r>
            <w:r w:rsidRPr="006D352A">
              <w:rPr>
                <w:color w:val="000000"/>
                <w:lang w:eastAsia="en-AU"/>
              </w:rPr>
              <w:t>average processing time for state sponsorship applications</w:t>
            </w:r>
          </w:p>
        </w:tc>
        <w:tc>
          <w:tcPr>
            <w:tcW w:w="907" w:type="dxa"/>
            <w:tcBorders>
              <w:bottom w:val="single" w:sz="6" w:space="0" w:color="auto"/>
            </w:tcBorders>
            <w:shd w:val="clear" w:color="auto" w:fill="auto"/>
            <w:noWrap/>
          </w:tcPr>
          <w:p w:rsidR="00B958B1" w:rsidRDefault="00B958B1" w:rsidP="009F3B54">
            <w:pPr>
              <w:pStyle w:val="OGUoM"/>
              <w:rPr>
                <w:rFonts w:cs="Calibri"/>
                <w:szCs w:val="20"/>
              </w:rPr>
            </w:pPr>
            <w:r w:rsidRPr="006D352A">
              <w:rPr>
                <w:rFonts w:cs="Calibri"/>
                <w:szCs w:val="20"/>
              </w:rPr>
              <w:t>working days</w:t>
            </w:r>
          </w:p>
        </w:tc>
        <w:tc>
          <w:tcPr>
            <w:tcW w:w="907" w:type="dxa"/>
            <w:tcBorders>
              <w:bottom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28</w:t>
            </w:r>
          </w:p>
        </w:tc>
        <w:tc>
          <w:tcPr>
            <w:tcW w:w="993" w:type="dxa"/>
            <w:tcBorders>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28</w:t>
            </w:r>
          </w:p>
        </w:tc>
        <w:tc>
          <w:tcPr>
            <w:tcW w:w="907" w:type="dxa"/>
            <w:tcBorders>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28</w:t>
            </w:r>
          </w:p>
        </w:tc>
        <w:tc>
          <w:tcPr>
            <w:tcW w:w="907" w:type="dxa"/>
            <w:tcBorders>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22</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Head"/>
              <w:rPr>
                <w:lang w:eastAsia="en-AU"/>
              </w:rPr>
            </w:pPr>
            <w:r w:rsidRPr="004F1A91">
              <w:rPr>
                <w:lang w:eastAsia="en-AU"/>
              </w:rPr>
              <w:t>Cost</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D9D9D9"/>
            <w:noWrap/>
          </w:tcPr>
          <w:p w:rsidR="00B958B1" w:rsidRPr="00C76446" w:rsidRDefault="00B958B1" w:rsidP="009F3B54">
            <w:pPr>
              <w:pStyle w:val="OGTabHead"/>
              <w:rPr>
                <w:lang w:eastAsia="en-AU"/>
              </w:rPr>
            </w:pPr>
            <w:r w:rsidRPr="00C76446">
              <w:rPr>
                <w:lang w:eastAsia="en-AU"/>
              </w:rPr>
              <w:t> </w:t>
            </w:r>
          </w:p>
        </w:tc>
        <w:tc>
          <w:tcPr>
            <w:tcW w:w="993"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r>
      <w:tr w:rsidR="00B958B1" w:rsidRPr="00C76446" w:rsidTr="009F3B54">
        <w:trPr>
          <w:cantSplit/>
        </w:trPr>
        <w:tc>
          <w:tcPr>
            <w:tcW w:w="3155" w:type="dxa"/>
            <w:shd w:val="clear" w:color="auto" w:fill="auto"/>
          </w:tcPr>
          <w:p w:rsidR="00B958B1" w:rsidRDefault="00B958B1" w:rsidP="009F3B54">
            <w:pPr>
              <w:pStyle w:val="OGTabText"/>
              <w:rPr>
                <w:color w:val="000000"/>
                <w:lang w:eastAsia="en-AU"/>
              </w:rPr>
            </w:pPr>
            <w:r w:rsidRPr="00C76446">
              <w:rPr>
                <w:color w:val="000000"/>
                <w:lang w:eastAsia="en-AU"/>
              </w:rPr>
              <w:t>Total output cost</w:t>
            </w:r>
          </w:p>
          <w:p w:rsidR="00B958B1" w:rsidRPr="00857FE4" w:rsidRDefault="00B958B1" w:rsidP="009F3B54">
            <w:pPr>
              <w:pStyle w:val="OGTabText"/>
              <w:rPr>
                <w:color w:val="000000"/>
                <w:sz w:val="16"/>
                <w:szCs w:val="16"/>
                <w:lang w:eastAsia="en-AU"/>
              </w:rPr>
            </w:pPr>
          </w:p>
        </w:tc>
        <w:tc>
          <w:tcPr>
            <w:tcW w:w="907" w:type="dxa"/>
            <w:shd w:val="clear" w:color="auto" w:fill="auto"/>
            <w:noWrap/>
          </w:tcPr>
          <w:p w:rsidR="00B958B1" w:rsidRDefault="00B958B1" w:rsidP="009F3B54">
            <w:pPr>
              <w:pStyle w:val="OGUoM"/>
              <w:rPr>
                <w:rFonts w:cs="Calibri"/>
                <w:szCs w:val="20"/>
              </w:rPr>
            </w:pPr>
            <w:r>
              <w:rPr>
                <w:rFonts w:cs="Calibri"/>
                <w:szCs w:val="20"/>
              </w:rPr>
              <w:t>$ million</w:t>
            </w:r>
          </w:p>
        </w:tc>
        <w:tc>
          <w:tcPr>
            <w:tcW w:w="907" w:type="dxa"/>
            <w:shd w:val="clear" w:color="auto" w:fill="D9D9D9"/>
            <w:noWrap/>
          </w:tcPr>
          <w:p w:rsidR="00B958B1" w:rsidRPr="00857FE4" w:rsidRDefault="00B958B1" w:rsidP="009F3B54">
            <w:pPr>
              <w:pStyle w:val="OGTableofFigures"/>
              <w:rPr>
                <w:rFonts w:cs="Calibri"/>
                <w:szCs w:val="20"/>
              </w:rPr>
            </w:pPr>
            <w:r w:rsidRPr="00857FE4">
              <w:rPr>
                <w:rFonts w:cs="Calibri"/>
                <w:szCs w:val="20"/>
              </w:rPr>
              <w:t xml:space="preserve">15.3 </w:t>
            </w:r>
          </w:p>
        </w:tc>
        <w:tc>
          <w:tcPr>
            <w:tcW w:w="993" w:type="dxa"/>
            <w:shd w:val="clear" w:color="auto" w:fill="auto"/>
            <w:noWrap/>
          </w:tcPr>
          <w:p w:rsidR="00B958B1" w:rsidRPr="00857FE4" w:rsidRDefault="00B958B1" w:rsidP="009F3B54">
            <w:pPr>
              <w:pStyle w:val="OGTableofFigures"/>
              <w:rPr>
                <w:rFonts w:cs="Calibri"/>
                <w:szCs w:val="20"/>
              </w:rPr>
            </w:pPr>
            <w:r>
              <w:rPr>
                <w:rFonts w:cs="Calibri"/>
                <w:szCs w:val="20"/>
              </w:rPr>
              <w:t>14.4</w:t>
            </w:r>
          </w:p>
        </w:tc>
        <w:tc>
          <w:tcPr>
            <w:tcW w:w="907" w:type="dxa"/>
            <w:shd w:val="clear" w:color="auto" w:fill="auto"/>
            <w:noWrap/>
          </w:tcPr>
          <w:p w:rsidR="00B958B1" w:rsidRDefault="00B958B1" w:rsidP="009F3B54">
            <w:pPr>
              <w:pStyle w:val="OGTableofFigures"/>
              <w:rPr>
                <w:rFonts w:cs="Calibri"/>
                <w:szCs w:val="20"/>
              </w:rPr>
            </w:pPr>
            <w:r>
              <w:rPr>
                <w:rFonts w:cs="Calibri"/>
                <w:szCs w:val="20"/>
              </w:rPr>
              <w:t>15.4</w:t>
            </w:r>
          </w:p>
        </w:tc>
        <w:tc>
          <w:tcPr>
            <w:tcW w:w="907" w:type="dxa"/>
            <w:shd w:val="clear" w:color="auto" w:fill="auto"/>
            <w:noWrap/>
          </w:tcPr>
          <w:p w:rsidR="00B958B1" w:rsidRDefault="00B958B1" w:rsidP="009F3B54">
            <w:pPr>
              <w:pStyle w:val="OGTableofFigures"/>
              <w:rPr>
                <w:rFonts w:cs="Calibri"/>
                <w:szCs w:val="20"/>
              </w:rPr>
            </w:pPr>
            <w:r>
              <w:rPr>
                <w:rFonts w:cs="Calibri"/>
                <w:szCs w:val="20"/>
              </w:rPr>
              <w:t>17.0</w:t>
            </w:r>
          </w:p>
          <w:p w:rsidR="00B958B1" w:rsidRDefault="00B958B1" w:rsidP="009F3B54">
            <w:pPr>
              <w:pStyle w:val="OGTableofFigures"/>
              <w:rPr>
                <w:rFonts w:cs="Calibri"/>
                <w:szCs w:val="20"/>
              </w:rPr>
            </w:pPr>
          </w:p>
        </w:tc>
      </w:tr>
      <w:tr w:rsidR="00B958B1" w:rsidRPr="00C76446" w:rsidTr="009F3B54">
        <w:trPr>
          <w:cantSplit/>
        </w:trPr>
        <w:tc>
          <w:tcPr>
            <w:tcW w:w="7776" w:type="dxa"/>
            <w:gridSpan w:val="6"/>
            <w:tcBorders>
              <w:bottom w:val="single" w:sz="6" w:space="0" w:color="auto"/>
            </w:tcBorders>
            <w:shd w:val="clear" w:color="auto" w:fill="auto"/>
          </w:tcPr>
          <w:p w:rsidR="00B958B1" w:rsidRPr="003B3876" w:rsidRDefault="00B958B1" w:rsidP="009F3B54">
            <w:pPr>
              <w:pStyle w:val="OGNotes"/>
              <w:rPr>
                <w:rFonts w:cs="Calibri"/>
              </w:rPr>
            </w:pPr>
            <w:r>
              <w:t>Variation between 2012</w:t>
            </w:r>
            <w:r w:rsidR="009F0F49">
              <w:noBreakHyphen/>
            </w:r>
            <w:r>
              <w:t>13 Target and 2013</w:t>
            </w:r>
            <w:r w:rsidR="009F0F49">
              <w:noBreakHyphen/>
            </w:r>
            <w:r>
              <w:t>14 Target reflects new funding received for the Employment Start Up initiative</w:t>
            </w:r>
            <w:r>
              <w:rPr>
                <w:color w:val="000000"/>
                <w:sz w:val="16"/>
                <w:szCs w:val="16"/>
              </w:rPr>
              <w:t xml:space="preserve"> offset by the transfer out of Industrial Relations as part of the machinery of government changes.</w:t>
            </w:r>
          </w:p>
        </w:tc>
      </w:tr>
      <w:tr w:rsidR="00B958B1" w:rsidRPr="00C76446" w:rsidTr="009F3B54">
        <w:trPr>
          <w:cantSplit/>
        </w:trPr>
        <w:tc>
          <w:tcPr>
            <w:tcW w:w="7776" w:type="dxa"/>
            <w:gridSpan w:val="6"/>
            <w:tcBorders>
              <w:top w:val="single" w:sz="6" w:space="0" w:color="auto"/>
            </w:tcBorders>
            <w:shd w:val="clear" w:color="auto" w:fill="auto"/>
          </w:tcPr>
          <w:p w:rsidR="00B958B1" w:rsidRPr="00C76446" w:rsidRDefault="00B958B1" w:rsidP="009F3B54">
            <w:pPr>
              <w:pStyle w:val="OGHeading2"/>
              <w:rPr>
                <w:lang w:eastAsia="en-AU"/>
              </w:rPr>
            </w:pPr>
            <w:r>
              <w:rPr>
                <w:lang w:eastAsia="en-AU"/>
              </w:rPr>
              <w:t>Tourism and Marketing</w:t>
            </w:r>
          </w:p>
        </w:tc>
      </w:tr>
      <w:tr w:rsidR="00B958B1" w:rsidRPr="00C76446" w:rsidTr="009F3B54">
        <w:trPr>
          <w:cantSplit/>
        </w:trPr>
        <w:tc>
          <w:tcPr>
            <w:tcW w:w="7776" w:type="dxa"/>
            <w:gridSpan w:val="6"/>
            <w:tcBorders>
              <w:bottom w:val="single" w:sz="6" w:space="0" w:color="auto"/>
            </w:tcBorders>
            <w:shd w:val="clear" w:color="auto" w:fill="auto"/>
          </w:tcPr>
          <w:p w:rsidR="00B958B1" w:rsidRPr="00C76446" w:rsidRDefault="00B958B1" w:rsidP="009F3B54">
            <w:pPr>
              <w:pStyle w:val="OGText"/>
              <w:rPr>
                <w:lang w:eastAsia="en-AU"/>
              </w:rPr>
            </w:pPr>
            <w:r w:rsidRPr="00C76446">
              <w:rPr>
                <w:lang w:eastAsia="en-AU"/>
              </w:rPr>
              <w:t>Facilitates employment and longer</w:t>
            </w:r>
            <w:r>
              <w:rPr>
                <w:lang w:eastAsia="en-AU"/>
              </w:rPr>
              <w:t>–</w:t>
            </w:r>
            <w:r w:rsidRPr="00C76446">
              <w:rPr>
                <w:lang w:eastAsia="en-AU"/>
              </w:rPr>
              <w:t>term economic benefits of tourism, investment and international students coming to Victoria by positioning and marketing the State as a competitive tourism, investment and study destination.</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Head"/>
              <w:rPr>
                <w:lang w:eastAsia="en-AU"/>
              </w:rPr>
            </w:pPr>
            <w:r w:rsidRPr="004F1A91">
              <w:rPr>
                <w:lang w:eastAsia="en-AU"/>
              </w:rPr>
              <w:t>Quantity</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D9D9D9"/>
            <w:noWrap/>
          </w:tcPr>
          <w:p w:rsidR="00B958B1" w:rsidRPr="00C76446" w:rsidRDefault="00B958B1" w:rsidP="009F3B54">
            <w:pPr>
              <w:pStyle w:val="OGTabHead"/>
              <w:rPr>
                <w:lang w:eastAsia="en-AU"/>
              </w:rPr>
            </w:pPr>
            <w:r w:rsidRPr="00C76446">
              <w:rPr>
                <w:lang w:eastAsia="en-AU"/>
              </w:rPr>
              <w:t> </w:t>
            </w:r>
          </w:p>
        </w:tc>
        <w:tc>
          <w:tcPr>
            <w:tcW w:w="993"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r>
      <w:tr w:rsidR="00B958B1" w:rsidRPr="00C76446" w:rsidTr="009F3B54">
        <w:trPr>
          <w:cantSplit/>
        </w:trPr>
        <w:tc>
          <w:tcPr>
            <w:tcW w:w="3155" w:type="dxa"/>
            <w:tcBorders>
              <w:bottom w:val="single" w:sz="6" w:space="0" w:color="auto"/>
            </w:tcBorders>
            <w:shd w:val="clear" w:color="auto" w:fill="auto"/>
          </w:tcPr>
          <w:p w:rsidR="00B958B1" w:rsidRPr="00C76446" w:rsidRDefault="00B958B1" w:rsidP="009F3B54">
            <w:pPr>
              <w:pStyle w:val="OGTabText"/>
              <w:rPr>
                <w:color w:val="000000"/>
                <w:lang w:eastAsia="en-AU"/>
              </w:rPr>
            </w:pPr>
            <w:r w:rsidRPr="00B5228E">
              <w:rPr>
                <w:color w:val="000000"/>
                <w:lang w:eastAsia="en-AU"/>
              </w:rPr>
              <w:t>International marketing campaigns to position Victoria globally</w:t>
            </w:r>
          </w:p>
        </w:tc>
        <w:tc>
          <w:tcPr>
            <w:tcW w:w="907" w:type="dxa"/>
            <w:tcBorders>
              <w:bottom w:val="single" w:sz="6" w:space="0" w:color="auto"/>
            </w:tcBorders>
            <w:shd w:val="clear" w:color="auto" w:fill="auto"/>
            <w:noWrap/>
          </w:tcPr>
          <w:p w:rsidR="00B958B1" w:rsidRDefault="00B958B1" w:rsidP="009F3B54">
            <w:pPr>
              <w:pStyle w:val="OGUoM"/>
              <w:rPr>
                <w:rFonts w:cs="Calibri"/>
                <w:szCs w:val="20"/>
              </w:rPr>
            </w:pPr>
            <w:r>
              <w:rPr>
                <w:rFonts w:cs="Calibri"/>
                <w:szCs w:val="20"/>
              </w:rPr>
              <w:t>number</w:t>
            </w:r>
          </w:p>
        </w:tc>
        <w:tc>
          <w:tcPr>
            <w:tcW w:w="907" w:type="dxa"/>
            <w:tcBorders>
              <w:bottom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4</w:t>
            </w:r>
          </w:p>
        </w:tc>
        <w:tc>
          <w:tcPr>
            <w:tcW w:w="993" w:type="dxa"/>
            <w:tcBorders>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4</w:t>
            </w:r>
          </w:p>
        </w:tc>
        <w:tc>
          <w:tcPr>
            <w:tcW w:w="907" w:type="dxa"/>
            <w:tcBorders>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4</w:t>
            </w:r>
          </w:p>
        </w:tc>
        <w:tc>
          <w:tcPr>
            <w:tcW w:w="907" w:type="dxa"/>
            <w:tcBorders>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nm</w:t>
            </w:r>
          </w:p>
        </w:tc>
      </w:tr>
      <w:tr w:rsidR="00B958B1" w:rsidRPr="008D6F42" w:rsidTr="009F3B54">
        <w:trPr>
          <w:cantSplit/>
        </w:trPr>
        <w:tc>
          <w:tcPr>
            <w:tcW w:w="3155" w:type="dxa"/>
            <w:tcBorders>
              <w:top w:val="single" w:sz="6" w:space="0" w:color="auto"/>
            </w:tcBorders>
            <w:shd w:val="clear" w:color="auto" w:fill="auto"/>
          </w:tcPr>
          <w:p w:rsidR="00B958B1" w:rsidRPr="00C76446" w:rsidRDefault="00B958B1" w:rsidP="009F3B54">
            <w:pPr>
              <w:pStyle w:val="OGTabText"/>
              <w:rPr>
                <w:color w:val="000000"/>
                <w:lang w:eastAsia="en-AU"/>
              </w:rPr>
            </w:pPr>
            <w:r w:rsidRPr="00B5228E">
              <w:rPr>
                <w:color w:val="000000"/>
                <w:lang w:eastAsia="en-AU"/>
              </w:rPr>
              <w:t>Number of domestic overnight visitors</w:t>
            </w:r>
          </w:p>
        </w:tc>
        <w:tc>
          <w:tcPr>
            <w:tcW w:w="907" w:type="dxa"/>
            <w:tcBorders>
              <w:top w:val="single" w:sz="6" w:space="0" w:color="auto"/>
            </w:tcBorders>
            <w:shd w:val="clear" w:color="auto" w:fill="auto"/>
            <w:noWrap/>
          </w:tcPr>
          <w:p w:rsidR="00B958B1" w:rsidRDefault="00B958B1" w:rsidP="009F3B54">
            <w:pPr>
              <w:pStyle w:val="OGUoM"/>
              <w:rPr>
                <w:rFonts w:cs="Calibri"/>
                <w:szCs w:val="20"/>
              </w:rPr>
            </w:pPr>
            <w:r>
              <w:rPr>
                <w:rFonts w:cs="Calibri"/>
                <w:szCs w:val="20"/>
              </w:rPr>
              <w:t>number (million)</w:t>
            </w:r>
          </w:p>
        </w:tc>
        <w:tc>
          <w:tcPr>
            <w:tcW w:w="907" w:type="dxa"/>
            <w:tcBorders>
              <w:top w:val="single" w:sz="6" w:space="0" w:color="auto"/>
            </w:tcBorders>
            <w:shd w:val="clear" w:color="auto" w:fill="D9D9D9"/>
            <w:noWrap/>
          </w:tcPr>
          <w:p w:rsidR="00B958B1" w:rsidRDefault="00B958B1" w:rsidP="009F3B54">
            <w:pPr>
              <w:pStyle w:val="OGTableofFigures"/>
              <w:rPr>
                <w:rFonts w:cs="Calibri"/>
                <w:color w:val="C0504D"/>
                <w:szCs w:val="20"/>
              </w:rPr>
            </w:pPr>
            <w:r w:rsidRPr="008D6F42">
              <w:rPr>
                <w:rFonts w:cs="Calibri"/>
                <w:szCs w:val="20"/>
              </w:rPr>
              <w:t>18.</w:t>
            </w:r>
            <w:r>
              <w:rPr>
                <w:rFonts w:cs="Calibri"/>
                <w:szCs w:val="20"/>
              </w:rPr>
              <w:t>3</w:t>
            </w:r>
          </w:p>
        </w:tc>
        <w:tc>
          <w:tcPr>
            <w:tcW w:w="993"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18.0</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15.9</w:t>
            </w:r>
          </w:p>
        </w:tc>
        <w:tc>
          <w:tcPr>
            <w:tcW w:w="907" w:type="dxa"/>
            <w:tcBorders>
              <w:top w:val="single" w:sz="6" w:space="0" w:color="auto"/>
            </w:tcBorders>
            <w:shd w:val="clear" w:color="auto" w:fill="auto"/>
            <w:noWrap/>
          </w:tcPr>
          <w:p w:rsidR="00B958B1" w:rsidRPr="008D6F42" w:rsidRDefault="00B958B1" w:rsidP="009F3B54">
            <w:pPr>
              <w:pStyle w:val="OGTableofFigures"/>
              <w:rPr>
                <w:rFonts w:cs="Calibri"/>
                <w:szCs w:val="20"/>
              </w:rPr>
            </w:pPr>
            <w:r>
              <w:rPr>
                <w:rFonts w:cs="Calibri"/>
                <w:szCs w:val="20"/>
              </w:rPr>
              <w:t>17.8</w:t>
            </w:r>
          </w:p>
        </w:tc>
      </w:tr>
      <w:tr w:rsidR="00B958B1" w:rsidRPr="0018202E" w:rsidTr="009F3B54">
        <w:trPr>
          <w:cantSplit/>
        </w:trPr>
        <w:tc>
          <w:tcPr>
            <w:tcW w:w="7776" w:type="dxa"/>
            <w:gridSpan w:val="6"/>
            <w:tcBorders>
              <w:bottom w:val="single" w:sz="6" w:space="0" w:color="auto"/>
            </w:tcBorders>
            <w:shd w:val="clear" w:color="auto" w:fill="auto"/>
          </w:tcPr>
          <w:p w:rsidR="00B958B1" w:rsidRPr="0018202E" w:rsidRDefault="00B958B1" w:rsidP="009F3B54">
            <w:pPr>
              <w:pStyle w:val="OGNotes"/>
            </w:pPr>
            <w:r>
              <w:t xml:space="preserve">The </w:t>
            </w:r>
            <w:r w:rsidRPr="003B3876">
              <w:t>2012</w:t>
            </w:r>
            <w:r w:rsidR="009F0F49">
              <w:noBreakHyphen/>
            </w:r>
            <w:r w:rsidRPr="003B3876">
              <w:t xml:space="preserve">13 </w:t>
            </w:r>
            <w:r>
              <w:t>Expected Outcome</w:t>
            </w:r>
            <w:r w:rsidRPr="0018202E">
              <w:t xml:space="preserve"> is higher than the 2012</w:t>
            </w:r>
            <w:r w:rsidR="009F0F49">
              <w:noBreakHyphen/>
            </w:r>
            <w:r w:rsidRPr="0018202E">
              <w:t xml:space="preserve">13 </w:t>
            </w:r>
            <w:r>
              <w:t>T</w:t>
            </w:r>
            <w:r w:rsidRPr="0018202E">
              <w:t>arget due to the higher than anticip</w:t>
            </w:r>
            <w:r>
              <w:t xml:space="preserve">ated </w:t>
            </w:r>
            <w:r w:rsidRPr="00863949">
              <w:t>growth from</w:t>
            </w:r>
            <w:r>
              <w:t xml:space="preserve"> intrastate travel. The 2013</w:t>
            </w:r>
            <w:r w:rsidR="009F0F49">
              <w:noBreakHyphen/>
            </w:r>
            <w:r>
              <w:t>14 Target is based on an independent forecast that is influenced by 2012</w:t>
            </w:r>
            <w:r w:rsidR="009F0F49">
              <w:noBreakHyphen/>
            </w:r>
            <w:r>
              <w:t>13 results</w:t>
            </w:r>
            <w:r w:rsidRPr="0018202E">
              <w:t>.</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Text"/>
              <w:rPr>
                <w:color w:val="000000"/>
                <w:lang w:eastAsia="en-AU"/>
              </w:rPr>
            </w:pPr>
            <w:r w:rsidRPr="008015BA">
              <w:rPr>
                <w:color w:val="000000"/>
                <w:lang w:eastAsia="en-AU"/>
              </w:rPr>
              <w:t>Number of visitors (international)</w:t>
            </w:r>
          </w:p>
        </w:tc>
        <w:tc>
          <w:tcPr>
            <w:tcW w:w="907" w:type="dxa"/>
            <w:tcBorders>
              <w:top w:val="single" w:sz="6" w:space="0" w:color="auto"/>
            </w:tcBorders>
            <w:shd w:val="clear" w:color="auto" w:fill="auto"/>
            <w:noWrap/>
          </w:tcPr>
          <w:p w:rsidR="00B958B1" w:rsidRDefault="00B958B1" w:rsidP="009F3B54">
            <w:pPr>
              <w:pStyle w:val="OGUoM"/>
              <w:rPr>
                <w:rFonts w:cs="Calibri"/>
                <w:szCs w:val="20"/>
              </w:rPr>
            </w:pPr>
            <w:r>
              <w:rPr>
                <w:rFonts w:cs="Calibri"/>
                <w:szCs w:val="20"/>
              </w:rPr>
              <w:t>number (million)</w:t>
            </w:r>
          </w:p>
        </w:tc>
        <w:tc>
          <w:tcPr>
            <w:tcW w:w="907" w:type="dxa"/>
            <w:tcBorders>
              <w:top w:val="single" w:sz="6" w:space="0" w:color="auto"/>
            </w:tcBorders>
            <w:shd w:val="clear" w:color="auto" w:fill="D9D9D9"/>
            <w:noWrap/>
          </w:tcPr>
          <w:p w:rsidR="00B958B1" w:rsidRDefault="00B958B1" w:rsidP="009F3B54">
            <w:pPr>
              <w:pStyle w:val="OGTableofFigures"/>
              <w:rPr>
                <w:rFonts w:cs="Calibri"/>
                <w:color w:val="C0504D"/>
                <w:szCs w:val="20"/>
              </w:rPr>
            </w:pPr>
            <w:r w:rsidRPr="008D6F42">
              <w:rPr>
                <w:rFonts w:cs="Calibri"/>
                <w:szCs w:val="20"/>
              </w:rPr>
              <w:t>1.</w:t>
            </w:r>
            <w:r>
              <w:rPr>
                <w:rFonts w:cs="Calibri"/>
                <w:szCs w:val="20"/>
              </w:rPr>
              <w:t>9</w:t>
            </w:r>
          </w:p>
        </w:tc>
        <w:tc>
          <w:tcPr>
            <w:tcW w:w="993"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1.9</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1.6</w:t>
            </w:r>
          </w:p>
        </w:tc>
        <w:tc>
          <w:tcPr>
            <w:tcW w:w="907" w:type="dxa"/>
            <w:tcBorders>
              <w:top w:val="single" w:sz="6" w:space="0" w:color="auto"/>
            </w:tcBorders>
            <w:shd w:val="clear" w:color="auto" w:fill="auto"/>
            <w:noWrap/>
          </w:tcPr>
          <w:p w:rsidR="00B958B1" w:rsidRDefault="00B958B1" w:rsidP="009F3B54">
            <w:pPr>
              <w:pStyle w:val="OGTableofFigures"/>
              <w:rPr>
                <w:rFonts w:cs="Calibri"/>
                <w:color w:val="C0504D"/>
                <w:szCs w:val="20"/>
              </w:rPr>
            </w:pPr>
            <w:r w:rsidRPr="008D6F42">
              <w:rPr>
                <w:rFonts w:cs="Calibri"/>
                <w:szCs w:val="20"/>
              </w:rPr>
              <w:t>1.8</w:t>
            </w:r>
          </w:p>
        </w:tc>
      </w:tr>
      <w:tr w:rsidR="00B958B1" w:rsidRPr="00C76446" w:rsidTr="009F3B54">
        <w:trPr>
          <w:cantSplit/>
        </w:trPr>
        <w:tc>
          <w:tcPr>
            <w:tcW w:w="7776" w:type="dxa"/>
            <w:gridSpan w:val="6"/>
            <w:tcBorders>
              <w:bottom w:val="single" w:sz="6" w:space="0" w:color="auto"/>
            </w:tcBorders>
            <w:shd w:val="clear" w:color="auto" w:fill="auto"/>
          </w:tcPr>
          <w:p w:rsidR="00B958B1" w:rsidRPr="006E5822" w:rsidRDefault="00B958B1" w:rsidP="009F3B54">
            <w:pPr>
              <w:pStyle w:val="OGNotes"/>
            </w:pPr>
            <w:r w:rsidRPr="006E5822">
              <w:t xml:space="preserve">The </w:t>
            </w:r>
            <w:r>
              <w:t>2012</w:t>
            </w:r>
            <w:r w:rsidR="009F0F49">
              <w:noBreakHyphen/>
            </w:r>
            <w:r>
              <w:t xml:space="preserve">13 </w:t>
            </w:r>
            <w:r w:rsidRPr="006E5822">
              <w:t>Expected Outcome is higher than the 2012</w:t>
            </w:r>
            <w:r w:rsidR="009F0F49">
              <w:noBreakHyphen/>
            </w:r>
            <w:r w:rsidRPr="006E5822">
              <w:t>13 Target due to higher than anticipated visitor numbers from China and other Asian growth markets</w:t>
            </w:r>
            <w:r>
              <w:t xml:space="preserve">. </w:t>
            </w:r>
            <w:r w:rsidRPr="006E5822">
              <w:t>The 2013</w:t>
            </w:r>
            <w:r w:rsidR="009F0F49">
              <w:noBreakHyphen/>
            </w:r>
            <w:r w:rsidRPr="006E5822">
              <w:t>14 Target is based on an independent forecast that is influenced by 2012</w:t>
            </w:r>
            <w:r w:rsidR="009F0F49">
              <w:noBreakHyphen/>
            </w:r>
            <w:r w:rsidRPr="006E5822">
              <w:t>13 results.</w:t>
            </w:r>
          </w:p>
        </w:tc>
      </w:tr>
      <w:tr w:rsidR="00B958B1" w:rsidRPr="00C76446" w:rsidTr="009F3B54">
        <w:trPr>
          <w:cantSplit/>
        </w:trPr>
        <w:tc>
          <w:tcPr>
            <w:tcW w:w="3155" w:type="dxa"/>
            <w:tcBorders>
              <w:top w:val="single" w:sz="6" w:space="0" w:color="auto"/>
              <w:bottom w:val="single" w:sz="6" w:space="0" w:color="auto"/>
            </w:tcBorders>
            <w:shd w:val="clear" w:color="auto" w:fill="auto"/>
          </w:tcPr>
          <w:p w:rsidR="00B958B1" w:rsidRPr="00C76446" w:rsidRDefault="00B958B1" w:rsidP="009F3B54">
            <w:pPr>
              <w:pStyle w:val="OGTabText"/>
              <w:rPr>
                <w:color w:val="000000"/>
                <w:lang w:eastAsia="en-AU"/>
              </w:rPr>
            </w:pPr>
            <w:r w:rsidRPr="008015BA">
              <w:rPr>
                <w:color w:val="000000"/>
                <w:lang w:eastAsia="en-AU"/>
              </w:rPr>
              <w:t>Proportion of all international students studying in Victoria</w:t>
            </w:r>
          </w:p>
        </w:tc>
        <w:tc>
          <w:tcPr>
            <w:tcW w:w="907" w:type="dxa"/>
            <w:tcBorders>
              <w:top w:val="single" w:sz="6" w:space="0" w:color="auto"/>
              <w:bottom w:val="single" w:sz="6" w:space="0" w:color="auto"/>
            </w:tcBorders>
            <w:shd w:val="clear" w:color="auto" w:fill="auto"/>
            <w:noWrap/>
          </w:tcPr>
          <w:p w:rsidR="00B958B1" w:rsidRDefault="00B958B1" w:rsidP="009F3B54">
            <w:pPr>
              <w:pStyle w:val="OGUoM"/>
              <w:rPr>
                <w:rFonts w:cs="Calibri"/>
                <w:szCs w:val="20"/>
              </w:rPr>
            </w:pPr>
            <w:r>
              <w:rPr>
                <w:rFonts w:cs="Calibri"/>
                <w:szCs w:val="20"/>
              </w:rPr>
              <w:t>per cent</w:t>
            </w:r>
          </w:p>
        </w:tc>
        <w:tc>
          <w:tcPr>
            <w:tcW w:w="907" w:type="dxa"/>
            <w:tcBorders>
              <w:top w:val="single" w:sz="6" w:space="0" w:color="auto"/>
              <w:bottom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28</w:t>
            </w:r>
          </w:p>
        </w:tc>
        <w:tc>
          <w:tcPr>
            <w:tcW w:w="993" w:type="dxa"/>
            <w:tcBorders>
              <w:top w:val="single" w:sz="6" w:space="0" w:color="auto"/>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28.8</w:t>
            </w:r>
          </w:p>
        </w:tc>
        <w:tc>
          <w:tcPr>
            <w:tcW w:w="907" w:type="dxa"/>
            <w:tcBorders>
              <w:top w:val="single" w:sz="6" w:space="0" w:color="auto"/>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28</w:t>
            </w:r>
          </w:p>
        </w:tc>
        <w:tc>
          <w:tcPr>
            <w:tcW w:w="907" w:type="dxa"/>
            <w:tcBorders>
              <w:top w:val="single" w:sz="6" w:space="0" w:color="auto"/>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nm</w:t>
            </w:r>
          </w:p>
        </w:tc>
      </w:tr>
      <w:tr w:rsidR="00B958B1" w:rsidRPr="00C76446" w:rsidTr="009F3B54">
        <w:trPr>
          <w:cantSplit/>
        </w:trPr>
        <w:tc>
          <w:tcPr>
            <w:tcW w:w="3155" w:type="dxa"/>
            <w:tcBorders>
              <w:top w:val="single" w:sz="6" w:space="0" w:color="auto"/>
            </w:tcBorders>
            <w:shd w:val="clear" w:color="auto" w:fill="auto"/>
          </w:tcPr>
          <w:p w:rsidR="00B958B1" w:rsidRPr="006C2ABD" w:rsidRDefault="00B958B1" w:rsidP="009F3B54">
            <w:pPr>
              <w:pStyle w:val="OGTabText"/>
              <w:rPr>
                <w:rFonts w:cs="Calibri"/>
                <w:color w:val="000000"/>
                <w:szCs w:val="20"/>
              </w:rPr>
            </w:pPr>
            <w:r>
              <w:rPr>
                <w:rFonts w:cs="Calibri"/>
                <w:color w:val="000000"/>
                <w:szCs w:val="20"/>
              </w:rPr>
              <w:t>Visitor Expenditure: domestic</w:t>
            </w:r>
          </w:p>
        </w:tc>
        <w:tc>
          <w:tcPr>
            <w:tcW w:w="907" w:type="dxa"/>
            <w:tcBorders>
              <w:top w:val="single" w:sz="6" w:space="0" w:color="auto"/>
            </w:tcBorders>
            <w:shd w:val="clear" w:color="auto" w:fill="auto"/>
            <w:noWrap/>
          </w:tcPr>
          <w:p w:rsidR="00B958B1" w:rsidRDefault="00B958B1" w:rsidP="009F3B54">
            <w:pPr>
              <w:pStyle w:val="OGUoM"/>
              <w:rPr>
                <w:rFonts w:cs="Calibri"/>
                <w:szCs w:val="20"/>
              </w:rPr>
            </w:pPr>
            <w:r>
              <w:rPr>
                <w:rFonts w:cs="Calibri"/>
                <w:szCs w:val="20"/>
              </w:rPr>
              <w:t>$ billion</w:t>
            </w:r>
          </w:p>
        </w:tc>
        <w:tc>
          <w:tcPr>
            <w:tcW w:w="907" w:type="dxa"/>
            <w:tcBorders>
              <w:top w:val="single" w:sz="6" w:space="0" w:color="auto"/>
            </w:tcBorders>
            <w:shd w:val="clear" w:color="auto" w:fill="D9D9D9"/>
            <w:noWrap/>
          </w:tcPr>
          <w:p w:rsidR="00B958B1" w:rsidRDefault="00B958B1" w:rsidP="009F3B54">
            <w:pPr>
              <w:pStyle w:val="OGTableofFigures"/>
              <w:rPr>
                <w:rFonts w:cs="Calibri"/>
                <w:color w:val="C0504D"/>
                <w:szCs w:val="20"/>
              </w:rPr>
            </w:pPr>
            <w:r w:rsidRPr="008D6F42">
              <w:rPr>
                <w:rFonts w:cs="Calibri"/>
                <w:szCs w:val="20"/>
              </w:rPr>
              <w:t>15.0</w:t>
            </w:r>
          </w:p>
        </w:tc>
        <w:tc>
          <w:tcPr>
            <w:tcW w:w="993"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15.0</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12.1</w:t>
            </w:r>
          </w:p>
        </w:tc>
        <w:tc>
          <w:tcPr>
            <w:tcW w:w="907" w:type="dxa"/>
            <w:tcBorders>
              <w:top w:val="single" w:sz="6" w:space="0" w:color="auto"/>
            </w:tcBorders>
            <w:shd w:val="clear" w:color="auto" w:fill="auto"/>
            <w:noWrap/>
          </w:tcPr>
          <w:p w:rsidR="00B958B1" w:rsidRDefault="00B958B1" w:rsidP="009F3B54">
            <w:pPr>
              <w:pStyle w:val="OGTableofFigures"/>
              <w:rPr>
                <w:rFonts w:cs="Calibri"/>
                <w:color w:val="C0504D"/>
                <w:szCs w:val="20"/>
              </w:rPr>
            </w:pPr>
            <w:r w:rsidRPr="008D6F42">
              <w:rPr>
                <w:rFonts w:cs="Calibri"/>
                <w:szCs w:val="20"/>
              </w:rPr>
              <w:t>14.</w:t>
            </w:r>
            <w:r>
              <w:rPr>
                <w:rFonts w:cs="Calibri"/>
                <w:szCs w:val="20"/>
              </w:rPr>
              <w:t>3</w:t>
            </w:r>
          </w:p>
        </w:tc>
      </w:tr>
      <w:tr w:rsidR="00B958B1" w:rsidRPr="006E5822" w:rsidTr="009F3B54">
        <w:trPr>
          <w:cantSplit/>
        </w:trPr>
        <w:tc>
          <w:tcPr>
            <w:tcW w:w="7776" w:type="dxa"/>
            <w:gridSpan w:val="6"/>
            <w:tcBorders>
              <w:bottom w:val="single" w:sz="6" w:space="0" w:color="auto"/>
            </w:tcBorders>
            <w:shd w:val="clear" w:color="auto" w:fill="auto"/>
          </w:tcPr>
          <w:p w:rsidR="00B958B1" w:rsidRPr="006E5822" w:rsidRDefault="00B958B1" w:rsidP="009F3B54">
            <w:pPr>
              <w:pStyle w:val="OGNotes"/>
            </w:pPr>
            <w:r w:rsidRPr="00863949">
              <w:t>The 2012</w:t>
            </w:r>
            <w:r w:rsidR="009F0F49">
              <w:noBreakHyphen/>
            </w:r>
            <w:r w:rsidRPr="00863949">
              <w:t>13 Expected Outcome is higher than the 2012</w:t>
            </w:r>
            <w:r w:rsidR="009F0F49">
              <w:noBreakHyphen/>
            </w:r>
            <w:r w:rsidRPr="00863949">
              <w:t>13 Target due to higher than anticipated yield from daytrip visitors. The 2013</w:t>
            </w:r>
            <w:r w:rsidR="009F0F49">
              <w:noBreakHyphen/>
            </w:r>
            <w:r w:rsidRPr="00863949">
              <w:t>14 Target is based on an independent forecast that is influenced by 2012</w:t>
            </w:r>
            <w:r w:rsidR="009F0F49">
              <w:noBreakHyphen/>
            </w:r>
            <w:r w:rsidRPr="00863949">
              <w:t>13 results.</w:t>
            </w:r>
          </w:p>
        </w:tc>
      </w:tr>
      <w:tr w:rsidR="00B958B1" w:rsidRPr="006E5822" w:rsidTr="009F3B54">
        <w:trPr>
          <w:cantSplit/>
        </w:trPr>
        <w:tc>
          <w:tcPr>
            <w:tcW w:w="3155" w:type="dxa"/>
            <w:tcBorders>
              <w:top w:val="single" w:sz="6" w:space="0" w:color="auto"/>
            </w:tcBorders>
            <w:shd w:val="clear" w:color="auto" w:fill="auto"/>
          </w:tcPr>
          <w:p w:rsidR="00B958B1" w:rsidRPr="006E5822" w:rsidRDefault="00B958B1" w:rsidP="009F3B54">
            <w:pPr>
              <w:pStyle w:val="OGTabText"/>
              <w:rPr>
                <w:color w:val="000000"/>
                <w:lang w:eastAsia="en-AU"/>
              </w:rPr>
            </w:pPr>
            <w:r w:rsidRPr="006E5822">
              <w:rPr>
                <w:color w:val="000000"/>
                <w:lang w:eastAsia="en-AU"/>
              </w:rPr>
              <w:t>Visitor Expenditure: international</w:t>
            </w:r>
          </w:p>
        </w:tc>
        <w:tc>
          <w:tcPr>
            <w:tcW w:w="907" w:type="dxa"/>
            <w:tcBorders>
              <w:top w:val="single" w:sz="6" w:space="0" w:color="auto"/>
            </w:tcBorders>
            <w:shd w:val="clear" w:color="auto" w:fill="auto"/>
            <w:noWrap/>
          </w:tcPr>
          <w:p w:rsidR="00B958B1" w:rsidRPr="006E5822" w:rsidRDefault="00B958B1" w:rsidP="009F3B54">
            <w:pPr>
              <w:pStyle w:val="OGUoM"/>
              <w:rPr>
                <w:rFonts w:cs="Calibri"/>
                <w:szCs w:val="20"/>
              </w:rPr>
            </w:pPr>
            <w:r w:rsidRPr="006E5822">
              <w:rPr>
                <w:rFonts w:cs="Calibri"/>
                <w:szCs w:val="20"/>
              </w:rPr>
              <w:t>$</w:t>
            </w:r>
            <w:r>
              <w:rPr>
                <w:rFonts w:cs="Calibri"/>
                <w:szCs w:val="20"/>
              </w:rPr>
              <w:t> billion</w:t>
            </w:r>
          </w:p>
        </w:tc>
        <w:tc>
          <w:tcPr>
            <w:tcW w:w="907" w:type="dxa"/>
            <w:tcBorders>
              <w:top w:val="single" w:sz="6" w:space="0" w:color="auto"/>
            </w:tcBorders>
            <w:shd w:val="clear" w:color="auto" w:fill="D9D9D9"/>
            <w:noWrap/>
          </w:tcPr>
          <w:p w:rsidR="00B958B1" w:rsidRPr="006E5822" w:rsidRDefault="00B958B1" w:rsidP="009F3B54">
            <w:pPr>
              <w:pStyle w:val="OGTableofFigures"/>
              <w:rPr>
                <w:rFonts w:cs="Calibri"/>
                <w:color w:val="C0504D"/>
                <w:szCs w:val="20"/>
              </w:rPr>
            </w:pPr>
            <w:r w:rsidRPr="006E5822">
              <w:rPr>
                <w:rFonts w:cs="Calibri"/>
                <w:szCs w:val="20"/>
              </w:rPr>
              <w:t>4.6</w:t>
            </w:r>
          </w:p>
        </w:tc>
        <w:tc>
          <w:tcPr>
            <w:tcW w:w="993" w:type="dxa"/>
            <w:tcBorders>
              <w:top w:val="single" w:sz="6" w:space="0" w:color="auto"/>
            </w:tcBorders>
            <w:shd w:val="clear" w:color="auto" w:fill="auto"/>
            <w:noWrap/>
          </w:tcPr>
          <w:p w:rsidR="00B958B1" w:rsidRPr="006E5822" w:rsidRDefault="00B958B1" w:rsidP="009F3B54">
            <w:pPr>
              <w:pStyle w:val="OGTableofFigures"/>
              <w:rPr>
                <w:rFonts w:cs="Calibri"/>
                <w:szCs w:val="20"/>
              </w:rPr>
            </w:pPr>
            <w:r w:rsidRPr="006E5822">
              <w:rPr>
                <w:rFonts w:cs="Calibri"/>
                <w:szCs w:val="20"/>
              </w:rPr>
              <w:t>4.4</w:t>
            </w:r>
          </w:p>
        </w:tc>
        <w:tc>
          <w:tcPr>
            <w:tcW w:w="907" w:type="dxa"/>
            <w:tcBorders>
              <w:top w:val="single" w:sz="6" w:space="0" w:color="auto"/>
            </w:tcBorders>
            <w:shd w:val="clear" w:color="auto" w:fill="auto"/>
            <w:noWrap/>
          </w:tcPr>
          <w:p w:rsidR="00B958B1" w:rsidRPr="006E5822" w:rsidRDefault="00B958B1" w:rsidP="009F3B54">
            <w:pPr>
              <w:pStyle w:val="OGTableofFigures"/>
              <w:rPr>
                <w:rFonts w:cs="Calibri"/>
                <w:szCs w:val="20"/>
              </w:rPr>
            </w:pPr>
            <w:r w:rsidRPr="006E5822">
              <w:rPr>
                <w:rFonts w:cs="Calibri"/>
                <w:szCs w:val="20"/>
              </w:rPr>
              <w:t>3.8</w:t>
            </w:r>
          </w:p>
        </w:tc>
        <w:tc>
          <w:tcPr>
            <w:tcW w:w="907" w:type="dxa"/>
            <w:tcBorders>
              <w:top w:val="single" w:sz="6" w:space="0" w:color="auto"/>
            </w:tcBorders>
            <w:shd w:val="clear" w:color="auto" w:fill="auto"/>
            <w:noWrap/>
          </w:tcPr>
          <w:p w:rsidR="00B958B1" w:rsidRPr="006E5822" w:rsidRDefault="00B958B1" w:rsidP="009F3B54">
            <w:pPr>
              <w:pStyle w:val="OGTableofFigures"/>
              <w:rPr>
                <w:rFonts w:cs="Calibri"/>
                <w:szCs w:val="20"/>
              </w:rPr>
            </w:pPr>
            <w:r w:rsidRPr="006E5822">
              <w:rPr>
                <w:rFonts w:cs="Calibri"/>
                <w:szCs w:val="20"/>
              </w:rPr>
              <w:t>4.3</w:t>
            </w:r>
          </w:p>
        </w:tc>
      </w:tr>
      <w:tr w:rsidR="00B958B1" w:rsidRPr="006E5822" w:rsidTr="009F3B54">
        <w:trPr>
          <w:cantSplit/>
        </w:trPr>
        <w:tc>
          <w:tcPr>
            <w:tcW w:w="7776" w:type="dxa"/>
            <w:gridSpan w:val="6"/>
            <w:tcBorders>
              <w:bottom w:val="single" w:sz="6" w:space="0" w:color="auto"/>
            </w:tcBorders>
            <w:shd w:val="clear" w:color="auto" w:fill="auto"/>
          </w:tcPr>
          <w:p w:rsidR="00B958B1" w:rsidRPr="006E5822" w:rsidRDefault="00B958B1" w:rsidP="009F3B54">
            <w:pPr>
              <w:pStyle w:val="OGNotes"/>
            </w:pPr>
            <w:r w:rsidRPr="006E5822">
              <w:t xml:space="preserve">The </w:t>
            </w:r>
            <w:r>
              <w:t>2012</w:t>
            </w:r>
            <w:r w:rsidR="009F0F49">
              <w:noBreakHyphen/>
            </w:r>
            <w:r>
              <w:t xml:space="preserve">13 </w:t>
            </w:r>
            <w:r w:rsidRPr="006E5822">
              <w:t>Expected Outcome is higher than the 2012</w:t>
            </w:r>
            <w:r w:rsidR="009F0F49">
              <w:noBreakHyphen/>
            </w:r>
            <w:r w:rsidRPr="006E5822">
              <w:t>13 Target due to higher than anticipated yield from China and other Asian growth markets. The 2013</w:t>
            </w:r>
            <w:r w:rsidR="009F0F49">
              <w:noBreakHyphen/>
            </w:r>
            <w:r w:rsidRPr="006E5822">
              <w:t>14 Target is based on an independent forecast that is influenced by 2012</w:t>
            </w:r>
            <w:r w:rsidR="009F0F49">
              <w:noBreakHyphen/>
            </w:r>
            <w:r w:rsidRPr="006E5822">
              <w:t>13 results.</w:t>
            </w:r>
          </w:p>
        </w:tc>
      </w:tr>
      <w:tr w:rsidR="00B958B1" w:rsidRPr="006E5822" w:rsidTr="009F3B54">
        <w:trPr>
          <w:cantSplit/>
        </w:trPr>
        <w:tc>
          <w:tcPr>
            <w:tcW w:w="3155" w:type="dxa"/>
            <w:tcBorders>
              <w:top w:val="single" w:sz="6" w:space="0" w:color="auto"/>
            </w:tcBorders>
            <w:shd w:val="clear" w:color="auto" w:fill="auto"/>
          </w:tcPr>
          <w:p w:rsidR="00B958B1" w:rsidRPr="006E5822" w:rsidRDefault="00B958B1" w:rsidP="009F3B54">
            <w:pPr>
              <w:pStyle w:val="OGTabText"/>
              <w:rPr>
                <w:color w:val="000000"/>
                <w:lang w:eastAsia="en-AU"/>
              </w:rPr>
            </w:pPr>
            <w:r w:rsidRPr="006E5822">
              <w:rPr>
                <w:color w:val="000000"/>
                <w:lang w:eastAsia="en-AU"/>
              </w:rPr>
              <w:t>Visitor Expenditure: regional Victoria (domestic)</w:t>
            </w:r>
          </w:p>
        </w:tc>
        <w:tc>
          <w:tcPr>
            <w:tcW w:w="907" w:type="dxa"/>
            <w:tcBorders>
              <w:top w:val="single" w:sz="6" w:space="0" w:color="auto"/>
            </w:tcBorders>
            <w:shd w:val="clear" w:color="auto" w:fill="auto"/>
            <w:noWrap/>
          </w:tcPr>
          <w:p w:rsidR="00B958B1" w:rsidRPr="006E5822" w:rsidRDefault="00B958B1" w:rsidP="009F3B54">
            <w:pPr>
              <w:pStyle w:val="OGUoM"/>
              <w:rPr>
                <w:rFonts w:cs="Calibri"/>
                <w:szCs w:val="20"/>
              </w:rPr>
            </w:pPr>
            <w:r w:rsidRPr="006E5822">
              <w:rPr>
                <w:rFonts w:cs="Calibri"/>
                <w:szCs w:val="20"/>
              </w:rPr>
              <w:t>$</w:t>
            </w:r>
            <w:r>
              <w:rPr>
                <w:rFonts w:cs="Calibri"/>
                <w:szCs w:val="20"/>
              </w:rPr>
              <w:t> billion</w:t>
            </w:r>
          </w:p>
        </w:tc>
        <w:tc>
          <w:tcPr>
            <w:tcW w:w="907" w:type="dxa"/>
            <w:tcBorders>
              <w:top w:val="single" w:sz="6" w:space="0" w:color="auto"/>
            </w:tcBorders>
            <w:shd w:val="clear" w:color="auto" w:fill="D9D9D9"/>
            <w:noWrap/>
          </w:tcPr>
          <w:p w:rsidR="00B958B1" w:rsidRPr="006E5822" w:rsidRDefault="00B958B1" w:rsidP="009F3B54">
            <w:pPr>
              <w:pStyle w:val="OGTableofFigures"/>
              <w:rPr>
                <w:rFonts w:cs="Calibri"/>
                <w:color w:val="C0504D"/>
                <w:szCs w:val="20"/>
              </w:rPr>
            </w:pPr>
            <w:r w:rsidRPr="006E5822">
              <w:rPr>
                <w:rFonts w:cs="Calibri"/>
                <w:szCs w:val="20"/>
              </w:rPr>
              <w:t>7.1</w:t>
            </w:r>
          </w:p>
        </w:tc>
        <w:tc>
          <w:tcPr>
            <w:tcW w:w="993" w:type="dxa"/>
            <w:tcBorders>
              <w:top w:val="single" w:sz="6" w:space="0" w:color="auto"/>
            </w:tcBorders>
            <w:shd w:val="clear" w:color="auto" w:fill="auto"/>
            <w:noWrap/>
          </w:tcPr>
          <w:p w:rsidR="00B958B1" w:rsidRPr="006E5822" w:rsidRDefault="00B958B1" w:rsidP="009F3B54">
            <w:pPr>
              <w:pStyle w:val="OGTableofFigures"/>
              <w:rPr>
                <w:rFonts w:cs="Calibri"/>
                <w:szCs w:val="20"/>
              </w:rPr>
            </w:pPr>
            <w:r w:rsidRPr="006E5822">
              <w:rPr>
                <w:rFonts w:cs="Calibri"/>
                <w:szCs w:val="20"/>
              </w:rPr>
              <w:t>7.0</w:t>
            </w:r>
          </w:p>
        </w:tc>
        <w:tc>
          <w:tcPr>
            <w:tcW w:w="907" w:type="dxa"/>
            <w:tcBorders>
              <w:top w:val="single" w:sz="6" w:space="0" w:color="auto"/>
            </w:tcBorders>
            <w:shd w:val="clear" w:color="auto" w:fill="auto"/>
            <w:noWrap/>
          </w:tcPr>
          <w:p w:rsidR="00B958B1" w:rsidRPr="006E5822" w:rsidRDefault="00B958B1" w:rsidP="009F3B54">
            <w:pPr>
              <w:pStyle w:val="OGTableofFigures"/>
              <w:rPr>
                <w:rFonts w:cs="Calibri"/>
                <w:szCs w:val="20"/>
              </w:rPr>
            </w:pPr>
            <w:r w:rsidRPr="006E5822">
              <w:rPr>
                <w:rFonts w:cs="Calibri"/>
                <w:szCs w:val="20"/>
              </w:rPr>
              <w:t>5.9</w:t>
            </w:r>
          </w:p>
        </w:tc>
        <w:tc>
          <w:tcPr>
            <w:tcW w:w="907" w:type="dxa"/>
            <w:tcBorders>
              <w:top w:val="single" w:sz="6" w:space="0" w:color="auto"/>
            </w:tcBorders>
            <w:shd w:val="clear" w:color="auto" w:fill="auto"/>
            <w:noWrap/>
          </w:tcPr>
          <w:p w:rsidR="00B958B1" w:rsidRPr="006E5822" w:rsidRDefault="00B958B1" w:rsidP="009F3B54">
            <w:pPr>
              <w:pStyle w:val="OGTableofFigures"/>
              <w:rPr>
                <w:rFonts w:cs="Calibri"/>
                <w:color w:val="C0504D"/>
                <w:szCs w:val="20"/>
              </w:rPr>
            </w:pPr>
            <w:r w:rsidRPr="006E5822">
              <w:rPr>
                <w:rFonts w:cs="Calibri"/>
                <w:szCs w:val="20"/>
              </w:rPr>
              <w:t>7.1</w:t>
            </w:r>
          </w:p>
        </w:tc>
      </w:tr>
      <w:tr w:rsidR="00B958B1" w:rsidRPr="00B63A61" w:rsidTr="009F3B54">
        <w:trPr>
          <w:cantSplit/>
        </w:trPr>
        <w:tc>
          <w:tcPr>
            <w:tcW w:w="7776" w:type="dxa"/>
            <w:gridSpan w:val="6"/>
            <w:tcBorders>
              <w:bottom w:val="single" w:sz="6" w:space="0" w:color="auto"/>
            </w:tcBorders>
            <w:shd w:val="clear" w:color="auto" w:fill="auto"/>
          </w:tcPr>
          <w:p w:rsidR="00B958B1" w:rsidRPr="00A22F37" w:rsidRDefault="00B958B1" w:rsidP="009F3B54">
            <w:pPr>
              <w:pStyle w:val="OGNotes"/>
            </w:pPr>
            <w:r w:rsidRPr="006E5822">
              <w:t>The</w:t>
            </w:r>
            <w:r>
              <w:t xml:space="preserve"> 2012</w:t>
            </w:r>
            <w:r w:rsidR="009F0F49">
              <w:noBreakHyphen/>
            </w:r>
            <w:r>
              <w:t>13</w:t>
            </w:r>
            <w:r w:rsidRPr="006E5822">
              <w:t xml:space="preserve"> Expected Outcome is higher than the 2012</w:t>
            </w:r>
            <w:r w:rsidR="009F0F49">
              <w:noBreakHyphen/>
            </w:r>
            <w:r w:rsidRPr="006E5822">
              <w:t>13 Target due to higher than anticipated yield, particularly from domestic daytrip visitors. The 2013</w:t>
            </w:r>
            <w:r w:rsidR="009F0F49">
              <w:noBreakHyphen/>
            </w:r>
            <w:r w:rsidRPr="006E5822">
              <w:t>14 Target is based on an independent forecast that is influenced by 2012</w:t>
            </w:r>
            <w:r w:rsidR="009F0F49">
              <w:noBreakHyphen/>
            </w:r>
            <w:r w:rsidRPr="006E5822">
              <w:t>13 results</w:t>
            </w:r>
            <w:r>
              <w:t>.</w:t>
            </w:r>
          </w:p>
        </w:tc>
      </w:tr>
      <w:tr w:rsidR="00B958B1" w:rsidRPr="00C76446" w:rsidTr="009F3B54">
        <w:trPr>
          <w:cantSplit/>
        </w:trPr>
        <w:tc>
          <w:tcPr>
            <w:tcW w:w="3155" w:type="dxa"/>
            <w:tcBorders>
              <w:top w:val="single" w:sz="6" w:space="0" w:color="auto"/>
            </w:tcBorders>
            <w:shd w:val="clear" w:color="auto" w:fill="auto"/>
          </w:tcPr>
          <w:p w:rsidR="00B958B1" w:rsidRPr="00F2041F" w:rsidRDefault="00B958B1" w:rsidP="009F3B54">
            <w:pPr>
              <w:pStyle w:val="OGTabText"/>
              <w:rPr>
                <w:color w:val="000000"/>
                <w:lang w:eastAsia="en-AU"/>
              </w:rPr>
            </w:pPr>
            <w:r w:rsidRPr="00F2041F">
              <w:rPr>
                <w:color w:val="000000"/>
                <w:lang w:eastAsia="en-AU"/>
              </w:rPr>
              <w:t>Visitor Expenditure: regional Victoria (international)</w:t>
            </w:r>
          </w:p>
        </w:tc>
        <w:tc>
          <w:tcPr>
            <w:tcW w:w="907" w:type="dxa"/>
            <w:tcBorders>
              <w:top w:val="single" w:sz="6" w:space="0" w:color="auto"/>
            </w:tcBorders>
            <w:shd w:val="clear" w:color="auto" w:fill="auto"/>
            <w:noWrap/>
          </w:tcPr>
          <w:p w:rsidR="00B958B1" w:rsidRDefault="00B958B1" w:rsidP="009F3B54">
            <w:pPr>
              <w:pStyle w:val="OGUoM"/>
              <w:rPr>
                <w:rFonts w:cs="Calibri"/>
                <w:szCs w:val="20"/>
              </w:rPr>
            </w:pPr>
            <w:r>
              <w:rPr>
                <w:rFonts w:cs="Calibri"/>
                <w:szCs w:val="20"/>
              </w:rPr>
              <w:t>$ million</w:t>
            </w:r>
          </w:p>
        </w:tc>
        <w:tc>
          <w:tcPr>
            <w:tcW w:w="907" w:type="dxa"/>
            <w:tcBorders>
              <w:top w:val="single" w:sz="6" w:space="0" w:color="auto"/>
            </w:tcBorders>
            <w:shd w:val="clear" w:color="auto" w:fill="D9D9D9"/>
            <w:noWrap/>
          </w:tcPr>
          <w:p w:rsidR="00B958B1" w:rsidRDefault="00B958B1" w:rsidP="009F3B54">
            <w:pPr>
              <w:pStyle w:val="OGTableofFigures"/>
              <w:rPr>
                <w:rFonts w:cs="Calibri"/>
                <w:color w:val="C0504D"/>
                <w:szCs w:val="20"/>
              </w:rPr>
            </w:pPr>
            <w:r>
              <w:rPr>
                <w:rFonts w:cs="Calibri"/>
                <w:szCs w:val="20"/>
              </w:rPr>
              <w:t>370</w:t>
            </w:r>
          </w:p>
        </w:tc>
        <w:tc>
          <w:tcPr>
            <w:tcW w:w="993"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349</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290</w:t>
            </w:r>
          </w:p>
        </w:tc>
        <w:tc>
          <w:tcPr>
            <w:tcW w:w="907" w:type="dxa"/>
            <w:tcBorders>
              <w:top w:val="single" w:sz="6" w:space="0" w:color="auto"/>
            </w:tcBorders>
            <w:shd w:val="clear" w:color="auto" w:fill="auto"/>
            <w:noWrap/>
          </w:tcPr>
          <w:p w:rsidR="00B958B1" w:rsidRDefault="00B958B1" w:rsidP="009F3B54">
            <w:pPr>
              <w:pStyle w:val="OGTableofFigures"/>
              <w:rPr>
                <w:rFonts w:cs="Calibri"/>
                <w:color w:val="C0504D"/>
                <w:szCs w:val="20"/>
              </w:rPr>
            </w:pPr>
            <w:r w:rsidRPr="003D1CCD">
              <w:rPr>
                <w:rFonts w:cs="Calibri"/>
                <w:szCs w:val="20"/>
              </w:rPr>
              <w:t>3</w:t>
            </w:r>
            <w:r>
              <w:rPr>
                <w:rFonts w:cs="Calibri"/>
                <w:szCs w:val="20"/>
              </w:rPr>
              <w:t>55</w:t>
            </w:r>
          </w:p>
        </w:tc>
      </w:tr>
      <w:tr w:rsidR="00B958B1" w:rsidRPr="006E5822" w:rsidTr="009F3B54">
        <w:trPr>
          <w:cantSplit/>
        </w:trPr>
        <w:tc>
          <w:tcPr>
            <w:tcW w:w="7776" w:type="dxa"/>
            <w:gridSpan w:val="6"/>
            <w:tcBorders>
              <w:bottom w:val="single" w:sz="6" w:space="0" w:color="auto"/>
            </w:tcBorders>
            <w:shd w:val="clear" w:color="auto" w:fill="auto"/>
          </w:tcPr>
          <w:p w:rsidR="00B958B1" w:rsidRPr="006E5822" w:rsidRDefault="00B958B1" w:rsidP="009F3B54">
            <w:pPr>
              <w:pStyle w:val="OGNotes"/>
            </w:pPr>
            <w:r w:rsidRPr="006E5822">
              <w:t xml:space="preserve">The </w:t>
            </w:r>
            <w:r>
              <w:t>2012</w:t>
            </w:r>
            <w:r w:rsidR="009F0F49">
              <w:noBreakHyphen/>
            </w:r>
            <w:r>
              <w:t xml:space="preserve">13 </w:t>
            </w:r>
            <w:r w:rsidRPr="006E5822">
              <w:t>Expected Outcome is higher than the 2012</w:t>
            </w:r>
            <w:r w:rsidR="009F0F49">
              <w:noBreakHyphen/>
            </w:r>
            <w:r w:rsidRPr="006E5822">
              <w:t>13 Target due to higher than anticipated visitor numbers and yield from Asian markets. The 2013</w:t>
            </w:r>
            <w:r w:rsidR="009F0F49">
              <w:noBreakHyphen/>
            </w:r>
            <w:r w:rsidRPr="006E5822">
              <w:t>14 Target is based on an independent forecast that is influenced by 2012</w:t>
            </w:r>
            <w:r w:rsidR="009F0F49">
              <w:noBreakHyphen/>
            </w:r>
            <w:r w:rsidRPr="006E5822">
              <w:t>13 results.</w:t>
            </w:r>
          </w:p>
        </w:tc>
      </w:tr>
      <w:tr w:rsidR="00B958B1" w:rsidRPr="00C76446" w:rsidTr="009F3B54">
        <w:trPr>
          <w:cantSplit/>
        </w:trPr>
        <w:tc>
          <w:tcPr>
            <w:tcW w:w="3155" w:type="dxa"/>
            <w:tcBorders>
              <w:top w:val="single" w:sz="6" w:space="0" w:color="auto"/>
            </w:tcBorders>
            <w:shd w:val="clear" w:color="auto" w:fill="auto"/>
          </w:tcPr>
          <w:p w:rsidR="00B958B1" w:rsidRPr="008858DC" w:rsidRDefault="00B958B1" w:rsidP="009F3B54">
            <w:pPr>
              <w:pStyle w:val="OGTabHead"/>
              <w:rPr>
                <w:lang w:eastAsia="en-AU"/>
              </w:rPr>
            </w:pPr>
            <w:r w:rsidRPr="008858DC">
              <w:rPr>
                <w:lang w:eastAsia="en-AU"/>
              </w:rPr>
              <w:t>Quality</w:t>
            </w:r>
          </w:p>
        </w:tc>
        <w:tc>
          <w:tcPr>
            <w:tcW w:w="907" w:type="dxa"/>
            <w:tcBorders>
              <w:top w:val="single" w:sz="6" w:space="0" w:color="auto"/>
            </w:tcBorders>
            <w:shd w:val="clear" w:color="auto" w:fill="auto"/>
            <w:noWrap/>
          </w:tcPr>
          <w:p w:rsidR="00B958B1" w:rsidRDefault="00B958B1" w:rsidP="009F3B54">
            <w:pPr>
              <w:pStyle w:val="OGTabHead"/>
              <w:rPr>
                <w:rFonts w:cs="Calibri"/>
                <w:szCs w:val="20"/>
              </w:rPr>
            </w:pPr>
          </w:p>
        </w:tc>
        <w:tc>
          <w:tcPr>
            <w:tcW w:w="907" w:type="dxa"/>
            <w:tcBorders>
              <w:top w:val="single" w:sz="6" w:space="0" w:color="auto"/>
            </w:tcBorders>
            <w:shd w:val="clear" w:color="auto" w:fill="D9D9D9"/>
            <w:noWrap/>
          </w:tcPr>
          <w:p w:rsidR="00B958B1" w:rsidRDefault="00B958B1" w:rsidP="009F3B54">
            <w:pPr>
              <w:pStyle w:val="OGTabHead"/>
              <w:rPr>
                <w:rFonts w:cs="Calibri"/>
                <w:szCs w:val="20"/>
              </w:rPr>
            </w:pPr>
          </w:p>
        </w:tc>
        <w:tc>
          <w:tcPr>
            <w:tcW w:w="993" w:type="dxa"/>
            <w:tcBorders>
              <w:top w:val="single" w:sz="6" w:space="0" w:color="auto"/>
            </w:tcBorders>
            <w:shd w:val="clear" w:color="auto" w:fill="auto"/>
            <w:noWrap/>
          </w:tcPr>
          <w:p w:rsidR="00B958B1" w:rsidRDefault="00B958B1" w:rsidP="009F3B54">
            <w:pPr>
              <w:pStyle w:val="OGTabHead"/>
              <w:rPr>
                <w:rFonts w:cs="Calibri"/>
                <w:szCs w:val="20"/>
              </w:rPr>
            </w:pPr>
          </w:p>
        </w:tc>
        <w:tc>
          <w:tcPr>
            <w:tcW w:w="907" w:type="dxa"/>
            <w:tcBorders>
              <w:top w:val="single" w:sz="6" w:space="0" w:color="auto"/>
            </w:tcBorders>
            <w:shd w:val="clear" w:color="auto" w:fill="auto"/>
            <w:noWrap/>
          </w:tcPr>
          <w:p w:rsidR="00B958B1" w:rsidRDefault="00B958B1" w:rsidP="009F3B54">
            <w:pPr>
              <w:pStyle w:val="OGTabHead"/>
              <w:rPr>
                <w:rFonts w:cs="Calibri"/>
                <w:szCs w:val="20"/>
              </w:rPr>
            </w:pPr>
          </w:p>
        </w:tc>
        <w:tc>
          <w:tcPr>
            <w:tcW w:w="907" w:type="dxa"/>
            <w:tcBorders>
              <w:top w:val="single" w:sz="6" w:space="0" w:color="auto"/>
            </w:tcBorders>
            <w:shd w:val="clear" w:color="auto" w:fill="auto"/>
            <w:noWrap/>
          </w:tcPr>
          <w:p w:rsidR="00B958B1" w:rsidRDefault="00B958B1" w:rsidP="009F3B54">
            <w:pPr>
              <w:pStyle w:val="OGTabHead"/>
              <w:rPr>
                <w:rFonts w:cs="Calibri"/>
                <w:szCs w:val="20"/>
              </w:rPr>
            </w:pPr>
          </w:p>
        </w:tc>
      </w:tr>
      <w:tr w:rsidR="00B958B1" w:rsidRPr="00C76446" w:rsidTr="009F3B54">
        <w:trPr>
          <w:cantSplit/>
        </w:trPr>
        <w:tc>
          <w:tcPr>
            <w:tcW w:w="3155" w:type="dxa"/>
            <w:shd w:val="clear" w:color="auto" w:fill="auto"/>
          </w:tcPr>
          <w:p w:rsidR="00B958B1" w:rsidRPr="007B25D9" w:rsidRDefault="00B958B1" w:rsidP="009F3B54">
            <w:pPr>
              <w:pStyle w:val="OGTabText"/>
              <w:rPr>
                <w:color w:val="000000"/>
                <w:lang w:eastAsia="en-AU"/>
              </w:rPr>
            </w:pPr>
            <w:r w:rsidRPr="008858DC">
              <w:rPr>
                <w:color w:val="000000"/>
                <w:lang w:eastAsia="en-AU"/>
              </w:rPr>
              <w:t>Value of media coverage generated: domestic</w:t>
            </w:r>
          </w:p>
        </w:tc>
        <w:tc>
          <w:tcPr>
            <w:tcW w:w="907" w:type="dxa"/>
            <w:shd w:val="clear" w:color="auto" w:fill="auto"/>
            <w:noWrap/>
          </w:tcPr>
          <w:p w:rsidR="00B958B1" w:rsidRDefault="00B958B1" w:rsidP="009F3B54">
            <w:pPr>
              <w:pStyle w:val="OGUoM"/>
              <w:rPr>
                <w:rFonts w:cs="Calibri"/>
                <w:szCs w:val="20"/>
              </w:rPr>
            </w:pPr>
            <w:r>
              <w:rPr>
                <w:rFonts w:cs="Calibri"/>
                <w:szCs w:val="20"/>
              </w:rPr>
              <w:t>$ million</w:t>
            </w:r>
          </w:p>
        </w:tc>
        <w:tc>
          <w:tcPr>
            <w:tcW w:w="907" w:type="dxa"/>
            <w:shd w:val="clear" w:color="auto" w:fill="D9D9D9"/>
            <w:noWrap/>
          </w:tcPr>
          <w:p w:rsidR="00B958B1" w:rsidRDefault="00B958B1" w:rsidP="009F3B54">
            <w:pPr>
              <w:pStyle w:val="OGTableofFigures"/>
              <w:rPr>
                <w:rFonts w:cs="Calibri"/>
                <w:szCs w:val="20"/>
              </w:rPr>
            </w:pPr>
            <w:r>
              <w:rPr>
                <w:rFonts w:cs="Calibri"/>
                <w:szCs w:val="20"/>
              </w:rPr>
              <w:t>20</w:t>
            </w:r>
          </w:p>
        </w:tc>
        <w:tc>
          <w:tcPr>
            <w:tcW w:w="993" w:type="dxa"/>
            <w:shd w:val="clear" w:color="auto" w:fill="auto"/>
            <w:noWrap/>
          </w:tcPr>
          <w:p w:rsidR="00B958B1" w:rsidRDefault="00B958B1" w:rsidP="009F3B54">
            <w:pPr>
              <w:pStyle w:val="OGTableofFigures"/>
              <w:rPr>
                <w:rFonts w:cs="Calibri"/>
                <w:szCs w:val="20"/>
              </w:rPr>
            </w:pPr>
            <w:r>
              <w:rPr>
                <w:rFonts w:cs="Calibri"/>
                <w:szCs w:val="20"/>
              </w:rPr>
              <w:t>20</w:t>
            </w:r>
          </w:p>
        </w:tc>
        <w:tc>
          <w:tcPr>
            <w:tcW w:w="907" w:type="dxa"/>
            <w:shd w:val="clear" w:color="auto" w:fill="auto"/>
            <w:noWrap/>
          </w:tcPr>
          <w:p w:rsidR="00B958B1" w:rsidRDefault="00B958B1" w:rsidP="009F3B54">
            <w:pPr>
              <w:pStyle w:val="OGTableofFigures"/>
              <w:rPr>
                <w:rFonts w:cs="Calibri"/>
                <w:szCs w:val="20"/>
              </w:rPr>
            </w:pPr>
            <w:r>
              <w:rPr>
                <w:rFonts w:cs="Calibri"/>
                <w:szCs w:val="20"/>
              </w:rPr>
              <w:t>20</w:t>
            </w:r>
          </w:p>
        </w:tc>
        <w:tc>
          <w:tcPr>
            <w:tcW w:w="907" w:type="dxa"/>
            <w:shd w:val="clear" w:color="auto" w:fill="auto"/>
            <w:noWrap/>
          </w:tcPr>
          <w:p w:rsidR="00B958B1" w:rsidRDefault="00B958B1" w:rsidP="009F3B54">
            <w:pPr>
              <w:pStyle w:val="OGTableofFigures"/>
              <w:rPr>
                <w:rFonts w:cs="Calibri"/>
                <w:szCs w:val="20"/>
              </w:rPr>
            </w:pPr>
            <w:r>
              <w:rPr>
                <w:rFonts w:cs="Calibri"/>
                <w:szCs w:val="20"/>
              </w:rPr>
              <w:t>24.5</w:t>
            </w:r>
          </w:p>
        </w:tc>
      </w:tr>
      <w:tr w:rsidR="00B958B1" w:rsidRPr="00C76446" w:rsidTr="009F3B54">
        <w:trPr>
          <w:cantSplit/>
        </w:trPr>
        <w:tc>
          <w:tcPr>
            <w:tcW w:w="7776" w:type="dxa"/>
            <w:gridSpan w:val="6"/>
            <w:tcBorders>
              <w:bottom w:val="single" w:sz="6" w:space="0" w:color="auto"/>
            </w:tcBorders>
            <w:shd w:val="clear" w:color="auto" w:fill="auto"/>
          </w:tcPr>
          <w:p w:rsidR="00B958B1" w:rsidRPr="0067013F" w:rsidRDefault="00B958B1" w:rsidP="009F3B54">
            <w:pPr>
              <w:pStyle w:val="OGNotes"/>
              <w:rPr>
                <w:rFonts w:cs="Calibri"/>
              </w:rPr>
            </w:pPr>
            <w:r w:rsidRPr="0067013F">
              <w:t>This measure reflects traditional media and does not measure the growing us</w:t>
            </w:r>
            <w:r>
              <w:t>e</w:t>
            </w:r>
            <w:r w:rsidRPr="0067013F">
              <w:t xml:space="preserve"> of digital and social media</w:t>
            </w:r>
            <w:r>
              <w:t>.</w:t>
            </w:r>
          </w:p>
        </w:tc>
      </w:tr>
      <w:tr w:rsidR="00B958B1" w:rsidRPr="008858DC" w:rsidTr="009F3B54">
        <w:trPr>
          <w:cantSplit/>
        </w:trPr>
        <w:tc>
          <w:tcPr>
            <w:tcW w:w="3155" w:type="dxa"/>
            <w:tcBorders>
              <w:top w:val="single" w:sz="6" w:space="0" w:color="auto"/>
            </w:tcBorders>
            <w:shd w:val="clear" w:color="auto" w:fill="auto"/>
          </w:tcPr>
          <w:p w:rsidR="00B958B1" w:rsidRPr="007B25D9" w:rsidRDefault="00B958B1" w:rsidP="009F3B54">
            <w:pPr>
              <w:pStyle w:val="OGTabText"/>
              <w:pageBreakBefore/>
              <w:rPr>
                <w:color w:val="000000"/>
                <w:lang w:eastAsia="en-AU"/>
              </w:rPr>
            </w:pPr>
            <w:r w:rsidRPr="008858DC">
              <w:rPr>
                <w:color w:val="000000"/>
                <w:lang w:eastAsia="en-AU"/>
              </w:rPr>
              <w:t>Value of media coverage generated: International</w:t>
            </w:r>
          </w:p>
        </w:tc>
        <w:tc>
          <w:tcPr>
            <w:tcW w:w="907" w:type="dxa"/>
            <w:tcBorders>
              <w:top w:val="single" w:sz="6" w:space="0" w:color="auto"/>
            </w:tcBorders>
            <w:shd w:val="clear" w:color="auto" w:fill="auto"/>
            <w:noWrap/>
          </w:tcPr>
          <w:p w:rsidR="00B958B1" w:rsidRDefault="00B958B1" w:rsidP="009F3B54">
            <w:pPr>
              <w:pStyle w:val="OGUoM"/>
              <w:rPr>
                <w:rFonts w:cs="Calibri"/>
                <w:szCs w:val="20"/>
              </w:rPr>
            </w:pPr>
            <w:r>
              <w:rPr>
                <w:rFonts w:cs="Calibri"/>
                <w:szCs w:val="20"/>
              </w:rPr>
              <w:t>$ million</w:t>
            </w:r>
          </w:p>
        </w:tc>
        <w:tc>
          <w:tcPr>
            <w:tcW w:w="907" w:type="dxa"/>
            <w:tcBorders>
              <w:top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40</w:t>
            </w:r>
          </w:p>
        </w:tc>
        <w:tc>
          <w:tcPr>
            <w:tcW w:w="993"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40</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40</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66.1</w:t>
            </w:r>
          </w:p>
        </w:tc>
      </w:tr>
      <w:tr w:rsidR="00B958B1" w:rsidRPr="00C76446" w:rsidTr="009F3B54">
        <w:trPr>
          <w:cantSplit/>
        </w:trPr>
        <w:tc>
          <w:tcPr>
            <w:tcW w:w="7776" w:type="dxa"/>
            <w:gridSpan w:val="6"/>
            <w:tcBorders>
              <w:bottom w:val="single" w:sz="6" w:space="0" w:color="auto"/>
            </w:tcBorders>
            <w:shd w:val="clear" w:color="auto" w:fill="auto"/>
          </w:tcPr>
          <w:p w:rsidR="00B958B1" w:rsidRPr="0067013F" w:rsidRDefault="00B958B1" w:rsidP="009F3B54">
            <w:pPr>
              <w:pStyle w:val="OGNotes"/>
              <w:rPr>
                <w:rFonts w:cs="Calibri"/>
              </w:rPr>
            </w:pPr>
            <w:r w:rsidRPr="0067013F">
              <w:t>This measure reflects traditional media and does not measure the growing us</w:t>
            </w:r>
            <w:r>
              <w:t>e</w:t>
            </w:r>
            <w:r w:rsidRPr="0067013F">
              <w:t xml:space="preserve"> of digital and social media</w:t>
            </w:r>
            <w:r>
              <w:t>.</w:t>
            </w:r>
          </w:p>
        </w:tc>
      </w:tr>
      <w:tr w:rsidR="00B958B1" w:rsidRPr="00EF1DD8" w:rsidTr="009F3B54">
        <w:trPr>
          <w:cantSplit/>
        </w:trPr>
        <w:tc>
          <w:tcPr>
            <w:tcW w:w="3155" w:type="dxa"/>
            <w:tcBorders>
              <w:top w:val="single" w:sz="6" w:space="0" w:color="auto"/>
            </w:tcBorders>
            <w:shd w:val="clear" w:color="auto" w:fill="auto"/>
          </w:tcPr>
          <w:p w:rsidR="00B958B1" w:rsidRPr="007B25D9" w:rsidRDefault="00B958B1" w:rsidP="009F3B54">
            <w:pPr>
              <w:pStyle w:val="OGTabText"/>
              <w:rPr>
                <w:color w:val="000000"/>
                <w:lang w:eastAsia="en-AU"/>
              </w:rPr>
            </w:pPr>
            <w:r w:rsidRPr="008858DC">
              <w:rPr>
                <w:color w:val="000000"/>
                <w:lang w:eastAsia="en-AU"/>
              </w:rPr>
              <w:t>Victoria</w:t>
            </w:r>
            <w:r>
              <w:rPr>
                <w:color w:val="000000"/>
                <w:lang w:eastAsia="en-AU"/>
              </w:rPr>
              <w:t>’</w:t>
            </w:r>
            <w:r w:rsidRPr="008858DC">
              <w:rPr>
                <w:color w:val="000000"/>
                <w:lang w:eastAsia="en-AU"/>
              </w:rPr>
              <w:t>s share of domestic tourism advertising awareness among target markets: intrastate</w:t>
            </w:r>
          </w:p>
        </w:tc>
        <w:tc>
          <w:tcPr>
            <w:tcW w:w="907" w:type="dxa"/>
            <w:tcBorders>
              <w:top w:val="single" w:sz="6" w:space="0" w:color="auto"/>
            </w:tcBorders>
            <w:shd w:val="clear" w:color="auto" w:fill="auto"/>
            <w:noWrap/>
          </w:tcPr>
          <w:p w:rsidR="00B958B1" w:rsidRDefault="00B958B1" w:rsidP="009F3B54">
            <w:pPr>
              <w:pStyle w:val="OGUoM"/>
              <w:rPr>
                <w:rFonts w:cs="Calibri"/>
                <w:szCs w:val="20"/>
              </w:rPr>
            </w:pPr>
            <w:r>
              <w:rPr>
                <w:rFonts w:cs="Calibri"/>
                <w:szCs w:val="20"/>
              </w:rPr>
              <w:t>per cent</w:t>
            </w:r>
          </w:p>
        </w:tc>
        <w:tc>
          <w:tcPr>
            <w:tcW w:w="907" w:type="dxa"/>
            <w:tcBorders>
              <w:top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16</w:t>
            </w:r>
          </w:p>
        </w:tc>
        <w:tc>
          <w:tcPr>
            <w:tcW w:w="993"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16</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16</w:t>
            </w:r>
          </w:p>
        </w:tc>
        <w:tc>
          <w:tcPr>
            <w:tcW w:w="907" w:type="dxa"/>
            <w:tcBorders>
              <w:top w:val="single" w:sz="6" w:space="0" w:color="auto"/>
            </w:tcBorders>
            <w:shd w:val="clear" w:color="auto" w:fill="auto"/>
            <w:noWrap/>
          </w:tcPr>
          <w:p w:rsidR="00B958B1" w:rsidRPr="00EF1DD8" w:rsidRDefault="00B958B1" w:rsidP="009F3B54">
            <w:pPr>
              <w:pStyle w:val="OGTableofFigures"/>
              <w:rPr>
                <w:rFonts w:cs="Calibri"/>
                <w:szCs w:val="20"/>
              </w:rPr>
            </w:pPr>
            <w:r w:rsidRPr="00EF1DD8">
              <w:rPr>
                <w:rFonts w:cs="Calibri"/>
                <w:szCs w:val="20"/>
              </w:rPr>
              <w:t>16</w:t>
            </w:r>
          </w:p>
        </w:tc>
      </w:tr>
      <w:tr w:rsidR="00B958B1" w:rsidRPr="00C76446" w:rsidTr="009F3B54">
        <w:trPr>
          <w:cantSplit/>
        </w:trPr>
        <w:tc>
          <w:tcPr>
            <w:tcW w:w="7776" w:type="dxa"/>
            <w:gridSpan w:val="6"/>
            <w:tcBorders>
              <w:bottom w:val="single" w:sz="6" w:space="0" w:color="auto"/>
            </w:tcBorders>
            <w:shd w:val="clear" w:color="auto" w:fill="auto"/>
          </w:tcPr>
          <w:p w:rsidR="00B958B1" w:rsidRPr="0067013F" w:rsidRDefault="00B958B1" w:rsidP="009F3B54">
            <w:pPr>
              <w:pStyle w:val="OGNotes"/>
              <w:rPr>
                <w:rFonts w:cs="Calibri"/>
              </w:rPr>
            </w:pPr>
            <w:r w:rsidRPr="0067013F">
              <w:t>This measure reflects traditional media and does not measure the growing us</w:t>
            </w:r>
            <w:r>
              <w:t>e</w:t>
            </w:r>
            <w:r w:rsidRPr="0067013F">
              <w:t xml:space="preserve"> of digital and social media</w:t>
            </w:r>
            <w:r>
              <w:t>.</w:t>
            </w:r>
          </w:p>
        </w:tc>
      </w:tr>
      <w:tr w:rsidR="00B958B1" w:rsidRPr="00EF1DD8" w:rsidTr="009F3B54">
        <w:trPr>
          <w:cantSplit/>
        </w:trPr>
        <w:tc>
          <w:tcPr>
            <w:tcW w:w="3155" w:type="dxa"/>
            <w:tcBorders>
              <w:top w:val="single" w:sz="6" w:space="0" w:color="auto"/>
            </w:tcBorders>
            <w:shd w:val="clear" w:color="auto" w:fill="auto"/>
          </w:tcPr>
          <w:p w:rsidR="00B958B1" w:rsidRPr="007B25D9" w:rsidRDefault="00B958B1" w:rsidP="009F3B54">
            <w:pPr>
              <w:pStyle w:val="OGTabText"/>
              <w:rPr>
                <w:color w:val="000000"/>
                <w:lang w:eastAsia="en-AU"/>
              </w:rPr>
            </w:pPr>
            <w:r w:rsidRPr="008858DC">
              <w:rPr>
                <w:color w:val="000000"/>
                <w:lang w:eastAsia="en-AU"/>
              </w:rPr>
              <w:t>Victoria</w:t>
            </w:r>
            <w:r>
              <w:rPr>
                <w:color w:val="000000"/>
                <w:lang w:eastAsia="en-AU"/>
              </w:rPr>
              <w:t>’</w:t>
            </w:r>
            <w:r w:rsidRPr="008858DC">
              <w:rPr>
                <w:color w:val="000000"/>
                <w:lang w:eastAsia="en-AU"/>
              </w:rPr>
              <w:t>s share of domestic tourism advertising awareness among target markets: interstate</w:t>
            </w:r>
          </w:p>
        </w:tc>
        <w:tc>
          <w:tcPr>
            <w:tcW w:w="907" w:type="dxa"/>
            <w:tcBorders>
              <w:top w:val="single" w:sz="6" w:space="0" w:color="auto"/>
            </w:tcBorders>
            <w:shd w:val="clear" w:color="auto" w:fill="auto"/>
            <w:noWrap/>
          </w:tcPr>
          <w:p w:rsidR="00B958B1" w:rsidRDefault="00B958B1" w:rsidP="009F3B54">
            <w:pPr>
              <w:pStyle w:val="OGUoM"/>
              <w:rPr>
                <w:rFonts w:cs="Calibri"/>
                <w:szCs w:val="20"/>
              </w:rPr>
            </w:pPr>
            <w:r>
              <w:rPr>
                <w:rFonts w:cs="Calibri"/>
                <w:szCs w:val="20"/>
              </w:rPr>
              <w:t>per cent</w:t>
            </w:r>
          </w:p>
        </w:tc>
        <w:tc>
          <w:tcPr>
            <w:tcW w:w="907" w:type="dxa"/>
            <w:tcBorders>
              <w:top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25</w:t>
            </w:r>
          </w:p>
        </w:tc>
        <w:tc>
          <w:tcPr>
            <w:tcW w:w="993"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25</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25</w:t>
            </w:r>
          </w:p>
        </w:tc>
        <w:tc>
          <w:tcPr>
            <w:tcW w:w="907" w:type="dxa"/>
            <w:tcBorders>
              <w:top w:val="single" w:sz="6" w:space="0" w:color="auto"/>
            </w:tcBorders>
            <w:shd w:val="clear" w:color="auto" w:fill="auto"/>
            <w:noWrap/>
          </w:tcPr>
          <w:p w:rsidR="00B958B1" w:rsidRPr="00EF1DD8" w:rsidRDefault="00B958B1" w:rsidP="009F3B54">
            <w:pPr>
              <w:pStyle w:val="OGTableofFigures"/>
              <w:rPr>
                <w:rFonts w:cs="Calibri"/>
                <w:szCs w:val="20"/>
              </w:rPr>
            </w:pPr>
            <w:r>
              <w:rPr>
                <w:rFonts w:cs="Calibri"/>
                <w:szCs w:val="20"/>
              </w:rPr>
              <w:t>27.7</w:t>
            </w:r>
          </w:p>
        </w:tc>
      </w:tr>
      <w:tr w:rsidR="00B958B1" w:rsidRPr="00C76446" w:rsidTr="009F3B54">
        <w:trPr>
          <w:cantSplit/>
        </w:trPr>
        <w:tc>
          <w:tcPr>
            <w:tcW w:w="7776" w:type="dxa"/>
            <w:gridSpan w:val="6"/>
            <w:tcBorders>
              <w:bottom w:val="single" w:sz="6" w:space="0" w:color="auto"/>
            </w:tcBorders>
            <w:shd w:val="clear" w:color="auto" w:fill="auto"/>
          </w:tcPr>
          <w:p w:rsidR="00B958B1" w:rsidRPr="0067013F" w:rsidRDefault="00B958B1" w:rsidP="009F3B54">
            <w:pPr>
              <w:pStyle w:val="OGNotes"/>
              <w:rPr>
                <w:rFonts w:cs="Calibri"/>
              </w:rPr>
            </w:pPr>
            <w:r w:rsidRPr="0067013F">
              <w:t>This measure reflects traditional media and does not measure the growing us</w:t>
            </w:r>
            <w:r>
              <w:t>e</w:t>
            </w:r>
            <w:r w:rsidRPr="0067013F">
              <w:t xml:space="preserve"> of digital and social media</w:t>
            </w:r>
            <w:r>
              <w:t>.</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Head"/>
              <w:rPr>
                <w:lang w:eastAsia="en-AU"/>
              </w:rPr>
            </w:pPr>
            <w:r w:rsidRPr="004F1A91">
              <w:rPr>
                <w:lang w:eastAsia="en-AU"/>
              </w:rPr>
              <w:t>Cost</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D9D9D9"/>
            <w:noWrap/>
          </w:tcPr>
          <w:p w:rsidR="00B958B1" w:rsidRPr="00C76446" w:rsidRDefault="00B958B1" w:rsidP="009F3B54">
            <w:pPr>
              <w:pStyle w:val="OGTabHead"/>
              <w:rPr>
                <w:lang w:eastAsia="en-AU"/>
              </w:rPr>
            </w:pPr>
            <w:r w:rsidRPr="00C76446">
              <w:rPr>
                <w:lang w:eastAsia="en-AU"/>
              </w:rPr>
              <w:t> </w:t>
            </w:r>
          </w:p>
        </w:tc>
        <w:tc>
          <w:tcPr>
            <w:tcW w:w="993"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r>
      <w:tr w:rsidR="00B958B1" w:rsidRPr="00C76446" w:rsidTr="009F3B54">
        <w:trPr>
          <w:cantSplit/>
        </w:trPr>
        <w:tc>
          <w:tcPr>
            <w:tcW w:w="3155" w:type="dxa"/>
            <w:shd w:val="clear" w:color="auto" w:fill="auto"/>
          </w:tcPr>
          <w:p w:rsidR="00B958B1" w:rsidRPr="00C76446" w:rsidRDefault="00B958B1" w:rsidP="009F3B54">
            <w:pPr>
              <w:pStyle w:val="OGTabText"/>
              <w:rPr>
                <w:color w:val="000000"/>
                <w:lang w:eastAsia="en-AU"/>
              </w:rPr>
            </w:pPr>
            <w:r w:rsidRPr="00C76446">
              <w:rPr>
                <w:color w:val="000000"/>
                <w:lang w:eastAsia="en-AU"/>
              </w:rPr>
              <w:t>Total output cost</w:t>
            </w:r>
          </w:p>
        </w:tc>
        <w:tc>
          <w:tcPr>
            <w:tcW w:w="907" w:type="dxa"/>
            <w:shd w:val="clear" w:color="auto" w:fill="auto"/>
            <w:noWrap/>
          </w:tcPr>
          <w:p w:rsidR="00B958B1" w:rsidRDefault="00B958B1" w:rsidP="009F3B54">
            <w:pPr>
              <w:pStyle w:val="OGUoM"/>
              <w:rPr>
                <w:rFonts w:cs="Calibri"/>
                <w:szCs w:val="20"/>
              </w:rPr>
            </w:pPr>
            <w:r>
              <w:rPr>
                <w:rFonts w:cs="Calibri"/>
                <w:szCs w:val="20"/>
              </w:rPr>
              <w:t>$ million</w:t>
            </w:r>
          </w:p>
        </w:tc>
        <w:tc>
          <w:tcPr>
            <w:tcW w:w="907" w:type="dxa"/>
            <w:shd w:val="clear" w:color="auto" w:fill="D9D9D9"/>
            <w:noWrap/>
          </w:tcPr>
          <w:p w:rsidR="00B958B1" w:rsidRPr="000339BB" w:rsidRDefault="00B958B1" w:rsidP="009F3B54">
            <w:pPr>
              <w:pStyle w:val="OGTableofFigures"/>
              <w:rPr>
                <w:rFonts w:cs="Calibri"/>
                <w:szCs w:val="20"/>
              </w:rPr>
            </w:pPr>
            <w:r w:rsidRPr="000339BB">
              <w:rPr>
                <w:rFonts w:cs="Calibri"/>
                <w:szCs w:val="20"/>
              </w:rPr>
              <w:t>82.7</w:t>
            </w:r>
          </w:p>
        </w:tc>
        <w:tc>
          <w:tcPr>
            <w:tcW w:w="993" w:type="dxa"/>
            <w:shd w:val="clear" w:color="auto" w:fill="auto"/>
            <w:noWrap/>
          </w:tcPr>
          <w:p w:rsidR="00B958B1" w:rsidRPr="000339BB" w:rsidRDefault="00B958B1" w:rsidP="009F3B54">
            <w:pPr>
              <w:pStyle w:val="OGTableofFigures"/>
              <w:rPr>
                <w:rFonts w:cs="Calibri"/>
                <w:szCs w:val="20"/>
              </w:rPr>
            </w:pPr>
            <w:r w:rsidRPr="000339BB">
              <w:rPr>
                <w:rFonts w:cs="Calibri"/>
                <w:szCs w:val="20"/>
              </w:rPr>
              <w:t>157.3</w:t>
            </w:r>
          </w:p>
        </w:tc>
        <w:tc>
          <w:tcPr>
            <w:tcW w:w="907" w:type="dxa"/>
            <w:shd w:val="clear" w:color="auto" w:fill="auto"/>
            <w:noWrap/>
          </w:tcPr>
          <w:p w:rsidR="00B958B1" w:rsidRPr="000339BB" w:rsidRDefault="00B958B1" w:rsidP="009F3B54">
            <w:pPr>
              <w:pStyle w:val="OGTableofFigures"/>
              <w:rPr>
                <w:rFonts w:cs="Calibri"/>
                <w:szCs w:val="20"/>
              </w:rPr>
            </w:pPr>
            <w:r w:rsidRPr="000339BB">
              <w:rPr>
                <w:rFonts w:cs="Calibri"/>
                <w:szCs w:val="20"/>
              </w:rPr>
              <w:t>81.8</w:t>
            </w:r>
          </w:p>
        </w:tc>
        <w:tc>
          <w:tcPr>
            <w:tcW w:w="907" w:type="dxa"/>
            <w:shd w:val="clear" w:color="auto" w:fill="auto"/>
            <w:noWrap/>
          </w:tcPr>
          <w:p w:rsidR="00B958B1" w:rsidRDefault="00B958B1" w:rsidP="009F3B54">
            <w:pPr>
              <w:pStyle w:val="OGTableofFigures"/>
              <w:rPr>
                <w:rFonts w:cs="Calibri"/>
                <w:szCs w:val="20"/>
              </w:rPr>
            </w:pPr>
            <w:r>
              <w:rPr>
                <w:rFonts w:cs="Calibri"/>
                <w:szCs w:val="20"/>
              </w:rPr>
              <w:t>164.2</w:t>
            </w:r>
          </w:p>
        </w:tc>
      </w:tr>
      <w:tr w:rsidR="00B958B1" w:rsidRPr="00C76446" w:rsidTr="009F3B54">
        <w:trPr>
          <w:cantSplit/>
        </w:trPr>
        <w:tc>
          <w:tcPr>
            <w:tcW w:w="7776" w:type="dxa"/>
            <w:gridSpan w:val="6"/>
            <w:tcBorders>
              <w:bottom w:val="single" w:sz="6" w:space="0" w:color="auto"/>
            </w:tcBorders>
            <w:shd w:val="clear" w:color="auto" w:fill="auto"/>
          </w:tcPr>
          <w:p w:rsidR="00B958B1" w:rsidRDefault="00B958B1" w:rsidP="009F3B54">
            <w:pPr>
              <w:pStyle w:val="OGNotes"/>
              <w:rPr>
                <w:rFonts w:cs="Calibri"/>
              </w:rPr>
            </w:pPr>
            <w:r>
              <w:t>Variation between 2012</w:t>
            </w:r>
            <w:r w:rsidR="009F0F49">
              <w:noBreakHyphen/>
            </w:r>
            <w:r>
              <w:t>13 Target and 2013</w:t>
            </w:r>
            <w:r w:rsidR="009F0F49">
              <w:noBreakHyphen/>
            </w:r>
            <w:r>
              <w:t>14 Target reflects new funding received for international education, regional tourism, China tourism, and international markets, partly offset by the completion of other initiatives. Variations between the 2012</w:t>
            </w:r>
            <w:r w:rsidR="009F0F49">
              <w:noBreakHyphen/>
            </w:r>
            <w:r>
              <w:t>13 Budget and 2012</w:t>
            </w:r>
            <w:r w:rsidR="009F0F49">
              <w:noBreakHyphen/>
            </w:r>
            <w:r>
              <w:t>13 Revised reflects additional funding for Major Events.</w:t>
            </w:r>
          </w:p>
        </w:tc>
      </w:tr>
      <w:tr w:rsidR="00B958B1" w:rsidRPr="00025E6A" w:rsidTr="009F3B54">
        <w:trPr>
          <w:cantSplit/>
        </w:trPr>
        <w:tc>
          <w:tcPr>
            <w:tcW w:w="7776" w:type="dxa"/>
            <w:gridSpan w:val="6"/>
            <w:tcBorders>
              <w:top w:val="single" w:sz="6" w:space="0" w:color="auto"/>
            </w:tcBorders>
            <w:shd w:val="clear" w:color="auto" w:fill="auto"/>
          </w:tcPr>
          <w:p w:rsidR="00B958B1" w:rsidRPr="00025E6A" w:rsidRDefault="00B958B1" w:rsidP="009F3B54">
            <w:pPr>
              <w:pStyle w:val="OGHeading2"/>
            </w:pPr>
            <w:r w:rsidRPr="00025E6A">
              <w:t>Innovation and Technology</w:t>
            </w:r>
          </w:p>
        </w:tc>
      </w:tr>
      <w:tr w:rsidR="00B958B1" w:rsidRPr="00C76446" w:rsidTr="009F3B54">
        <w:trPr>
          <w:cantSplit/>
        </w:trPr>
        <w:tc>
          <w:tcPr>
            <w:tcW w:w="7776" w:type="dxa"/>
            <w:gridSpan w:val="6"/>
            <w:tcBorders>
              <w:bottom w:val="single" w:sz="6" w:space="0" w:color="auto"/>
            </w:tcBorders>
            <w:shd w:val="clear" w:color="auto" w:fill="auto"/>
          </w:tcPr>
          <w:p w:rsidR="00B958B1" w:rsidRPr="00C76446" w:rsidRDefault="00B958B1" w:rsidP="009F3B54">
            <w:pPr>
              <w:pStyle w:val="OGText"/>
              <w:rPr>
                <w:lang w:eastAsia="en-AU"/>
              </w:rPr>
            </w:pPr>
            <w:r w:rsidRPr="00C76446">
              <w:rPr>
                <w:lang w:eastAsia="en-AU"/>
              </w:rPr>
              <w:t>Supports innovation by providing access to information and building capacity for the development and effective use of new practices and technologies to support increased productivity and competitiveness in Victoria.</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Head"/>
              <w:rPr>
                <w:lang w:eastAsia="en-AU"/>
              </w:rPr>
            </w:pPr>
            <w:r w:rsidRPr="004F1A91">
              <w:rPr>
                <w:lang w:eastAsia="en-AU"/>
              </w:rPr>
              <w:t>Quantity</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D9D9D9"/>
            <w:noWrap/>
          </w:tcPr>
          <w:p w:rsidR="00B958B1" w:rsidRPr="00C76446" w:rsidRDefault="00B958B1" w:rsidP="009F3B54">
            <w:pPr>
              <w:pStyle w:val="OGTabHead"/>
              <w:rPr>
                <w:lang w:eastAsia="en-AU"/>
              </w:rPr>
            </w:pPr>
            <w:r w:rsidRPr="00C76446">
              <w:rPr>
                <w:lang w:eastAsia="en-AU"/>
              </w:rPr>
              <w:t> </w:t>
            </w:r>
          </w:p>
        </w:tc>
        <w:tc>
          <w:tcPr>
            <w:tcW w:w="993"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r>
      <w:tr w:rsidR="00B958B1" w:rsidRPr="00C76446" w:rsidTr="009F3B54">
        <w:trPr>
          <w:cantSplit/>
        </w:trPr>
        <w:tc>
          <w:tcPr>
            <w:tcW w:w="3155" w:type="dxa"/>
            <w:shd w:val="clear" w:color="auto" w:fill="auto"/>
          </w:tcPr>
          <w:p w:rsidR="00B958B1" w:rsidRPr="0007084D" w:rsidRDefault="00B958B1" w:rsidP="009F3B54">
            <w:pPr>
              <w:pStyle w:val="OGTabText"/>
              <w:rPr>
                <w:rFonts w:cs="Calibri"/>
                <w:color w:val="000000"/>
                <w:szCs w:val="20"/>
              </w:rPr>
            </w:pPr>
            <w:r>
              <w:rPr>
                <w:rFonts w:cs="Calibri"/>
                <w:color w:val="000000"/>
                <w:szCs w:val="20"/>
              </w:rPr>
              <w:t>Additional employment from production supported by Film Victoria</w:t>
            </w:r>
          </w:p>
        </w:tc>
        <w:tc>
          <w:tcPr>
            <w:tcW w:w="907" w:type="dxa"/>
            <w:shd w:val="clear" w:color="auto" w:fill="auto"/>
            <w:noWrap/>
          </w:tcPr>
          <w:p w:rsidR="00B958B1" w:rsidRDefault="00B958B1" w:rsidP="009F3B54">
            <w:pPr>
              <w:pStyle w:val="OGUoM"/>
              <w:rPr>
                <w:rFonts w:cs="Calibri"/>
                <w:szCs w:val="20"/>
              </w:rPr>
            </w:pPr>
            <w:r>
              <w:rPr>
                <w:rFonts w:cs="Calibri"/>
                <w:szCs w:val="20"/>
              </w:rPr>
              <w:t>number</w:t>
            </w:r>
          </w:p>
        </w:tc>
        <w:tc>
          <w:tcPr>
            <w:tcW w:w="907" w:type="dxa"/>
            <w:shd w:val="clear" w:color="auto" w:fill="D9D9D9"/>
            <w:noWrap/>
          </w:tcPr>
          <w:p w:rsidR="00B958B1" w:rsidRDefault="00B958B1" w:rsidP="009F3B54">
            <w:pPr>
              <w:pStyle w:val="OGTableofFigures"/>
              <w:rPr>
                <w:rFonts w:cs="Calibri"/>
                <w:szCs w:val="20"/>
              </w:rPr>
            </w:pPr>
            <w:r>
              <w:rPr>
                <w:rFonts w:cs="Calibri"/>
                <w:szCs w:val="20"/>
              </w:rPr>
              <w:t xml:space="preserve">2 100 </w:t>
            </w:r>
          </w:p>
        </w:tc>
        <w:tc>
          <w:tcPr>
            <w:tcW w:w="993" w:type="dxa"/>
            <w:shd w:val="clear" w:color="auto" w:fill="auto"/>
            <w:noWrap/>
          </w:tcPr>
          <w:p w:rsidR="00B958B1" w:rsidRDefault="00B958B1" w:rsidP="009F3B54">
            <w:pPr>
              <w:pStyle w:val="OGTableofFigures"/>
              <w:rPr>
                <w:rFonts w:cs="Calibri"/>
                <w:szCs w:val="20"/>
              </w:rPr>
            </w:pPr>
            <w:r>
              <w:rPr>
                <w:rFonts w:cs="Calibri"/>
                <w:szCs w:val="20"/>
              </w:rPr>
              <w:t>4 800</w:t>
            </w:r>
          </w:p>
        </w:tc>
        <w:tc>
          <w:tcPr>
            <w:tcW w:w="907" w:type="dxa"/>
            <w:shd w:val="clear" w:color="auto" w:fill="auto"/>
            <w:noWrap/>
          </w:tcPr>
          <w:p w:rsidR="00B958B1" w:rsidRDefault="00B958B1" w:rsidP="009F3B54">
            <w:pPr>
              <w:pStyle w:val="OGTableofFigures"/>
              <w:rPr>
                <w:rFonts w:cs="Calibri"/>
                <w:szCs w:val="20"/>
              </w:rPr>
            </w:pPr>
            <w:r>
              <w:rPr>
                <w:rFonts w:cs="Calibri"/>
                <w:szCs w:val="20"/>
              </w:rPr>
              <w:t xml:space="preserve">1 800 </w:t>
            </w:r>
          </w:p>
        </w:tc>
        <w:tc>
          <w:tcPr>
            <w:tcW w:w="907" w:type="dxa"/>
            <w:shd w:val="clear" w:color="auto" w:fill="auto"/>
            <w:noWrap/>
          </w:tcPr>
          <w:p w:rsidR="00B958B1" w:rsidRDefault="00B958B1" w:rsidP="009F3B54">
            <w:pPr>
              <w:pStyle w:val="OGTableofFigures"/>
              <w:rPr>
                <w:rFonts w:cs="Calibri"/>
                <w:szCs w:val="20"/>
              </w:rPr>
            </w:pPr>
            <w:r>
              <w:rPr>
                <w:rFonts w:cs="Calibri"/>
                <w:szCs w:val="20"/>
              </w:rPr>
              <w:t xml:space="preserve">6 672         </w:t>
            </w:r>
          </w:p>
        </w:tc>
      </w:tr>
      <w:tr w:rsidR="00B958B1" w:rsidRPr="00CD4E5D" w:rsidTr="009F3B54">
        <w:trPr>
          <w:cantSplit/>
        </w:trPr>
        <w:tc>
          <w:tcPr>
            <w:tcW w:w="7776" w:type="dxa"/>
            <w:gridSpan w:val="6"/>
            <w:tcBorders>
              <w:bottom w:val="single" w:sz="6" w:space="0" w:color="auto"/>
            </w:tcBorders>
            <w:shd w:val="clear" w:color="auto" w:fill="auto"/>
          </w:tcPr>
          <w:p w:rsidR="00B958B1" w:rsidRPr="00137311" w:rsidRDefault="00B958B1" w:rsidP="009F3B54">
            <w:pPr>
              <w:pStyle w:val="OGNotes"/>
            </w:pPr>
            <w:r w:rsidRPr="00137311">
              <w:t>The 2012</w:t>
            </w:r>
            <w:r w:rsidR="009F0F49">
              <w:noBreakHyphen/>
            </w:r>
            <w:r w:rsidRPr="00137311">
              <w:t>13 Expected Outcome is higher than the 2012</w:t>
            </w:r>
            <w:r w:rsidR="009F0F49">
              <w:noBreakHyphen/>
            </w:r>
            <w:r w:rsidRPr="00137311">
              <w:t>13 Target as Film Victoria was able to support additional television and digital media production through reprioritisation of funds. The 2013</w:t>
            </w:r>
            <w:r w:rsidR="009F0F49">
              <w:noBreakHyphen/>
            </w:r>
            <w:r w:rsidRPr="00137311">
              <w:t>14 Target is higher than the 2012</w:t>
            </w:r>
            <w:r w:rsidR="009F0F49">
              <w:noBreakHyphen/>
            </w:r>
            <w:r w:rsidRPr="00137311">
              <w:t xml:space="preserve">13 Target as a result of the Screen Jobs, Business </w:t>
            </w:r>
            <w:r>
              <w:t>and</w:t>
            </w:r>
            <w:r w:rsidRPr="00137311">
              <w:t xml:space="preserve"> Skills initiative.</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Text"/>
              <w:rPr>
                <w:lang w:eastAsia="en-AU"/>
              </w:rPr>
            </w:pPr>
            <w:r w:rsidRPr="0007084D">
              <w:rPr>
                <w:lang w:eastAsia="en-AU"/>
              </w:rPr>
              <w:t xml:space="preserve">Average number of </w:t>
            </w:r>
            <w:r w:rsidRPr="00EF7C58">
              <w:t>monthly</w:t>
            </w:r>
            <w:r w:rsidRPr="0007084D">
              <w:rPr>
                <w:lang w:eastAsia="en-AU"/>
              </w:rPr>
              <w:t xml:space="preserve"> visits </w:t>
            </w:r>
            <w:r w:rsidRPr="00EF7C58">
              <w:t xml:space="preserve">to </w:t>
            </w:r>
            <w:hyperlink r:id="rId32" w:history="1">
              <w:r w:rsidRPr="00EF7C58">
                <w:t>www.vic.gov.au</w:t>
              </w:r>
            </w:hyperlink>
          </w:p>
        </w:tc>
        <w:tc>
          <w:tcPr>
            <w:tcW w:w="907" w:type="dxa"/>
            <w:tcBorders>
              <w:top w:val="single" w:sz="6" w:space="0" w:color="auto"/>
            </w:tcBorders>
            <w:shd w:val="clear" w:color="auto" w:fill="auto"/>
            <w:noWrap/>
          </w:tcPr>
          <w:p w:rsidR="00B958B1" w:rsidRDefault="00B958B1" w:rsidP="009F3B54">
            <w:pPr>
              <w:pStyle w:val="OGUoM"/>
              <w:rPr>
                <w:rFonts w:cs="Calibri"/>
                <w:szCs w:val="20"/>
              </w:rPr>
            </w:pPr>
            <w:r>
              <w:rPr>
                <w:rFonts w:cs="Calibri"/>
                <w:szCs w:val="20"/>
              </w:rPr>
              <w:t>number</w:t>
            </w:r>
          </w:p>
        </w:tc>
        <w:tc>
          <w:tcPr>
            <w:tcW w:w="907" w:type="dxa"/>
            <w:tcBorders>
              <w:top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 xml:space="preserve">300 000 </w:t>
            </w:r>
          </w:p>
        </w:tc>
        <w:tc>
          <w:tcPr>
            <w:tcW w:w="993"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507 000</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 xml:space="preserve">420 000 </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 xml:space="preserve">518 231       </w:t>
            </w:r>
          </w:p>
        </w:tc>
      </w:tr>
      <w:tr w:rsidR="00B958B1" w:rsidRPr="00BF1406" w:rsidTr="009F3B54">
        <w:trPr>
          <w:cantSplit/>
        </w:trPr>
        <w:tc>
          <w:tcPr>
            <w:tcW w:w="7776" w:type="dxa"/>
            <w:gridSpan w:val="6"/>
            <w:tcBorders>
              <w:bottom w:val="single" w:sz="6" w:space="0" w:color="auto"/>
            </w:tcBorders>
            <w:shd w:val="clear" w:color="auto" w:fill="auto"/>
          </w:tcPr>
          <w:p w:rsidR="00B958B1" w:rsidRPr="00BF1406" w:rsidRDefault="00B958B1" w:rsidP="009F3B54">
            <w:pPr>
              <w:pStyle w:val="OGNotes"/>
            </w:pPr>
            <w:r w:rsidRPr="00BF1406">
              <w:t>The 2012</w:t>
            </w:r>
            <w:r w:rsidR="009F0F49">
              <w:noBreakHyphen/>
            </w:r>
            <w:r w:rsidRPr="00BF1406">
              <w:t>13 Expected Outcome is higher than the 2012</w:t>
            </w:r>
            <w:r w:rsidR="009F0F49">
              <w:noBreakHyphen/>
            </w:r>
            <w:r w:rsidRPr="00BF1406">
              <w:t xml:space="preserve">13 Target due to continuing </w:t>
            </w:r>
            <w:r>
              <w:t xml:space="preserve">increased </w:t>
            </w:r>
            <w:r w:rsidRPr="00BF1406">
              <w:t>demand from mobile devices.</w:t>
            </w:r>
            <w:r>
              <w:t xml:space="preserve"> The 2013</w:t>
            </w:r>
            <w:r w:rsidR="009F0F49">
              <w:noBreakHyphen/>
            </w:r>
            <w:r>
              <w:t xml:space="preserve">14 Target </w:t>
            </w:r>
            <w:r w:rsidRPr="00BF1406">
              <w:t>reflects the site's redesign and the elimination of duplicate content.</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Text"/>
              <w:rPr>
                <w:color w:val="000000"/>
                <w:lang w:eastAsia="en-AU"/>
              </w:rPr>
            </w:pPr>
            <w:r w:rsidRPr="00C44901">
              <w:rPr>
                <w:color w:val="000000"/>
                <w:lang w:eastAsia="en-AU"/>
              </w:rPr>
              <w:t>Businesses provided with research and development assistance</w:t>
            </w:r>
          </w:p>
        </w:tc>
        <w:tc>
          <w:tcPr>
            <w:tcW w:w="907" w:type="dxa"/>
            <w:tcBorders>
              <w:top w:val="single" w:sz="6" w:space="0" w:color="auto"/>
            </w:tcBorders>
            <w:shd w:val="clear" w:color="auto" w:fill="auto"/>
            <w:noWrap/>
          </w:tcPr>
          <w:p w:rsidR="00B958B1" w:rsidRDefault="00B958B1" w:rsidP="009F3B54">
            <w:pPr>
              <w:pStyle w:val="OGUoM"/>
              <w:rPr>
                <w:rFonts w:cs="Calibri"/>
                <w:szCs w:val="20"/>
              </w:rPr>
            </w:pPr>
            <w:r>
              <w:rPr>
                <w:rFonts w:cs="Calibri"/>
                <w:szCs w:val="20"/>
              </w:rPr>
              <w:t>number</w:t>
            </w:r>
          </w:p>
        </w:tc>
        <w:tc>
          <w:tcPr>
            <w:tcW w:w="907" w:type="dxa"/>
            <w:tcBorders>
              <w:top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180</w:t>
            </w:r>
          </w:p>
        </w:tc>
        <w:tc>
          <w:tcPr>
            <w:tcW w:w="993"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250</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180</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nm</w:t>
            </w:r>
          </w:p>
        </w:tc>
      </w:tr>
      <w:tr w:rsidR="00B958B1" w:rsidRPr="00D25764" w:rsidTr="009F3B54">
        <w:trPr>
          <w:cantSplit/>
        </w:trPr>
        <w:tc>
          <w:tcPr>
            <w:tcW w:w="7776" w:type="dxa"/>
            <w:gridSpan w:val="6"/>
            <w:tcBorders>
              <w:bottom w:val="single" w:sz="6" w:space="0" w:color="auto"/>
            </w:tcBorders>
            <w:shd w:val="clear" w:color="auto" w:fill="auto"/>
          </w:tcPr>
          <w:p w:rsidR="00B958B1" w:rsidRPr="00137311" w:rsidRDefault="00B958B1" w:rsidP="009F3B54">
            <w:pPr>
              <w:pStyle w:val="OGNotes"/>
            </w:pPr>
            <w:r w:rsidRPr="00137311">
              <w:t>The 2012</w:t>
            </w:r>
            <w:r w:rsidR="009F0F49">
              <w:noBreakHyphen/>
            </w:r>
            <w:r w:rsidRPr="00137311">
              <w:t>13 Expected Outcome is higher than the 2012</w:t>
            </w:r>
            <w:r w:rsidR="009F0F49">
              <w:noBreakHyphen/>
            </w:r>
            <w:r w:rsidRPr="00137311">
              <w:t>13 Target due to the expected take</w:t>
            </w:r>
            <w:r w:rsidR="009F0F49">
              <w:noBreakHyphen/>
            </w:r>
            <w:r w:rsidRPr="00137311">
              <w:t>up rates of the Innovation and Technology Voucher programs exceeding initial projections. This is not expected to continue in 2013</w:t>
            </w:r>
            <w:r w:rsidR="009F0F49">
              <w:noBreakHyphen/>
            </w:r>
            <w:r w:rsidRPr="00137311">
              <w:t>14.</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Text"/>
              <w:rPr>
                <w:color w:val="000000"/>
                <w:lang w:eastAsia="en-AU"/>
              </w:rPr>
            </w:pPr>
            <w:r w:rsidRPr="00C44901">
              <w:rPr>
                <w:color w:val="000000"/>
                <w:lang w:eastAsia="en-AU"/>
              </w:rPr>
              <w:t>Companies linked to business networks</w:t>
            </w:r>
          </w:p>
        </w:tc>
        <w:tc>
          <w:tcPr>
            <w:tcW w:w="907" w:type="dxa"/>
            <w:tcBorders>
              <w:top w:val="single" w:sz="6" w:space="0" w:color="auto"/>
            </w:tcBorders>
            <w:shd w:val="clear" w:color="auto" w:fill="auto"/>
            <w:noWrap/>
          </w:tcPr>
          <w:p w:rsidR="00B958B1" w:rsidRDefault="00B958B1" w:rsidP="009F3B54">
            <w:pPr>
              <w:pStyle w:val="OGUoM"/>
              <w:rPr>
                <w:rFonts w:cs="Calibri"/>
                <w:szCs w:val="20"/>
              </w:rPr>
            </w:pPr>
            <w:r>
              <w:rPr>
                <w:rFonts w:cs="Calibri"/>
                <w:szCs w:val="20"/>
              </w:rPr>
              <w:t>number</w:t>
            </w:r>
          </w:p>
        </w:tc>
        <w:tc>
          <w:tcPr>
            <w:tcW w:w="907" w:type="dxa"/>
            <w:tcBorders>
              <w:top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300</w:t>
            </w:r>
          </w:p>
        </w:tc>
        <w:tc>
          <w:tcPr>
            <w:tcW w:w="993"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900</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300</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nm</w:t>
            </w:r>
          </w:p>
        </w:tc>
      </w:tr>
      <w:tr w:rsidR="00B958B1" w:rsidRPr="00C6002D" w:rsidTr="009F3B54">
        <w:trPr>
          <w:cantSplit/>
        </w:trPr>
        <w:tc>
          <w:tcPr>
            <w:tcW w:w="7776" w:type="dxa"/>
            <w:gridSpan w:val="6"/>
            <w:tcBorders>
              <w:bottom w:val="single" w:sz="6" w:space="0" w:color="auto"/>
            </w:tcBorders>
            <w:shd w:val="clear" w:color="auto" w:fill="auto"/>
          </w:tcPr>
          <w:p w:rsidR="00B958B1" w:rsidRPr="00C6002D" w:rsidRDefault="00B958B1" w:rsidP="009F3B54">
            <w:pPr>
              <w:pStyle w:val="OGNotes"/>
            </w:pPr>
            <w:r w:rsidRPr="00C6002D">
              <w:t>The 2012</w:t>
            </w:r>
            <w:r w:rsidR="009F0F49">
              <w:noBreakHyphen/>
            </w:r>
            <w:r w:rsidRPr="00C6002D">
              <w:t>13 Expected Outcome is higher than the 2012</w:t>
            </w:r>
            <w:r w:rsidR="009F0F49">
              <w:noBreakHyphen/>
            </w:r>
            <w:r w:rsidRPr="00C6002D">
              <w:t xml:space="preserve">13 Target primarily due the Manufacturing Productivity Networks Program significantly exceeding its target. This is a new program and round </w:t>
            </w:r>
            <w:r>
              <w:t>one</w:t>
            </w:r>
            <w:r w:rsidRPr="00C6002D">
              <w:t xml:space="preserve"> interest generated a high number of workshop</w:t>
            </w:r>
            <w:r w:rsidR="009F0F49">
              <w:noBreakHyphen/>
            </w:r>
            <w:r w:rsidRPr="00C6002D">
              <w:t>style projects with high participation rates. This is not expected to continue in 2013</w:t>
            </w:r>
            <w:r w:rsidR="009F0F49">
              <w:noBreakHyphen/>
            </w:r>
            <w:r w:rsidRPr="00C6002D">
              <w:t>14.</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175147">
            <w:pPr>
              <w:pStyle w:val="OGTabText"/>
              <w:pageBreakBefore/>
              <w:rPr>
                <w:color w:val="000000"/>
                <w:lang w:eastAsia="en-AU"/>
              </w:rPr>
            </w:pPr>
            <w:r w:rsidRPr="00364E76">
              <w:rPr>
                <w:color w:val="000000"/>
                <w:lang w:eastAsia="en-AU"/>
              </w:rPr>
              <w:t>Operational Infrastructure Support grants under management</w:t>
            </w:r>
          </w:p>
        </w:tc>
        <w:tc>
          <w:tcPr>
            <w:tcW w:w="907" w:type="dxa"/>
            <w:tcBorders>
              <w:top w:val="single" w:sz="6" w:space="0" w:color="auto"/>
            </w:tcBorders>
            <w:shd w:val="clear" w:color="auto" w:fill="auto"/>
            <w:noWrap/>
          </w:tcPr>
          <w:p w:rsidR="00B958B1" w:rsidRDefault="00B958B1" w:rsidP="009F3B54">
            <w:pPr>
              <w:pStyle w:val="OGUoM"/>
              <w:rPr>
                <w:rFonts w:cs="Calibri"/>
                <w:szCs w:val="20"/>
              </w:rPr>
            </w:pPr>
            <w:r>
              <w:rPr>
                <w:rFonts w:cs="Calibri"/>
                <w:szCs w:val="20"/>
              </w:rPr>
              <w:t>number</w:t>
            </w:r>
          </w:p>
        </w:tc>
        <w:tc>
          <w:tcPr>
            <w:tcW w:w="907" w:type="dxa"/>
            <w:tcBorders>
              <w:top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12</w:t>
            </w:r>
          </w:p>
        </w:tc>
        <w:tc>
          <w:tcPr>
            <w:tcW w:w="993"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13</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13</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13</w:t>
            </w:r>
          </w:p>
        </w:tc>
      </w:tr>
      <w:tr w:rsidR="00B958B1" w:rsidRPr="004E5095" w:rsidTr="009F3B54">
        <w:trPr>
          <w:cantSplit/>
        </w:trPr>
        <w:tc>
          <w:tcPr>
            <w:tcW w:w="7776" w:type="dxa"/>
            <w:gridSpan w:val="6"/>
            <w:tcBorders>
              <w:bottom w:val="single" w:sz="6" w:space="0" w:color="auto"/>
            </w:tcBorders>
            <w:shd w:val="clear" w:color="auto" w:fill="auto"/>
          </w:tcPr>
          <w:p w:rsidR="00B958B1" w:rsidRPr="0071094E" w:rsidRDefault="00B958B1" w:rsidP="009F3B54">
            <w:pPr>
              <w:pStyle w:val="OGNotes"/>
            </w:pPr>
            <w:r w:rsidRPr="0071094E">
              <w:t>The lower 2013</w:t>
            </w:r>
            <w:r w:rsidR="009F0F49">
              <w:noBreakHyphen/>
            </w:r>
            <w:r w:rsidRPr="0071094E">
              <w:t xml:space="preserve">14 Target reflects the merging of two projects into one. </w:t>
            </w:r>
          </w:p>
        </w:tc>
      </w:tr>
      <w:tr w:rsidR="00B958B1" w:rsidRPr="00C76446" w:rsidTr="009F3B54">
        <w:trPr>
          <w:cantSplit/>
        </w:trPr>
        <w:tc>
          <w:tcPr>
            <w:tcW w:w="3155" w:type="dxa"/>
            <w:tcBorders>
              <w:top w:val="single" w:sz="6" w:space="0" w:color="auto"/>
            </w:tcBorders>
            <w:shd w:val="clear" w:color="auto" w:fill="auto"/>
          </w:tcPr>
          <w:p w:rsidR="00B958B1" w:rsidRDefault="00B958B1" w:rsidP="009F3B54">
            <w:pPr>
              <w:pStyle w:val="OGTabText"/>
              <w:rPr>
                <w:color w:val="000000"/>
                <w:lang w:eastAsia="en-AU"/>
              </w:rPr>
            </w:pPr>
            <w:r w:rsidRPr="002B342A">
              <w:rPr>
                <w:color w:val="000000"/>
                <w:lang w:eastAsia="en-AU"/>
              </w:rPr>
              <w:t>Value of film, television and digital media production supported by Film Victoria production</w:t>
            </w:r>
          </w:p>
        </w:tc>
        <w:tc>
          <w:tcPr>
            <w:tcW w:w="907" w:type="dxa"/>
            <w:tcBorders>
              <w:top w:val="single" w:sz="6" w:space="0" w:color="auto"/>
            </w:tcBorders>
            <w:shd w:val="clear" w:color="auto" w:fill="auto"/>
            <w:noWrap/>
          </w:tcPr>
          <w:p w:rsidR="00B958B1" w:rsidRDefault="00B958B1" w:rsidP="009F3B54">
            <w:pPr>
              <w:pStyle w:val="OGUoM"/>
              <w:rPr>
                <w:rFonts w:cs="Calibri"/>
                <w:szCs w:val="20"/>
              </w:rPr>
            </w:pPr>
            <w:r>
              <w:rPr>
                <w:rFonts w:cs="Calibri"/>
                <w:szCs w:val="20"/>
              </w:rPr>
              <w:t>$ million</w:t>
            </w:r>
          </w:p>
        </w:tc>
        <w:tc>
          <w:tcPr>
            <w:tcW w:w="907" w:type="dxa"/>
            <w:tcBorders>
              <w:top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75</w:t>
            </w:r>
          </w:p>
        </w:tc>
        <w:tc>
          <w:tcPr>
            <w:tcW w:w="993"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125</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57</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152.7</w:t>
            </w:r>
          </w:p>
        </w:tc>
      </w:tr>
      <w:tr w:rsidR="00B958B1" w:rsidRPr="00CD4E5D" w:rsidTr="009F3B54">
        <w:trPr>
          <w:cantSplit/>
        </w:trPr>
        <w:tc>
          <w:tcPr>
            <w:tcW w:w="7776" w:type="dxa"/>
            <w:gridSpan w:val="6"/>
            <w:tcBorders>
              <w:bottom w:val="single" w:sz="6" w:space="0" w:color="auto"/>
            </w:tcBorders>
            <w:shd w:val="clear" w:color="auto" w:fill="auto"/>
          </w:tcPr>
          <w:p w:rsidR="00B958B1" w:rsidRPr="00137311" w:rsidRDefault="00B958B1" w:rsidP="009F3B54">
            <w:pPr>
              <w:pStyle w:val="OGNotes"/>
            </w:pPr>
            <w:r w:rsidRPr="00CD4E5D">
              <w:t>The 2012</w:t>
            </w:r>
            <w:r w:rsidR="009F0F49">
              <w:noBreakHyphen/>
            </w:r>
            <w:r w:rsidRPr="00CD4E5D">
              <w:t>13 Expected Outcome is higher than the 2012</w:t>
            </w:r>
            <w:r w:rsidR="009F0F49">
              <w:noBreakHyphen/>
            </w:r>
            <w:r>
              <w:t xml:space="preserve">13 </w:t>
            </w:r>
            <w:r w:rsidRPr="00CD4E5D">
              <w:t xml:space="preserve">Target </w:t>
            </w:r>
            <w:r w:rsidRPr="00137311">
              <w:t>as Film Victoria was able to support additional television and digital media production through reprioritisation of funds. The 2013</w:t>
            </w:r>
            <w:r w:rsidR="009F0F49">
              <w:noBreakHyphen/>
            </w:r>
            <w:r w:rsidRPr="00137311">
              <w:t>14 Target is higher than the 2012</w:t>
            </w:r>
            <w:r w:rsidR="009F0F49">
              <w:noBreakHyphen/>
            </w:r>
            <w:r w:rsidRPr="00137311">
              <w:t xml:space="preserve">13 Target as a result of </w:t>
            </w:r>
            <w:r w:rsidRPr="00CD4E5D">
              <w:t>the Screen Jobs, Bu</w:t>
            </w:r>
            <w:r>
              <w:t>siness &amp; Skills initiative</w:t>
            </w:r>
            <w:r w:rsidRPr="00CD4E5D">
              <w:t>.</w:t>
            </w:r>
            <w:r w:rsidRPr="00CD4E5D">
              <w:rPr>
                <w:rFonts w:ascii="Helv" w:hAnsi="Helv" w:cs="Helv"/>
              </w:rPr>
              <w:t xml:space="preserve"> </w:t>
            </w:r>
          </w:p>
        </w:tc>
      </w:tr>
      <w:tr w:rsidR="00B958B1" w:rsidRPr="00C76446" w:rsidTr="009F3B54">
        <w:trPr>
          <w:cantSplit/>
        </w:trPr>
        <w:tc>
          <w:tcPr>
            <w:tcW w:w="3155" w:type="dxa"/>
            <w:tcBorders>
              <w:top w:val="single" w:sz="6" w:space="0" w:color="auto"/>
            </w:tcBorders>
            <w:shd w:val="clear" w:color="auto" w:fill="auto"/>
          </w:tcPr>
          <w:p w:rsidR="00B958B1" w:rsidRDefault="00B958B1" w:rsidP="009F3B54">
            <w:pPr>
              <w:pStyle w:val="OGTabText"/>
              <w:rPr>
                <w:color w:val="000000"/>
                <w:lang w:eastAsia="en-AU"/>
              </w:rPr>
            </w:pPr>
            <w:r w:rsidRPr="00B60088">
              <w:rPr>
                <w:color w:val="000000"/>
                <w:lang w:eastAsia="en-AU"/>
              </w:rPr>
              <w:t>Establishment or renewal of wh</w:t>
            </w:r>
            <w:r>
              <w:rPr>
                <w:color w:val="000000"/>
                <w:lang w:eastAsia="en-AU"/>
              </w:rPr>
              <w:t>ole of Government ICT contracts</w:t>
            </w:r>
          </w:p>
        </w:tc>
        <w:tc>
          <w:tcPr>
            <w:tcW w:w="907" w:type="dxa"/>
            <w:tcBorders>
              <w:top w:val="single" w:sz="6" w:space="0" w:color="auto"/>
            </w:tcBorders>
            <w:shd w:val="clear" w:color="auto" w:fill="auto"/>
            <w:noWrap/>
          </w:tcPr>
          <w:p w:rsidR="00B958B1" w:rsidRDefault="00B958B1" w:rsidP="009F3B54">
            <w:pPr>
              <w:pStyle w:val="OGUoM"/>
              <w:rPr>
                <w:rFonts w:cs="Calibri"/>
                <w:szCs w:val="20"/>
              </w:rPr>
            </w:pPr>
            <w:r>
              <w:rPr>
                <w:rFonts w:cs="Calibri"/>
                <w:szCs w:val="20"/>
              </w:rPr>
              <w:t>number</w:t>
            </w:r>
          </w:p>
        </w:tc>
        <w:tc>
          <w:tcPr>
            <w:tcW w:w="907" w:type="dxa"/>
            <w:tcBorders>
              <w:top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7</w:t>
            </w:r>
          </w:p>
        </w:tc>
        <w:tc>
          <w:tcPr>
            <w:tcW w:w="993"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nm</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nm</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nm</w:t>
            </w:r>
          </w:p>
        </w:tc>
      </w:tr>
      <w:tr w:rsidR="00B958B1" w:rsidRPr="006E5822" w:rsidTr="009F3B54">
        <w:trPr>
          <w:cantSplit/>
        </w:trPr>
        <w:tc>
          <w:tcPr>
            <w:tcW w:w="7776" w:type="dxa"/>
            <w:gridSpan w:val="6"/>
            <w:tcBorders>
              <w:bottom w:val="single" w:sz="6" w:space="0" w:color="auto"/>
            </w:tcBorders>
            <w:shd w:val="clear" w:color="auto" w:fill="auto"/>
          </w:tcPr>
          <w:p w:rsidR="00B958B1" w:rsidRPr="006E5822" w:rsidRDefault="00B958B1" w:rsidP="009F3B54">
            <w:pPr>
              <w:pStyle w:val="OGNotes"/>
              <w:rPr>
                <w:rFonts w:cs="Calibri"/>
              </w:rPr>
            </w:pPr>
            <w:r w:rsidRPr="006E5822">
              <w:t xml:space="preserve">This </w:t>
            </w:r>
            <w:r>
              <w:t xml:space="preserve">is a new </w:t>
            </w:r>
            <w:r w:rsidRPr="006E5822">
              <w:t xml:space="preserve">performance measure </w:t>
            </w:r>
            <w:r>
              <w:t xml:space="preserve">which </w:t>
            </w:r>
            <w:r w:rsidRPr="006E5822">
              <w:t>replace</w:t>
            </w:r>
            <w:r>
              <w:t>s</w:t>
            </w:r>
            <w:r w:rsidRPr="006E5822">
              <w:t xml:space="preserve"> the </w:t>
            </w:r>
            <w:r>
              <w:t xml:space="preserve">ICT component of the DTF </w:t>
            </w:r>
            <w:r w:rsidRPr="006E5822">
              <w:t>2012</w:t>
            </w:r>
            <w:r w:rsidR="009F0F49">
              <w:noBreakHyphen/>
            </w:r>
            <w:r w:rsidRPr="006E5822">
              <w:t>13 performance measure ‘</w:t>
            </w:r>
            <w:r>
              <w:t>Establishment or renewal of whole of government contracts</w:t>
            </w:r>
            <w:r w:rsidRPr="006E5822">
              <w:t xml:space="preserve">’. It </w:t>
            </w:r>
            <w:r>
              <w:t>recognises the transfer in responsibility for</w:t>
            </w:r>
            <w:r w:rsidRPr="00B60088">
              <w:rPr>
                <w:color w:val="000000"/>
              </w:rPr>
              <w:t xml:space="preserve"> </w:t>
            </w:r>
            <w:r w:rsidRPr="00A6497C">
              <w:t>w</w:t>
            </w:r>
            <w:r>
              <w:t>hole of government ICT contracts</w:t>
            </w:r>
            <w:r w:rsidRPr="006E5822">
              <w:t>.</w:t>
            </w:r>
          </w:p>
        </w:tc>
      </w:tr>
      <w:tr w:rsidR="00B958B1" w:rsidRPr="00C76446" w:rsidTr="009F3B54">
        <w:trPr>
          <w:cantSplit/>
        </w:trPr>
        <w:tc>
          <w:tcPr>
            <w:tcW w:w="3155" w:type="dxa"/>
            <w:tcBorders>
              <w:top w:val="single" w:sz="6" w:space="0" w:color="auto"/>
            </w:tcBorders>
            <w:shd w:val="clear" w:color="auto" w:fill="auto"/>
          </w:tcPr>
          <w:p w:rsidR="00B958B1" w:rsidRPr="0064347C" w:rsidRDefault="00B958B1" w:rsidP="009F3B54">
            <w:pPr>
              <w:pStyle w:val="OGTabHead"/>
              <w:rPr>
                <w:lang w:eastAsia="en-AU"/>
              </w:rPr>
            </w:pPr>
            <w:r w:rsidRPr="0064347C">
              <w:rPr>
                <w:lang w:eastAsia="en-AU"/>
              </w:rPr>
              <w:t>Quality</w:t>
            </w:r>
          </w:p>
        </w:tc>
        <w:tc>
          <w:tcPr>
            <w:tcW w:w="907" w:type="dxa"/>
            <w:tcBorders>
              <w:top w:val="single" w:sz="6" w:space="0" w:color="auto"/>
            </w:tcBorders>
            <w:shd w:val="clear" w:color="auto" w:fill="auto"/>
            <w:noWrap/>
          </w:tcPr>
          <w:p w:rsidR="00B958B1" w:rsidRDefault="00B958B1" w:rsidP="009F3B54">
            <w:pPr>
              <w:pStyle w:val="OGTabHead"/>
              <w:rPr>
                <w:rFonts w:cs="Calibri"/>
                <w:szCs w:val="20"/>
              </w:rPr>
            </w:pPr>
          </w:p>
        </w:tc>
        <w:tc>
          <w:tcPr>
            <w:tcW w:w="907" w:type="dxa"/>
            <w:tcBorders>
              <w:top w:val="single" w:sz="6" w:space="0" w:color="auto"/>
            </w:tcBorders>
            <w:shd w:val="clear" w:color="auto" w:fill="D9D9D9"/>
            <w:noWrap/>
          </w:tcPr>
          <w:p w:rsidR="00B958B1" w:rsidRDefault="00B958B1" w:rsidP="009F3B54">
            <w:pPr>
              <w:pStyle w:val="OGTabHead"/>
              <w:rPr>
                <w:rFonts w:cs="Calibri"/>
                <w:szCs w:val="20"/>
              </w:rPr>
            </w:pPr>
          </w:p>
        </w:tc>
        <w:tc>
          <w:tcPr>
            <w:tcW w:w="993" w:type="dxa"/>
            <w:tcBorders>
              <w:top w:val="single" w:sz="6" w:space="0" w:color="auto"/>
            </w:tcBorders>
            <w:shd w:val="clear" w:color="auto" w:fill="auto"/>
            <w:noWrap/>
          </w:tcPr>
          <w:p w:rsidR="00B958B1" w:rsidRDefault="00B958B1" w:rsidP="009F3B54">
            <w:pPr>
              <w:pStyle w:val="OGTabHead"/>
              <w:rPr>
                <w:rFonts w:cs="Calibri"/>
                <w:szCs w:val="20"/>
              </w:rPr>
            </w:pPr>
          </w:p>
        </w:tc>
        <w:tc>
          <w:tcPr>
            <w:tcW w:w="907" w:type="dxa"/>
            <w:tcBorders>
              <w:top w:val="single" w:sz="6" w:space="0" w:color="auto"/>
            </w:tcBorders>
            <w:shd w:val="clear" w:color="auto" w:fill="auto"/>
            <w:noWrap/>
          </w:tcPr>
          <w:p w:rsidR="00B958B1" w:rsidRDefault="00B958B1" w:rsidP="009F3B54">
            <w:pPr>
              <w:pStyle w:val="OGTabHead"/>
              <w:rPr>
                <w:rFonts w:cs="Calibri"/>
                <w:szCs w:val="20"/>
              </w:rPr>
            </w:pPr>
          </w:p>
        </w:tc>
        <w:tc>
          <w:tcPr>
            <w:tcW w:w="907" w:type="dxa"/>
            <w:tcBorders>
              <w:top w:val="single" w:sz="6" w:space="0" w:color="auto"/>
            </w:tcBorders>
            <w:shd w:val="clear" w:color="auto" w:fill="auto"/>
            <w:noWrap/>
          </w:tcPr>
          <w:p w:rsidR="00B958B1" w:rsidRDefault="00B958B1" w:rsidP="009F3B54">
            <w:pPr>
              <w:pStyle w:val="OGTabHead"/>
              <w:rPr>
                <w:rFonts w:cs="Calibri"/>
                <w:szCs w:val="20"/>
              </w:rPr>
            </w:pPr>
          </w:p>
        </w:tc>
      </w:tr>
      <w:tr w:rsidR="00B958B1" w:rsidRPr="00C76446" w:rsidTr="009F3B54">
        <w:trPr>
          <w:cantSplit/>
        </w:trPr>
        <w:tc>
          <w:tcPr>
            <w:tcW w:w="3155" w:type="dxa"/>
            <w:tcBorders>
              <w:bottom w:val="single" w:sz="6" w:space="0" w:color="auto"/>
            </w:tcBorders>
            <w:shd w:val="clear" w:color="auto" w:fill="auto"/>
          </w:tcPr>
          <w:p w:rsidR="00B958B1" w:rsidRPr="00584E9D" w:rsidRDefault="00B958B1" w:rsidP="009F3B54">
            <w:pPr>
              <w:pStyle w:val="OGTabText"/>
              <w:rPr>
                <w:color w:val="000000"/>
                <w:lang w:eastAsia="en-AU"/>
              </w:rPr>
            </w:pPr>
            <w:r w:rsidRPr="0064347C">
              <w:rPr>
                <w:color w:val="000000"/>
                <w:lang w:eastAsia="en-AU"/>
              </w:rPr>
              <w:t>Customer satisfaction with information services from Information Victoria</w:t>
            </w:r>
          </w:p>
        </w:tc>
        <w:tc>
          <w:tcPr>
            <w:tcW w:w="907" w:type="dxa"/>
            <w:tcBorders>
              <w:bottom w:val="single" w:sz="6" w:space="0" w:color="auto"/>
            </w:tcBorders>
            <w:shd w:val="clear" w:color="auto" w:fill="auto"/>
            <w:noWrap/>
          </w:tcPr>
          <w:p w:rsidR="00B958B1" w:rsidRDefault="00B958B1" w:rsidP="009F3B54">
            <w:pPr>
              <w:pStyle w:val="OGUoM"/>
              <w:rPr>
                <w:rFonts w:cs="Calibri"/>
                <w:szCs w:val="20"/>
              </w:rPr>
            </w:pPr>
            <w:r>
              <w:rPr>
                <w:rFonts w:cs="Calibri"/>
                <w:szCs w:val="20"/>
              </w:rPr>
              <w:t>per cent</w:t>
            </w:r>
          </w:p>
        </w:tc>
        <w:tc>
          <w:tcPr>
            <w:tcW w:w="907" w:type="dxa"/>
            <w:tcBorders>
              <w:bottom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 xml:space="preserve">90 </w:t>
            </w:r>
          </w:p>
        </w:tc>
        <w:tc>
          <w:tcPr>
            <w:tcW w:w="993" w:type="dxa"/>
            <w:tcBorders>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90</w:t>
            </w:r>
          </w:p>
        </w:tc>
        <w:tc>
          <w:tcPr>
            <w:tcW w:w="907" w:type="dxa"/>
            <w:tcBorders>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 xml:space="preserve">90 </w:t>
            </w:r>
          </w:p>
        </w:tc>
        <w:tc>
          <w:tcPr>
            <w:tcW w:w="907" w:type="dxa"/>
            <w:tcBorders>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79.25</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Head"/>
              <w:rPr>
                <w:lang w:eastAsia="en-AU"/>
              </w:rPr>
            </w:pPr>
            <w:r w:rsidRPr="003924B7">
              <w:rPr>
                <w:lang w:eastAsia="en-AU"/>
              </w:rPr>
              <w:t>Cost</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D9D9D9"/>
            <w:noWrap/>
          </w:tcPr>
          <w:p w:rsidR="00B958B1" w:rsidRPr="00C76446" w:rsidRDefault="00B958B1" w:rsidP="009F3B54">
            <w:pPr>
              <w:pStyle w:val="OGTabHead"/>
              <w:rPr>
                <w:lang w:eastAsia="en-AU"/>
              </w:rPr>
            </w:pPr>
            <w:r w:rsidRPr="00C76446">
              <w:rPr>
                <w:lang w:eastAsia="en-AU"/>
              </w:rPr>
              <w:t> </w:t>
            </w:r>
          </w:p>
        </w:tc>
        <w:tc>
          <w:tcPr>
            <w:tcW w:w="993"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r>
      <w:tr w:rsidR="00B958B1" w:rsidRPr="00C76446" w:rsidTr="009F3B54">
        <w:trPr>
          <w:cantSplit/>
        </w:trPr>
        <w:tc>
          <w:tcPr>
            <w:tcW w:w="3155" w:type="dxa"/>
            <w:shd w:val="clear" w:color="auto" w:fill="auto"/>
          </w:tcPr>
          <w:p w:rsidR="00B958B1" w:rsidRPr="003A6978" w:rsidRDefault="00B958B1" w:rsidP="009F3B54">
            <w:pPr>
              <w:pStyle w:val="OGTabText"/>
              <w:rPr>
                <w:color w:val="000000"/>
                <w:lang w:eastAsia="en-AU"/>
              </w:rPr>
            </w:pPr>
            <w:r w:rsidRPr="00C76446">
              <w:rPr>
                <w:color w:val="000000"/>
                <w:lang w:eastAsia="en-AU"/>
              </w:rPr>
              <w:t>Total output cost</w:t>
            </w:r>
          </w:p>
        </w:tc>
        <w:tc>
          <w:tcPr>
            <w:tcW w:w="907" w:type="dxa"/>
            <w:shd w:val="clear" w:color="auto" w:fill="auto"/>
            <w:noWrap/>
          </w:tcPr>
          <w:p w:rsidR="00B958B1" w:rsidRPr="00EC2425" w:rsidRDefault="00B958B1" w:rsidP="009F3B54">
            <w:pPr>
              <w:pStyle w:val="OGUoM"/>
              <w:rPr>
                <w:color w:val="000000"/>
                <w:lang w:eastAsia="en-AU"/>
              </w:rPr>
            </w:pPr>
            <w:r w:rsidRPr="00EC2425">
              <w:rPr>
                <w:color w:val="000000"/>
                <w:lang w:eastAsia="en-AU"/>
              </w:rPr>
              <w:t>$</w:t>
            </w:r>
            <w:r>
              <w:rPr>
                <w:color w:val="000000"/>
                <w:lang w:eastAsia="en-AU"/>
              </w:rPr>
              <w:t> million</w:t>
            </w:r>
          </w:p>
        </w:tc>
        <w:tc>
          <w:tcPr>
            <w:tcW w:w="907" w:type="dxa"/>
            <w:shd w:val="clear" w:color="auto" w:fill="D9D9D9"/>
            <w:noWrap/>
          </w:tcPr>
          <w:p w:rsidR="00B958B1" w:rsidRPr="00EC2425" w:rsidRDefault="00B958B1" w:rsidP="009F3B54">
            <w:pPr>
              <w:pStyle w:val="OGTableofFigures"/>
              <w:rPr>
                <w:color w:val="000000"/>
                <w:lang w:eastAsia="en-AU"/>
              </w:rPr>
            </w:pPr>
            <w:r w:rsidRPr="00EC2425">
              <w:rPr>
                <w:color w:val="000000"/>
                <w:lang w:eastAsia="en-AU"/>
              </w:rPr>
              <w:t>181.5</w:t>
            </w:r>
          </w:p>
        </w:tc>
        <w:tc>
          <w:tcPr>
            <w:tcW w:w="993" w:type="dxa"/>
            <w:shd w:val="clear" w:color="auto" w:fill="auto"/>
            <w:noWrap/>
          </w:tcPr>
          <w:p w:rsidR="00B958B1" w:rsidRPr="00EC2425" w:rsidRDefault="00B958B1" w:rsidP="009F3B54">
            <w:pPr>
              <w:pStyle w:val="OGTableofFigures"/>
              <w:rPr>
                <w:color w:val="000000"/>
                <w:lang w:eastAsia="en-AU"/>
              </w:rPr>
            </w:pPr>
            <w:r w:rsidRPr="00EC2425">
              <w:rPr>
                <w:color w:val="000000"/>
                <w:lang w:eastAsia="en-AU"/>
              </w:rPr>
              <w:t>17</w:t>
            </w:r>
            <w:r>
              <w:rPr>
                <w:color w:val="000000"/>
                <w:lang w:eastAsia="en-AU"/>
              </w:rPr>
              <w:t>0</w:t>
            </w:r>
            <w:r w:rsidRPr="00EC2425">
              <w:rPr>
                <w:color w:val="000000"/>
                <w:lang w:eastAsia="en-AU"/>
              </w:rPr>
              <w:t>.1</w:t>
            </w:r>
          </w:p>
        </w:tc>
        <w:tc>
          <w:tcPr>
            <w:tcW w:w="907" w:type="dxa"/>
            <w:shd w:val="clear" w:color="auto" w:fill="auto"/>
            <w:noWrap/>
          </w:tcPr>
          <w:p w:rsidR="00B958B1" w:rsidRPr="00EC2425" w:rsidRDefault="00B958B1" w:rsidP="009F3B54">
            <w:pPr>
              <w:pStyle w:val="OGTableofFigures"/>
              <w:rPr>
                <w:color w:val="000000"/>
                <w:lang w:eastAsia="en-AU"/>
              </w:rPr>
            </w:pPr>
            <w:r>
              <w:rPr>
                <w:color w:val="000000"/>
                <w:lang w:eastAsia="en-AU"/>
              </w:rPr>
              <w:t>193.7</w:t>
            </w:r>
          </w:p>
        </w:tc>
        <w:tc>
          <w:tcPr>
            <w:tcW w:w="907" w:type="dxa"/>
            <w:shd w:val="clear" w:color="auto" w:fill="auto"/>
            <w:noWrap/>
          </w:tcPr>
          <w:p w:rsidR="00B958B1" w:rsidRPr="00EC2425" w:rsidRDefault="00B958B1" w:rsidP="00175147">
            <w:pPr>
              <w:pStyle w:val="OGTableofFigures"/>
              <w:rPr>
                <w:color w:val="000000"/>
                <w:lang w:eastAsia="en-AU"/>
              </w:rPr>
            </w:pPr>
            <w:r>
              <w:rPr>
                <w:color w:val="000000"/>
                <w:lang w:eastAsia="en-AU"/>
              </w:rPr>
              <w:t>186.2</w:t>
            </w:r>
          </w:p>
        </w:tc>
      </w:tr>
      <w:tr w:rsidR="00B958B1" w:rsidRPr="00C76446" w:rsidTr="009F3B54">
        <w:trPr>
          <w:cantSplit/>
        </w:trPr>
        <w:tc>
          <w:tcPr>
            <w:tcW w:w="7776" w:type="dxa"/>
            <w:gridSpan w:val="6"/>
            <w:tcBorders>
              <w:bottom w:val="single" w:sz="6" w:space="0" w:color="auto"/>
            </w:tcBorders>
            <w:shd w:val="clear" w:color="auto" w:fill="auto"/>
          </w:tcPr>
          <w:p w:rsidR="00B958B1" w:rsidRPr="00EC2425" w:rsidRDefault="00B958B1" w:rsidP="009F3B54">
            <w:pPr>
              <w:pStyle w:val="OGNotes"/>
            </w:pPr>
            <w:r>
              <w:t>Variation between 2012</w:t>
            </w:r>
            <w:r w:rsidR="009F0F49">
              <w:noBreakHyphen/>
            </w:r>
            <w:r>
              <w:t>13 Target and 2013</w:t>
            </w:r>
            <w:r w:rsidR="009F0F49">
              <w:noBreakHyphen/>
            </w:r>
            <w:r>
              <w:t>14 Target reflects new funding received for Victoria’s Technology Plan for the Future and Government ICT Strategy, Driving Business Innovation, Health Exports Strategy and programs supporting the Film and TV industry offset by completed projects such as the Olivia Newton John Cancer and Wellness Centre, and variations in annual funding for the Victorian Innovation Statement and other Innovation and Technology programs.</w:t>
            </w:r>
          </w:p>
        </w:tc>
      </w:tr>
      <w:tr w:rsidR="00B958B1" w:rsidRPr="00C76446" w:rsidTr="009F3B54">
        <w:trPr>
          <w:cantSplit/>
        </w:trPr>
        <w:tc>
          <w:tcPr>
            <w:tcW w:w="7776" w:type="dxa"/>
            <w:gridSpan w:val="6"/>
            <w:tcBorders>
              <w:top w:val="single" w:sz="6" w:space="0" w:color="auto"/>
            </w:tcBorders>
            <w:shd w:val="clear" w:color="auto" w:fill="auto"/>
          </w:tcPr>
          <w:p w:rsidR="00B958B1" w:rsidRPr="00C76446" w:rsidRDefault="00B958B1" w:rsidP="009F3B54">
            <w:pPr>
              <w:pStyle w:val="OGHeading2"/>
              <w:rPr>
                <w:lang w:eastAsia="en-AU"/>
              </w:rPr>
            </w:pPr>
            <w:r w:rsidRPr="00C76446">
              <w:rPr>
                <w:lang w:eastAsia="en-AU"/>
              </w:rPr>
              <w:t>Investment Attraction, Facilitation and Major Projects</w:t>
            </w:r>
          </w:p>
        </w:tc>
      </w:tr>
      <w:tr w:rsidR="00B958B1" w:rsidRPr="00C76446" w:rsidTr="009F3B54">
        <w:trPr>
          <w:cantSplit/>
        </w:trPr>
        <w:tc>
          <w:tcPr>
            <w:tcW w:w="7776" w:type="dxa"/>
            <w:gridSpan w:val="6"/>
            <w:tcBorders>
              <w:bottom w:val="single" w:sz="6" w:space="0" w:color="auto"/>
            </w:tcBorders>
            <w:shd w:val="clear" w:color="auto" w:fill="auto"/>
          </w:tcPr>
          <w:p w:rsidR="00B958B1" w:rsidRPr="00C76446" w:rsidRDefault="00B958B1" w:rsidP="009F3B54">
            <w:pPr>
              <w:pStyle w:val="OGText"/>
              <w:rPr>
                <w:lang w:eastAsia="en-AU"/>
              </w:rPr>
            </w:pPr>
            <w:r w:rsidRPr="00C76446">
              <w:rPr>
                <w:lang w:eastAsia="en-AU"/>
              </w:rPr>
              <w:t>Provides investment attraction and facilitation assistance to attract new international investment and encourage additional investment by companies already operating in Victoria. In addition it also supports an increased share of national business investment in Victoria through the management and delivery of nominated development projects.</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Head"/>
              <w:rPr>
                <w:lang w:eastAsia="en-AU"/>
              </w:rPr>
            </w:pPr>
            <w:r w:rsidRPr="004F1A91">
              <w:rPr>
                <w:lang w:eastAsia="en-AU"/>
              </w:rPr>
              <w:t>Quantity</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D9D9D9"/>
            <w:noWrap/>
          </w:tcPr>
          <w:p w:rsidR="00B958B1" w:rsidRPr="00C76446" w:rsidRDefault="00B958B1" w:rsidP="009F3B54">
            <w:pPr>
              <w:pStyle w:val="OGTabHead"/>
              <w:rPr>
                <w:lang w:eastAsia="en-AU"/>
              </w:rPr>
            </w:pPr>
            <w:r w:rsidRPr="00C76446">
              <w:rPr>
                <w:lang w:eastAsia="en-AU"/>
              </w:rPr>
              <w:t> </w:t>
            </w:r>
          </w:p>
        </w:tc>
        <w:tc>
          <w:tcPr>
            <w:tcW w:w="993"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r>
      <w:tr w:rsidR="00B958B1" w:rsidRPr="00C76446" w:rsidTr="009F3B54">
        <w:trPr>
          <w:cantSplit/>
        </w:trPr>
        <w:tc>
          <w:tcPr>
            <w:tcW w:w="3155" w:type="dxa"/>
            <w:shd w:val="clear" w:color="auto" w:fill="auto"/>
          </w:tcPr>
          <w:p w:rsidR="00B958B1" w:rsidRPr="00C76446" w:rsidRDefault="00B958B1" w:rsidP="009F3B54">
            <w:pPr>
              <w:pStyle w:val="OGTabText"/>
              <w:rPr>
                <w:color w:val="000000"/>
                <w:lang w:eastAsia="en-AU"/>
              </w:rPr>
            </w:pPr>
            <w:r>
              <w:rPr>
                <w:color w:val="000000"/>
                <w:lang w:eastAsia="en-AU"/>
              </w:rPr>
              <w:t>Jobs derived from investment</w:t>
            </w:r>
            <w:r w:rsidRPr="00C76446">
              <w:rPr>
                <w:color w:val="000000"/>
                <w:lang w:eastAsia="en-AU"/>
              </w:rPr>
              <w:t xml:space="preserve"> facilitated</w:t>
            </w:r>
          </w:p>
        </w:tc>
        <w:tc>
          <w:tcPr>
            <w:tcW w:w="907" w:type="dxa"/>
            <w:shd w:val="clear" w:color="auto" w:fill="auto"/>
            <w:noWrap/>
          </w:tcPr>
          <w:p w:rsidR="00B958B1" w:rsidRDefault="00B958B1" w:rsidP="009F3B54">
            <w:pPr>
              <w:pStyle w:val="OGUoM"/>
              <w:rPr>
                <w:rFonts w:cs="Calibri"/>
                <w:szCs w:val="20"/>
              </w:rPr>
            </w:pPr>
            <w:r>
              <w:rPr>
                <w:rFonts w:cs="Calibri"/>
                <w:szCs w:val="20"/>
              </w:rPr>
              <w:t>number</w:t>
            </w:r>
          </w:p>
        </w:tc>
        <w:tc>
          <w:tcPr>
            <w:tcW w:w="907" w:type="dxa"/>
            <w:shd w:val="clear" w:color="auto" w:fill="D9D9D9"/>
            <w:noWrap/>
          </w:tcPr>
          <w:p w:rsidR="00B958B1" w:rsidRDefault="00B958B1" w:rsidP="009F3B54">
            <w:pPr>
              <w:pStyle w:val="OGTableofFigures"/>
              <w:rPr>
                <w:rFonts w:cs="Calibri"/>
                <w:szCs w:val="20"/>
              </w:rPr>
            </w:pPr>
            <w:r w:rsidRPr="00137311">
              <w:rPr>
                <w:rFonts w:cs="Calibri"/>
                <w:szCs w:val="20"/>
                <w:shd w:val="clear" w:color="auto" w:fill="D9D9D9"/>
              </w:rPr>
              <w:t>4</w:t>
            </w:r>
            <w:r>
              <w:rPr>
                <w:rFonts w:cs="Calibri"/>
                <w:szCs w:val="20"/>
                <w:shd w:val="clear" w:color="auto" w:fill="D9D9D9"/>
              </w:rPr>
              <w:t> </w:t>
            </w:r>
            <w:r w:rsidRPr="00137311">
              <w:rPr>
                <w:rFonts w:cs="Calibri"/>
                <w:szCs w:val="20"/>
                <w:shd w:val="clear" w:color="auto" w:fill="D9D9D9"/>
              </w:rPr>
              <w:t>250</w:t>
            </w:r>
            <w:r>
              <w:rPr>
                <w:rFonts w:cs="Calibri"/>
                <w:szCs w:val="20"/>
              </w:rPr>
              <w:t xml:space="preserve"> </w:t>
            </w:r>
          </w:p>
        </w:tc>
        <w:tc>
          <w:tcPr>
            <w:tcW w:w="993" w:type="dxa"/>
            <w:shd w:val="clear" w:color="auto" w:fill="auto"/>
            <w:noWrap/>
          </w:tcPr>
          <w:p w:rsidR="00B958B1" w:rsidRDefault="00B958B1" w:rsidP="009F3B54">
            <w:pPr>
              <w:pStyle w:val="OGTableofFigures"/>
              <w:rPr>
                <w:rFonts w:cs="Calibri"/>
                <w:szCs w:val="20"/>
              </w:rPr>
            </w:pPr>
            <w:r>
              <w:rPr>
                <w:rFonts w:cs="Calibri"/>
                <w:szCs w:val="20"/>
              </w:rPr>
              <w:t>4 900</w:t>
            </w:r>
          </w:p>
        </w:tc>
        <w:tc>
          <w:tcPr>
            <w:tcW w:w="907" w:type="dxa"/>
            <w:shd w:val="clear" w:color="auto" w:fill="auto"/>
            <w:noWrap/>
          </w:tcPr>
          <w:p w:rsidR="00B958B1" w:rsidRDefault="00B958B1" w:rsidP="009F3B54">
            <w:pPr>
              <w:pStyle w:val="OGTableofFigures"/>
              <w:rPr>
                <w:rFonts w:cs="Calibri"/>
                <w:szCs w:val="20"/>
              </w:rPr>
            </w:pPr>
            <w:r>
              <w:rPr>
                <w:rFonts w:cs="Calibri"/>
                <w:szCs w:val="20"/>
              </w:rPr>
              <w:t xml:space="preserve">       4 250 </w:t>
            </w:r>
          </w:p>
        </w:tc>
        <w:tc>
          <w:tcPr>
            <w:tcW w:w="907" w:type="dxa"/>
            <w:shd w:val="clear" w:color="auto" w:fill="auto"/>
            <w:noWrap/>
          </w:tcPr>
          <w:p w:rsidR="00B958B1" w:rsidRDefault="00B958B1" w:rsidP="009F3B54">
            <w:pPr>
              <w:pStyle w:val="OGTableofFigures"/>
              <w:rPr>
                <w:rFonts w:cs="Calibri"/>
                <w:szCs w:val="20"/>
              </w:rPr>
            </w:pPr>
            <w:r>
              <w:rPr>
                <w:rFonts w:cs="Calibri"/>
                <w:szCs w:val="20"/>
              </w:rPr>
              <w:t xml:space="preserve">6 449            </w:t>
            </w:r>
          </w:p>
        </w:tc>
      </w:tr>
      <w:tr w:rsidR="00B958B1" w:rsidRPr="00C76446" w:rsidTr="009F3B54">
        <w:trPr>
          <w:cantSplit/>
        </w:trPr>
        <w:tc>
          <w:tcPr>
            <w:tcW w:w="7776" w:type="dxa"/>
            <w:gridSpan w:val="6"/>
            <w:tcBorders>
              <w:bottom w:val="single" w:sz="6" w:space="0" w:color="auto"/>
            </w:tcBorders>
            <w:shd w:val="clear" w:color="auto" w:fill="auto"/>
          </w:tcPr>
          <w:p w:rsidR="00B958B1" w:rsidRPr="00B76973" w:rsidRDefault="00B958B1" w:rsidP="009F3B54">
            <w:pPr>
              <w:pStyle w:val="OGNotes"/>
            </w:pPr>
            <w:r w:rsidRPr="00B76973">
              <w:t>The 2012</w:t>
            </w:r>
            <w:r w:rsidR="009F0F49">
              <w:noBreakHyphen/>
            </w:r>
            <w:r w:rsidRPr="00B76973">
              <w:t>13 Expected Outcome is higher than the 2012</w:t>
            </w:r>
            <w:r w:rsidR="009F0F49">
              <w:noBreakHyphen/>
            </w:r>
            <w:r w:rsidRPr="00B76973">
              <w:t xml:space="preserve">13 Target due to the </w:t>
            </w:r>
            <w:r>
              <w:t xml:space="preserve">anticipated delivery </w:t>
            </w:r>
            <w:r w:rsidRPr="00137311">
              <w:t>of</w:t>
            </w:r>
            <w:r w:rsidRPr="00137311">
              <w:rPr>
                <w:color w:val="000000"/>
              </w:rPr>
              <w:t xml:space="preserve"> a number of employment intensive projects. </w:t>
            </w:r>
            <w:r w:rsidRPr="00D97DC1">
              <w:t>The 2013</w:t>
            </w:r>
            <w:r w:rsidR="009F0F49">
              <w:noBreakHyphen/>
            </w:r>
            <w:r w:rsidRPr="00D97DC1">
              <w:t>14 Target is lower than the 2012</w:t>
            </w:r>
            <w:r w:rsidR="009F0F49">
              <w:noBreakHyphen/>
            </w:r>
            <w:r w:rsidRPr="00D97DC1">
              <w:t>13</w:t>
            </w:r>
            <w:r>
              <w:t xml:space="preserve"> Expected Outcome </w:t>
            </w:r>
            <w:r w:rsidRPr="00D97DC1">
              <w:t>as a result of a focus on projects with a higher productive capa</w:t>
            </w:r>
            <w:r>
              <w:t>city in 2013</w:t>
            </w:r>
            <w:r w:rsidR="009F0F49">
              <w:noBreakHyphen/>
            </w:r>
            <w:r>
              <w:t>14 which is expected to result in less, but more highly skilled jobs being created.</w:t>
            </w:r>
          </w:p>
        </w:tc>
      </w:tr>
      <w:tr w:rsidR="00B958B1" w:rsidRPr="00C76446" w:rsidTr="009F3B54">
        <w:trPr>
          <w:cantSplit/>
        </w:trPr>
        <w:tc>
          <w:tcPr>
            <w:tcW w:w="3155" w:type="dxa"/>
            <w:tcBorders>
              <w:top w:val="single" w:sz="6" w:space="0" w:color="auto"/>
            </w:tcBorders>
            <w:shd w:val="clear" w:color="auto" w:fill="auto"/>
          </w:tcPr>
          <w:p w:rsidR="00B958B1" w:rsidRPr="00062366" w:rsidRDefault="00B958B1" w:rsidP="009F3B54">
            <w:pPr>
              <w:pStyle w:val="OGTabText"/>
              <w:rPr>
                <w:color w:val="000000"/>
                <w:lang w:eastAsia="en-AU"/>
              </w:rPr>
            </w:pPr>
            <w:r w:rsidRPr="00062366">
              <w:rPr>
                <w:color w:val="000000"/>
                <w:lang w:eastAsia="en-AU"/>
              </w:rPr>
              <w:t>Jobs derived from investment facilitated in regional Victoria</w:t>
            </w:r>
          </w:p>
        </w:tc>
        <w:tc>
          <w:tcPr>
            <w:tcW w:w="907" w:type="dxa"/>
            <w:tcBorders>
              <w:top w:val="single" w:sz="6" w:space="0" w:color="auto"/>
            </w:tcBorders>
            <w:shd w:val="clear" w:color="auto" w:fill="auto"/>
            <w:noWrap/>
          </w:tcPr>
          <w:p w:rsidR="00B958B1" w:rsidRPr="00B23981" w:rsidRDefault="00B958B1" w:rsidP="009F3B54">
            <w:pPr>
              <w:pStyle w:val="OGUoM"/>
              <w:rPr>
                <w:rFonts w:cs="Calibri"/>
                <w:szCs w:val="20"/>
              </w:rPr>
            </w:pPr>
            <w:r w:rsidRPr="00B23981">
              <w:rPr>
                <w:rFonts w:cs="Calibri"/>
                <w:szCs w:val="20"/>
              </w:rPr>
              <w:t>number</w:t>
            </w:r>
          </w:p>
        </w:tc>
        <w:tc>
          <w:tcPr>
            <w:tcW w:w="907" w:type="dxa"/>
            <w:tcBorders>
              <w:top w:val="single" w:sz="6" w:space="0" w:color="auto"/>
            </w:tcBorders>
            <w:shd w:val="clear" w:color="auto" w:fill="D9D9D9"/>
            <w:noWrap/>
          </w:tcPr>
          <w:p w:rsidR="00B958B1" w:rsidRPr="00062366" w:rsidRDefault="00B958B1" w:rsidP="009F3B54">
            <w:pPr>
              <w:pStyle w:val="OGTableofFigures"/>
              <w:rPr>
                <w:rFonts w:cs="Calibri"/>
                <w:szCs w:val="20"/>
              </w:rPr>
            </w:pPr>
            <w:r>
              <w:rPr>
                <w:rFonts w:cs="Calibri"/>
                <w:szCs w:val="20"/>
              </w:rPr>
              <w:t>800</w:t>
            </w:r>
          </w:p>
        </w:tc>
        <w:tc>
          <w:tcPr>
            <w:tcW w:w="993" w:type="dxa"/>
            <w:tcBorders>
              <w:top w:val="single" w:sz="6" w:space="0" w:color="auto"/>
            </w:tcBorders>
            <w:shd w:val="clear" w:color="auto" w:fill="auto"/>
            <w:noWrap/>
          </w:tcPr>
          <w:p w:rsidR="00B958B1" w:rsidRPr="00B23981" w:rsidRDefault="00B958B1" w:rsidP="009F3B54">
            <w:pPr>
              <w:pStyle w:val="OGTableofFigures"/>
              <w:rPr>
                <w:rFonts w:cs="Calibri"/>
                <w:szCs w:val="20"/>
              </w:rPr>
            </w:pPr>
            <w:r w:rsidRPr="00062366">
              <w:rPr>
                <w:rFonts w:cs="Calibri"/>
                <w:szCs w:val="20"/>
              </w:rPr>
              <w:t>1</w:t>
            </w:r>
            <w:r>
              <w:rPr>
                <w:rFonts w:cs="Calibri"/>
                <w:szCs w:val="20"/>
              </w:rPr>
              <w:t> 850</w:t>
            </w:r>
          </w:p>
        </w:tc>
        <w:tc>
          <w:tcPr>
            <w:tcW w:w="907" w:type="dxa"/>
            <w:tcBorders>
              <w:top w:val="single" w:sz="6" w:space="0" w:color="auto"/>
            </w:tcBorders>
            <w:shd w:val="clear" w:color="auto" w:fill="auto"/>
            <w:noWrap/>
          </w:tcPr>
          <w:p w:rsidR="00B958B1" w:rsidRPr="00B23981" w:rsidRDefault="00B958B1" w:rsidP="009F3B54">
            <w:pPr>
              <w:pStyle w:val="OGTableofFigures"/>
              <w:rPr>
                <w:rFonts w:cs="Calibri"/>
                <w:szCs w:val="20"/>
              </w:rPr>
            </w:pPr>
            <w:r w:rsidRPr="00B23981">
              <w:rPr>
                <w:rFonts w:cs="Calibri"/>
                <w:szCs w:val="20"/>
              </w:rPr>
              <w:t>855</w:t>
            </w:r>
          </w:p>
        </w:tc>
        <w:tc>
          <w:tcPr>
            <w:tcW w:w="907" w:type="dxa"/>
            <w:tcBorders>
              <w:top w:val="single" w:sz="6" w:space="0" w:color="auto"/>
            </w:tcBorders>
            <w:shd w:val="clear" w:color="auto" w:fill="auto"/>
            <w:noWrap/>
          </w:tcPr>
          <w:p w:rsidR="00B958B1" w:rsidRPr="00B23981" w:rsidRDefault="00B958B1" w:rsidP="009F3B54">
            <w:pPr>
              <w:pStyle w:val="OGTableofFigures"/>
              <w:rPr>
                <w:rFonts w:cs="Calibri"/>
                <w:szCs w:val="20"/>
              </w:rPr>
            </w:pPr>
            <w:r w:rsidRPr="00B23981">
              <w:rPr>
                <w:rFonts w:cs="Calibri"/>
                <w:szCs w:val="20"/>
              </w:rPr>
              <w:t>nm</w:t>
            </w:r>
          </w:p>
        </w:tc>
      </w:tr>
      <w:tr w:rsidR="00B958B1" w:rsidRPr="00C76446" w:rsidTr="009F3B54">
        <w:trPr>
          <w:cantSplit/>
        </w:trPr>
        <w:tc>
          <w:tcPr>
            <w:tcW w:w="7776" w:type="dxa"/>
            <w:gridSpan w:val="6"/>
            <w:tcBorders>
              <w:bottom w:val="single" w:sz="6" w:space="0" w:color="auto"/>
            </w:tcBorders>
            <w:shd w:val="clear" w:color="auto" w:fill="auto"/>
          </w:tcPr>
          <w:p w:rsidR="00B958B1" w:rsidRPr="00062366" w:rsidRDefault="00B958B1" w:rsidP="009F3B54">
            <w:pPr>
              <w:pStyle w:val="OGNotes"/>
            </w:pPr>
            <w:r w:rsidRPr="006E5822">
              <w:rPr>
                <w:szCs w:val="15"/>
              </w:rPr>
              <w:t>The 2012</w:t>
            </w:r>
            <w:r w:rsidR="009F0F49">
              <w:rPr>
                <w:szCs w:val="15"/>
              </w:rPr>
              <w:noBreakHyphen/>
            </w:r>
            <w:r w:rsidRPr="006E5822">
              <w:rPr>
                <w:szCs w:val="15"/>
              </w:rPr>
              <w:t>13 Expected Outcome is higher than the 2012</w:t>
            </w:r>
            <w:r w:rsidR="009F0F49">
              <w:rPr>
                <w:szCs w:val="15"/>
              </w:rPr>
              <w:noBreakHyphen/>
            </w:r>
            <w:r w:rsidRPr="006E5822">
              <w:rPr>
                <w:szCs w:val="15"/>
              </w:rPr>
              <w:t xml:space="preserve">13 Target </w:t>
            </w:r>
            <w:r>
              <w:rPr>
                <w:szCs w:val="15"/>
              </w:rPr>
              <w:t xml:space="preserve">due to the inclusion </w:t>
            </w:r>
            <w:r w:rsidRPr="00137311">
              <w:rPr>
                <w:szCs w:val="15"/>
              </w:rPr>
              <w:t>of</w:t>
            </w:r>
            <w:r w:rsidRPr="00137311">
              <w:t xml:space="preserve"> a number of employment intensive projects. </w:t>
            </w:r>
            <w:r w:rsidRPr="003D7EF2">
              <w:t>The 2013</w:t>
            </w:r>
            <w:r w:rsidR="009F0F49">
              <w:noBreakHyphen/>
            </w:r>
            <w:r w:rsidRPr="003D7EF2">
              <w:t>1</w:t>
            </w:r>
            <w:r>
              <w:t>4 Target is lower than the 2012</w:t>
            </w:r>
            <w:r w:rsidR="009F0F49">
              <w:noBreakHyphen/>
            </w:r>
            <w:r w:rsidRPr="003D7EF2">
              <w:t>13 Expected Outcome as a result of a focus on projects with a higher productive capacity in 2013</w:t>
            </w:r>
            <w:r w:rsidR="009F0F49">
              <w:noBreakHyphen/>
            </w:r>
            <w:r w:rsidRPr="003D7EF2">
              <w:t>14 which is expected to result in less, but more highly skilled jobs being created</w:t>
            </w:r>
            <w:r>
              <w:t>.</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Text"/>
              <w:pageBreakBefore/>
              <w:rPr>
                <w:color w:val="000000"/>
                <w:lang w:eastAsia="en-AU"/>
              </w:rPr>
            </w:pPr>
            <w:r w:rsidRPr="00C76446">
              <w:rPr>
                <w:color w:val="000000"/>
                <w:lang w:eastAsia="en-AU"/>
              </w:rPr>
              <w:t>New inve</w:t>
            </w:r>
            <w:r>
              <w:rPr>
                <w:color w:val="000000"/>
                <w:lang w:eastAsia="en-AU"/>
              </w:rPr>
              <w:t>stment</w:t>
            </w:r>
            <w:r w:rsidRPr="00C76446">
              <w:rPr>
                <w:color w:val="000000"/>
                <w:lang w:eastAsia="en-AU"/>
              </w:rPr>
              <w:t xml:space="preserve"> facilitated</w:t>
            </w:r>
          </w:p>
        </w:tc>
        <w:tc>
          <w:tcPr>
            <w:tcW w:w="907" w:type="dxa"/>
            <w:tcBorders>
              <w:top w:val="single" w:sz="6" w:space="0" w:color="auto"/>
            </w:tcBorders>
            <w:shd w:val="clear" w:color="auto" w:fill="auto"/>
            <w:noWrap/>
          </w:tcPr>
          <w:p w:rsidR="00B958B1" w:rsidRDefault="00B958B1" w:rsidP="009F3B54">
            <w:pPr>
              <w:pStyle w:val="OGUoM"/>
              <w:rPr>
                <w:rFonts w:cs="Calibri"/>
                <w:szCs w:val="20"/>
              </w:rPr>
            </w:pPr>
            <w:r>
              <w:rPr>
                <w:rFonts w:cs="Calibri"/>
                <w:szCs w:val="20"/>
              </w:rPr>
              <w:t>$ million</w:t>
            </w:r>
          </w:p>
        </w:tc>
        <w:tc>
          <w:tcPr>
            <w:tcW w:w="907" w:type="dxa"/>
            <w:tcBorders>
              <w:top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 xml:space="preserve">2 000 </w:t>
            </w:r>
          </w:p>
        </w:tc>
        <w:tc>
          <w:tcPr>
            <w:tcW w:w="993"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2 200</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 xml:space="preserve">       1 440 </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2 312.4</w:t>
            </w:r>
          </w:p>
        </w:tc>
      </w:tr>
      <w:tr w:rsidR="00B958B1" w:rsidRPr="00C76446" w:rsidTr="009F3B54">
        <w:trPr>
          <w:cantSplit/>
        </w:trPr>
        <w:tc>
          <w:tcPr>
            <w:tcW w:w="7776" w:type="dxa"/>
            <w:gridSpan w:val="6"/>
            <w:tcBorders>
              <w:bottom w:val="single" w:sz="6" w:space="0" w:color="auto"/>
            </w:tcBorders>
            <w:shd w:val="clear" w:color="auto" w:fill="auto"/>
          </w:tcPr>
          <w:p w:rsidR="00B958B1" w:rsidRPr="00C76446" w:rsidRDefault="00B958B1" w:rsidP="009F3B54">
            <w:pPr>
              <w:pStyle w:val="OGNotes"/>
            </w:pPr>
            <w:r w:rsidRPr="006E5822">
              <w:t>The 2012</w:t>
            </w:r>
            <w:r w:rsidR="009F0F49">
              <w:noBreakHyphen/>
            </w:r>
            <w:r w:rsidRPr="006E5822">
              <w:t xml:space="preserve">13 Expected Outcome </w:t>
            </w:r>
            <w:r>
              <w:t>and 2013</w:t>
            </w:r>
            <w:r w:rsidR="009F0F49">
              <w:noBreakHyphen/>
            </w:r>
            <w:r>
              <w:t>14 Target are</w:t>
            </w:r>
            <w:r w:rsidRPr="006E5822">
              <w:t xml:space="preserve"> higher than the 2012</w:t>
            </w:r>
            <w:r w:rsidR="009F0F49">
              <w:noBreakHyphen/>
            </w:r>
            <w:r w:rsidRPr="006E5822">
              <w:t>13 Target due to higher than anticipated investment, including a high</w:t>
            </w:r>
            <w:r w:rsidR="009F0F49">
              <w:noBreakHyphen/>
            </w:r>
            <w:r w:rsidRPr="006E5822">
              <w:t>value capital intensive project in the energy sector.</w:t>
            </w:r>
            <w:r>
              <w:t xml:space="preserve"> </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Text"/>
              <w:rPr>
                <w:color w:val="000000"/>
                <w:lang w:eastAsia="en-AU"/>
              </w:rPr>
            </w:pPr>
            <w:r w:rsidRPr="00F238B4">
              <w:rPr>
                <w:color w:val="000000"/>
                <w:lang w:eastAsia="en-AU"/>
              </w:rPr>
              <w:t>New investment facilitated in regional Victoria</w:t>
            </w:r>
          </w:p>
        </w:tc>
        <w:tc>
          <w:tcPr>
            <w:tcW w:w="907" w:type="dxa"/>
            <w:tcBorders>
              <w:top w:val="single" w:sz="6" w:space="0" w:color="auto"/>
            </w:tcBorders>
            <w:shd w:val="clear" w:color="auto" w:fill="auto"/>
            <w:noWrap/>
          </w:tcPr>
          <w:p w:rsidR="00B958B1" w:rsidRDefault="00B958B1" w:rsidP="009F3B54">
            <w:pPr>
              <w:pStyle w:val="OGUoM"/>
              <w:rPr>
                <w:rFonts w:cs="Calibri"/>
                <w:szCs w:val="20"/>
              </w:rPr>
            </w:pPr>
            <w:r>
              <w:rPr>
                <w:rFonts w:cs="Calibri"/>
                <w:szCs w:val="20"/>
              </w:rPr>
              <w:t>$ million</w:t>
            </w:r>
          </w:p>
        </w:tc>
        <w:tc>
          <w:tcPr>
            <w:tcW w:w="907" w:type="dxa"/>
            <w:tcBorders>
              <w:top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660</w:t>
            </w:r>
          </w:p>
        </w:tc>
        <w:tc>
          <w:tcPr>
            <w:tcW w:w="993"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600</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504</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887.6</w:t>
            </w:r>
          </w:p>
        </w:tc>
      </w:tr>
      <w:tr w:rsidR="00B958B1" w:rsidRPr="00B23981" w:rsidTr="009F3B54">
        <w:trPr>
          <w:cantSplit/>
        </w:trPr>
        <w:tc>
          <w:tcPr>
            <w:tcW w:w="7776" w:type="dxa"/>
            <w:gridSpan w:val="6"/>
            <w:tcBorders>
              <w:bottom w:val="single" w:sz="6" w:space="0" w:color="auto"/>
            </w:tcBorders>
            <w:shd w:val="clear" w:color="auto" w:fill="auto"/>
          </w:tcPr>
          <w:p w:rsidR="00B958B1" w:rsidRPr="00062366" w:rsidRDefault="00B958B1" w:rsidP="009F3B54">
            <w:pPr>
              <w:pStyle w:val="OGNotes"/>
            </w:pPr>
            <w:r w:rsidRPr="006E5822">
              <w:t>The 2012</w:t>
            </w:r>
            <w:r w:rsidR="009F0F49">
              <w:noBreakHyphen/>
            </w:r>
            <w:r w:rsidRPr="006E5822">
              <w:t>13 Expected Outcome is higher than the 2012</w:t>
            </w:r>
            <w:r w:rsidR="009F0F49">
              <w:noBreakHyphen/>
            </w:r>
            <w:r w:rsidRPr="006E5822">
              <w:t>13 Target due to higher than anticipated investment in regional Victoria, including a high</w:t>
            </w:r>
            <w:r w:rsidR="009F0F49">
              <w:noBreakHyphen/>
            </w:r>
            <w:r w:rsidRPr="006E5822">
              <w:t>value capital intensive project in the energy sector.</w:t>
            </w:r>
            <w:r>
              <w:t xml:space="preserve"> </w:t>
            </w:r>
          </w:p>
        </w:tc>
      </w:tr>
      <w:tr w:rsidR="00B958B1" w:rsidRPr="00B23981" w:rsidTr="009F3B54">
        <w:trPr>
          <w:cantSplit/>
        </w:trPr>
        <w:tc>
          <w:tcPr>
            <w:tcW w:w="3155" w:type="dxa"/>
            <w:tcBorders>
              <w:top w:val="single" w:sz="6" w:space="0" w:color="auto"/>
            </w:tcBorders>
            <w:shd w:val="clear" w:color="auto" w:fill="auto"/>
          </w:tcPr>
          <w:p w:rsidR="00B958B1" w:rsidRPr="00B23981" w:rsidRDefault="00B958B1" w:rsidP="009F3B54">
            <w:pPr>
              <w:pStyle w:val="OGTabText"/>
              <w:rPr>
                <w:rFonts w:cs="Calibri"/>
                <w:color w:val="000000"/>
                <w:szCs w:val="20"/>
              </w:rPr>
            </w:pPr>
            <w:r w:rsidRPr="000C082B">
              <w:rPr>
                <w:color w:val="000000"/>
                <w:lang w:eastAsia="en-AU"/>
              </w:rPr>
              <w:t>Number of major research and evaluation projects completed</w:t>
            </w:r>
          </w:p>
        </w:tc>
        <w:tc>
          <w:tcPr>
            <w:tcW w:w="907" w:type="dxa"/>
            <w:tcBorders>
              <w:top w:val="single" w:sz="6" w:space="0" w:color="auto"/>
            </w:tcBorders>
            <w:shd w:val="clear" w:color="auto" w:fill="auto"/>
            <w:noWrap/>
          </w:tcPr>
          <w:p w:rsidR="00B958B1" w:rsidRPr="00B23981" w:rsidRDefault="00B958B1" w:rsidP="009F3B54">
            <w:pPr>
              <w:pStyle w:val="OGUoM"/>
              <w:rPr>
                <w:rFonts w:cs="Calibri"/>
                <w:szCs w:val="20"/>
              </w:rPr>
            </w:pPr>
            <w:r w:rsidRPr="00B23981">
              <w:rPr>
                <w:rFonts w:cs="Calibri"/>
                <w:szCs w:val="20"/>
              </w:rPr>
              <w:t>number</w:t>
            </w:r>
          </w:p>
        </w:tc>
        <w:tc>
          <w:tcPr>
            <w:tcW w:w="907" w:type="dxa"/>
            <w:tcBorders>
              <w:top w:val="single" w:sz="6" w:space="0" w:color="auto"/>
            </w:tcBorders>
            <w:shd w:val="clear" w:color="auto" w:fill="D9D9D9"/>
            <w:noWrap/>
          </w:tcPr>
          <w:p w:rsidR="00B958B1" w:rsidRPr="00B23981" w:rsidRDefault="00B958B1" w:rsidP="009F3B54">
            <w:pPr>
              <w:pStyle w:val="OGTableofFigures"/>
              <w:rPr>
                <w:rFonts w:cs="Calibri"/>
                <w:szCs w:val="20"/>
              </w:rPr>
            </w:pPr>
            <w:r w:rsidRPr="00B23981">
              <w:rPr>
                <w:rFonts w:cs="Calibri"/>
                <w:szCs w:val="20"/>
              </w:rPr>
              <w:t xml:space="preserve"> 6 </w:t>
            </w:r>
          </w:p>
        </w:tc>
        <w:tc>
          <w:tcPr>
            <w:tcW w:w="993" w:type="dxa"/>
            <w:tcBorders>
              <w:top w:val="single" w:sz="6" w:space="0" w:color="auto"/>
            </w:tcBorders>
            <w:shd w:val="clear" w:color="auto" w:fill="auto"/>
            <w:noWrap/>
          </w:tcPr>
          <w:p w:rsidR="00B958B1" w:rsidRPr="00B23981" w:rsidRDefault="00B958B1" w:rsidP="009F3B54">
            <w:pPr>
              <w:pStyle w:val="OGTableofFigures"/>
              <w:rPr>
                <w:rFonts w:cs="Calibri"/>
                <w:szCs w:val="20"/>
              </w:rPr>
            </w:pPr>
            <w:r w:rsidRPr="00B23981">
              <w:rPr>
                <w:rFonts w:cs="Calibri"/>
                <w:szCs w:val="20"/>
              </w:rPr>
              <w:t>1</w:t>
            </w:r>
            <w:r>
              <w:rPr>
                <w:rFonts w:cs="Calibri"/>
                <w:szCs w:val="20"/>
              </w:rPr>
              <w:t>6</w:t>
            </w:r>
          </w:p>
        </w:tc>
        <w:tc>
          <w:tcPr>
            <w:tcW w:w="907" w:type="dxa"/>
            <w:tcBorders>
              <w:top w:val="single" w:sz="6" w:space="0" w:color="auto"/>
            </w:tcBorders>
            <w:shd w:val="clear" w:color="auto" w:fill="auto"/>
            <w:noWrap/>
          </w:tcPr>
          <w:p w:rsidR="00B958B1" w:rsidRPr="00B23981" w:rsidRDefault="00B958B1" w:rsidP="009F3B54">
            <w:pPr>
              <w:pStyle w:val="OGTableofFigures"/>
              <w:rPr>
                <w:rFonts w:cs="Calibri"/>
                <w:szCs w:val="20"/>
              </w:rPr>
            </w:pPr>
            <w:r w:rsidRPr="00B23981">
              <w:rPr>
                <w:rFonts w:cs="Calibri"/>
                <w:szCs w:val="20"/>
              </w:rPr>
              <w:t xml:space="preserve"> </w:t>
            </w:r>
            <w:r>
              <w:rPr>
                <w:rFonts w:cs="Calibri"/>
                <w:szCs w:val="20"/>
              </w:rPr>
              <w:t>16</w:t>
            </w:r>
          </w:p>
        </w:tc>
        <w:tc>
          <w:tcPr>
            <w:tcW w:w="907" w:type="dxa"/>
            <w:tcBorders>
              <w:top w:val="single" w:sz="6" w:space="0" w:color="auto"/>
            </w:tcBorders>
            <w:shd w:val="clear" w:color="auto" w:fill="auto"/>
            <w:noWrap/>
          </w:tcPr>
          <w:p w:rsidR="00B958B1" w:rsidRPr="00B23981" w:rsidRDefault="00B958B1" w:rsidP="009F3B54">
            <w:pPr>
              <w:pStyle w:val="OGTableofFigures"/>
              <w:rPr>
                <w:rFonts w:cs="Calibri"/>
                <w:szCs w:val="20"/>
              </w:rPr>
            </w:pPr>
            <w:r w:rsidRPr="00B23981">
              <w:rPr>
                <w:rFonts w:cs="Calibri"/>
                <w:szCs w:val="20"/>
              </w:rPr>
              <w:t xml:space="preserve">22                 </w:t>
            </w:r>
          </w:p>
        </w:tc>
      </w:tr>
      <w:tr w:rsidR="00B958B1" w:rsidRPr="00B23981" w:rsidTr="009F3B54">
        <w:trPr>
          <w:cantSplit/>
        </w:trPr>
        <w:tc>
          <w:tcPr>
            <w:tcW w:w="7776" w:type="dxa"/>
            <w:gridSpan w:val="6"/>
            <w:tcBorders>
              <w:bottom w:val="single" w:sz="6" w:space="0" w:color="auto"/>
            </w:tcBorders>
            <w:shd w:val="clear" w:color="auto" w:fill="auto"/>
          </w:tcPr>
          <w:p w:rsidR="00B958B1" w:rsidRPr="00062366" w:rsidRDefault="00B958B1" w:rsidP="009F3B54">
            <w:pPr>
              <w:pStyle w:val="OGNotes"/>
            </w:pPr>
            <w:r w:rsidRPr="006E5822">
              <w:t>The 2013</w:t>
            </w:r>
            <w:r w:rsidR="009F0F49">
              <w:noBreakHyphen/>
            </w:r>
            <w:r w:rsidRPr="006E5822">
              <w:t>14 Target is less than the 2012</w:t>
            </w:r>
            <w:r w:rsidR="009F0F49">
              <w:noBreakHyphen/>
            </w:r>
            <w:r w:rsidRPr="006E5822">
              <w:t xml:space="preserve">13 Expected </w:t>
            </w:r>
            <w:r w:rsidRPr="003B3876">
              <w:t>Outcome and the 2012</w:t>
            </w:r>
            <w:r w:rsidR="009F0F49">
              <w:noBreakHyphen/>
            </w:r>
            <w:r w:rsidRPr="003B3876">
              <w:t>13 Target due</w:t>
            </w:r>
            <w:r w:rsidRPr="006E5822">
              <w:t xml:space="preserve"> to the conclusion of existing projects</w:t>
            </w:r>
            <w:r>
              <w:t xml:space="preserve"> during 2012</w:t>
            </w:r>
            <w:r w:rsidR="009F0F49">
              <w:noBreakHyphen/>
            </w:r>
            <w:r>
              <w:t>13</w:t>
            </w:r>
            <w:r w:rsidRPr="006E5822">
              <w:t>.</w:t>
            </w:r>
            <w:r w:rsidRPr="00062366">
              <w:t xml:space="preserve"> </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Head"/>
              <w:rPr>
                <w:lang w:eastAsia="en-AU"/>
              </w:rPr>
            </w:pPr>
            <w:r w:rsidRPr="00B23981">
              <w:rPr>
                <w:lang w:eastAsia="en-AU"/>
              </w:rPr>
              <w:t>Quality</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D9D9D9"/>
            <w:noWrap/>
          </w:tcPr>
          <w:p w:rsidR="00B958B1" w:rsidRPr="00C76446" w:rsidRDefault="00B958B1" w:rsidP="009F3B54">
            <w:pPr>
              <w:pStyle w:val="OGTabHead"/>
              <w:rPr>
                <w:lang w:eastAsia="en-AU"/>
              </w:rPr>
            </w:pPr>
            <w:r w:rsidRPr="00C76446">
              <w:rPr>
                <w:lang w:eastAsia="en-AU"/>
              </w:rPr>
              <w:t> </w:t>
            </w:r>
          </w:p>
        </w:tc>
        <w:tc>
          <w:tcPr>
            <w:tcW w:w="993"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r>
      <w:tr w:rsidR="00B958B1" w:rsidRPr="00C76446" w:rsidTr="009F3B54">
        <w:trPr>
          <w:cantSplit/>
        </w:trPr>
        <w:tc>
          <w:tcPr>
            <w:tcW w:w="3155" w:type="dxa"/>
            <w:shd w:val="clear" w:color="auto" w:fill="auto"/>
          </w:tcPr>
          <w:p w:rsidR="00B958B1" w:rsidRPr="006C2ABD" w:rsidRDefault="00B958B1" w:rsidP="009F3B54">
            <w:pPr>
              <w:pStyle w:val="OGTabText"/>
              <w:rPr>
                <w:color w:val="000000"/>
                <w:lang w:eastAsia="en-AU"/>
              </w:rPr>
            </w:pPr>
            <w:r>
              <w:rPr>
                <w:color w:val="000000"/>
                <w:lang w:eastAsia="en-AU"/>
              </w:rPr>
              <w:t>Management</w:t>
            </w:r>
            <w:r w:rsidRPr="000C082B">
              <w:rPr>
                <w:color w:val="000000"/>
                <w:lang w:eastAsia="en-AU"/>
              </w:rPr>
              <w:t xml:space="preserve"> of Major Projects Victoria projects complies with </w:t>
            </w:r>
            <w:r>
              <w:rPr>
                <w:color w:val="000000"/>
                <w:lang w:eastAsia="en-AU"/>
              </w:rPr>
              <w:t>contracted</w:t>
            </w:r>
            <w:r w:rsidRPr="000C082B">
              <w:rPr>
                <w:color w:val="000000"/>
                <w:lang w:eastAsia="en-AU"/>
              </w:rPr>
              <w:t xml:space="preserve"> scope</w:t>
            </w:r>
          </w:p>
        </w:tc>
        <w:tc>
          <w:tcPr>
            <w:tcW w:w="907" w:type="dxa"/>
            <w:shd w:val="clear" w:color="auto" w:fill="auto"/>
            <w:noWrap/>
          </w:tcPr>
          <w:p w:rsidR="00B958B1" w:rsidRDefault="00B958B1" w:rsidP="009F3B54">
            <w:pPr>
              <w:pStyle w:val="OGUoM"/>
              <w:rPr>
                <w:rFonts w:cs="Calibri"/>
                <w:szCs w:val="20"/>
              </w:rPr>
            </w:pPr>
            <w:r>
              <w:rPr>
                <w:rFonts w:cs="Calibri"/>
                <w:szCs w:val="20"/>
              </w:rPr>
              <w:t>number</w:t>
            </w:r>
          </w:p>
        </w:tc>
        <w:tc>
          <w:tcPr>
            <w:tcW w:w="907" w:type="dxa"/>
            <w:shd w:val="clear" w:color="auto" w:fill="D9D9D9"/>
            <w:noWrap/>
          </w:tcPr>
          <w:p w:rsidR="00B958B1" w:rsidRDefault="00B958B1" w:rsidP="009F3B54">
            <w:pPr>
              <w:pStyle w:val="OGTableofFigures"/>
              <w:rPr>
                <w:rFonts w:cs="Calibri"/>
                <w:szCs w:val="20"/>
              </w:rPr>
            </w:pPr>
            <w:r w:rsidRPr="00863949">
              <w:rPr>
                <w:rFonts w:cs="Calibri"/>
                <w:szCs w:val="20"/>
              </w:rPr>
              <w:t>6:6</w:t>
            </w:r>
          </w:p>
        </w:tc>
        <w:tc>
          <w:tcPr>
            <w:tcW w:w="993" w:type="dxa"/>
            <w:shd w:val="clear" w:color="auto" w:fill="auto"/>
            <w:noWrap/>
          </w:tcPr>
          <w:p w:rsidR="00B958B1" w:rsidRDefault="00B958B1" w:rsidP="009F3B54">
            <w:pPr>
              <w:pStyle w:val="OGTableofFigures"/>
              <w:rPr>
                <w:rFonts w:cs="Calibri"/>
                <w:szCs w:val="20"/>
              </w:rPr>
            </w:pPr>
            <w:r>
              <w:rPr>
                <w:rFonts w:cs="Calibri"/>
                <w:szCs w:val="20"/>
              </w:rPr>
              <w:t>nm</w:t>
            </w:r>
          </w:p>
        </w:tc>
        <w:tc>
          <w:tcPr>
            <w:tcW w:w="907" w:type="dxa"/>
            <w:shd w:val="clear" w:color="auto" w:fill="auto"/>
            <w:noWrap/>
          </w:tcPr>
          <w:p w:rsidR="00B958B1" w:rsidRDefault="00B958B1" w:rsidP="009F3B54">
            <w:pPr>
              <w:pStyle w:val="OGTableofFigures"/>
              <w:rPr>
                <w:rFonts w:cs="Calibri"/>
                <w:szCs w:val="20"/>
              </w:rPr>
            </w:pPr>
            <w:r>
              <w:rPr>
                <w:rFonts w:cs="Calibri"/>
                <w:szCs w:val="20"/>
              </w:rPr>
              <w:t>nm</w:t>
            </w:r>
          </w:p>
        </w:tc>
        <w:tc>
          <w:tcPr>
            <w:tcW w:w="907" w:type="dxa"/>
            <w:shd w:val="clear" w:color="auto" w:fill="auto"/>
            <w:noWrap/>
          </w:tcPr>
          <w:p w:rsidR="00B958B1" w:rsidRDefault="00B958B1" w:rsidP="009F3B54">
            <w:pPr>
              <w:pStyle w:val="OGTableofFigures"/>
              <w:rPr>
                <w:rFonts w:cs="Calibri"/>
                <w:szCs w:val="20"/>
              </w:rPr>
            </w:pPr>
            <w:r>
              <w:rPr>
                <w:rFonts w:cs="Calibri"/>
                <w:szCs w:val="20"/>
              </w:rPr>
              <w:t>nm</w:t>
            </w:r>
          </w:p>
        </w:tc>
      </w:tr>
      <w:tr w:rsidR="00B958B1" w:rsidRPr="00C76446" w:rsidTr="009F3B54">
        <w:trPr>
          <w:cantSplit/>
        </w:trPr>
        <w:tc>
          <w:tcPr>
            <w:tcW w:w="7776" w:type="dxa"/>
            <w:gridSpan w:val="6"/>
            <w:tcBorders>
              <w:bottom w:val="single" w:sz="6" w:space="0" w:color="auto"/>
            </w:tcBorders>
            <w:shd w:val="clear" w:color="auto" w:fill="auto"/>
          </w:tcPr>
          <w:p w:rsidR="00B958B1" w:rsidRPr="006C2ABD" w:rsidRDefault="00B958B1" w:rsidP="009F3B54">
            <w:pPr>
              <w:pStyle w:val="OGNotes"/>
              <w:rPr>
                <w:b/>
              </w:rPr>
            </w:pPr>
            <w:r w:rsidRPr="00286F2F">
              <w:t>This performance measure replaces the 2012</w:t>
            </w:r>
            <w:r w:rsidR="009F0F49">
              <w:noBreakHyphen/>
            </w:r>
            <w:r w:rsidRPr="00286F2F">
              <w:t>13 performance measure ‘Delivery of nominated Major Projects Victoria projects complies with agreed plans and contractual frameworks’. The new measure will better demonstrate Major Projects Victoria performance. The criteri</w:t>
            </w:r>
            <w:r>
              <w:t>on</w:t>
            </w:r>
            <w:r w:rsidRPr="00286F2F">
              <w:t xml:space="preserve"> applied is ‘no material change’.</w:t>
            </w:r>
          </w:p>
        </w:tc>
      </w:tr>
      <w:tr w:rsidR="00B958B1" w:rsidTr="009F3B54">
        <w:trPr>
          <w:cantSplit/>
        </w:trPr>
        <w:tc>
          <w:tcPr>
            <w:tcW w:w="3155" w:type="dxa"/>
            <w:tcBorders>
              <w:top w:val="single" w:sz="6" w:space="0" w:color="auto"/>
            </w:tcBorders>
            <w:shd w:val="clear" w:color="auto" w:fill="auto"/>
          </w:tcPr>
          <w:p w:rsidR="00B958B1" w:rsidRPr="00C76446" w:rsidRDefault="00B958B1" w:rsidP="009F3B54">
            <w:pPr>
              <w:pStyle w:val="OGTabText"/>
              <w:rPr>
                <w:color w:val="000000"/>
                <w:lang w:eastAsia="en-AU"/>
              </w:rPr>
            </w:pPr>
            <w:r>
              <w:rPr>
                <w:color w:val="000000"/>
                <w:lang w:eastAsia="en-AU"/>
              </w:rPr>
              <w:t>Management</w:t>
            </w:r>
            <w:r w:rsidRPr="00C76446">
              <w:rPr>
                <w:color w:val="000000"/>
                <w:lang w:eastAsia="en-AU"/>
              </w:rPr>
              <w:t xml:space="preserve"> </w:t>
            </w:r>
            <w:r>
              <w:rPr>
                <w:color w:val="000000"/>
                <w:lang w:eastAsia="en-AU"/>
              </w:rPr>
              <w:t xml:space="preserve">of </w:t>
            </w:r>
            <w:r w:rsidRPr="00C76446">
              <w:rPr>
                <w:color w:val="000000"/>
                <w:lang w:eastAsia="en-AU"/>
              </w:rPr>
              <w:t xml:space="preserve">Major Projects Victoria projects complies with </w:t>
            </w:r>
            <w:r>
              <w:rPr>
                <w:color w:val="000000"/>
                <w:lang w:eastAsia="en-AU"/>
              </w:rPr>
              <w:t>contracted</w:t>
            </w:r>
            <w:r w:rsidRPr="00C76446">
              <w:rPr>
                <w:color w:val="000000"/>
                <w:lang w:eastAsia="en-AU"/>
              </w:rPr>
              <w:t xml:space="preserve"> </w:t>
            </w:r>
            <w:r>
              <w:rPr>
                <w:color w:val="000000"/>
                <w:lang w:eastAsia="en-AU"/>
              </w:rPr>
              <w:t>cost</w:t>
            </w:r>
          </w:p>
        </w:tc>
        <w:tc>
          <w:tcPr>
            <w:tcW w:w="907" w:type="dxa"/>
            <w:tcBorders>
              <w:top w:val="single" w:sz="6" w:space="0" w:color="auto"/>
            </w:tcBorders>
            <w:shd w:val="clear" w:color="auto" w:fill="auto"/>
            <w:noWrap/>
          </w:tcPr>
          <w:p w:rsidR="00B958B1" w:rsidRDefault="00B958B1" w:rsidP="009F3B54">
            <w:pPr>
              <w:pStyle w:val="OGUoM"/>
              <w:rPr>
                <w:rFonts w:cs="Calibri"/>
                <w:szCs w:val="20"/>
              </w:rPr>
            </w:pPr>
            <w:r>
              <w:rPr>
                <w:rFonts w:cs="Calibri"/>
                <w:szCs w:val="20"/>
              </w:rPr>
              <w:t>number</w:t>
            </w:r>
          </w:p>
        </w:tc>
        <w:tc>
          <w:tcPr>
            <w:tcW w:w="907" w:type="dxa"/>
            <w:tcBorders>
              <w:top w:val="single" w:sz="6" w:space="0" w:color="auto"/>
            </w:tcBorders>
            <w:shd w:val="clear" w:color="auto" w:fill="D9D9D9"/>
            <w:noWrap/>
          </w:tcPr>
          <w:p w:rsidR="00B958B1" w:rsidRDefault="00B958B1" w:rsidP="009F3B54">
            <w:pPr>
              <w:pStyle w:val="OGTableofFigures"/>
              <w:rPr>
                <w:rFonts w:cs="Calibri"/>
                <w:szCs w:val="20"/>
              </w:rPr>
            </w:pPr>
            <w:r w:rsidRPr="00863949">
              <w:rPr>
                <w:rFonts w:cs="Calibri"/>
                <w:szCs w:val="20"/>
              </w:rPr>
              <w:t>6:6</w:t>
            </w:r>
          </w:p>
        </w:tc>
        <w:tc>
          <w:tcPr>
            <w:tcW w:w="993"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nm</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nm</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nm</w:t>
            </w:r>
          </w:p>
        </w:tc>
      </w:tr>
      <w:tr w:rsidR="00B958B1" w:rsidRPr="00C76446" w:rsidTr="009F3B54">
        <w:trPr>
          <w:cantSplit/>
        </w:trPr>
        <w:tc>
          <w:tcPr>
            <w:tcW w:w="7776" w:type="dxa"/>
            <w:gridSpan w:val="6"/>
            <w:tcBorders>
              <w:bottom w:val="single" w:sz="6" w:space="0" w:color="auto"/>
            </w:tcBorders>
            <w:shd w:val="clear" w:color="auto" w:fill="auto"/>
          </w:tcPr>
          <w:p w:rsidR="00B958B1" w:rsidRDefault="00B958B1" w:rsidP="009F3B54">
            <w:pPr>
              <w:pStyle w:val="OGNotes"/>
              <w:rPr>
                <w:rFonts w:cs="Calibri"/>
              </w:rPr>
            </w:pPr>
            <w:r w:rsidRPr="00286F2F">
              <w:t>This performance measure replaces the 2012</w:t>
            </w:r>
            <w:r w:rsidR="009F0F49">
              <w:noBreakHyphen/>
            </w:r>
            <w:r w:rsidRPr="00286F2F">
              <w:t>13 performance measure ‘Delivery of nominated Major Projects Victoria projects complies with agreed plans and contractual frameworks’. The new measure will better demonstrate Major Projects Victoria performance</w:t>
            </w:r>
            <w:r>
              <w:t>. The criterion applied is +/</w:t>
            </w:r>
            <w:r w:rsidR="009F0F49">
              <w:noBreakHyphen/>
            </w:r>
            <w:r>
              <w:t xml:space="preserve"> 5 per cent</w:t>
            </w:r>
            <w:r w:rsidRPr="00286F2F">
              <w:t xml:space="preserve"> of agreed cost in the financial year. Major Projects Victoria reports b</w:t>
            </w:r>
            <w:r>
              <w:t>udgets on a similar basis to</w:t>
            </w:r>
            <w:r w:rsidRPr="00286F2F">
              <w:t xml:space="preserve"> </w:t>
            </w:r>
            <w:r>
              <w:t xml:space="preserve">their </w:t>
            </w:r>
            <w:r w:rsidRPr="00286F2F">
              <w:t>clients.</w:t>
            </w:r>
          </w:p>
        </w:tc>
      </w:tr>
      <w:tr w:rsidR="00B958B1" w:rsidTr="009F3B54">
        <w:trPr>
          <w:cantSplit/>
        </w:trPr>
        <w:tc>
          <w:tcPr>
            <w:tcW w:w="3155" w:type="dxa"/>
            <w:tcBorders>
              <w:top w:val="single" w:sz="6" w:space="0" w:color="auto"/>
            </w:tcBorders>
            <w:shd w:val="clear" w:color="auto" w:fill="auto"/>
          </w:tcPr>
          <w:p w:rsidR="00B958B1" w:rsidRPr="00C76446" w:rsidRDefault="00B958B1" w:rsidP="009F3B54">
            <w:pPr>
              <w:pStyle w:val="OGTabText"/>
              <w:rPr>
                <w:color w:val="000000"/>
                <w:lang w:eastAsia="en-AU"/>
              </w:rPr>
            </w:pPr>
            <w:r>
              <w:rPr>
                <w:color w:val="000000"/>
                <w:lang w:eastAsia="en-AU"/>
              </w:rPr>
              <w:t xml:space="preserve">Melbourne Markets Project complies with scope, budget and time </w:t>
            </w:r>
          </w:p>
        </w:tc>
        <w:tc>
          <w:tcPr>
            <w:tcW w:w="907" w:type="dxa"/>
            <w:tcBorders>
              <w:top w:val="single" w:sz="6" w:space="0" w:color="auto"/>
            </w:tcBorders>
            <w:shd w:val="clear" w:color="auto" w:fill="auto"/>
            <w:noWrap/>
          </w:tcPr>
          <w:p w:rsidR="00B958B1" w:rsidRDefault="00B958B1" w:rsidP="009F3B54">
            <w:pPr>
              <w:pStyle w:val="OGUoM"/>
              <w:rPr>
                <w:rFonts w:cs="Calibri"/>
                <w:szCs w:val="20"/>
              </w:rPr>
            </w:pPr>
            <w:r>
              <w:rPr>
                <w:rFonts w:cs="Calibri"/>
                <w:szCs w:val="20"/>
              </w:rPr>
              <w:t>number</w:t>
            </w:r>
          </w:p>
        </w:tc>
        <w:tc>
          <w:tcPr>
            <w:tcW w:w="907" w:type="dxa"/>
            <w:tcBorders>
              <w:top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3:3</w:t>
            </w:r>
          </w:p>
        </w:tc>
        <w:tc>
          <w:tcPr>
            <w:tcW w:w="993"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nm</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nm</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nm</w:t>
            </w:r>
          </w:p>
        </w:tc>
      </w:tr>
      <w:tr w:rsidR="00B958B1" w:rsidRPr="00C76446" w:rsidTr="009F3B54">
        <w:trPr>
          <w:cantSplit/>
        </w:trPr>
        <w:tc>
          <w:tcPr>
            <w:tcW w:w="7776" w:type="dxa"/>
            <w:gridSpan w:val="6"/>
            <w:tcBorders>
              <w:bottom w:val="single" w:sz="6" w:space="0" w:color="auto"/>
            </w:tcBorders>
            <w:shd w:val="clear" w:color="auto" w:fill="auto"/>
          </w:tcPr>
          <w:p w:rsidR="00B958B1" w:rsidRPr="006C2ABD" w:rsidRDefault="00B958B1" w:rsidP="009F3B54">
            <w:pPr>
              <w:pStyle w:val="OGNotes"/>
              <w:rPr>
                <w:b/>
              </w:rPr>
            </w:pPr>
            <w:r w:rsidRPr="00286F2F">
              <w:t>New performance measure for 2013</w:t>
            </w:r>
            <w:r w:rsidR="009F0F49">
              <w:noBreakHyphen/>
            </w:r>
            <w:r w:rsidRPr="00286F2F">
              <w:t xml:space="preserve">14 to reflect the Department of State Development, Business and Innovation’s client role in managing this project. </w:t>
            </w:r>
            <w:r w:rsidRPr="00863949">
              <w:t>The criter</w:t>
            </w:r>
            <w:r>
              <w:t>ion</w:t>
            </w:r>
            <w:r w:rsidRPr="00863949">
              <w:t xml:space="preserve"> applied is within +/</w:t>
            </w:r>
            <w:r w:rsidR="009F0F49">
              <w:noBreakHyphen/>
            </w:r>
            <w:r w:rsidRPr="00863949">
              <w:t xml:space="preserve"> 5</w:t>
            </w:r>
            <w:r>
              <w:t> per cent</w:t>
            </w:r>
            <w:r w:rsidRPr="00863949">
              <w:t xml:space="preserve"> of the scope, budget and time parameters for the financial year.</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Head"/>
              <w:rPr>
                <w:lang w:eastAsia="en-AU"/>
              </w:rPr>
            </w:pPr>
            <w:r>
              <w:rPr>
                <w:lang w:eastAsia="en-AU"/>
              </w:rPr>
              <w:t>Timeliness</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D9D9D9"/>
            <w:noWrap/>
          </w:tcPr>
          <w:p w:rsidR="00B958B1" w:rsidRPr="00C76446" w:rsidRDefault="00B958B1" w:rsidP="009F3B54">
            <w:pPr>
              <w:pStyle w:val="OGTabHead"/>
              <w:rPr>
                <w:lang w:eastAsia="en-AU"/>
              </w:rPr>
            </w:pPr>
            <w:r w:rsidRPr="00C76446">
              <w:rPr>
                <w:lang w:eastAsia="en-AU"/>
              </w:rPr>
              <w:t> </w:t>
            </w:r>
          </w:p>
        </w:tc>
        <w:tc>
          <w:tcPr>
            <w:tcW w:w="993"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r>
      <w:tr w:rsidR="00B958B1" w:rsidTr="009F3B54">
        <w:trPr>
          <w:cantSplit/>
        </w:trPr>
        <w:tc>
          <w:tcPr>
            <w:tcW w:w="3155" w:type="dxa"/>
            <w:shd w:val="clear" w:color="auto" w:fill="auto"/>
          </w:tcPr>
          <w:p w:rsidR="00B958B1" w:rsidRPr="00C76446" w:rsidRDefault="00B958B1" w:rsidP="009F3B54">
            <w:pPr>
              <w:pStyle w:val="OGTabText"/>
              <w:rPr>
                <w:color w:val="000000"/>
                <w:lang w:eastAsia="en-AU"/>
              </w:rPr>
            </w:pPr>
            <w:r>
              <w:rPr>
                <w:color w:val="000000"/>
                <w:lang w:eastAsia="en-AU"/>
              </w:rPr>
              <w:t>Management of Major Projects Victoria projects complies with contracted time</w:t>
            </w:r>
          </w:p>
        </w:tc>
        <w:tc>
          <w:tcPr>
            <w:tcW w:w="907" w:type="dxa"/>
            <w:shd w:val="clear" w:color="auto" w:fill="auto"/>
            <w:noWrap/>
          </w:tcPr>
          <w:p w:rsidR="00B958B1" w:rsidRDefault="00B958B1" w:rsidP="009F3B54">
            <w:pPr>
              <w:pStyle w:val="OGUoM"/>
              <w:rPr>
                <w:rFonts w:cs="Calibri"/>
                <w:szCs w:val="20"/>
              </w:rPr>
            </w:pPr>
            <w:r>
              <w:rPr>
                <w:rFonts w:cs="Calibri"/>
                <w:szCs w:val="20"/>
              </w:rPr>
              <w:t>number</w:t>
            </w:r>
          </w:p>
          <w:p w:rsidR="00B958B1" w:rsidRDefault="00B958B1" w:rsidP="009F3B54">
            <w:pPr>
              <w:pStyle w:val="OGUoM"/>
              <w:rPr>
                <w:rFonts w:cs="Calibri"/>
                <w:szCs w:val="20"/>
              </w:rPr>
            </w:pPr>
          </w:p>
        </w:tc>
        <w:tc>
          <w:tcPr>
            <w:tcW w:w="907" w:type="dxa"/>
            <w:shd w:val="clear" w:color="auto" w:fill="D9D9D9"/>
            <w:noWrap/>
          </w:tcPr>
          <w:p w:rsidR="00B958B1" w:rsidRDefault="00B958B1" w:rsidP="009F3B54">
            <w:pPr>
              <w:pStyle w:val="OGTableofFigures"/>
              <w:rPr>
                <w:rFonts w:cs="Calibri"/>
                <w:szCs w:val="20"/>
              </w:rPr>
            </w:pPr>
            <w:r w:rsidRPr="00BF1406">
              <w:rPr>
                <w:rFonts w:cs="Calibri"/>
                <w:szCs w:val="20"/>
              </w:rPr>
              <w:t>6</w:t>
            </w:r>
            <w:r>
              <w:rPr>
                <w:rFonts w:cs="Calibri"/>
                <w:szCs w:val="20"/>
              </w:rPr>
              <w:t>:6</w:t>
            </w:r>
          </w:p>
        </w:tc>
        <w:tc>
          <w:tcPr>
            <w:tcW w:w="993" w:type="dxa"/>
            <w:shd w:val="clear" w:color="auto" w:fill="auto"/>
            <w:noWrap/>
          </w:tcPr>
          <w:p w:rsidR="00B958B1" w:rsidRDefault="00B958B1" w:rsidP="009F3B54">
            <w:pPr>
              <w:pStyle w:val="OGTableofFigures"/>
              <w:rPr>
                <w:rFonts w:cs="Calibri"/>
                <w:szCs w:val="20"/>
              </w:rPr>
            </w:pPr>
            <w:r>
              <w:rPr>
                <w:rFonts w:cs="Calibri"/>
                <w:szCs w:val="20"/>
              </w:rPr>
              <w:t>nm</w:t>
            </w:r>
          </w:p>
        </w:tc>
        <w:tc>
          <w:tcPr>
            <w:tcW w:w="907" w:type="dxa"/>
            <w:shd w:val="clear" w:color="auto" w:fill="auto"/>
            <w:noWrap/>
          </w:tcPr>
          <w:p w:rsidR="00B958B1" w:rsidRDefault="00B958B1" w:rsidP="009F3B54">
            <w:pPr>
              <w:pStyle w:val="OGTableofFigures"/>
              <w:rPr>
                <w:rFonts w:cs="Calibri"/>
                <w:szCs w:val="20"/>
              </w:rPr>
            </w:pPr>
            <w:r>
              <w:rPr>
                <w:rFonts w:cs="Calibri"/>
                <w:szCs w:val="20"/>
              </w:rPr>
              <w:t>nm</w:t>
            </w:r>
          </w:p>
        </w:tc>
        <w:tc>
          <w:tcPr>
            <w:tcW w:w="907" w:type="dxa"/>
            <w:shd w:val="clear" w:color="auto" w:fill="auto"/>
            <w:noWrap/>
          </w:tcPr>
          <w:p w:rsidR="00B958B1" w:rsidRDefault="00B958B1" w:rsidP="009F3B54">
            <w:pPr>
              <w:pStyle w:val="OGTableofFigures"/>
              <w:rPr>
                <w:rFonts w:cs="Calibri"/>
                <w:szCs w:val="20"/>
              </w:rPr>
            </w:pPr>
            <w:r>
              <w:rPr>
                <w:rFonts w:cs="Calibri"/>
                <w:szCs w:val="20"/>
              </w:rPr>
              <w:t>nm</w:t>
            </w:r>
          </w:p>
        </w:tc>
      </w:tr>
      <w:tr w:rsidR="00B958B1" w:rsidRPr="00C76446" w:rsidTr="009F3B54">
        <w:trPr>
          <w:cantSplit/>
        </w:trPr>
        <w:tc>
          <w:tcPr>
            <w:tcW w:w="7776" w:type="dxa"/>
            <w:gridSpan w:val="6"/>
            <w:tcBorders>
              <w:bottom w:val="single" w:sz="6" w:space="0" w:color="auto"/>
            </w:tcBorders>
            <w:shd w:val="clear" w:color="auto" w:fill="auto"/>
          </w:tcPr>
          <w:p w:rsidR="00B958B1" w:rsidRPr="006C2ABD" w:rsidRDefault="00B958B1" w:rsidP="009F3B54">
            <w:pPr>
              <w:pStyle w:val="OGNotes"/>
              <w:rPr>
                <w:b/>
              </w:rPr>
            </w:pPr>
            <w:r w:rsidRPr="005952AD">
              <w:t>This performance measure replaces the 2012</w:t>
            </w:r>
            <w:r w:rsidR="009F0F49">
              <w:noBreakHyphen/>
            </w:r>
            <w:r w:rsidRPr="005952AD">
              <w:t>13 performance measure ‘Delivery of nominated Major Projects Victoria projects complies with agreed plans and contractual frameworks’. The new measure will better demonstrate Major Projects Vi</w:t>
            </w:r>
            <w:r>
              <w:t xml:space="preserve">ctoria performance. The criterion </w:t>
            </w:r>
            <w:r w:rsidRPr="005952AD">
              <w:t>applied is within +/</w:t>
            </w:r>
            <w:r w:rsidR="009F0F49">
              <w:noBreakHyphen/>
            </w:r>
            <w:r w:rsidRPr="005952AD">
              <w:t xml:space="preserve"> 5</w:t>
            </w:r>
            <w:r>
              <w:t> per cent</w:t>
            </w:r>
            <w:r w:rsidRPr="005952AD">
              <w:t xml:space="preserve"> of the contractual time parameters for the financial year.</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Head"/>
              <w:rPr>
                <w:lang w:eastAsia="en-AU"/>
              </w:rPr>
            </w:pPr>
            <w:r w:rsidRPr="004F1A91">
              <w:rPr>
                <w:lang w:eastAsia="en-AU"/>
              </w:rPr>
              <w:t>Cost</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D9D9D9"/>
            <w:noWrap/>
          </w:tcPr>
          <w:p w:rsidR="00B958B1" w:rsidRPr="00C76446" w:rsidRDefault="00B958B1" w:rsidP="009F3B54">
            <w:pPr>
              <w:pStyle w:val="OGTabHead"/>
              <w:rPr>
                <w:lang w:eastAsia="en-AU"/>
              </w:rPr>
            </w:pPr>
            <w:r w:rsidRPr="00C76446">
              <w:rPr>
                <w:lang w:eastAsia="en-AU"/>
              </w:rPr>
              <w:t> </w:t>
            </w:r>
          </w:p>
        </w:tc>
        <w:tc>
          <w:tcPr>
            <w:tcW w:w="993"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r>
      <w:tr w:rsidR="00B958B1" w:rsidRPr="00C76446" w:rsidTr="009F3B54">
        <w:trPr>
          <w:cantSplit/>
        </w:trPr>
        <w:tc>
          <w:tcPr>
            <w:tcW w:w="3155" w:type="dxa"/>
            <w:shd w:val="clear" w:color="auto" w:fill="auto"/>
          </w:tcPr>
          <w:p w:rsidR="00B958B1" w:rsidRPr="00C76446" w:rsidRDefault="00B958B1" w:rsidP="009F3B54">
            <w:pPr>
              <w:pStyle w:val="OGTabText"/>
              <w:rPr>
                <w:color w:val="000000"/>
                <w:lang w:eastAsia="en-AU"/>
              </w:rPr>
            </w:pPr>
            <w:r w:rsidRPr="00C76446">
              <w:rPr>
                <w:color w:val="000000"/>
                <w:lang w:eastAsia="en-AU"/>
              </w:rPr>
              <w:t>Total output cost</w:t>
            </w:r>
          </w:p>
        </w:tc>
        <w:tc>
          <w:tcPr>
            <w:tcW w:w="907" w:type="dxa"/>
            <w:shd w:val="clear" w:color="auto" w:fill="auto"/>
            <w:noWrap/>
          </w:tcPr>
          <w:p w:rsidR="00B958B1" w:rsidRDefault="00B958B1" w:rsidP="009F3B54">
            <w:pPr>
              <w:pStyle w:val="OGUoM"/>
              <w:rPr>
                <w:rFonts w:cs="Calibri"/>
                <w:szCs w:val="20"/>
              </w:rPr>
            </w:pPr>
            <w:r>
              <w:rPr>
                <w:rFonts w:cs="Calibri"/>
                <w:szCs w:val="20"/>
              </w:rPr>
              <w:t>$ million</w:t>
            </w:r>
          </w:p>
        </w:tc>
        <w:tc>
          <w:tcPr>
            <w:tcW w:w="907" w:type="dxa"/>
            <w:shd w:val="clear" w:color="auto" w:fill="D9D9D9"/>
            <w:noWrap/>
          </w:tcPr>
          <w:p w:rsidR="00B958B1" w:rsidRPr="008E0FD5" w:rsidRDefault="00B958B1" w:rsidP="009F3B54">
            <w:pPr>
              <w:pStyle w:val="OGTableofFigures"/>
              <w:rPr>
                <w:rFonts w:cs="Calibri"/>
                <w:szCs w:val="20"/>
              </w:rPr>
            </w:pPr>
            <w:r>
              <w:rPr>
                <w:rFonts w:cs="Calibri"/>
                <w:szCs w:val="20"/>
              </w:rPr>
              <w:t>301.4</w:t>
            </w:r>
          </w:p>
        </w:tc>
        <w:tc>
          <w:tcPr>
            <w:tcW w:w="993" w:type="dxa"/>
            <w:shd w:val="clear" w:color="auto" w:fill="auto"/>
            <w:noWrap/>
          </w:tcPr>
          <w:p w:rsidR="00B958B1" w:rsidRPr="008E0FD5" w:rsidRDefault="00B958B1" w:rsidP="009F3B54">
            <w:pPr>
              <w:pStyle w:val="OGTableofFigures"/>
              <w:rPr>
                <w:rFonts w:cs="Calibri"/>
                <w:szCs w:val="20"/>
              </w:rPr>
            </w:pPr>
            <w:r>
              <w:rPr>
                <w:rFonts w:cs="Calibri"/>
                <w:szCs w:val="20"/>
              </w:rPr>
              <w:t>241.5</w:t>
            </w:r>
          </w:p>
        </w:tc>
        <w:tc>
          <w:tcPr>
            <w:tcW w:w="907" w:type="dxa"/>
            <w:shd w:val="clear" w:color="auto" w:fill="auto"/>
            <w:noWrap/>
          </w:tcPr>
          <w:p w:rsidR="00B958B1" w:rsidRDefault="00B958B1" w:rsidP="009F3B54">
            <w:pPr>
              <w:pStyle w:val="OGTableofFigures"/>
              <w:rPr>
                <w:rFonts w:cs="Calibri"/>
                <w:szCs w:val="20"/>
              </w:rPr>
            </w:pPr>
            <w:r>
              <w:rPr>
                <w:rFonts w:cs="Calibri"/>
                <w:szCs w:val="20"/>
              </w:rPr>
              <w:t>263.5</w:t>
            </w:r>
          </w:p>
        </w:tc>
        <w:tc>
          <w:tcPr>
            <w:tcW w:w="907" w:type="dxa"/>
            <w:shd w:val="clear" w:color="auto" w:fill="auto"/>
            <w:noWrap/>
          </w:tcPr>
          <w:p w:rsidR="00B958B1" w:rsidRDefault="00B958B1" w:rsidP="009F3B54">
            <w:pPr>
              <w:pStyle w:val="OGTableofFigures"/>
              <w:rPr>
                <w:rFonts w:cs="Calibri"/>
                <w:szCs w:val="20"/>
              </w:rPr>
            </w:pPr>
            <w:r>
              <w:rPr>
                <w:rFonts w:cs="Calibri"/>
                <w:szCs w:val="20"/>
              </w:rPr>
              <w:t>142.8</w:t>
            </w:r>
          </w:p>
        </w:tc>
      </w:tr>
      <w:tr w:rsidR="00B958B1" w:rsidRPr="00C76446" w:rsidTr="009F3B54">
        <w:trPr>
          <w:cantSplit/>
        </w:trPr>
        <w:tc>
          <w:tcPr>
            <w:tcW w:w="7776" w:type="dxa"/>
            <w:gridSpan w:val="6"/>
            <w:tcBorders>
              <w:bottom w:val="single" w:sz="6" w:space="0" w:color="auto"/>
            </w:tcBorders>
            <w:shd w:val="clear" w:color="auto" w:fill="auto"/>
          </w:tcPr>
          <w:p w:rsidR="00B958B1" w:rsidRDefault="00B958B1" w:rsidP="009F3B54">
            <w:pPr>
              <w:pStyle w:val="OGNotes"/>
              <w:rPr>
                <w:rFonts w:cs="Calibri"/>
              </w:rPr>
            </w:pPr>
            <w:r>
              <w:t>Variation between 2012</w:t>
            </w:r>
            <w:r w:rsidR="009F0F49">
              <w:noBreakHyphen/>
            </w:r>
            <w:r>
              <w:t>13 Target and 2013</w:t>
            </w:r>
            <w:r w:rsidR="009F0F49">
              <w:noBreakHyphen/>
            </w:r>
            <w:r>
              <w:t>14 Target reflects increased cost of sales due to the land sales for the Kew Residential Development being brought forward to 2013</w:t>
            </w:r>
            <w:r w:rsidR="009F0F49">
              <w:noBreakHyphen/>
            </w:r>
            <w:r>
              <w:t>14 (from later years), funding for the establishment of the Office of State Development offset by variations in annual funding for the Investment Support Program and other industry support programs.</w:t>
            </w:r>
          </w:p>
        </w:tc>
      </w:tr>
      <w:tr w:rsidR="00B958B1" w:rsidRPr="002F59E9" w:rsidTr="009F3B54">
        <w:trPr>
          <w:cantSplit/>
        </w:trPr>
        <w:tc>
          <w:tcPr>
            <w:tcW w:w="7776" w:type="dxa"/>
            <w:gridSpan w:val="6"/>
            <w:tcBorders>
              <w:top w:val="single" w:sz="6" w:space="0" w:color="auto"/>
            </w:tcBorders>
            <w:shd w:val="clear" w:color="auto" w:fill="auto"/>
          </w:tcPr>
          <w:p w:rsidR="00B958B1" w:rsidRPr="002F59E9" w:rsidRDefault="00B958B1" w:rsidP="009F3B54">
            <w:pPr>
              <w:pStyle w:val="OGHeading2"/>
              <w:keepNext w:val="0"/>
            </w:pPr>
            <w:r w:rsidRPr="002F59E9">
              <w:t>Trade and Export Facilitation</w:t>
            </w:r>
          </w:p>
        </w:tc>
      </w:tr>
      <w:tr w:rsidR="00B958B1" w:rsidRPr="002F59E9" w:rsidTr="009F3B54">
        <w:trPr>
          <w:cantSplit/>
        </w:trPr>
        <w:tc>
          <w:tcPr>
            <w:tcW w:w="7776" w:type="dxa"/>
            <w:gridSpan w:val="6"/>
            <w:tcBorders>
              <w:bottom w:val="single" w:sz="6" w:space="0" w:color="auto"/>
            </w:tcBorders>
            <w:shd w:val="clear" w:color="auto" w:fill="auto"/>
          </w:tcPr>
          <w:p w:rsidR="00B958B1" w:rsidRPr="002F59E9" w:rsidRDefault="00B958B1" w:rsidP="009F3B54">
            <w:pPr>
              <w:pStyle w:val="OGText"/>
              <w:keepNext w:val="0"/>
            </w:pPr>
            <w:r w:rsidRPr="002F59E9">
              <w:t>Promotes business growth opportunities by providing development assistance and facilitation services to support increased productivity and competitiveness.</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Head"/>
              <w:rPr>
                <w:lang w:eastAsia="en-AU"/>
              </w:rPr>
            </w:pPr>
            <w:r w:rsidRPr="004F1A91">
              <w:rPr>
                <w:lang w:eastAsia="en-AU"/>
              </w:rPr>
              <w:t>Quantity</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D9D9D9"/>
            <w:noWrap/>
          </w:tcPr>
          <w:p w:rsidR="00B958B1" w:rsidRPr="00C76446" w:rsidRDefault="00B958B1" w:rsidP="009F3B54">
            <w:pPr>
              <w:pStyle w:val="OGTabHead"/>
              <w:rPr>
                <w:lang w:eastAsia="en-AU"/>
              </w:rPr>
            </w:pPr>
            <w:r w:rsidRPr="00C76446">
              <w:rPr>
                <w:lang w:eastAsia="en-AU"/>
              </w:rPr>
              <w:t> </w:t>
            </w:r>
          </w:p>
        </w:tc>
        <w:tc>
          <w:tcPr>
            <w:tcW w:w="993"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r>
      <w:tr w:rsidR="00B958B1" w:rsidRPr="00C76446" w:rsidTr="009F3B54">
        <w:trPr>
          <w:cantSplit/>
        </w:trPr>
        <w:tc>
          <w:tcPr>
            <w:tcW w:w="3155" w:type="dxa"/>
            <w:tcBorders>
              <w:bottom w:val="single" w:sz="6" w:space="0" w:color="auto"/>
            </w:tcBorders>
            <w:shd w:val="clear" w:color="auto" w:fill="auto"/>
          </w:tcPr>
          <w:p w:rsidR="00B958B1" w:rsidRPr="00C76446" w:rsidRDefault="00B958B1" w:rsidP="009F3B54">
            <w:pPr>
              <w:pStyle w:val="OGTabText"/>
              <w:rPr>
                <w:color w:val="000000"/>
                <w:lang w:eastAsia="en-AU"/>
              </w:rPr>
            </w:pPr>
            <w:r w:rsidRPr="004655B9">
              <w:rPr>
                <w:color w:val="000000"/>
                <w:lang w:eastAsia="en-AU"/>
              </w:rPr>
              <w:t>Businesses participating in export programs</w:t>
            </w:r>
          </w:p>
        </w:tc>
        <w:tc>
          <w:tcPr>
            <w:tcW w:w="907" w:type="dxa"/>
            <w:tcBorders>
              <w:bottom w:val="single" w:sz="6" w:space="0" w:color="auto"/>
            </w:tcBorders>
            <w:shd w:val="clear" w:color="auto" w:fill="auto"/>
            <w:noWrap/>
          </w:tcPr>
          <w:p w:rsidR="00B958B1" w:rsidRDefault="00B958B1" w:rsidP="009F3B54">
            <w:pPr>
              <w:pStyle w:val="OGUoM"/>
              <w:rPr>
                <w:rFonts w:cs="Calibri"/>
                <w:szCs w:val="20"/>
              </w:rPr>
            </w:pPr>
            <w:r>
              <w:rPr>
                <w:rFonts w:cs="Calibri"/>
                <w:szCs w:val="20"/>
              </w:rPr>
              <w:t>number</w:t>
            </w:r>
          </w:p>
        </w:tc>
        <w:tc>
          <w:tcPr>
            <w:tcW w:w="907" w:type="dxa"/>
            <w:tcBorders>
              <w:bottom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 xml:space="preserve">2 400 </w:t>
            </w:r>
          </w:p>
        </w:tc>
        <w:tc>
          <w:tcPr>
            <w:tcW w:w="993" w:type="dxa"/>
            <w:tcBorders>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2 400</w:t>
            </w:r>
          </w:p>
        </w:tc>
        <w:tc>
          <w:tcPr>
            <w:tcW w:w="907" w:type="dxa"/>
            <w:tcBorders>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 xml:space="preserve">2 400 </w:t>
            </w:r>
          </w:p>
        </w:tc>
        <w:tc>
          <w:tcPr>
            <w:tcW w:w="907" w:type="dxa"/>
            <w:tcBorders>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 xml:space="preserve"> nm </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Text"/>
              <w:rPr>
                <w:color w:val="000000"/>
                <w:lang w:eastAsia="en-AU"/>
              </w:rPr>
            </w:pPr>
            <w:r w:rsidRPr="00B51B5B">
              <w:rPr>
                <w:color w:val="000000"/>
                <w:lang w:eastAsia="en-AU"/>
              </w:rPr>
              <w:t>Value of exports facilitated and imports replaced</w:t>
            </w:r>
          </w:p>
        </w:tc>
        <w:tc>
          <w:tcPr>
            <w:tcW w:w="907" w:type="dxa"/>
            <w:tcBorders>
              <w:top w:val="single" w:sz="6" w:space="0" w:color="auto"/>
            </w:tcBorders>
            <w:shd w:val="clear" w:color="auto" w:fill="auto"/>
            <w:noWrap/>
          </w:tcPr>
          <w:p w:rsidR="00B958B1" w:rsidRDefault="00B958B1" w:rsidP="009F3B54">
            <w:pPr>
              <w:pStyle w:val="OGUoM"/>
              <w:rPr>
                <w:rFonts w:cs="Calibri"/>
                <w:szCs w:val="20"/>
              </w:rPr>
            </w:pPr>
            <w:r>
              <w:rPr>
                <w:rFonts w:cs="Calibri"/>
                <w:szCs w:val="20"/>
              </w:rPr>
              <w:t>$ million</w:t>
            </w:r>
          </w:p>
        </w:tc>
        <w:tc>
          <w:tcPr>
            <w:tcW w:w="907" w:type="dxa"/>
            <w:tcBorders>
              <w:top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 xml:space="preserve">1 500 </w:t>
            </w:r>
          </w:p>
        </w:tc>
        <w:tc>
          <w:tcPr>
            <w:tcW w:w="993"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1 400</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 xml:space="preserve">1 000 </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 xml:space="preserve"> nm </w:t>
            </w:r>
          </w:p>
        </w:tc>
      </w:tr>
      <w:tr w:rsidR="00B958B1" w:rsidRPr="00C76446" w:rsidTr="009F3B54">
        <w:trPr>
          <w:cantSplit/>
        </w:trPr>
        <w:tc>
          <w:tcPr>
            <w:tcW w:w="7776" w:type="dxa"/>
            <w:gridSpan w:val="6"/>
            <w:tcBorders>
              <w:bottom w:val="single" w:sz="6" w:space="0" w:color="auto"/>
            </w:tcBorders>
            <w:shd w:val="clear" w:color="auto" w:fill="auto"/>
          </w:tcPr>
          <w:p w:rsidR="00B958B1" w:rsidRDefault="00B958B1" w:rsidP="009F3B54">
            <w:pPr>
              <w:pStyle w:val="OGNotes"/>
            </w:pPr>
            <w:r w:rsidRPr="0003417C">
              <w:t>The 2013</w:t>
            </w:r>
            <w:r w:rsidR="009F0F49">
              <w:noBreakHyphen/>
            </w:r>
            <w:r w:rsidRPr="0003417C">
              <w:t>14 Target i</w:t>
            </w:r>
            <w:r>
              <w:t>s higher than the 2012</w:t>
            </w:r>
            <w:r w:rsidR="009F0F49">
              <w:noBreakHyphen/>
            </w:r>
            <w:r>
              <w:t>13 Target.</w:t>
            </w:r>
            <w:r w:rsidRPr="0003417C">
              <w:t xml:space="preserve"> </w:t>
            </w:r>
            <w:r>
              <w:t>T</w:t>
            </w:r>
            <w:r w:rsidRPr="0003417C">
              <w:t>his reflects a change in the definition to include the expected value of exports from 0</w:t>
            </w:r>
            <w:r>
              <w:t>–</w:t>
            </w:r>
            <w:r w:rsidRPr="0003417C">
              <w:t>24 months following participation in an export program (previously 13</w:t>
            </w:r>
            <w:r>
              <w:t>–</w:t>
            </w:r>
            <w:r w:rsidRPr="0003417C">
              <w:t>24 months).</w:t>
            </w:r>
          </w:p>
          <w:p w:rsidR="00B958B1" w:rsidRPr="007326AA" w:rsidRDefault="00B958B1" w:rsidP="009F3B54">
            <w:pPr>
              <w:pStyle w:val="OGNotes"/>
            </w:pPr>
            <w:r w:rsidRPr="00BF1406">
              <w:t>The 2012</w:t>
            </w:r>
            <w:r w:rsidR="009F0F49">
              <w:noBreakHyphen/>
            </w:r>
            <w:r w:rsidRPr="00BF1406">
              <w:t>13 Expected Outcome is higher than the 2012</w:t>
            </w:r>
            <w:r w:rsidR="009F0F49">
              <w:noBreakHyphen/>
            </w:r>
            <w:r w:rsidRPr="00BF1406">
              <w:t>13 Target as a result of better than expected outcomes from the Super Trade Mission to China.</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Text"/>
              <w:rPr>
                <w:color w:val="000000"/>
                <w:lang w:eastAsia="en-AU"/>
              </w:rPr>
            </w:pPr>
            <w:r w:rsidRPr="004655B9">
              <w:rPr>
                <w:color w:val="000000"/>
                <w:lang w:eastAsia="en-AU"/>
              </w:rPr>
              <w:t>New exports facilitated in regional Victoria</w:t>
            </w:r>
          </w:p>
        </w:tc>
        <w:tc>
          <w:tcPr>
            <w:tcW w:w="907" w:type="dxa"/>
            <w:tcBorders>
              <w:top w:val="single" w:sz="6" w:space="0" w:color="auto"/>
            </w:tcBorders>
            <w:shd w:val="clear" w:color="auto" w:fill="auto"/>
            <w:noWrap/>
          </w:tcPr>
          <w:p w:rsidR="00B958B1" w:rsidRDefault="00B958B1" w:rsidP="009F3B54">
            <w:pPr>
              <w:pStyle w:val="OGUoM"/>
              <w:rPr>
                <w:rFonts w:cs="Calibri"/>
                <w:szCs w:val="20"/>
              </w:rPr>
            </w:pPr>
            <w:r>
              <w:rPr>
                <w:rFonts w:cs="Calibri"/>
                <w:szCs w:val="20"/>
              </w:rPr>
              <w:t>$ million</w:t>
            </w:r>
          </w:p>
        </w:tc>
        <w:tc>
          <w:tcPr>
            <w:tcW w:w="907" w:type="dxa"/>
            <w:tcBorders>
              <w:top w:val="single" w:sz="6" w:space="0" w:color="auto"/>
            </w:tcBorders>
            <w:shd w:val="clear" w:color="auto" w:fill="D9D9D9"/>
            <w:noWrap/>
          </w:tcPr>
          <w:p w:rsidR="00B958B1" w:rsidRDefault="00B958B1" w:rsidP="009F3B54">
            <w:pPr>
              <w:pStyle w:val="OGTableofFigures"/>
              <w:rPr>
                <w:rFonts w:cs="Calibri"/>
                <w:szCs w:val="20"/>
              </w:rPr>
            </w:pPr>
            <w:r w:rsidRPr="00BF1406">
              <w:rPr>
                <w:rFonts w:cs="Calibri"/>
                <w:szCs w:val="20"/>
              </w:rPr>
              <w:t>225</w:t>
            </w:r>
          </w:p>
        </w:tc>
        <w:tc>
          <w:tcPr>
            <w:tcW w:w="993"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200</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na</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253.5</w:t>
            </w:r>
          </w:p>
        </w:tc>
      </w:tr>
      <w:tr w:rsidR="00B958B1" w:rsidRPr="00C76446" w:rsidTr="009F3B54">
        <w:trPr>
          <w:cantSplit/>
        </w:trPr>
        <w:tc>
          <w:tcPr>
            <w:tcW w:w="7776" w:type="dxa"/>
            <w:gridSpan w:val="6"/>
            <w:tcBorders>
              <w:bottom w:val="single" w:sz="6" w:space="0" w:color="auto"/>
            </w:tcBorders>
            <w:shd w:val="clear" w:color="auto" w:fill="auto"/>
          </w:tcPr>
          <w:p w:rsidR="00B958B1" w:rsidRDefault="00B958B1" w:rsidP="009F3B54">
            <w:pPr>
              <w:pStyle w:val="OGNotes"/>
            </w:pPr>
            <w:r w:rsidRPr="007326AA">
              <w:t>The</w:t>
            </w:r>
            <w:r>
              <w:t xml:space="preserve"> higher</w:t>
            </w:r>
            <w:r w:rsidRPr="007326AA">
              <w:t xml:space="preserve"> 2013</w:t>
            </w:r>
            <w:r w:rsidR="009F0F49">
              <w:noBreakHyphen/>
            </w:r>
            <w:r w:rsidRPr="007326AA">
              <w:t xml:space="preserve">14 </w:t>
            </w:r>
            <w:r>
              <w:t>T</w:t>
            </w:r>
            <w:r w:rsidRPr="007326AA">
              <w:t xml:space="preserve">arget </w:t>
            </w:r>
            <w:r>
              <w:t xml:space="preserve">reflects </w:t>
            </w:r>
            <w:r w:rsidRPr="007326AA">
              <w:t xml:space="preserve">a change in the definition </w:t>
            </w:r>
            <w:r>
              <w:t xml:space="preserve">to </w:t>
            </w:r>
            <w:r w:rsidRPr="007326AA">
              <w:t>include the expected value of exports from 0</w:t>
            </w:r>
            <w:r>
              <w:t>–24</w:t>
            </w:r>
            <w:r w:rsidRPr="007326AA">
              <w:t xml:space="preserve"> months following participation in an export program</w:t>
            </w:r>
            <w:r>
              <w:t xml:space="preserve"> (previously 13–24 months)</w:t>
            </w:r>
            <w:r w:rsidRPr="007326AA">
              <w:t>.</w:t>
            </w:r>
          </w:p>
          <w:p w:rsidR="00B958B1" w:rsidRPr="00C76446" w:rsidRDefault="00B958B1" w:rsidP="009F3B54">
            <w:pPr>
              <w:pStyle w:val="OGNotes"/>
            </w:pPr>
            <w:r w:rsidRPr="00C8675E">
              <w:t>The 2012</w:t>
            </w:r>
            <w:r w:rsidR="009F0F49">
              <w:noBreakHyphen/>
            </w:r>
            <w:r w:rsidRPr="00C8675E">
              <w:t>13 Expected Outcome is higher than the 2012</w:t>
            </w:r>
            <w:r w:rsidR="009F0F49">
              <w:noBreakHyphen/>
            </w:r>
            <w:r w:rsidRPr="00C8675E">
              <w:t>13 Target as a result of better than expected outcomes from the Super Trade Mission to China.</w:t>
            </w:r>
          </w:p>
        </w:tc>
      </w:tr>
      <w:tr w:rsidR="00B958B1" w:rsidRPr="00C76446" w:rsidTr="009F3B54">
        <w:trPr>
          <w:cantSplit/>
        </w:trPr>
        <w:tc>
          <w:tcPr>
            <w:tcW w:w="3155" w:type="dxa"/>
            <w:tcBorders>
              <w:top w:val="single" w:sz="6" w:space="0" w:color="auto"/>
            </w:tcBorders>
            <w:shd w:val="clear" w:color="auto" w:fill="auto"/>
          </w:tcPr>
          <w:p w:rsidR="00B958B1" w:rsidRPr="004655B9" w:rsidRDefault="00B958B1" w:rsidP="009F3B54">
            <w:pPr>
              <w:pStyle w:val="OGTabHead"/>
              <w:rPr>
                <w:lang w:eastAsia="en-AU"/>
              </w:rPr>
            </w:pPr>
            <w:r>
              <w:rPr>
                <w:lang w:eastAsia="en-AU"/>
              </w:rPr>
              <w:t>Quality</w:t>
            </w:r>
          </w:p>
        </w:tc>
        <w:tc>
          <w:tcPr>
            <w:tcW w:w="907" w:type="dxa"/>
            <w:tcBorders>
              <w:top w:val="single" w:sz="6" w:space="0" w:color="auto"/>
            </w:tcBorders>
            <w:shd w:val="clear" w:color="auto" w:fill="auto"/>
            <w:noWrap/>
          </w:tcPr>
          <w:p w:rsidR="00B958B1" w:rsidRDefault="00B958B1" w:rsidP="009F3B54">
            <w:pPr>
              <w:pStyle w:val="OGTabHead"/>
              <w:rPr>
                <w:rFonts w:cs="Calibri"/>
                <w:szCs w:val="20"/>
              </w:rPr>
            </w:pPr>
          </w:p>
        </w:tc>
        <w:tc>
          <w:tcPr>
            <w:tcW w:w="907" w:type="dxa"/>
            <w:tcBorders>
              <w:top w:val="single" w:sz="6" w:space="0" w:color="auto"/>
            </w:tcBorders>
            <w:shd w:val="clear" w:color="auto" w:fill="D9D9D9"/>
            <w:noWrap/>
          </w:tcPr>
          <w:p w:rsidR="00B958B1" w:rsidRDefault="00B958B1" w:rsidP="009F3B54">
            <w:pPr>
              <w:pStyle w:val="OGTabHead"/>
              <w:rPr>
                <w:rFonts w:cs="Calibri"/>
                <w:szCs w:val="20"/>
              </w:rPr>
            </w:pPr>
          </w:p>
        </w:tc>
        <w:tc>
          <w:tcPr>
            <w:tcW w:w="993" w:type="dxa"/>
            <w:tcBorders>
              <w:top w:val="single" w:sz="6" w:space="0" w:color="auto"/>
            </w:tcBorders>
            <w:shd w:val="clear" w:color="auto" w:fill="auto"/>
            <w:noWrap/>
          </w:tcPr>
          <w:p w:rsidR="00B958B1" w:rsidRDefault="00B958B1" w:rsidP="009F3B54">
            <w:pPr>
              <w:pStyle w:val="OGTabHead"/>
              <w:rPr>
                <w:rFonts w:cs="Calibri"/>
                <w:szCs w:val="20"/>
              </w:rPr>
            </w:pPr>
          </w:p>
        </w:tc>
        <w:tc>
          <w:tcPr>
            <w:tcW w:w="907" w:type="dxa"/>
            <w:tcBorders>
              <w:top w:val="single" w:sz="6" w:space="0" w:color="auto"/>
            </w:tcBorders>
            <w:shd w:val="clear" w:color="auto" w:fill="auto"/>
            <w:noWrap/>
          </w:tcPr>
          <w:p w:rsidR="00B958B1" w:rsidRDefault="00B958B1" w:rsidP="009F3B54">
            <w:pPr>
              <w:pStyle w:val="OGTabHead"/>
              <w:rPr>
                <w:rFonts w:cs="Calibri"/>
                <w:szCs w:val="20"/>
              </w:rPr>
            </w:pPr>
          </w:p>
        </w:tc>
        <w:tc>
          <w:tcPr>
            <w:tcW w:w="907" w:type="dxa"/>
            <w:tcBorders>
              <w:top w:val="single" w:sz="6" w:space="0" w:color="auto"/>
            </w:tcBorders>
            <w:shd w:val="clear" w:color="auto" w:fill="auto"/>
            <w:noWrap/>
          </w:tcPr>
          <w:p w:rsidR="00B958B1" w:rsidRDefault="00B958B1" w:rsidP="009F3B54">
            <w:pPr>
              <w:pStyle w:val="OGTabHead"/>
              <w:rPr>
                <w:rFonts w:cs="Calibri"/>
                <w:szCs w:val="20"/>
              </w:rPr>
            </w:pPr>
          </w:p>
        </w:tc>
      </w:tr>
      <w:tr w:rsidR="00B958B1" w:rsidRPr="00C76446" w:rsidTr="009F3B54">
        <w:trPr>
          <w:cantSplit/>
        </w:trPr>
        <w:tc>
          <w:tcPr>
            <w:tcW w:w="3155" w:type="dxa"/>
            <w:tcBorders>
              <w:bottom w:val="single" w:sz="6" w:space="0" w:color="auto"/>
            </w:tcBorders>
            <w:shd w:val="clear" w:color="auto" w:fill="auto"/>
          </w:tcPr>
          <w:p w:rsidR="00B958B1" w:rsidRPr="00C76446" w:rsidRDefault="00B958B1" w:rsidP="009F3B54">
            <w:pPr>
              <w:pStyle w:val="OGTabText"/>
              <w:rPr>
                <w:color w:val="000000"/>
                <w:lang w:eastAsia="en-AU"/>
              </w:rPr>
            </w:pPr>
            <w:r w:rsidRPr="004655B9">
              <w:rPr>
                <w:color w:val="000000"/>
                <w:lang w:eastAsia="en-AU"/>
              </w:rPr>
              <w:t>Client satisfaction with export assistance offered</w:t>
            </w:r>
          </w:p>
        </w:tc>
        <w:tc>
          <w:tcPr>
            <w:tcW w:w="907" w:type="dxa"/>
            <w:tcBorders>
              <w:bottom w:val="single" w:sz="6" w:space="0" w:color="auto"/>
            </w:tcBorders>
            <w:shd w:val="clear" w:color="auto" w:fill="auto"/>
            <w:noWrap/>
          </w:tcPr>
          <w:p w:rsidR="00B958B1" w:rsidRDefault="00B958B1" w:rsidP="009F3B54">
            <w:pPr>
              <w:pStyle w:val="OGUoM"/>
              <w:rPr>
                <w:rFonts w:cs="Calibri"/>
                <w:szCs w:val="20"/>
              </w:rPr>
            </w:pPr>
          </w:p>
          <w:p w:rsidR="00B958B1" w:rsidRDefault="00B958B1" w:rsidP="009F3B54">
            <w:pPr>
              <w:pStyle w:val="OGUoM"/>
              <w:rPr>
                <w:rFonts w:cs="Calibri"/>
                <w:szCs w:val="20"/>
              </w:rPr>
            </w:pPr>
            <w:r>
              <w:rPr>
                <w:rFonts w:cs="Calibri"/>
                <w:szCs w:val="20"/>
              </w:rPr>
              <w:t>per cent</w:t>
            </w:r>
          </w:p>
        </w:tc>
        <w:tc>
          <w:tcPr>
            <w:tcW w:w="907" w:type="dxa"/>
            <w:tcBorders>
              <w:bottom w:val="single" w:sz="6" w:space="0" w:color="auto"/>
            </w:tcBorders>
            <w:shd w:val="clear" w:color="auto" w:fill="D9D9D9"/>
            <w:noWrap/>
          </w:tcPr>
          <w:p w:rsidR="00B958B1" w:rsidRDefault="00B958B1" w:rsidP="009F3B54">
            <w:pPr>
              <w:pStyle w:val="OGTableofFigures"/>
              <w:rPr>
                <w:rFonts w:cs="Calibri"/>
                <w:szCs w:val="20"/>
              </w:rPr>
            </w:pPr>
          </w:p>
          <w:p w:rsidR="00B958B1" w:rsidRDefault="00B958B1" w:rsidP="009F3B54">
            <w:pPr>
              <w:pStyle w:val="OGTableofFigures"/>
              <w:rPr>
                <w:rFonts w:cs="Calibri"/>
                <w:szCs w:val="20"/>
              </w:rPr>
            </w:pPr>
            <w:r>
              <w:rPr>
                <w:rFonts w:cs="Calibri"/>
                <w:szCs w:val="20"/>
              </w:rPr>
              <w:t>85</w:t>
            </w:r>
          </w:p>
        </w:tc>
        <w:tc>
          <w:tcPr>
            <w:tcW w:w="993" w:type="dxa"/>
            <w:tcBorders>
              <w:bottom w:val="single" w:sz="6" w:space="0" w:color="auto"/>
            </w:tcBorders>
            <w:shd w:val="clear" w:color="auto" w:fill="auto"/>
            <w:noWrap/>
          </w:tcPr>
          <w:p w:rsidR="00B958B1" w:rsidRDefault="00B958B1" w:rsidP="009F3B54">
            <w:pPr>
              <w:pStyle w:val="OGTableofFigures"/>
              <w:rPr>
                <w:rFonts w:cs="Calibri"/>
                <w:szCs w:val="20"/>
              </w:rPr>
            </w:pPr>
          </w:p>
          <w:p w:rsidR="00B958B1" w:rsidRDefault="00B958B1" w:rsidP="009F3B54">
            <w:pPr>
              <w:pStyle w:val="OGTableofFigures"/>
              <w:rPr>
                <w:rFonts w:cs="Calibri"/>
                <w:szCs w:val="20"/>
              </w:rPr>
            </w:pPr>
            <w:r>
              <w:rPr>
                <w:rFonts w:cs="Calibri"/>
                <w:szCs w:val="20"/>
              </w:rPr>
              <w:t>85</w:t>
            </w:r>
          </w:p>
        </w:tc>
        <w:tc>
          <w:tcPr>
            <w:tcW w:w="907" w:type="dxa"/>
            <w:tcBorders>
              <w:bottom w:val="single" w:sz="6" w:space="0" w:color="auto"/>
            </w:tcBorders>
            <w:shd w:val="clear" w:color="auto" w:fill="auto"/>
            <w:noWrap/>
          </w:tcPr>
          <w:p w:rsidR="00B958B1" w:rsidRDefault="00B958B1" w:rsidP="009F3B54">
            <w:pPr>
              <w:pStyle w:val="OGTableofFigures"/>
              <w:rPr>
                <w:rFonts w:cs="Calibri"/>
                <w:szCs w:val="20"/>
              </w:rPr>
            </w:pPr>
          </w:p>
          <w:p w:rsidR="00B958B1" w:rsidRDefault="00B958B1" w:rsidP="009F3B54">
            <w:pPr>
              <w:pStyle w:val="OGTableofFigures"/>
              <w:rPr>
                <w:rFonts w:cs="Calibri"/>
                <w:szCs w:val="20"/>
              </w:rPr>
            </w:pPr>
            <w:r>
              <w:rPr>
                <w:rFonts w:cs="Calibri"/>
                <w:szCs w:val="20"/>
              </w:rPr>
              <w:t>na</w:t>
            </w:r>
          </w:p>
        </w:tc>
        <w:tc>
          <w:tcPr>
            <w:tcW w:w="907" w:type="dxa"/>
            <w:tcBorders>
              <w:bottom w:val="single" w:sz="6" w:space="0" w:color="auto"/>
            </w:tcBorders>
            <w:shd w:val="clear" w:color="auto" w:fill="auto"/>
            <w:noWrap/>
          </w:tcPr>
          <w:p w:rsidR="00B958B1" w:rsidRDefault="00B958B1" w:rsidP="009F3B54">
            <w:pPr>
              <w:pStyle w:val="OGTableofFigures"/>
              <w:rPr>
                <w:rFonts w:cs="Calibri"/>
                <w:szCs w:val="20"/>
              </w:rPr>
            </w:pPr>
          </w:p>
          <w:p w:rsidR="00B958B1" w:rsidRDefault="00B958B1" w:rsidP="009F3B54">
            <w:pPr>
              <w:pStyle w:val="OGTableofFigures"/>
              <w:rPr>
                <w:rFonts w:cs="Calibri"/>
                <w:szCs w:val="20"/>
              </w:rPr>
            </w:pPr>
            <w:r>
              <w:rPr>
                <w:rFonts w:cs="Calibri"/>
                <w:szCs w:val="20"/>
              </w:rPr>
              <w:t>86.1</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Head"/>
              <w:rPr>
                <w:lang w:eastAsia="en-AU"/>
              </w:rPr>
            </w:pPr>
            <w:r w:rsidRPr="004F1A91">
              <w:rPr>
                <w:lang w:eastAsia="en-AU"/>
              </w:rPr>
              <w:t>Cost</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D9D9D9"/>
            <w:noWrap/>
          </w:tcPr>
          <w:p w:rsidR="00B958B1" w:rsidRPr="00C76446" w:rsidRDefault="00B958B1" w:rsidP="009F3B54">
            <w:pPr>
              <w:pStyle w:val="OGTabHead"/>
              <w:rPr>
                <w:lang w:eastAsia="en-AU"/>
              </w:rPr>
            </w:pPr>
            <w:r w:rsidRPr="00C76446">
              <w:rPr>
                <w:lang w:eastAsia="en-AU"/>
              </w:rPr>
              <w:t> </w:t>
            </w:r>
          </w:p>
        </w:tc>
        <w:tc>
          <w:tcPr>
            <w:tcW w:w="993"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r>
      <w:tr w:rsidR="00B958B1" w:rsidRPr="00C76446" w:rsidTr="009F3B54">
        <w:trPr>
          <w:cantSplit/>
        </w:trPr>
        <w:tc>
          <w:tcPr>
            <w:tcW w:w="3155" w:type="dxa"/>
            <w:shd w:val="clear" w:color="auto" w:fill="auto"/>
          </w:tcPr>
          <w:p w:rsidR="00B958B1" w:rsidRPr="00C76446" w:rsidRDefault="00B958B1" w:rsidP="009F3B54">
            <w:pPr>
              <w:pStyle w:val="OGTabText"/>
              <w:rPr>
                <w:color w:val="000000"/>
                <w:lang w:eastAsia="en-AU"/>
              </w:rPr>
            </w:pPr>
            <w:r w:rsidRPr="00C76446">
              <w:rPr>
                <w:color w:val="000000"/>
                <w:lang w:eastAsia="en-AU"/>
              </w:rPr>
              <w:t>Total output cost</w:t>
            </w:r>
          </w:p>
        </w:tc>
        <w:tc>
          <w:tcPr>
            <w:tcW w:w="907" w:type="dxa"/>
            <w:shd w:val="clear" w:color="auto" w:fill="auto"/>
            <w:noWrap/>
          </w:tcPr>
          <w:p w:rsidR="00B958B1" w:rsidRDefault="00B958B1" w:rsidP="009F3B54">
            <w:pPr>
              <w:pStyle w:val="OGUoM"/>
              <w:rPr>
                <w:rFonts w:cs="Calibri"/>
                <w:szCs w:val="20"/>
              </w:rPr>
            </w:pPr>
            <w:r>
              <w:rPr>
                <w:rFonts w:cs="Calibri"/>
                <w:szCs w:val="20"/>
              </w:rPr>
              <w:t>$ million</w:t>
            </w:r>
          </w:p>
        </w:tc>
        <w:tc>
          <w:tcPr>
            <w:tcW w:w="907" w:type="dxa"/>
            <w:shd w:val="clear" w:color="auto" w:fill="D9D9D9"/>
            <w:noWrap/>
          </w:tcPr>
          <w:p w:rsidR="00B958B1" w:rsidRPr="008E0FD5" w:rsidRDefault="00B958B1" w:rsidP="009F3B54">
            <w:pPr>
              <w:pStyle w:val="OGTableofFigures"/>
              <w:rPr>
                <w:rFonts w:cs="Calibri"/>
                <w:szCs w:val="20"/>
              </w:rPr>
            </w:pPr>
            <w:r w:rsidRPr="008E0FD5">
              <w:rPr>
                <w:rFonts w:cs="Calibri"/>
                <w:szCs w:val="20"/>
              </w:rPr>
              <w:t>34.1</w:t>
            </w:r>
          </w:p>
        </w:tc>
        <w:tc>
          <w:tcPr>
            <w:tcW w:w="993" w:type="dxa"/>
            <w:shd w:val="clear" w:color="auto" w:fill="auto"/>
            <w:noWrap/>
          </w:tcPr>
          <w:p w:rsidR="00B958B1" w:rsidRPr="008E0FD5" w:rsidRDefault="00B958B1" w:rsidP="009F3B54">
            <w:pPr>
              <w:pStyle w:val="OGTableofFigures"/>
              <w:rPr>
                <w:rFonts w:cs="Calibri"/>
                <w:szCs w:val="20"/>
              </w:rPr>
            </w:pPr>
            <w:r w:rsidRPr="008E0FD5">
              <w:rPr>
                <w:rFonts w:cs="Calibri"/>
                <w:szCs w:val="20"/>
              </w:rPr>
              <w:t>28.8</w:t>
            </w:r>
          </w:p>
        </w:tc>
        <w:tc>
          <w:tcPr>
            <w:tcW w:w="907" w:type="dxa"/>
            <w:shd w:val="clear" w:color="auto" w:fill="auto"/>
            <w:noWrap/>
          </w:tcPr>
          <w:p w:rsidR="00B958B1" w:rsidRDefault="00B958B1" w:rsidP="009F3B54">
            <w:pPr>
              <w:pStyle w:val="OGTableofFigures"/>
              <w:rPr>
                <w:rFonts w:cs="Calibri"/>
                <w:szCs w:val="20"/>
              </w:rPr>
            </w:pPr>
            <w:r>
              <w:rPr>
                <w:rFonts w:cs="Calibri"/>
                <w:szCs w:val="20"/>
              </w:rPr>
              <w:t>32.2</w:t>
            </w:r>
          </w:p>
        </w:tc>
        <w:tc>
          <w:tcPr>
            <w:tcW w:w="907" w:type="dxa"/>
            <w:shd w:val="clear" w:color="auto" w:fill="auto"/>
            <w:noWrap/>
          </w:tcPr>
          <w:p w:rsidR="00B958B1" w:rsidRDefault="00B958B1" w:rsidP="009F3B54">
            <w:pPr>
              <w:pStyle w:val="OGTableofFigures"/>
              <w:rPr>
                <w:rFonts w:cs="Calibri"/>
                <w:szCs w:val="20"/>
              </w:rPr>
            </w:pPr>
            <w:r>
              <w:rPr>
                <w:rFonts w:cs="Calibri"/>
                <w:szCs w:val="20"/>
              </w:rPr>
              <w:t>34.1</w:t>
            </w:r>
          </w:p>
        </w:tc>
      </w:tr>
      <w:tr w:rsidR="00B958B1" w:rsidRPr="00C76446" w:rsidTr="009F3B54">
        <w:trPr>
          <w:cantSplit/>
        </w:trPr>
        <w:tc>
          <w:tcPr>
            <w:tcW w:w="7776" w:type="dxa"/>
            <w:gridSpan w:val="6"/>
            <w:tcBorders>
              <w:bottom w:val="single" w:sz="6" w:space="0" w:color="auto"/>
            </w:tcBorders>
            <w:shd w:val="clear" w:color="auto" w:fill="auto"/>
          </w:tcPr>
          <w:p w:rsidR="00B958B1" w:rsidRDefault="00B958B1" w:rsidP="009F3B54">
            <w:pPr>
              <w:pStyle w:val="OGNotes"/>
              <w:rPr>
                <w:rFonts w:cs="Calibri"/>
              </w:rPr>
            </w:pPr>
            <w:r>
              <w:t>Variation between 2012</w:t>
            </w:r>
            <w:r w:rsidR="009F0F49">
              <w:noBreakHyphen/>
            </w:r>
            <w:r>
              <w:t>13 Target and 2013</w:t>
            </w:r>
            <w:r w:rsidR="009F0F49">
              <w:noBreakHyphen/>
            </w:r>
            <w:r>
              <w:t>14 Target reflects new funding received for International Engagement programs offset by variations in annual funding for other Trade and Export programs.</w:t>
            </w:r>
          </w:p>
        </w:tc>
      </w:tr>
      <w:tr w:rsidR="00B958B1" w:rsidRPr="00C76446" w:rsidTr="009F3B54">
        <w:trPr>
          <w:cantSplit/>
        </w:trPr>
        <w:tc>
          <w:tcPr>
            <w:tcW w:w="7776" w:type="dxa"/>
            <w:gridSpan w:val="6"/>
            <w:tcBorders>
              <w:top w:val="single" w:sz="6" w:space="0" w:color="auto"/>
            </w:tcBorders>
            <w:shd w:val="clear" w:color="auto" w:fill="auto"/>
          </w:tcPr>
          <w:p w:rsidR="00B958B1" w:rsidRPr="00C76446" w:rsidRDefault="00B958B1" w:rsidP="009F3B54">
            <w:pPr>
              <w:pStyle w:val="OGHeading2"/>
              <w:rPr>
                <w:lang w:eastAsia="en-AU"/>
              </w:rPr>
            </w:pPr>
            <w:r>
              <w:rPr>
                <w:lang w:eastAsia="en-AU"/>
              </w:rPr>
              <w:t xml:space="preserve">Small </w:t>
            </w:r>
            <w:r w:rsidRPr="00C76446">
              <w:rPr>
                <w:lang w:eastAsia="en-AU"/>
              </w:rPr>
              <w:t>Business Assistance</w:t>
            </w:r>
          </w:p>
        </w:tc>
      </w:tr>
      <w:tr w:rsidR="00B958B1" w:rsidRPr="00C76446" w:rsidTr="009F3B54">
        <w:trPr>
          <w:cantSplit/>
        </w:trPr>
        <w:tc>
          <w:tcPr>
            <w:tcW w:w="7776" w:type="dxa"/>
            <w:gridSpan w:val="6"/>
            <w:tcBorders>
              <w:bottom w:val="single" w:sz="6" w:space="0" w:color="auto"/>
            </w:tcBorders>
            <w:shd w:val="clear" w:color="auto" w:fill="auto"/>
          </w:tcPr>
          <w:p w:rsidR="00B958B1" w:rsidRPr="00C76446" w:rsidRDefault="00B958B1" w:rsidP="009F3B54">
            <w:pPr>
              <w:pStyle w:val="OGText"/>
              <w:rPr>
                <w:lang w:eastAsia="en-AU"/>
              </w:rPr>
            </w:pPr>
            <w:r w:rsidRPr="00C76446">
              <w:rPr>
                <w:lang w:eastAsia="en-AU"/>
              </w:rPr>
              <w:t>Provides business information, advisory and referral services that contribute to the growth and development of small and medium</w:t>
            </w:r>
            <w:r>
              <w:rPr>
                <w:lang w:eastAsia="en-AU"/>
              </w:rPr>
              <w:t>–</w:t>
            </w:r>
            <w:r w:rsidRPr="00C76446">
              <w:rPr>
                <w:lang w:eastAsia="en-AU"/>
              </w:rPr>
              <w:t>sized enterprises across Victoria.</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Head"/>
              <w:rPr>
                <w:lang w:eastAsia="en-AU"/>
              </w:rPr>
            </w:pPr>
            <w:r w:rsidRPr="004F1A91">
              <w:rPr>
                <w:lang w:eastAsia="en-AU"/>
              </w:rPr>
              <w:t>Quantity</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D9D9D9"/>
            <w:noWrap/>
          </w:tcPr>
          <w:p w:rsidR="00B958B1" w:rsidRPr="00C76446" w:rsidRDefault="00B958B1" w:rsidP="009F3B54">
            <w:pPr>
              <w:pStyle w:val="OGTabHead"/>
              <w:rPr>
                <w:lang w:eastAsia="en-AU"/>
              </w:rPr>
            </w:pPr>
            <w:r w:rsidRPr="00C76446">
              <w:rPr>
                <w:lang w:eastAsia="en-AU"/>
              </w:rPr>
              <w:t> </w:t>
            </w:r>
          </w:p>
        </w:tc>
        <w:tc>
          <w:tcPr>
            <w:tcW w:w="993"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r>
      <w:tr w:rsidR="00B958B1" w:rsidRPr="00C76446" w:rsidTr="009F3B54">
        <w:trPr>
          <w:cantSplit/>
        </w:trPr>
        <w:tc>
          <w:tcPr>
            <w:tcW w:w="3155" w:type="dxa"/>
            <w:shd w:val="clear" w:color="auto" w:fill="auto"/>
          </w:tcPr>
          <w:p w:rsidR="00B958B1" w:rsidRPr="00C76446" w:rsidRDefault="00B958B1" w:rsidP="009F3B54">
            <w:pPr>
              <w:pStyle w:val="OGTabText"/>
              <w:rPr>
                <w:color w:val="000000"/>
                <w:lang w:eastAsia="en-AU"/>
              </w:rPr>
            </w:pPr>
            <w:r>
              <w:rPr>
                <w:color w:val="000000"/>
                <w:lang w:eastAsia="en-AU"/>
              </w:rPr>
              <w:t xml:space="preserve">Number of business </w:t>
            </w:r>
            <w:r w:rsidRPr="00C76446">
              <w:rPr>
                <w:color w:val="000000"/>
                <w:lang w:eastAsia="en-AU"/>
              </w:rPr>
              <w:t>interactions</w:t>
            </w:r>
            <w:r>
              <w:rPr>
                <w:color w:val="000000"/>
                <w:lang w:eastAsia="en-AU"/>
              </w:rPr>
              <w:t xml:space="preserve"> with services provided by Business Victoria Online</w:t>
            </w:r>
          </w:p>
        </w:tc>
        <w:tc>
          <w:tcPr>
            <w:tcW w:w="907" w:type="dxa"/>
            <w:shd w:val="clear" w:color="auto" w:fill="auto"/>
            <w:noWrap/>
          </w:tcPr>
          <w:p w:rsidR="00B958B1" w:rsidRDefault="00B958B1" w:rsidP="009F3B54">
            <w:pPr>
              <w:pStyle w:val="OGUoM"/>
              <w:rPr>
                <w:rFonts w:cs="Calibri"/>
                <w:szCs w:val="20"/>
              </w:rPr>
            </w:pPr>
            <w:r>
              <w:rPr>
                <w:rFonts w:cs="Calibri"/>
                <w:szCs w:val="20"/>
              </w:rPr>
              <w:t>number</w:t>
            </w:r>
          </w:p>
        </w:tc>
        <w:tc>
          <w:tcPr>
            <w:tcW w:w="907" w:type="dxa"/>
            <w:shd w:val="clear" w:color="auto" w:fill="D9D9D9"/>
            <w:noWrap/>
          </w:tcPr>
          <w:p w:rsidR="00B958B1" w:rsidRDefault="00B958B1" w:rsidP="009F3B54">
            <w:pPr>
              <w:pStyle w:val="OGTableofFigures"/>
              <w:rPr>
                <w:rFonts w:cs="Calibri"/>
                <w:szCs w:val="20"/>
              </w:rPr>
            </w:pPr>
            <w:r>
              <w:rPr>
                <w:rFonts w:cs="Calibri"/>
                <w:szCs w:val="20"/>
              </w:rPr>
              <w:t>750 000</w:t>
            </w:r>
          </w:p>
        </w:tc>
        <w:tc>
          <w:tcPr>
            <w:tcW w:w="993" w:type="dxa"/>
            <w:shd w:val="clear" w:color="auto" w:fill="auto"/>
            <w:noWrap/>
          </w:tcPr>
          <w:p w:rsidR="00B958B1" w:rsidRDefault="00B958B1" w:rsidP="009F3B54">
            <w:pPr>
              <w:pStyle w:val="OGTableofFigures"/>
              <w:rPr>
                <w:rFonts w:cs="Calibri"/>
                <w:szCs w:val="20"/>
              </w:rPr>
            </w:pPr>
            <w:r>
              <w:rPr>
                <w:rFonts w:cs="Calibri"/>
                <w:szCs w:val="20"/>
              </w:rPr>
              <w:t>725 000</w:t>
            </w:r>
          </w:p>
        </w:tc>
        <w:tc>
          <w:tcPr>
            <w:tcW w:w="907" w:type="dxa"/>
            <w:shd w:val="clear" w:color="auto" w:fill="auto"/>
            <w:noWrap/>
          </w:tcPr>
          <w:p w:rsidR="00B958B1" w:rsidRDefault="00B958B1" w:rsidP="009F3B54">
            <w:pPr>
              <w:pStyle w:val="OGTableofFigures"/>
              <w:rPr>
                <w:rFonts w:cs="Calibri"/>
                <w:szCs w:val="20"/>
              </w:rPr>
            </w:pPr>
            <w:r>
              <w:rPr>
                <w:rFonts w:cs="Calibri"/>
                <w:szCs w:val="20"/>
              </w:rPr>
              <w:t>495 000</w:t>
            </w:r>
          </w:p>
        </w:tc>
        <w:tc>
          <w:tcPr>
            <w:tcW w:w="907" w:type="dxa"/>
            <w:shd w:val="clear" w:color="auto" w:fill="auto"/>
            <w:noWrap/>
          </w:tcPr>
          <w:p w:rsidR="00B958B1" w:rsidRDefault="00B958B1" w:rsidP="009F3B54">
            <w:pPr>
              <w:pStyle w:val="OGTableofFigures"/>
              <w:rPr>
                <w:rFonts w:cs="Calibri"/>
                <w:szCs w:val="20"/>
              </w:rPr>
            </w:pPr>
            <w:r>
              <w:rPr>
                <w:rFonts w:cs="Calibri"/>
                <w:szCs w:val="20"/>
              </w:rPr>
              <w:t>625,472</w:t>
            </w:r>
          </w:p>
        </w:tc>
      </w:tr>
      <w:tr w:rsidR="00B958B1" w:rsidRPr="00AF7828" w:rsidTr="009F3B54">
        <w:trPr>
          <w:cantSplit/>
        </w:trPr>
        <w:tc>
          <w:tcPr>
            <w:tcW w:w="7776" w:type="dxa"/>
            <w:gridSpan w:val="6"/>
            <w:tcBorders>
              <w:bottom w:val="single" w:sz="6" w:space="0" w:color="auto"/>
            </w:tcBorders>
            <w:shd w:val="clear" w:color="auto" w:fill="auto"/>
          </w:tcPr>
          <w:p w:rsidR="00B958B1" w:rsidRPr="00AF7828" w:rsidRDefault="00B958B1" w:rsidP="009F3B54">
            <w:pPr>
              <w:pStyle w:val="OGNotes"/>
            </w:pPr>
            <w:r w:rsidRPr="0003417C">
              <w:t>The 2012</w:t>
            </w:r>
            <w:r w:rsidR="009F0F49">
              <w:noBreakHyphen/>
            </w:r>
            <w:r w:rsidRPr="0003417C">
              <w:t>13 Expected Outcome is higher than the 2012</w:t>
            </w:r>
            <w:r w:rsidR="009F0F49">
              <w:noBreakHyphen/>
            </w:r>
            <w:r w:rsidRPr="0003417C">
              <w:t>13 Target due to high demand for web services, particularly online forms. In addition, Business Victoria was re</w:t>
            </w:r>
            <w:r w:rsidR="009F0F49">
              <w:noBreakHyphen/>
            </w:r>
            <w:r w:rsidRPr="0003417C">
              <w:t>developed in 2012</w:t>
            </w:r>
            <w:r w:rsidR="009F0F49">
              <w:noBreakHyphen/>
            </w:r>
            <w:r w:rsidRPr="0003417C">
              <w:t>13 to make services easier to find and access, increasing</w:t>
            </w:r>
            <w:r>
              <w:t xml:space="preserve"> usage beyond the level forecast and the 2013</w:t>
            </w:r>
            <w:r w:rsidR="009F0F49">
              <w:noBreakHyphen/>
            </w:r>
            <w:r>
              <w:t>14 Target reflects the redevelopment</w:t>
            </w:r>
            <w:r w:rsidRPr="0003417C">
              <w:t>.</w:t>
            </w:r>
          </w:p>
        </w:tc>
      </w:tr>
      <w:tr w:rsidR="00B958B1" w:rsidRPr="00C76446" w:rsidTr="009F3B54">
        <w:trPr>
          <w:cantSplit/>
        </w:trPr>
        <w:tc>
          <w:tcPr>
            <w:tcW w:w="3155" w:type="dxa"/>
            <w:tcBorders>
              <w:top w:val="single" w:sz="6" w:space="0" w:color="auto"/>
              <w:bottom w:val="single" w:sz="6" w:space="0" w:color="auto"/>
            </w:tcBorders>
            <w:shd w:val="clear" w:color="auto" w:fill="auto"/>
          </w:tcPr>
          <w:p w:rsidR="00B958B1" w:rsidRPr="00C76446" w:rsidRDefault="00B958B1" w:rsidP="009F3B54">
            <w:pPr>
              <w:pStyle w:val="OGTabText"/>
              <w:rPr>
                <w:color w:val="000000"/>
                <w:lang w:eastAsia="en-AU"/>
              </w:rPr>
            </w:pPr>
            <w:r>
              <w:rPr>
                <w:color w:val="000000"/>
                <w:lang w:eastAsia="en-AU"/>
              </w:rPr>
              <w:t>Number</w:t>
            </w:r>
            <w:r w:rsidRPr="002523DA">
              <w:rPr>
                <w:color w:val="000000"/>
                <w:lang w:eastAsia="en-AU"/>
              </w:rPr>
              <w:t xml:space="preserve"> of businesses engaged with the Department</w:t>
            </w:r>
          </w:p>
        </w:tc>
        <w:tc>
          <w:tcPr>
            <w:tcW w:w="907" w:type="dxa"/>
            <w:tcBorders>
              <w:top w:val="single" w:sz="6" w:space="0" w:color="auto"/>
              <w:bottom w:val="single" w:sz="6" w:space="0" w:color="auto"/>
            </w:tcBorders>
            <w:shd w:val="clear" w:color="auto" w:fill="auto"/>
            <w:noWrap/>
          </w:tcPr>
          <w:p w:rsidR="00B958B1" w:rsidRDefault="00B958B1" w:rsidP="009F3B54">
            <w:pPr>
              <w:pStyle w:val="OGUoM"/>
              <w:rPr>
                <w:rFonts w:cs="Calibri"/>
                <w:szCs w:val="20"/>
              </w:rPr>
            </w:pPr>
            <w:r>
              <w:rPr>
                <w:rFonts w:cs="Calibri"/>
                <w:szCs w:val="20"/>
              </w:rPr>
              <w:t>number</w:t>
            </w:r>
          </w:p>
        </w:tc>
        <w:tc>
          <w:tcPr>
            <w:tcW w:w="907" w:type="dxa"/>
            <w:tcBorders>
              <w:top w:val="single" w:sz="6" w:space="0" w:color="auto"/>
              <w:bottom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 xml:space="preserve">12 000 </w:t>
            </w:r>
          </w:p>
        </w:tc>
        <w:tc>
          <w:tcPr>
            <w:tcW w:w="993" w:type="dxa"/>
            <w:tcBorders>
              <w:top w:val="single" w:sz="6" w:space="0" w:color="auto"/>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12 000</w:t>
            </w:r>
          </w:p>
        </w:tc>
        <w:tc>
          <w:tcPr>
            <w:tcW w:w="907" w:type="dxa"/>
            <w:tcBorders>
              <w:top w:val="single" w:sz="6" w:space="0" w:color="auto"/>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 xml:space="preserve">12 000 </w:t>
            </w:r>
          </w:p>
        </w:tc>
        <w:tc>
          <w:tcPr>
            <w:tcW w:w="907" w:type="dxa"/>
            <w:tcBorders>
              <w:top w:val="single" w:sz="6" w:space="0" w:color="auto"/>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 xml:space="preserve"> nm </w:t>
            </w:r>
          </w:p>
        </w:tc>
      </w:tr>
      <w:tr w:rsidR="00B958B1" w:rsidRPr="00C76446" w:rsidTr="009F3B54">
        <w:trPr>
          <w:cantSplit/>
        </w:trPr>
        <w:tc>
          <w:tcPr>
            <w:tcW w:w="3155" w:type="dxa"/>
            <w:tcBorders>
              <w:top w:val="single" w:sz="6" w:space="0" w:color="auto"/>
            </w:tcBorders>
            <w:shd w:val="clear" w:color="auto" w:fill="auto"/>
          </w:tcPr>
          <w:p w:rsidR="00B958B1" w:rsidRPr="006E5822" w:rsidRDefault="00B958B1" w:rsidP="009F3B54">
            <w:pPr>
              <w:pStyle w:val="OGTabText"/>
              <w:pageBreakBefore/>
              <w:rPr>
                <w:lang w:eastAsia="en-AU"/>
              </w:rPr>
            </w:pPr>
            <w:r w:rsidRPr="000A5995">
              <w:rPr>
                <w:color w:val="000000"/>
                <w:szCs w:val="20"/>
                <w:lang w:eastAsia="en-AU"/>
              </w:rPr>
              <w:t xml:space="preserve">Subscriptions to </w:t>
            </w:r>
            <w:r w:rsidRPr="00137311">
              <w:rPr>
                <w:rFonts w:cs="Calibri"/>
                <w:szCs w:val="20"/>
              </w:rPr>
              <w:t>Small Business Victoria Update</w:t>
            </w:r>
          </w:p>
        </w:tc>
        <w:tc>
          <w:tcPr>
            <w:tcW w:w="907" w:type="dxa"/>
            <w:tcBorders>
              <w:top w:val="single" w:sz="6" w:space="0" w:color="auto"/>
            </w:tcBorders>
            <w:shd w:val="clear" w:color="auto" w:fill="auto"/>
            <w:noWrap/>
          </w:tcPr>
          <w:p w:rsidR="00B958B1" w:rsidRDefault="00B958B1" w:rsidP="009F3B54">
            <w:pPr>
              <w:pStyle w:val="OGUoM"/>
              <w:rPr>
                <w:rFonts w:cs="Calibri"/>
                <w:szCs w:val="20"/>
              </w:rPr>
            </w:pPr>
            <w:r>
              <w:rPr>
                <w:rFonts w:cs="Calibri"/>
                <w:szCs w:val="20"/>
              </w:rPr>
              <w:t>number</w:t>
            </w:r>
          </w:p>
        </w:tc>
        <w:tc>
          <w:tcPr>
            <w:tcW w:w="907" w:type="dxa"/>
            <w:tcBorders>
              <w:top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 xml:space="preserve"> 60 000 </w:t>
            </w:r>
          </w:p>
        </w:tc>
        <w:tc>
          <w:tcPr>
            <w:tcW w:w="993"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nm</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 xml:space="preserve">    nm </w:t>
            </w: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 xml:space="preserve">nm </w:t>
            </w:r>
          </w:p>
        </w:tc>
      </w:tr>
      <w:tr w:rsidR="00B958B1" w:rsidRPr="00276349" w:rsidTr="009F3B54">
        <w:trPr>
          <w:cantSplit/>
        </w:trPr>
        <w:tc>
          <w:tcPr>
            <w:tcW w:w="7776" w:type="dxa"/>
            <w:gridSpan w:val="6"/>
            <w:tcBorders>
              <w:bottom w:val="single" w:sz="6" w:space="0" w:color="auto"/>
            </w:tcBorders>
            <w:shd w:val="clear" w:color="auto" w:fill="auto"/>
          </w:tcPr>
          <w:p w:rsidR="00B958B1" w:rsidRPr="006C2ABD" w:rsidRDefault="00B958B1" w:rsidP="009F3B54">
            <w:pPr>
              <w:pStyle w:val="OGNotes"/>
            </w:pPr>
            <w:r w:rsidRPr="00286F2F">
              <w:t>This performance measure replaces the 2012</w:t>
            </w:r>
            <w:r w:rsidR="009F0F49">
              <w:noBreakHyphen/>
            </w:r>
            <w:r w:rsidRPr="00286F2F">
              <w:t>13 performance measure ‘Registration for online services measure’. The new measure better demonstrates active engagement with Business Victoria Online services.</w:t>
            </w:r>
          </w:p>
        </w:tc>
      </w:tr>
      <w:tr w:rsidR="00B958B1" w:rsidRPr="00C76446" w:rsidTr="009F3B54">
        <w:trPr>
          <w:cantSplit/>
        </w:trPr>
        <w:tc>
          <w:tcPr>
            <w:tcW w:w="3155" w:type="dxa"/>
            <w:tcBorders>
              <w:top w:val="single" w:sz="6" w:space="0" w:color="auto"/>
            </w:tcBorders>
            <w:shd w:val="clear" w:color="auto" w:fill="auto"/>
          </w:tcPr>
          <w:p w:rsidR="00B958B1" w:rsidRPr="00C76446" w:rsidRDefault="00B958B1" w:rsidP="009F3B54">
            <w:pPr>
              <w:pStyle w:val="OGTabHead"/>
              <w:rPr>
                <w:lang w:eastAsia="en-AU"/>
              </w:rPr>
            </w:pPr>
            <w:r w:rsidRPr="004F1A91">
              <w:rPr>
                <w:lang w:eastAsia="en-AU"/>
              </w:rPr>
              <w:t>Quality</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D9D9D9"/>
            <w:noWrap/>
          </w:tcPr>
          <w:p w:rsidR="00B958B1" w:rsidRPr="00C76446" w:rsidRDefault="00B958B1" w:rsidP="009F3B54">
            <w:pPr>
              <w:pStyle w:val="OGTabHead"/>
              <w:rPr>
                <w:lang w:eastAsia="en-AU"/>
              </w:rPr>
            </w:pPr>
            <w:r w:rsidRPr="00C76446">
              <w:rPr>
                <w:lang w:eastAsia="en-AU"/>
              </w:rPr>
              <w:t> </w:t>
            </w:r>
          </w:p>
        </w:tc>
        <w:tc>
          <w:tcPr>
            <w:tcW w:w="993"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Head"/>
              <w:rPr>
                <w:lang w:eastAsia="en-AU"/>
              </w:rPr>
            </w:pPr>
            <w:r w:rsidRPr="00C76446">
              <w:rPr>
                <w:lang w:eastAsia="en-AU"/>
              </w:rPr>
              <w:t> </w:t>
            </w:r>
          </w:p>
        </w:tc>
      </w:tr>
      <w:tr w:rsidR="00B958B1" w:rsidRPr="00C76446" w:rsidTr="009F3B54">
        <w:trPr>
          <w:cantSplit/>
        </w:trPr>
        <w:tc>
          <w:tcPr>
            <w:tcW w:w="3155" w:type="dxa"/>
            <w:tcBorders>
              <w:bottom w:val="single" w:sz="6" w:space="0" w:color="auto"/>
            </w:tcBorders>
            <w:shd w:val="clear" w:color="auto" w:fill="auto"/>
          </w:tcPr>
          <w:p w:rsidR="00B958B1" w:rsidRPr="00C76446" w:rsidRDefault="00B958B1" w:rsidP="009F3B54">
            <w:pPr>
              <w:pStyle w:val="OGTabText"/>
              <w:rPr>
                <w:color w:val="000000"/>
                <w:lang w:eastAsia="en-AU"/>
              </w:rPr>
            </w:pPr>
            <w:r w:rsidRPr="0087162F">
              <w:rPr>
                <w:color w:val="000000"/>
                <w:lang w:eastAsia="en-AU"/>
              </w:rPr>
              <w:t>Client satisfaction of small business information, referral, mentoring service and business programs</w:t>
            </w:r>
          </w:p>
        </w:tc>
        <w:tc>
          <w:tcPr>
            <w:tcW w:w="907" w:type="dxa"/>
            <w:tcBorders>
              <w:bottom w:val="single" w:sz="6" w:space="0" w:color="auto"/>
            </w:tcBorders>
            <w:shd w:val="clear" w:color="auto" w:fill="auto"/>
            <w:noWrap/>
          </w:tcPr>
          <w:p w:rsidR="00B958B1" w:rsidRDefault="00B958B1" w:rsidP="009F3B54">
            <w:pPr>
              <w:pStyle w:val="OGUoM"/>
              <w:rPr>
                <w:rFonts w:cs="Calibri"/>
                <w:szCs w:val="20"/>
              </w:rPr>
            </w:pPr>
            <w:r>
              <w:rPr>
                <w:rFonts w:cs="Calibri"/>
                <w:szCs w:val="20"/>
              </w:rPr>
              <w:t>per cent</w:t>
            </w:r>
          </w:p>
        </w:tc>
        <w:tc>
          <w:tcPr>
            <w:tcW w:w="907" w:type="dxa"/>
            <w:tcBorders>
              <w:bottom w:val="single" w:sz="6" w:space="0" w:color="auto"/>
            </w:tcBorders>
            <w:shd w:val="clear" w:color="auto" w:fill="D9D9D9"/>
            <w:noWrap/>
          </w:tcPr>
          <w:p w:rsidR="00B958B1" w:rsidRDefault="00B958B1" w:rsidP="009F3B54">
            <w:pPr>
              <w:pStyle w:val="OGTableofFigures"/>
              <w:rPr>
                <w:rFonts w:cs="Calibri"/>
                <w:szCs w:val="20"/>
              </w:rPr>
            </w:pPr>
            <w:r>
              <w:rPr>
                <w:rFonts w:cs="Calibri"/>
                <w:szCs w:val="20"/>
              </w:rPr>
              <w:t>90</w:t>
            </w:r>
          </w:p>
        </w:tc>
        <w:tc>
          <w:tcPr>
            <w:tcW w:w="993" w:type="dxa"/>
            <w:tcBorders>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90</w:t>
            </w:r>
          </w:p>
        </w:tc>
        <w:tc>
          <w:tcPr>
            <w:tcW w:w="907" w:type="dxa"/>
            <w:tcBorders>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90</w:t>
            </w:r>
          </w:p>
        </w:tc>
        <w:tc>
          <w:tcPr>
            <w:tcW w:w="907" w:type="dxa"/>
            <w:tcBorders>
              <w:bottom w:val="single" w:sz="6" w:space="0" w:color="auto"/>
            </w:tcBorders>
            <w:shd w:val="clear" w:color="auto" w:fill="auto"/>
            <w:noWrap/>
          </w:tcPr>
          <w:p w:rsidR="00B958B1" w:rsidRDefault="00B958B1" w:rsidP="009F3B54">
            <w:pPr>
              <w:pStyle w:val="OGTableofFigures"/>
              <w:rPr>
                <w:rFonts w:cs="Calibri"/>
                <w:szCs w:val="20"/>
              </w:rPr>
            </w:pPr>
            <w:r>
              <w:rPr>
                <w:rFonts w:cs="Calibri"/>
                <w:szCs w:val="20"/>
              </w:rPr>
              <w:t>93</w:t>
            </w:r>
          </w:p>
        </w:tc>
      </w:tr>
      <w:tr w:rsidR="00B958B1" w:rsidRPr="00C56DE1" w:rsidTr="009F3B54">
        <w:trPr>
          <w:cantSplit/>
        </w:trPr>
        <w:tc>
          <w:tcPr>
            <w:tcW w:w="3155" w:type="dxa"/>
            <w:tcBorders>
              <w:top w:val="single" w:sz="6" w:space="0" w:color="auto"/>
              <w:bottom w:val="single" w:sz="6" w:space="0" w:color="auto"/>
            </w:tcBorders>
            <w:shd w:val="clear" w:color="auto" w:fill="auto"/>
          </w:tcPr>
          <w:p w:rsidR="00B958B1" w:rsidRPr="00C56DE1" w:rsidRDefault="00B958B1" w:rsidP="009F3B54">
            <w:pPr>
              <w:pStyle w:val="OGTabText"/>
              <w:rPr>
                <w:color w:val="000000"/>
                <w:lang w:eastAsia="en-AU"/>
              </w:rPr>
            </w:pPr>
            <w:r w:rsidRPr="00C56DE1">
              <w:rPr>
                <w:color w:val="000000"/>
                <w:lang w:eastAsia="en-AU"/>
              </w:rPr>
              <w:t>Client satisfaction with Victorian Small Business Commissioner mediation service</w:t>
            </w:r>
          </w:p>
        </w:tc>
        <w:tc>
          <w:tcPr>
            <w:tcW w:w="907" w:type="dxa"/>
            <w:tcBorders>
              <w:top w:val="single" w:sz="6" w:space="0" w:color="auto"/>
              <w:bottom w:val="single" w:sz="6" w:space="0" w:color="auto"/>
            </w:tcBorders>
            <w:shd w:val="clear" w:color="auto" w:fill="auto"/>
            <w:noWrap/>
          </w:tcPr>
          <w:p w:rsidR="00B958B1" w:rsidRPr="00C56DE1" w:rsidRDefault="00B958B1" w:rsidP="009F3B54">
            <w:pPr>
              <w:pStyle w:val="OGUoM"/>
              <w:rPr>
                <w:rFonts w:cs="Calibri"/>
                <w:szCs w:val="20"/>
              </w:rPr>
            </w:pPr>
            <w:r w:rsidRPr="00C56DE1">
              <w:rPr>
                <w:rFonts w:cs="Calibri"/>
                <w:szCs w:val="20"/>
              </w:rPr>
              <w:t>per cent</w:t>
            </w:r>
          </w:p>
        </w:tc>
        <w:tc>
          <w:tcPr>
            <w:tcW w:w="907" w:type="dxa"/>
            <w:tcBorders>
              <w:top w:val="single" w:sz="6" w:space="0" w:color="auto"/>
              <w:bottom w:val="single" w:sz="6" w:space="0" w:color="auto"/>
            </w:tcBorders>
            <w:shd w:val="clear" w:color="auto" w:fill="D9D9D9"/>
            <w:noWrap/>
          </w:tcPr>
          <w:p w:rsidR="00B958B1" w:rsidRPr="00C56DE1" w:rsidRDefault="00B958B1" w:rsidP="009F3B54">
            <w:pPr>
              <w:pStyle w:val="OGTableofFigures"/>
              <w:rPr>
                <w:rFonts w:cs="Calibri"/>
                <w:szCs w:val="20"/>
              </w:rPr>
            </w:pPr>
            <w:r w:rsidRPr="00C56DE1">
              <w:rPr>
                <w:rFonts w:cs="Calibri"/>
                <w:szCs w:val="20"/>
              </w:rPr>
              <w:t>80</w:t>
            </w:r>
          </w:p>
        </w:tc>
        <w:tc>
          <w:tcPr>
            <w:tcW w:w="993" w:type="dxa"/>
            <w:tcBorders>
              <w:top w:val="single" w:sz="6" w:space="0" w:color="auto"/>
              <w:bottom w:val="single" w:sz="6" w:space="0" w:color="auto"/>
            </w:tcBorders>
            <w:shd w:val="clear" w:color="auto" w:fill="auto"/>
            <w:noWrap/>
          </w:tcPr>
          <w:p w:rsidR="00B958B1" w:rsidRPr="00C56DE1" w:rsidRDefault="00B958B1" w:rsidP="009F3B54">
            <w:pPr>
              <w:pStyle w:val="OGTableofFigures"/>
              <w:rPr>
                <w:rFonts w:cs="Calibri"/>
                <w:szCs w:val="20"/>
              </w:rPr>
            </w:pPr>
            <w:r w:rsidRPr="00C56DE1">
              <w:rPr>
                <w:rFonts w:cs="Calibri"/>
                <w:szCs w:val="20"/>
              </w:rPr>
              <w:t>80</w:t>
            </w:r>
          </w:p>
        </w:tc>
        <w:tc>
          <w:tcPr>
            <w:tcW w:w="907" w:type="dxa"/>
            <w:tcBorders>
              <w:top w:val="single" w:sz="6" w:space="0" w:color="auto"/>
              <w:bottom w:val="single" w:sz="6" w:space="0" w:color="auto"/>
            </w:tcBorders>
            <w:shd w:val="clear" w:color="auto" w:fill="auto"/>
            <w:noWrap/>
          </w:tcPr>
          <w:p w:rsidR="00B958B1" w:rsidRPr="00C56DE1" w:rsidRDefault="00B958B1" w:rsidP="009F3B54">
            <w:pPr>
              <w:pStyle w:val="OGTableofFigures"/>
              <w:rPr>
                <w:rFonts w:cs="Calibri"/>
                <w:szCs w:val="20"/>
              </w:rPr>
            </w:pPr>
            <w:r w:rsidRPr="00C56DE1">
              <w:rPr>
                <w:rFonts w:cs="Calibri"/>
                <w:szCs w:val="20"/>
              </w:rPr>
              <w:t>80</w:t>
            </w:r>
          </w:p>
        </w:tc>
        <w:tc>
          <w:tcPr>
            <w:tcW w:w="907" w:type="dxa"/>
            <w:tcBorders>
              <w:top w:val="single" w:sz="6" w:space="0" w:color="auto"/>
              <w:bottom w:val="single" w:sz="6" w:space="0" w:color="auto"/>
            </w:tcBorders>
            <w:shd w:val="clear" w:color="auto" w:fill="auto"/>
            <w:noWrap/>
          </w:tcPr>
          <w:p w:rsidR="00B958B1" w:rsidRPr="00C56DE1" w:rsidRDefault="00B958B1" w:rsidP="009F3B54">
            <w:pPr>
              <w:pStyle w:val="OGTableofFigures"/>
              <w:rPr>
                <w:rFonts w:cs="Calibri"/>
                <w:szCs w:val="20"/>
              </w:rPr>
            </w:pPr>
            <w:r w:rsidRPr="00C56DE1">
              <w:rPr>
                <w:rFonts w:cs="Calibri"/>
                <w:szCs w:val="20"/>
              </w:rPr>
              <w:t>93</w:t>
            </w:r>
          </w:p>
        </w:tc>
      </w:tr>
      <w:tr w:rsidR="00B958B1" w:rsidRPr="00C56DE1" w:rsidTr="009F3B54">
        <w:trPr>
          <w:cantSplit/>
        </w:trPr>
        <w:tc>
          <w:tcPr>
            <w:tcW w:w="3155" w:type="dxa"/>
            <w:tcBorders>
              <w:top w:val="single" w:sz="6" w:space="0" w:color="auto"/>
              <w:bottom w:val="single" w:sz="6" w:space="0" w:color="auto"/>
            </w:tcBorders>
            <w:shd w:val="clear" w:color="auto" w:fill="auto"/>
          </w:tcPr>
          <w:p w:rsidR="00B958B1" w:rsidRPr="00C56DE1" w:rsidRDefault="00B958B1" w:rsidP="009F3B54">
            <w:pPr>
              <w:pStyle w:val="OGTabText"/>
              <w:rPr>
                <w:color w:val="000000"/>
                <w:lang w:eastAsia="en-AU"/>
              </w:rPr>
            </w:pPr>
            <w:r w:rsidRPr="00C56DE1">
              <w:rPr>
                <w:color w:val="000000"/>
                <w:lang w:eastAsia="en-AU"/>
              </w:rPr>
              <w:t>Proportion of business disputes presented to the Small Business Commissioner successfully mediated</w:t>
            </w:r>
          </w:p>
        </w:tc>
        <w:tc>
          <w:tcPr>
            <w:tcW w:w="907" w:type="dxa"/>
            <w:tcBorders>
              <w:top w:val="single" w:sz="6" w:space="0" w:color="auto"/>
              <w:bottom w:val="single" w:sz="6" w:space="0" w:color="auto"/>
            </w:tcBorders>
            <w:shd w:val="clear" w:color="auto" w:fill="auto"/>
            <w:noWrap/>
          </w:tcPr>
          <w:p w:rsidR="00B958B1" w:rsidRPr="00C56DE1" w:rsidRDefault="00B958B1" w:rsidP="009F3B54">
            <w:pPr>
              <w:pStyle w:val="OGUoM"/>
              <w:rPr>
                <w:rFonts w:cs="Calibri"/>
                <w:szCs w:val="20"/>
              </w:rPr>
            </w:pPr>
            <w:r w:rsidRPr="00C56DE1">
              <w:rPr>
                <w:rFonts w:cs="Calibri"/>
                <w:szCs w:val="20"/>
              </w:rPr>
              <w:t>per cent</w:t>
            </w:r>
          </w:p>
        </w:tc>
        <w:tc>
          <w:tcPr>
            <w:tcW w:w="907" w:type="dxa"/>
            <w:tcBorders>
              <w:top w:val="single" w:sz="6" w:space="0" w:color="auto"/>
              <w:bottom w:val="single" w:sz="6" w:space="0" w:color="auto"/>
            </w:tcBorders>
            <w:shd w:val="clear" w:color="auto" w:fill="D9D9D9"/>
            <w:noWrap/>
          </w:tcPr>
          <w:p w:rsidR="00B958B1" w:rsidRPr="00C56DE1" w:rsidRDefault="00B958B1" w:rsidP="009F3B54">
            <w:pPr>
              <w:pStyle w:val="OGTableofFigures"/>
              <w:rPr>
                <w:rFonts w:cs="Calibri"/>
                <w:szCs w:val="20"/>
              </w:rPr>
            </w:pPr>
            <w:r w:rsidRPr="00C56DE1">
              <w:rPr>
                <w:rFonts w:cs="Calibri"/>
                <w:szCs w:val="20"/>
              </w:rPr>
              <w:t>75</w:t>
            </w:r>
          </w:p>
        </w:tc>
        <w:tc>
          <w:tcPr>
            <w:tcW w:w="993" w:type="dxa"/>
            <w:tcBorders>
              <w:top w:val="single" w:sz="6" w:space="0" w:color="auto"/>
              <w:bottom w:val="single" w:sz="6" w:space="0" w:color="auto"/>
            </w:tcBorders>
            <w:shd w:val="clear" w:color="auto" w:fill="auto"/>
            <w:noWrap/>
          </w:tcPr>
          <w:p w:rsidR="00B958B1" w:rsidRPr="00C56DE1" w:rsidRDefault="00B958B1" w:rsidP="009F3B54">
            <w:pPr>
              <w:pStyle w:val="OGTableofFigures"/>
              <w:rPr>
                <w:rFonts w:cs="Calibri"/>
                <w:szCs w:val="20"/>
              </w:rPr>
            </w:pPr>
            <w:r w:rsidRPr="00C56DE1">
              <w:rPr>
                <w:rFonts w:cs="Calibri"/>
                <w:szCs w:val="20"/>
              </w:rPr>
              <w:t>75</w:t>
            </w:r>
          </w:p>
        </w:tc>
        <w:tc>
          <w:tcPr>
            <w:tcW w:w="907" w:type="dxa"/>
            <w:tcBorders>
              <w:top w:val="single" w:sz="6" w:space="0" w:color="auto"/>
              <w:bottom w:val="single" w:sz="6" w:space="0" w:color="auto"/>
            </w:tcBorders>
            <w:shd w:val="clear" w:color="auto" w:fill="auto"/>
            <w:noWrap/>
          </w:tcPr>
          <w:p w:rsidR="00B958B1" w:rsidRPr="00C56DE1" w:rsidRDefault="00B958B1" w:rsidP="009F3B54">
            <w:pPr>
              <w:pStyle w:val="OGTableofFigures"/>
              <w:rPr>
                <w:rFonts w:cs="Calibri"/>
                <w:szCs w:val="20"/>
              </w:rPr>
            </w:pPr>
            <w:r w:rsidRPr="00C56DE1">
              <w:rPr>
                <w:rFonts w:cs="Calibri"/>
                <w:szCs w:val="20"/>
              </w:rPr>
              <w:t>75</w:t>
            </w:r>
          </w:p>
        </w:tc>
        <w:tc>
          <w:tcPr>
            <w:tcW w:w="907" w:type="dxa"/>
            <w:tcBorders>
              <w:top w:val="single" w:sz="6" w:space="0" w:color="auto"/>
              <w:bottom w:val="single" w:sz="6" w:space="0" w:color="auto"/>
            </w:tcBorders>
            <w:shd w:val="clear" w:color="auto" w:fill="auto"/>
            <w:noWrap/>
          </w:tcPr>
          <w:p w:rsidR="00B958B1" w:rsidRPr="00C56DE1" w:rsidRDefault="00B958B1" w:rsidP="009F3B54">
            <w:pPr>
              <w:pStyle w:val="OGTableofFigures"/>
              <w:rPr>
                <w:rFonts w:cs="Calibri"/>
                <w:szCs w:val="20"/>
              </w:rPr>
            </w:pPr>
            <w:r w:rsidRPr="00C56DE1">
              <w:rPr>
                <w:rFonts w:cs="Calibri"/>
                <w:szCs w:val="20"/>
              </w:rPr>
              <w:t>76</w:t>
            </w:r>
          </w:p>
        </w:tc>
      </w:tr>
      <w:tr w:rsidR="00B958B1" w:rsidRPr="00C56DE1" w:rsidTr="009F3B54">
        <w:trPr>
          <w:cantSplit/>
        </w:trPr>
        <w:tc>
          <w:tcPr>
            <w:tcW w:w="3155" w:type="dxa"/>
            <w:tcBorders>
              <w:top w:val="single" w:sz="6" w:space="0" w:color="auto"/>
            </w:tcBorders>
            <w:shd w:val="clear" w:color="auto" w:fill="auto"/>
          </w:tcPr>
          <w:p w:rsidR="00B958B1" w:rsidRPr="00C56DE1" w:rsidRDefault="00B958B1" w:rsidP="009F3B54">
            <w:pPr>
              <w:pStyle w:val="OGTabHead"/>
              <w:rPr>
                <w:lang w:eastAsia="en-AU"/>
              </w:rPr>
            </w:pPr>
            <w:r w:rsidRPr="00C56DE1">
              <w:rPr>
                <w:lang w:eastAsia="en-AU"/>
              </w:rPr>
              <w:t>Cost</w:t>
            </w:r>
          </w:p>
        </w:tc>
        <w:tc>
          <w:tcPr>
            <w:tcW w:w="907" w:type="dxa"/>
            <w:tcBorders>
              <w:top w:val="single" w:sz="6" w:space="0" w:color="auto"/>
            </w:tcBorders>
            <w:shd w:val="clear" w:color="auto" w:fill="auto"/>
            <w:noWrap/>
          </w:tcPr>
          <w:p w:rsidR="00B958B1" w:rsidRPr="00C56DE1" w:rsidRDefault="00B958B1" w:rsidP="009F3B54">
            <w:pPr>
              <w:pStyle w:val="OGTabHead"/>
              <w:rPr>
                <w:lang w:eastAsia="en-AU"/>
              </w:rPr>
            </w:pPr>
            <w:r w:rsidRPr="00C56DE1">
              <w:rPr>
                <w:lang w:eastAsia="en-AU"/>
              </w:rPr>
              <w:t> </w:t>
            </w:r>
          </w:p>
        </w:tc>
        <w:tc>
          <w:tcPr>
            <w:tcW w:w="907" w:type="dxa"/>
            <w:tcBorders>
              <w:top w:val="single" w:sz="6" w:space="0" w:color="auto"/>
            </w:tcBorders>
            <w:shd w:val="clear" w:color="auto" w:fill="D9D9D9" w:themeFill="background1" w:themeFillShade="D9"/>
            <w:noWrap/>
          </w:tcPr>
          <w:p w:rsidR="00B958B1" w:rsidRPr="00C56DE1" w:rsidRDefault="00B958B1" w:rsidP="009F3B54">
            <w:pPr>
              <w:pStyle w:val="OGTabHead"/>
              <w:rPr>
                <w:lang w:eastAsia="en-AU"/>
              </w:rPr>
            </w:pPr>
            <w:r w:rsidRPr="00C56DE1">
              <w:rPr>
                <w:lang w:eastAsia="en-AU"/>
              </w:rPr>
              <w:t> </w:t>
            </w:r>
          </w:p>
        </w:tc>
        <w:tc>
          <w:tcPr>
            <w:tcW w:w="993" w:type="dxa"/>
            <w:tcBorders>
              <w:top w:val="single" w:sz="6" w:space="0" w:color="auto"/>
            </w:tcBorders>
            <w:shd w:val="clear" w:color="auto" w:fill="auto"/>
            <w:noWrap/>
          </w:tcPr>
          <w:p w:rsidR="00B958B1" w:rsidRPr="00C56DE1" w:rsidRDefault="00B958B1" w:rsidP="009F3B54">
            <w:pPr>
              <w:pStyle w:val="OGTabHead"/>
              <w:rPr>
                <w:lang w:eastAsia="en-AU"/>
              </w:rPr>
            </w:pPr>
            <w:r w:rsidRPr="00C56DE1">
              <w:rPr>
                <w:lang w:eastAsia="en-AU"/>
              </w:rPr>
              <w:t> </w:t>
            </w:r>
          </w:p>
        </w:tc>
        <w:tc>
          <w:tcPr>
            <w:tcW w:w="907" w:type="dxa"/>
            <w:tcBorders>
              <w:top w:val="single" w:sz="6" w:space="0" w:color="auto"/>
            </w:tcBorders>
            <w:shd w:val="clear" w:color="auto" w:fill="auto"/>
            <w:noWrap/>
          </w:tcPr>
          <w:p w:rsidR="00B958B1" w:rsidRPr="00C56DE1" w:rsidRDefault="00B958B1" w:rsidP="009F3B54">
            <w:pPr>
              <w:pStyle w:val="OGTabHead"/>
              <w:rPr>
                <w:lang w:eastAsia="en-AU"/>
              </w:rPr>
            </w:pPr>
            <w:r w:rsidRPr="00C56DE1">
              <w:rPr>
                <w:lang w:eastAsia="en-AU"/>
              </w:rPr>
              <w:t> </w:t>
            </w:r>
          </w:p>
        </w:tc>
        <w:tc>
          <w:tcPr>
            <w:tcW w:w="907" w:type="dxa"/>
            <w:tcBorders>
              <w:top w:val="single" w:sz="6" w:space="0" w:color="auto"/>
            </w:tcBorders>
            <w:shd w:val="clear" w:color="auto" w:fill="auto"/>
            <w:noWrap/>
          </w:tcPr>
          <w:p w:rsidR="00B958B1" w:rsidRPr="00C56DE1" w:rsidRDefault="00B958B1" w:rsidP="009F3B54">
            <w:pPr>
              <w:pStyle w:val="OGTabHead"/>
              <w:rPr>
                <w:lang w:eastAsia="en-AU"/>
              </w:rPr>
            </w:pPr>
            <w:r w:rsidRPr="00C56DE1">
              <w:rPr>
                <w:lang w:eastAsia="en-AU"/>
              </w:rPr>
              <w:t> </w:t>
            </w:r>
          </w:p>
        </w:tc>
      </w:tr>
      <w:tr w:rsidR="00B958B1" w:rsidRPr="00C56DE1" w:rsidTr="009F3B54">
        <w:trPr>
          <w:cantSplit/>
        </w:trPr>
        <w:tc>
          <w:tcPr>
            <w:tcW w:w="3155" w:type="dxa"/>
            <w:shd w:val="clear" w:color="auto" w:fill="auto"/>
          </w:tcPr>
          <w:p w:rsidR="00B958B1" w:rsidRPr="00C56DE1" w:rsidRDefault="00B958B1" w:rsidP="009F3B54">
            <w:pPr>
              <w:pStyle w:val="OGTabColLeft"/>
              <w:rPr>
                <w:b w:val="0"/>
              </w:rPr>
            </w:pPr>
            <w:r w:rsidRPr="00C56DE1">
              <w:rPr>
                <w:b w:val="0"/>
              </w:rPr>
              <w:t>Total output cost</w:t>
            </w:r>
          </w:p>
        </w:tc>
        <w:tc>
          <w:tcPr>
            <w:tcW w:w="907" w:type="dxa"/>
            <w:shd w:val="clear" w:color="auto" w:fill="auto"/>
            <w:noWrap/>
          </w:tcPr>
          <w:p w:rsidR="00B958B1" w:rsidRPr="00C56DE1" w:rsidRDefault="00B958B1" w:rsidP="009F3B54">
            <w:pPr>
              <w:pStyle w:val="OGTabColCentred"/>
              <w:rPr>
                <w:b w:val="0"/>
              </w:rPr>
            </w:pPr>
            <w:r w:rsidRPr="00C56DE1">
              <w:rPr>
                <w:b w:val="0"/>
              </w:rPr>
              <w:t>$</w:t>
            </w:r>
            <w:r>
              <w:rPr>
                <w:b w:val="0"/>
              </w:rPr>
              <w:t> million</w:t>
            </w:r>
          </w:p>
        </w:tc>
        <w:tc>
          <w:tcPr>
            <w:tcW w:w="907" w:type="dxa"/>
            <w:shd w:val="clear" w:color="auto" w:fill="D9D9D9" w:themeFill="background1" w:themeFillShade="D9"/>
            <w:noWrap/>
          </w:tcPr>
          <w:p w:rsidR="00B958B1" w:rsidRPr="0003417C" w:rsidRDefault="00B958B1" w:rsidP="009F3B54">
            <w:pPr>
              <w:pStyle w:val="OGTabColRight"/>
              <w:rPr>
                <w:rFonts w:cs="Calibri"/>
                <w:b w:val="0"/>
                <w:szCs w:val="20"/>
              </w:rPr>
            </w:pPr>
            <w:r>
              <w:rPr>
                <w:rFonts w:cs="Calibri"/>
                <w:b w:val="0"/>
                <w:szCs w:val="20"/>
              </w:rPr>
              <w:t>32.6</w:t>
            </w:r>
          </w:p>
        </w:tc>
        <w:tc>
          <w:tcPr>
            <w:tcW w:w="993" w:type="dxa"/>
            <w:shd w:val="clear" w:color="auto" w:fill="auto"/>
            <w:noWrap/>
          </w:tcPr>
          <w:p w:rsidR="00B958B1" w:rsidRPr="0003417C" w:rsidRDefault="00B958B1" w:rsidP="009F3B54">
            <w:pPr>
              <w:pStyle w:val="OGTabColRight"/>
              <w:rPr>
                <w:rFonts w:cs="Calibri"/>
                <w:b w:val="0"/>
                <w:szCs w:val="20"/>
              </w:rPr>
            </w:pPr>
            <w:r>
              <w:rPr>
                <w:rFonts w:cs="Calibri"/>
                <w:b w:val="0"/>
                <w:szCs w:val="20"/>
              </w:rPr>
              <w:t>34.4</w:t>
            </w:r>
          </w:p>
        </w:tc>
        <w:tc>
          <w:tcPr>
            <w:tcW w:w="907" w:type="dxa"/>
            <w:shd w:val="clear" w:color="auto" w:fill="auto"/>
            <w:noWrap/>
          </w:tcPr>
          <w:p w:rsidR="00B958B1" w:rsidRPr="0003417C" w:rsidRDefault="00B958B1" w:rsidP="009F3B54">
            <w:pPr>
              <w:pStyle w:val="OGTabColRight"/>
              <w:rPr>
                <w:rFonts w:cs="Calibri"/>
                <w:b w:val="0"/>
                <w:szCs w:val="20"/>
              </w:rPr>
            </w:pPr>
            <w:r w:rsidRPr="0003417C">
              <w:rPr>
                <w:rFonts w:cs="Calibri"/>
                <w:b w:val="0"/>
                <w:szCs w:val="20"/>
              </w:rPr>
              <w:t>34.4</w:t>
            </w:r>
          </w:p>
        </w:tc>
        <w:tc>
          <w:tcPr>
            <w:tcW w:w="907" w:type="dxa"/>
            <w:shd w:val="clear" w:color="auto" w:fill="auto"/>
            <w:noWrap/>
          </w:tcPr>
          <w:p w:rsidR="00B958B1" w:rsidRPr="0003417C" w:rsidRDefault="00B958B1" w:rsidP="009F3B54">
            <w:pPr>
              <w:pStyle w:val="OGTabColRight"/>
              <w:rPr>
                <w:rFonts w:cs="Calibri"/>
                <w:b w:val="0"/>
                <w:szCs w:val="20"/>
              </w:rPr>
            </w:pPr>
            <w:r>
              <w:rPr>
                <w:rFonts w:cs="Calibri"/>
                <w:b w:val="0"/>
                <w:szCs w:val="20"/>
              </w:rPr>
              <w:t>45.5</w:t>
            </w:r>
          </w:p>
        </w:tc>
      </w:tr>
      <w:tr w:rsidR="00B958B1" w:rsidRPr="00C56DE1" w:rsidTr="009F3B54">
        <w:trPr>
          <w:cantSplit/>
        </w:trPr>
        <w:tc>
          <w:tcPr>
            <w:tcW w:w="7776" w:type="dxa"/>
            <w:gridSpan w:val="6"/>
            <w:tcBorders>
              <w:bottom w:val="single" w:sz="6" w:space="0" w:color="auto"/>
            </w:tcBorders>
            <w:shd w:val="clear" w:color="auto" w:fill="auto"/>
          </w:tcPr>
          <w:p w:rsidR="00B958B1" w:rsidRDefault="00B958B1" w:rsidP="009F3B54">
            <w:pPr>
              <w:pStyle w:val="OGNotes"/>
              <w:rPr>
                <w:rFonts w:cs="Calibri"/>
                <w:b/>
              </w:rPr>
            </w:pPr>
            <w:r>
              <w:t>Variation between 2012</w:t>
            </w:r>
            <w:r w:rsidR="009F0F49">
              <w:noBreakHyphen/>
            </w:r>
            <w:r>
              <w:t>13 Target and 2013</w:t>
            </w:r>
            <w:r w:rsidR="009F0F49">
              <w:noBreakHyphen/>
            </w:r>
            <w:r>
              <w:t>14 Target reflects new funding received for Business Victoria offset by variations in annual funding for other Small Business programs.</w:t>
            </w:r>
          </w:p>
        </w:tc>
      </w:tr>
      <w:tr w:rsidR="00B958B1" w:rsidRPr="00072ADE" w:rsidTr="009F3B54">
        <w:trPr>
          <w:cantSplit/>
        </w:trPr>
        <w:tc>
          <w:tcPr>
            <w:tcW w:w="7776" w:type="dxa"/>
            <w:gridSpan w:val="6"/>
            <w:tcBorders>
              <w:top w:val="single" w:sz="6" w:space="0" w:color="auto"/>
            </w:tcBorders>
            <w:shd w:val="clear" w:color="auto" w:fill="auto"/>
          </w:tcPr>
          <w:p w:rsidR="00B958B1" w:rsidRPr="00072ADE" w:rsidRDefault="00B958B1" w:rsidP="009F3B54">
            <w:pPr>
              <w:pStyle w:val="OGHeading2"/>
            </w:pPr>
            <w:r w:rsidRPr="00072ADE">
              <w:t>Regional Development and Regional Cities</w:t>
            </w:r>
          </w:p>
        </w:tc>
      </w:tr>
      <w:tr w:rsidR="00B958B1" w:rsidRPr="00331B21" w:rsidTr="009F3B54">
        <w:trPr>
          <w:cantSplit/>
        </w:trPr>
        <w:tc>
          <w:tcPr>
            <w:tcW w:w="7776" w:type="dxa"/>
            <w:gridSpan w:val="6"/>
            <w:tcBorders>
              <w:bottom w:val="single" w:sz="6" w:space="0" w:color="auto"/>
            </w:tcBorders>
            <w:shd w:val="clear" w:color="auto" w:fill="auto"/>
          </w:tcPr>
          <w:p w:rsidR="00B958B1" w:rsidRPr="00331B21" w:rsidRDefault="00B958B1" w:rsidP="009F3B54">
            <w:pPr>
              <w:pStyle w:val="OGText"/>
              <w:rPr>
                <w:lang w:eastAsia="en-AU"/>
              </w:rPr>
            </w:pPr>
            <w:r w:rsidRPr="00331B21">
              <w:rPr>
                <w:lang w:eastAsia="en-AU"/>
              </w:rPr>
              <w:t>Guide the development and implementation of regional plans and strategies to manage growth and change in regional and rural Victoria</w:t>
            </w:r>
            <w:r>
              <w:rPr>
                <w:lang w:eastAsia="en-AU"/>
              </w:rPr>
              <w:t xml:space="preserve">. </w:t>
            </w:r>
            <w:r w:rsidRPr="00331B21">
              <w:rPr>
                <w:lang w:eastAsia="en-AU"/>
              </w:rPr>
              <w:t>Provide better infrastructure, facilities and services to strengthen the economic base of communities and to create jobs and improve career opportunities for regional Victorians.</w:t>
            </w:r>
          </w:p>
        </w:tc>
      </w:tr>
      <w:tr w:rsidR="00B958B1" w:rsidRPr="00331B21" w:rsidTr="009F3B54">
        <w:trPr>
          <w:cantSplit/>
        </w:trPr>
        <w:tc>
          <w:tcPr>
            <w:tcW w:w="3155" w:type="dxa"/>
            <w:tcBorders>
              <w:top w:val="single" w:sz="6" w:space="0" w:color="auto"/>
            </w:tcBorders>
            <w:shd w:val="clear" w:color="auto" w:fill="auto"/>
          </w:tcPr>
          <w:p w:rsidR="00B958B1" w:rsidRPr="00331B21" w:rsidRDefault="00B958B1" w:rsidP="009F3B54">
            <w:pPr>
              <w:pStyle w:val="OGTabHead"/>
              <w:rPr>
                <w:lang w:eastAsia="en-AU"/>
              </w:rPr>
            </w:pPr>
            <w:r w:rsidRPr="00331B21">
              <w:rPr>
                <w:lang w:eastAsia="en-AU"/>
              </w:rPr>
              <w:t>Quantity</w:t>
            </w:r>
          </w:p>
        </w:tc>
        <w:tc>
          <w:tcPr>
            <w:tcW w:w="907" w:type="dxa"/>
            <w:tcBorders>
              <w:top w:val="single" w:sz="6" w:space="0" w:color="auto"/>
            </w:tcBorders>
            <w:shd w:val="clear" w:color="auto" w:fill="auto"/>
            <w:noWrap/>
          </w:tcPr>
          <w:p w:rsidR="00B958B1" w:rsidRPr="00331B21" w:rsidRDefault="00B958B1" w:rsidP="009F3B54">
            <w:pPr>
              <w:pStyle w:val="OGTabHead"/>
              <w:rPr>
                <w:lang w:eastAsia="en-AU"/>
              </w:rPr>
            </w:pPr>
            <w:r w:rsidRPr="00331B21">
              <w:rPr>
                <w:lang w:eastAsia="en-AU"/>
              </w:rPr>
              <w:t> </w:t>
            </w:r>
          </w:p>
        </w:tc>
        <w:tc>
          <w:tcPr>
            <w:tcW w:w="907" w:type="dxa"/>
            <w:tcBorders>
              <w:top w:val="single" w:sz="6" w:space="0" w:color="auto"/>
            </w:tcBorders>
            <w:shd w:val="clear" w:color="auto" w:fill="D9D9D9"/>
            <w:noWrap/>
          </w:tcPr>
          <w:p w:rsidR="00B958B1" w:rsidRPr="00331B21" w:rsidRDefault="00B958B1" w:rsidP="009F3B54">
            <w:pPr>
              <w:pStyle w:val="OGTabHead"/>
              <w:rPr>
                <w:lang w:eastAsia="en-AU"/>
              </w:rPr>
            </w:pPr>
            <w:r w:rsidRPr="00331B21">
              <w:rPr>
                <w:lang w:eastAsia="en-AU"/>
              </w:rPr>
              <w:t> </w:t>
            </w:r>
          </w:p>
        </w:tc>
        <w:tc>
          <w:tcPr>
            <w:tcW w:w="993" w:type="dxa"/>
            <w:tcBorders>
              <w:top w:val="single" w:sz="6" w:space="0" w:color="auto"/>
            </w:tcBorders>
            <w:shd w:val="clear" w:color="auto" w:fill="auto"/>
            <w:noWrap/>
          </w:tcPr>
          <w:p w:rsidR="00B958B1" w:rsidRPr="00331B21" w:rsidRDefault="00B958B1" w:rsidP="009F3B54">
            <w:pPr>
              <w:pStyle w:val="OGTabHead"/>
              <w:rPr>
                <w:lang w:eastAsia="en-AU"/>
              </w:rPr>
            </w:pPr>
            <w:r w:rsidRPr="00331B21">
              <w:rPr>
                <w:lang w:eastAsia="en-AU"/>
              </w:rPr>
              <w:t> </w:t>
            </w:r>
          </w:p>
        </w:tc>
        <w:tc>
          <w:tcPr>
            <w:tcW w:w="907" w:type="dxa"/>
            <w:tcBorders>
              <w:top w:val="single" w:sz="6" w:space="0" w:color="auto"/>
            </w:tcBorders>
            <w:shd w:val="clear" w:color="auto" w:fill="auto"/>
            <w:noWrap/>
          </w:tcPr>
          <w:p w:rsidR="00B958B1" w:rsidRPr="00331B21" w:rsidRDefault="00B958B1" w:rsidP="009F3B54">
            <w:pPr>
              <w:pStyle w:val="OGTabHead"/>
              <w:rPr>
                <w:lang w:eastAsia="en-AU"/>
              </w:rPr>
            </w:pPr>
            <w:r w:rsidRPr="00331B21">
              <w:rPr>
                <w:lang w:eastAsia="en-AU"/>
              </w:rPr>
              <w:t> </w:t>
            </w:r>
          </w:p>
        </w:tc>
        <w:tc>
          <w:tcPr>
            <w:tcW w:w="907" w:type="dxa"/>
            <w:tcBorders>
              <w:top w:val="single" w:sz="6" w:space="0" w:color="auto"/>
            </w:tcBorders>
            <w:shd w:val="clear" w:color="auto" w:fill="auto"/>
            <w:noWrap/>
          </w:tcPr>
          <w:p w:rsidR="00B958B1" w:rsidRPr="00331B21" w:rsidRDefault="00B958B1" w:rsidP="009F3B54">
            <w:pPr>
              <w:pStyle w:val="OGTabHead"/>
              <w:rPr>
                <w:lang w:eastAsia="en-AU"/>
              </w:rPr>
            </w:pPr>
            <w:r w:rsidRPr="00331B21">
              <w:rPr>
                <w:lang w:eastAsia="en-AU"/>
              </w:rPr>
              <w:t> </w:t>
            </w:r>
          </w:p>
        </w:tc>
      </w:tr>
      <w:tr w:rsidR="00B958B1" w:rsidRPr="00331B21" w:rsidTr="009F3B54">
        <w:trPr>
          <w:cantSplit/>
        </w:trPr>
        <w:tc>
          <w:tcPr>
            <w:tcW w:w="3155" w:type="dxa"/>
            <w:tcBorders>
              <w:bottom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Economic development, service delivery and community capacity projects funded</w:t>
            </w:r>
          </w:p>
        </w:tc>
        <w:tc>
          <w:tcPr>
            <w:tcW w:w="907" w:type="dxa"/>
            <w:tcBorders>
              <w:bottom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number</w:t>
            </w:r>
          </w:p>
        </w:tc>
        <w:tc>
          <w:tcPr>
            <w:tcW w:w="907" w:type="dxa"/>
            <w:tcBorders>
              <w:bottom w:val="single" w:sz="6" w:space="0" w:color="auto"/>
            </w:tcBorders>
            <w:shd w:val="clear" w:color="auto" w:fill="D9D9D9"/>
            <w:noWrap/>
          </w:tcPr>
          <w:p w:rsidR="00B958B1" w:rsidRPr="00331B21" w:rsidRDefault="00B958B1" w:rsidP="009F3B54">
            <w:pPr>
              <w:pStyle w:val="OGTableofFigures"/>
              <w:rPr>
                <w:rFonts w:cs="Calibri"/>
                <w:szCs w:val="20"/>
              </w:rPr>
            </w:pPr>
            <w:r w:rsidRPr="00331B21">
              <w:rPr>
                <w:rFonts w:cs="Calibri"/>
                <w:szCs w:val="20"/>
              </w:rPr>
              <w:t>140</w:t>
            </w:r>
          </w:p>
        </w:tc>
        <w:tc>
          <w:tcPr>
            <w:tcW w:w="993" w:type="dxa"/>
            <w:tcBorders>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140</w:t>
            </w:r>
          </w:p>
        </w:tc>
        <w:tc>
          <w:tcPr>
            <w:tcW w:w="907" w:type="dxa"/>
            <w:tcBorders>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140</w:t>
            </w:r>
          </w:p>
        </w:tc>
        <w:tc>
          <w:tcPr>
            <w:tcW w:w="907" w:type="dxa"/>
            <w:tcBorders>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158</w:t>
            </w:r>
          </w:p>
        </w:tc>
      </w:tr>
      <w:tr w:rsidR="00B958B1" w:rsidRPr="00331B21" w:rsidTr="009F3B54">
        <w:trPr>
          <w:cantSplit/>
        </w:trPr>
        <w:tc>
          <w:tcPr>
            <w:tcW w:w="3155" w:type="dxa"/>
            <w:tcBorders>
              <w:top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Energy for the Regions: Number of towns included</w:t>
            </w:r>
          </w:p>
        </w:tc>
        <w:tc>
          <w:tcPr>
            <w:tcW w:w="907" w:type="dxa"/>
            <w:tcBorders>
              <w:top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number</w:t>
            </w:r>
          </w:p>
        </w:tc>
        <w:tc>
          <w:tcPr>
            <w:tcW w:w="907" w:type="dxa"/>
            <w:tcBorders>
              <w:top w:val="single" w:sz="6" w:space="0" w:color="auto"/>
            </w:tcBorders>
            <w:shd w:val="clear" w:color="auto" w:fill="D9D9D9"/>
            <w:noWrap/>
          </w:tcPr>
          <w:p w:rsidR="00B958B1" w:rsidRPr="00331B21" w:rsidRDefault="00B958B1" w:rsidP="009F3B54">
            <w:pPr>
              <w:pStyle w:val="OGTableofFigures"/>
              <w:rPr>
                <w:rFonts w:cs="Calibri"/>
                <w:szCs w:val="20"/>
              </w:rPr>
            </w:pPr>
            <w:r w:rsidRPr="00331B21">
              <w:rPr>
                <w:rFonts w:cs="Calibri"/>
                <w:szCs w:val="20"/>
              </w:rPr>
              <w:t xml:space="preserve">8 </w:t>
            </w:r>
          </w:p>
        </w:tc>
        <w:tc>
          <w:tcPr>
            <w:tcW w:w="993"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4</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4</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 xml:space="preserve">2 </w:t>
            </w:r>
          </w:p>
        </w:tc>
      </w:tr>
      <w:tr w:rsidR="00B958B1" w:rsidRPr="00331B21" w:rsidTr="009F3B54">
        <w:trPr>
          <w:cantSplit/>
        </w:trPr>
        <w:tc>
          <w:tcPr>
            <w:tcW w:w="7776" w:type="dxa"/>
            <w:gridSpan w:val="6"/>
            <w:tcBorders>
              <w:bottom w:val="single" w:sz="6" w:space="0" w:color="auto"/>
            </w:tcBorders>
            <w:shd w:val="clear" w:color="auto" w:fill="auto"/>
          </w:tcPr>
          <w:p w:rsidR="00B958B1" w:rsidRPr="00331B21" w:rsidRDefault="00B958B1" w:rsidP="009F3B54">
            <w:pPr>
              <w:pStyle w:val="OGNotes"/>
            </w:pPr>
            <w:r w:rsidRPr="00331B21">
              <w:t>The 2013</w:t>
            </w:r>
            <w:r w:rsidR="009F0F49">
              <w:noBreakHyphen/>
            </w:r>
            <w:r w:rsidRPr="00331B21">
              <w:t>14 Targ</w:t>
            </w:r>
            <w:r>
              <w:t>et is greater than the 2012</w:t>
            </w:r>
            <w:r w:rsidR="009F0F49">
              <w:noBreakHyphen/>
            </w:r>
            <w:r>
              <w:t>13 T</w:t>
            </w:r>
            <w:r w:rsidRPr="00331B21">
              <w:t xml:space="preserve">arget </w:t>
            </w:r>
            <w:r>
              <w:t>as an additional eight towns are expected to be included in 2013–14 to complete the program of 14 towns.</w:t>
            </w:r>
          </w:p>
        </w:tc>
      </w:tr>
      <w:tr w:rsidR="00B958B1" w:rsidRPr="00331B21" w:rsidTr="009F3B54">
        <w:trPr>
          <w:cantSplit/>
        </w:trPr>
        <w:tc>
          <w:tcPr>
            <w:tcW w:w="3155" w:type="dxa"/>
            <w:tcBorders>
              <w:top w:val="single" w:sz="6" w:space="0" w:color="auto"/>
            </w:tcBorders>
            <w:shd w:val="clear" w:color="auto" w:fill="auto"/>
          </w:tcPr>
          <w:p w:rsidR="00B958B1" w:rsidRPr="00331B21" w:rsidRDefault="00B958B1" w:rsidP="009F3B54">
            <w:pPr>
              <w:pStyle w:val="OGTabText"/>
              <w:rPr>
                <w:lang w:eastAsia="en-AU"/>
              </w:rPr>
            </w:pPr>
            <w:r w:rsidRPr="00331B21">
              <w:rPr>
                <w:color w:val="000000"/>
                <w:szCs w:val="20"/>
                <w:lang w:eastAsia="en-AU"/>
              </w:rPr>
              <w:t>Regional infrastructure projects approved by Minister</w:t>
            </w:r>
          </w:p>
        </w:tc>
        <w:tc>
          <w:tcPr>
            <w:tcW w:w="907" w:type="dxa"/>
            <w:tcBorders>
              <w:top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number</w:t>
            </w:r>
          </w:p>
        </w:tc>
        <w:tc>
          <w:tcPr>
            <w:tcW w:w="907" w:type="dxa"/>
            <w:tcBorders>
              <w:top w:val="single" w:sz="6" w:space="0" w:color="auto"/>
            </w:tcBorders>
            <w:shd w:val="clear" w:color="auto" w:fill="D9D9D9"/>
            <w:noWrap/>
          </w:tcPr>
          <w:p w:rsidR="00B958B1" w:rsidRPr="00331B21" w:rsidRDefault="00B958B1" w:rsidP="009F3B54">
            <w:pPr>
              <w:pStyle w:val="OGTableofFigures"/>
              <w:rPr>
                <w:rFonts w:cs="Calibri"/>
                <w:szCs w:val="20"/>
              </w:rPr>
            </w:pPr>
            <w:r w:rsidRPr="00331B21">
              <w:rPr>
                <w:rFonts w:cs="Calibri"/>
                <w:szCs w:val="20"/>
              </w:rPr>
              <w:t>100</w:t>
            </w:r>
          </w:p>
        </w:tc>
        <w:tc>
          <w:tcPr>
            <w:tcW w:w="993"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100</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100</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 xml:space="preserve">101 </w:t>
            </w:r>
          </w:p>
        </w:tc>
      </w:tr>
      <w:tr w:rsidR="00B958B1" w:rsidRPr="00331B21" w:rsidTr="009F3B54">
        <w:trPr>
          <w:cantSplit/>
        </w:trPr>
        <w:tc>
          <w:tcPr>
            <w:tcW w:w="7776" w:type="dxa"/>
            <w:gridSpan w:val="6"/>
            <w:tcBorders>
              <w:bottom w:val="single" w:sz="6" w:space="0" w:color="auto"/>
            </w:tcBorders>
            <w:shd w:val="clear" w:color="auto" w:fill="auto"/>
          </w:tcPr>
          <w:p w:rsidR="00B958B1" w:rsidRPr="00331B21" w:rsidRDefault="00B958B1" w:rsidP="009F3B54">
            <w:pPr>
              <w:pStyle w:val="OGNotes"/>
            </w:pPr>
            <w:r w:rsidRPr="00331B21">
              <w:t>This performance measure renames the 2012</w:t>
            </w:r>
            <w:r>
              <w:t>–</w:t>
            </w:r>
            <w:r w:rsidRPr="00331B21">
              <w:t>13 performance measure ‘Regional Infrastructure projects funded’. The 2013</w:t>
            </w:r>
            <w:r>
              <w:t>–</w:t>
            </w:r>
            <w:r w:rsidRPr="00331B21">
              <w:t>14 performance measure is the same as the 2012</w:t>
            </w:r>
            <w:r>
              <w:t>–</w:t>
            </w:r>
            <w:r w:rsidRPr="00331B21">
              <w:t>13 measure and measures the same act</w:t>
            </w:r>
            <w:r>
              <w:t>ivity as the previous measure.</w:t>
            </w:r>
          </w:p>
        </w:tc>
      </w:tr>
      <w:tr w:rsidR="00B958B1" w:rsidRPr="00331B21" w:rsidTr="009F3B54">
        <w:trPr>
          <w:cantSplit/>
        </w:trPr>
        <w:tc>
          <w:tcPr>
            <w:tcW w:w="3155" w:type="dxa"/>
            <w:tcBorders>
              <w:top w:val="single" w:sz="6" w:space="0" w:color="auto"/>
              <w:bottom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Rural councils participating in Rural Councils Victoria (RCV) network</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per cent</w:t>
            </w:r>
          </w:p>
        </w:tc>
        <w:tc>
          <w:tcPr>
            <w:tcW w:w="907" w:type="dxa"/>
            <w:tcBorders>
              <w:top w:val="single" w:sz="6" w:space="0" w:color="auto"/>
              <w:bottom w:val="single" w:sz="6" w:space="0" w:color="auto"/>
            </w:tcBorders>
            <w:shd w:val="clear" w:color="auto" w:fill="D9D9D9"/>
            <w:noWrap/>
          </w:tcPr>
          <w:p w:rsidR="00B958B1" w:rsidRPr="00331B21" w:rsidRDefault="00B958B1" w:rsidP="009F3B54">
            <w:pPr>
              <w:pStyle w:val="OGTableofFigures"/>
              <w:rPr>
                <w:rFonts w:cs="Calibri"/>
                <w:szCs w:val="20"/>
              </w:rPr>
            </w:pPr>
            <w:r w:rsidRPr="00331B21">
              <w:rPr>
                <w:rFonts w:cs="Calibri"/>
                <w:szCs w:val="20"/>
              </w:rPr>
              <w:t>100</w:t>
            </w:r>
          </w:p>
        </w:tc>
        <w:tc>
          <w:tcPr>
            <w:tcW w:w="993"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100</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100</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100</w:t>
            </w:r>
          </w:p>
        </w:tc>
      </w:tr>
      <w:tr w:rsidR="00B958B1" w:rsidRPr="00331B21" w:rsidTr="009F3B54">
        <w:trPr>
          <w:cantSplit/>
        </w:trPr>
        <w:tc>
          <w:tcPr>
            <w:tcW w:w="3155" w:type="dxa"/>
            <w:tcBorders>
              <w:top w:val="single" w:sz="6" w:space="0" w:color="auto"/>
            </w:tcBorders>
            <w:shd w:val="clear" w:color="auto" w:fill="auto"/>
          </w:tcPr>
          <w:p w:rsidR="00B958B1" w:rsidRPr="00331B21" w:rsidRDefault="00B958B1" w:rsidP="009F3B54">
            <w:pPr>
              <w:pStyle w:val="OGTabHead"/>
              <w:rPr>
                <w:lang w:eastAsia="en-AU"/>
              </w:rPr>
            </w:pPr>
            <w:r w:rsidRPr="00331B21">
              <w:rPr>
                <w:lang w:eastAsia="en-AU"/>
              </w:rPr>
              <w:t>Quality</w:t>
            </w:r>
          </w:p>
        </w:tc>
        <w:tc>
          <w:tcPr>
            <w:tcW w:w="907" w:type="dxa"/>
            <w:tcBorders>
              <w:top w:val="single" w:sz="6" w:space="0" w:color="auto"/>
            </w:tcBorders>
            <w:shd w:val="clear" w:color="auto" w:fill="auto"/>
          </w:tcPr>
          <w:p w:rsidR="00B958B1" w:rsidRPr="00331B21" w:rsidRDefault="00B958B1" w:rsidP="009F3B54">
            <w:pPr>
              <w:pStyle w:val="OGTabHead"/>
              <w:rPr>
                <w:lang w:eastAsia="en-AU"/>
              </w:rPr>
            </w:pPr>
          </w:p>
        </w:tc>
        <w:tc>
          <w:tcPr>
            <w:tcW w:w="907" w:type="dxa"/>
            <w:tcBorders>
              <w:top w:val="single" w:sz="6" w:space="0" w:color="auto"/>
            </w:tcBorders>
            <w:shd w:val="clear" w:color="auto" w:fill="D9D9D9"/>
          </w:tcPr>
          <w:p w:rsidR="00B958B1" w:rsidRPr="00331B21" w:rsidRDefault="00B958B1" w:rsidP="009F3B54">
            <w:pPr>
              <w:pStyle w:val="OGTabHead"/>
              <w:rPr>
                <w:lang w:eastAsia="en-AU"/>
              </w:rPr>
            </w:pPr>
          </w:p>
        </w:tc>
        <w:tc>
          <w:tcPr>
            <w:tcW w:w="993" w:type="dxa"/>
            <w:tcBorders>
              <w:top w:val="single" w:sz="6" w:space="0" w:color="auto"/>
            </w:tcBorders>
            <w:shd w:val="clear" w:color="auto" w:fill="auto"/>
          </w:tcPr>
          <w:p w:rsidR="00B958B1" w:rsidRPr="00331B21" w:rsidRDefault="00B958B1" w:rsidP="009F3B54">
            <w:pPr>
              <w:pStyle w:val="OGTabHead"/>
              <w:rPr>
                <w:lang w:eastAsia="en-AU"/>
              </w:rPr>
            </w:pPr>
          </w:p>
        </w:tc>
        <w:tc>
          <w:tcPr>
            <w:tcW w:w="907" w:type="dxa"/>
            <w:tcBorders>
              <w:top w:val="single" w:sz="6" w:space="0" w:color="auto"/>
            </w:tcBorders>
            <w:shd w:val="clear" w:color="auto" w:fill="auto"/>
          </w:tcPr>
          <w:p w:rsidR="00B958B1" w:rsidRPr="00331B21" w:rsidRDefault="00B958B1" w:rsidP="009F3B54">
            <w:pPr>
              <w:pStyle w:val="OGTabHead"/>
              <w:rPr>
                <w:lang w:eastAsia="en-AU"/>
              </w:rPr>
            </w:pPr>
          </w:p>
        </w:tc>
        <w:tc>
          <w:tcPr>
            <w:tcW w:w="907" w:type="dxa"/>
            <w:tcBorders>
              <w:top w:val="single" w:sz="6" w:space="0" w:color="auto"/>
            </w:tcBorders>
            <w:shd w:val="clear" w:color="auto" w:fill="auto"/>
          </w:tcPr>
          <w:p w:rsidR="00B958B1" w:rsidRPr="00331B21" w:rsidRDefault="00B958B1" w:rsidP="009F3B54">
            <w:pPr>
              <w:pStyle w:val="OGTabHead"/>
              <w:rPr>
                <w:lang w:eastAsia="en-AU"/>
              </w:rPr>
            </w:pPr>
          </w:p>
        </w:tc>
      </w:tr>
      <w:tr w:rsidR="00B958B1" w:rsidRPr="00331B21" w:rsidTr="009F3B54">
        <w:trPr>
          <w:cantSplit/>
        </w:trPr>
        <w:tc>
          <w:tcPr>
            <w:tcW w:w="3155" w:type="dxa"/>
            <w:tcBorders>
              <w:bottom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Participant satisfaction with implementation of Regional Development Victoria (RDV) programs</w:t>
            </w:r>
          </w:p>
        </w:tc>
        <w:tc>
          <w:tcPr>
            <w:tcW w:w="907" w:type="dxa"/>
            <w:tcBorders>
              <w:bottom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per cent</w:t>
            </w:r>
          </w:p>
        </w:tc>
        <w:tc>
          <w:tcPr>
            <w:tcW w:w="907" w:type="dxa"/>
            <w:tcBorders>
              <w:bottom w:val="single" w:sz="6" w:space="0" w:color="auto"/>
            </w:tcBorders>
            <w:shd w:val="clear" w:color="auto" w:fill="D9D9D9"/>
            <w:noWrap/>
          </w:tcPr>
          <w:p w:rsidR="00B958B1" w:rsidRPr="00331B21" w:rsidRDefault="00B958B1" w:rsidP="009F3B54">
            <w:pPr>
              <w:pStyle w:val="OGTableofFigures"/>
              <w:rPr>
                <w:rFonts w:cs="Calibri"/>
                <w:szCs w:val="20"/>
              </w:rPr>
            </w:pPr>
            <w:r w:rsidRPr="00331B21">
              <w:rPr>
                <w:rFonts w:cs="Calibri"/>
                <w:szCs w:val="20"/>
              </w:rPr>
              <w:t>80</w:t>
            </w:r>
          </w:p>
        </w:tc>
        <w:tc>
          <w:tcPr>
            <w:tcW w:w="993" w:type="dxa"/>
            <w:tcBorders>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80</w:t>
            </w:r>
          </w:p>
        </w:tc>
        <w:tc>
          <w:tcPr>
            <w:tcW w:w="907" w:type="dxa"/>
            <w:tcBorders>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80</w:t>
            </w:r>
          </w:p>
        </w:tc>
        <w:tc>
          <w:tcPr>
            <w:tcW w:w="907" w:type="dxa"/>
            <w:tcBorders>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 xml:space="preserve">86 </w:t>
            </w:r>
          </w:p>
        </w:tc>
      </w:tr>
      <w:tr w:rsidR="00B958B1" w:rsidRPr="00331B21" w:rsidTr="009F3B54">
        <w:trPr>
          <w:cantSplit/>
        </w:trPr>
        <w:tc>
          <w:tcPr>
            <w:tcW w:w="3155" w:type="dxa"/>
            <w:tcBorders>
              <w:top w:val="single" w:sz="6" w:space="0" w:color="auto"/>
            </w:tcBorders>
            <w:shd w:val="clear" w:color="auto" w:fill="auto"/>
          </w:tcPr>
          <w:p w:rsidR="00B958B1" w:rsidRPr="00331B21" w:rsidRDefault="00B958B1" w:rsidP="009F3B54">
            <w:pPr>
              <w:pStyle w:val="OGTabText"/>
              <w:rPr>
                <w:lang w:eastAsia="en-AU"/>
              </w:rPr>
            </w:pPr>
            <w:r w:rsidRPr="00331B21">
              <w:rPr>
                <w:lang w:eastAsia="en-AU"/>
              </w:rPr>
              <w:t>Putting Locals First Fund projects recommended by Regional Development Committees approved for funding</w:t>
            </w:r>
          </w:p>
        </w:tc>
        <w:tc>
          <w:tcPr>
            <w:tcW w:w="907" w:type="dxa"/>
            <w:tcBorders>
              <w:top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per cent</w:t>
            </w:r>
          </w:p>
        </w:tc>
        <w:tc>
          <w:tcPr>
            <w:tcW w:w="907" w:type="dxa"/>
            <w:tcBorders>
              <w:top w:val="single" w:sz="6" w:space="0" w:color="auto"/>
            </w:tcBorders>
            <w:shd w:val="clear" w:color="auto" w:fill="D9D9D9"/>
            <w:noWrap/>
          </w:tcPr>
          <w:p w:rsidR="00B958B1" w:rsidRPr="00331B21" w:rsidRDefault="00B958B1" w:rsidP="009F3B54">
            <w:pPr>
              <w:pStyle w:val="OGTableofFigures"/>
              <w:rPr>
                <w:rFonts w:cs="Calibri"/>
                <w:szCs w:val="20"/>
              </w:rPr>
            </w:pPr>
            <w:r w:rsidRPr="00331B21">
              <w:rPr>
                <w:rFonts w:cs="Calibri"/>
                <w:szCs w:val="20"/>
              </w:rPr>
              <w:t>85</w:t>
            </w:r>
          </w:p>
        </w:tc>
        <w:tc>
          <w:tcPr>
            <w:tcW w:w="993"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95</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85</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 xml:space="preserve">100 </w:t>
            </w:r>
          </w:p>
        </w:tc>
      </w:tr>
      <w:tr w:rsidR="00B958B1" w:rsidRPr="00331B21" w:rsidTr="009F3B54">
        <w:trPr>
          <w:cantSplit/>
        </w:trPr>
        <w:tc>
          <w:tcPr>
            <w:tcW w:w="7776" w:type="dxa"/>
            <w:gridSpan w:val="6"/>
            <w:tcBorders>
              <w:bottom w:val="single" w:sz="6" w:space="0" w:color="auto"/>
            </w:tcBorders>
            <w:shd w:val="clear" w:color="auto" w:fill="auto"/>
          </w:tcPr>
          <w:p w:rsidR="00B958B1" w:rsidRPr="00331B21" w:rsidRDefault="00B958B1" w:rsidP="009F3B54">
            <w:pPr>
              <w:pStyle w:val="OGNotes"/>
            </w:pPr>
            <w:r w:rsidRPr="00331B21">
              <w:t>The 2012</w:t>
            </w:r>
            <w:r w:rsidR="009F0F49">
              <w:noBreakHyphen/>
            </w:r>
            <w:r w:rsidRPr="00331B21">
              <w:t>13 Expected Outcome is higher than the 2012</w:t>
            </w:r>
            <w:r w:rsidR="009F0F49">
              <w:noBreakHyphen/>
            </w:r>
            <w:r w:rsidRPr="00331B21">
              <w:t>13 Target due to the high</w:t>
            </w:r>
            <w:r w:rsidR="009F0F49">
              <w:noBreakHyphen/>
            </w:r>
            <w:r w:rsidRPr="00331B21">
              <w:t>quality of projects.</w:t>
            </w:r>
          </w:p>
        </w:tc>
      </w:tr>
      <w:tr w:rsidR="00B958B1" w:rsidRPr="00331B21" w:rsidTr="009F3B54">
        <w:trPr>
          <w:cantSplit/>
        </w:trPr>
        <w:tc>
          <w:tcPr>
            <w:tcW w:w="3155" w:type="dxa"/>
            <w:tcBorders>
              <w:top w:val="single" w:sz="6" w:space="0" w:color="auto"/>
            </w:tcBorders>
            <w:shd w:val="clear" w:color="auto" w:fill="auto"/>
          </w:tcPr>
          <w:p w:rsidR="00B958B1" w:rsidRPr="00331B21" w:rsidRDefault="00B958B1" w:rsidP="009F3B54">
            <w:pPr>
              <w:pStyle w:val="OGTabText"/>
              <w:rPr>
                <w:lang w:eastAsia="en-AU"/>
              </w:rPr>
            </w:pPr>
            <w:r w:rsidRPr="00331B21">
              <w:rPr>
                <w:lang w:eastAsia="en-AU"/>
              </w:rPr>
              <w:t>Regional councils participating at the regional expo</w:t>
            </w:r>
          </w:p>
        </w:tc>
        <w:tc>
          <w:tcPr>
            <w:tcW w:w="907" w:type="dxa"/>
            <w:tcBorders>
              <w:top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per cent</w:t>
            </w:r>
          </w:p>
        </w:tc>
        <w:tc>
          <w:tcPr>
            <w:tcW w:w="907" w:type="dxa"/>
            <w:tcBorders>
              <w:top w:val="single" w:sz="6" w:space="0" w:color="auto"/>
            </w:tcBorders>
            <w:shd w:val="clear" w:color="auto" w:fill="D9D9D9"/>
            <w:noWrap/>
          </w:tcPr>
          <w:p w:rsidR="00B958B1" w:rsidRPr="00331B21" w:rsidRDefault="00B958B1" w:rsidP="009F3B54">
            <w:pPr>
              <w:pStyle w:val="OGTableofFigures"/>
              <w:rPr>
                <w:rFonts w:cs="Calibri"/>
                <w:szCs w:val="20"/>
              </w:rPr>
            </w:pPr>
            <w:r w:rsidRPr="00331B21">
              <w:rPr>
                <w:rFonts w:cs="Calibri"/>
                <w:szCs w:val="20"/>
              </w:rPr>
              <w:t>80</w:t>
            </w:r>
          </w:p>
        </w:tc>
        <w:tc>
          <w:tcPr>
            <w:tcW w:w="993"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100</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80</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 xml:space="preserve">100 </w:t>
            </w:r>
          </w:p>
        </w:tc>
      </w:tr>
      <w:tr w:rsidR="00B958B1" w:rsidRPr="00331B21" w:rsidTr="009F3B54">
        <w:trPr>
          <w:cantSplit/>
        </w:trPr>
        <w:tc>
          <w:tcPr>
            <w:tcW w:w="7776" w:type="dxa"/>
            <w:gridSpan w:val="6"/>
            <w:tcBorders>
              <w:bottom w:val="single" w:sz="6" w:space="0" w:color="auto"/>
            </w:tcBorders>
            <w:shd w:val="clear" w:color="auto" w:fill="auto"/>
          </w:tcPr>
          <w:p w:rsidR="00B958B1" w:rsidRPr="00331B21" w:rsidRDefault="00B958B1" w:rsidP="009F3B54">
            <w:pPr>
              <w:pStyle w:val="OGNotes"/>
            </w:pPr>
            <w:r w:rsidRPr="00331B21">
              <w:t>The 2012</w:t>
            </w:r>
            <w:r w:rsidR="009F0F49">
              <w:noBreakHyphen/>
            </w:r>
            <w:r w:rsidRPr="00331B21">
              <w:t>13 Expected Outcome is higher than the 2012</w:t>
            </w:r>
            <w:r w:rsidR="009F0F49">
              <w:noBreakHyphen/>
            </w:r>
            <w:r w:rsidRPr="00331B21">
              <w:t>13 Target due to the success of the inaugural Expo in 2012.</w:t>
            </w:r>
          </w:p>
        </w:tc>
      </w:tr>
      <w:tr w:rsidR="00B958B1" w:rsidRPr="00331B21" w:rsidTr="009F3B54">
        <w:trPr>
          <w:cantSplit/>
        </w:trPr>
        <w:tc>
          <w:tcPr>
            <w:tcW w:w="3155" w:type="dxa"/>
            <w:tcBorders>
              <w:top w:val="single" w:sz="6" w:space="0" w:color="auto"/>
              <w:bottom w:val="single" w:sz="6" w:space="0" w:color="auto"/>
            </w:tcBorders>
            <w:shd w:val="clear" w:color="auto" w:fill="auto"/>
          </w:tcPr>
          <w:p w:rsidR="00B958B1" w:rsidRPr="00331B21" w:rsidRDefault="00B958B1" w:rsidP="009F3B54">
            <w:pPr>
              <w:pStyle w:val="OGTabText"/>
            </w:pPr>
            <w:r w:rsidRPr="00331B21">
              <w:t>Coordination and implementation of actions within agreed performance targets: Transport Connections Initiative</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UoM"/>
            </w:pPr>
            <w:r w:rsidRPr="00331B21">
              <w:t>per cent</w:t>
            </w:r>
          </w:p>
        </w:tc>
        <w:tc>
          <w:tcPr>
            <w:tcW w:w="907" w:type="dxa"/>
            <w:tcBorders>
              <w:top w:val="single" w:sz="6" w:space="0" w:color="auto"/>
              <w:bottom w:val="single" w:sz="6" w:space="0" w:color="auto"/>
            </w:tcBorders>
            <w:shd w:val="clear" w:color="auto" w:fill="D9D9D9" w:themeFill="background1" w:themeFillShade="D9"/>
            <w:noWrap/>
          </w:tcPr>
          <w:p w:rsidR="00B958B1" w:rsidRPr="00331B21" w:rsidRDefault="00B958B1" w:rsidP="009F3B54">
            <w:pPr>
              <w:pStyle w:val="OGTableofFigures"/>
            </w:pPr>
            <w:r w:rsidRPr="00331B21">
              <w:t>100</w:t>
            </w:r>
          </w:p>
        </w:tc>
        <w:tc>
          <w:tcPr>
            <w:tcW w:w="993" w:type="dxa"/>
            <w:tcBorders>
              <w:top w:val="single" w:sz="6" w:space="0" w:color="auto"/>
              <w:bottom w:val="single" w:sz="6" w:space="0" w:color="auto"/>
            </w:tcBorders>
            <w:shd w:val="clear" w:color="auto" w:fill="auto"/>
            <w:noWrap/>
          </w:tcPr>
          <w:p w:rsidR="00B958B1" w:rsidRPr="00331B21" w:rsidRDefault="00B958B1" w:rsidP="009F3B54">
            <w:pPr>
              <w:pStyle w:val="OGTableofFigures"/>
            </w:pPr>
            <w:r w:rsidRPr="00331B21">
              <w:t>100</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pPr>
            <w:r w:rsidRPr="00331B21">
              <w:t>100</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pPr>
            <w:r w:rsidRPr="00331B21">
              <w:t>100</w:t>
            </w:r>
          </w:p>
        </w:tc>
      </w:tr>
      <w:tr w:rsidR="00B958B1" w:rsidRPr="00331B21" w:rsidTr="009F3B54">
        <w:trPr>
          <w:cantSplit/>
        </w:trPr>
        <w:tc>
          <w:tcPr>
            <w:tcW w:w="3155" w:type="dxa"/>
            <w:tcBorders>
              <w:top w:val="single" w:sz="6" w:space="0" w:color="auto"/>
            </w:tcBorders>
            <w:shd w:val="clear" w:color="auto" w:fill="auto"/>
          </w:tcPr>
          <w:p w:rsidR="00B958B1" w:rsidRPr="00331B21" w:rsidRDefault="00B958B1" w:rsidP="009F3B54">
            <w:pPr>
              <w:pStyle w:val="OGTabHead"/>
              <w:rPr>
                <w:lang w:eastAsia="en-AU"/>
              </w:rPr>
            </w:pPr>
            <w:r w:rsidRPr="00331B21">
              <w:rPr>
                <w:lang w:eastAsia="en-AU"/>
              </w:rPr>
              <w:t>Timeliness</w:t>
            </w:r>
          </w:p>
        </w:tc>
        <w:tc>
          <w:tcPr>
            <w:tcW w:w="907" w:type="dxa"/>
            <w:tcBorders>
              <w:top w:val="single" w:sz="6" w:space="0" w:color="auto"/>
            </w:tcBorders>
            <w:shd w:val="clear" w:color="auto" w:fill="auto"/>
          </w:tcPr>
          <w:p w:rsidR="00B958B1" w:rsidRPr="00331B21" w:rsidRDefault="00B958B1" w:rsidP="009F3B54">
            <w:pPr>
              <w:pStyle w:val="OGTabHead"/>
              <w:rPr>
                <w:lang w:eastAsia="en-AU"/>
              </w:rPr>
            </w:pPr>
          </w:p>
        </w:tc>
        <w:tc>
          <w:tcPr>
            <w:tcW w:w="907" w:type="dxa"/>
            <w:tcBorders>
              <w:top w:val="single" w:sz="6" w:space="0" w:color="auto"/>
            </w:tcBorders>
            <w:shd w:val="clear" w:color="auto" w:fill="D9D9D9" w:themeFill="background1" w:themeFillShade="D9"/>
          </w:tcPr>
          <w:p w:rsidR="00B958B1" w:rsidRPr="00331B21" w:rsidRDefault="00B958B1" w:rsidP="009F3B54">
            <w:pPr>
              <w:pStyle w:val="OGTabHead"/>
              <w:rPr>
                <w:lang w:eastAsia="en-AU"/>
              </w:rPr>
            </w:pPr>
          </w:p>
        </w:tc>
        <w:tc>
          <w:tcPr>
            <w:tcW w:w="993" w:type="dxa"/>
            <w:tcBorders>
              <w:top w:val="single" w:sz="6" w:space="0" w:color="auto"/>
            </w:tcBorders>
            <w:shd w:val="clear" w:color="auto" w:fill="auto"/>
          </w:tcPr>
          <w:p w:rsidR="00B958B1" w:rsidRPr="00331B21" w:rsidRDefault="00B958B1" w:rsidP="009F3B54">
            <w:pPr>
              <w:pStyle w:val="OGTabHead"/>
              <w:rPr>
                <w:lang w:eastAsia="en-AU"/>
              </w:rPr>
            </w:pPr>
          </w:p>
        </w:tc>
        <w:tc>
          <w:tcPr>
            <w:tcW w:w="907" w:type="dxa"/>
            <w:tcBorders>
              <w:top w:val="single" w:sz="6" w:space="0" w:color="auto"/>
            </w:tcBorders>
            <w:shd w:val="clear" w:color="auto" w:fill="auto"/>
          </w:tcPr>
          <w:p w:rsidR="00B958B1" w:rsidRPr="00331B21" w:rsidRDefault="00B958B1" w:rsidP="009F3B54">
            <w:pPr>
              <w:pStyle w:val="OGTabHead"/>
              <w:rPr>
                <w:lang w:eastAsia="en-AU"/>
              </w:rPr>
            </w:pPr>
          </w:p>
        </w:tc>
        <w:tc>
          <w:tcPr>
            <w:tcW w:w="907" w:type="dxa"/>
            <w:tcBorders>
              <w:top w:val="single" w:sz="6" w:space="0" w:color="auto"/>
            </w:tcBorders>
            <w:shd w:val="clear" w:color="auto" w:fill="auto"/>
          </w:tcPr>
          <w:p w:rsidR="00B958B1" w:rsidRPr="00331B21" w:rsidRDefault="00B958B1" w:rsidP="009F3B54">
            <w:pPr>
              <w:pStyle w:val="OGTabHead"/>
              <w:rPr>
                <w:lang w:eastAsia="en-AU"/>
              </w:rPr>
            </w:pPr>
          </w:p>
        </w:tc>
      </w:tr>
      <w:tr w:rsidR="00B958B1" w:rsidRPr="00331B21" w:rsidTr="009F3B54">
        <w:trPr>
          <w:cantSplit/>
        </w:trPr>
        <w:tc>
          <w:tcPr>
            <w:tcW w:w="3155" w:type="dxa"/>
            <w:shd w:val="clear" w:color="auto" w:fill="auto"/>
          </w:tcPr>
          <w:p w:rsidR="00B958B1" w:rsidRPr="00331B21" w:rsidRDefault="00B958B1" w:rsidP="009F3B54">
            <w:pPr>
              <w:pStyle w:val="OGTabText"/>
              <w:rPr>
                <w:lang w:eastAsia="en-AU"/>
              </w:rPr>
            </w:pPr>
            <w:r w:rsidRPr="00331B21">
              <w:rPr>
                <w:lang w:eastAsia="en-AU"/>
              </w:rPr>
              <w:t>Grants paid within the timeframe specified within the terms and conditions of the funding agreement: Local Government Infrastructure Program</w:t>
            </w:r>
          </w:p>
        </w:tc>
        <w:tc>
          <w:tcPr>
            <w:tcW w:w="907" w:type="dxa"/>
            <w:shd w:val="clear" w:color="auto" w:fill="auto"/>
            <w:noWrap/>
          </w:tcPr>
          <w:p w:rsidR="00B958B1" w:rsidRPr="00331B21" w:rsidRDefault="00B958B1" w:rsidP="009F3B54">
            <w:pPr>
              <w:pStyle w:val="OGUoM"/>
              <w:rPr>
                <w:rFonts w:cs="Calibri"/>
                <w:szCs w:val="20"/>
              </w:rPr>
            </w:pPr>
            <w:r w:rsidRPr="00331B21">
              <w:rPr>
                <w:rFonts w:cs="Calibri"/>
                <w:szCs w:val="20"/>
              </w:rPr>
              <w:t>per cent</w:t>
            </w:r>
          </w:p>
        </w:tc>
        <w:tc>
          <w:tcPr>
            <w:tcW w:w="907" w:type="dxa"/>
            <w:shd w:val="clear" w:color="auto" w:fill="D9D9D9"/>
            <w:noWrap/>
          </w:tcPr>
          <w:p w:rsidR="00B958B1" w:rsidRPr="00331B21" w:rsidRDefault="00B958B1" w:rsidP="009F3B54">
            <w:pPr>
              <w:pStyle w:val="OGTableofFigures"/>
              <w:rPr>
                <w:rFonts w:cs="Calibri"/>
                <w:szCs w:val="20"/>
              </w:rPr>
            </w:pPr>
            <w:r w:rsidRPr="00331B21">
              <w:rPr>
                <w:rFonts w:cs="Calibri"/>
                <w:szCs w:val="20"/>
              </w:rPr>
              <w:t>75</w:t>
            </w:r>
          </w:p>
        </w:tc>
        <w:tc>
          <w:tcPr>
            <w:tcW w:w="993" w:type="dxa"/>
            <w:shd w:val="clear" w:color="auto" w:fill="auto"/>
            <w:noWrap/>
          </w:tcPr>
          <w:p w:rsidR="00B958B1" w:rsidRPr="00331B21" w:rsidRDefault="00B958B1" w:rsidP="009F3B54">
            <w:pPr>
              <w:pStyle w:val="OGTableofFigures"/>
              <w:rPr>
                <w:rFonts w:cs="Calibri"/>
                <w:szCs w:val="20"/>
              </w:rPr>
            </w:pPr>
            <w:r w:rsidRPr="00331B21">
              <w:rPr>
                <w:rFonts w:cs="Calibri"/>
                <w:szCs w:val="20"/>
              </w:rPr>
              <w:t>75</w:t>
            </w:r>
          </w:p>
        </w:tc>
        <w:tc>
          <w:tcPr>
            <w:tcW w:w="907" w:type="dxa"/>
            <w:shd w:val="clear" w:color="auto" w:fill="auto"/>
            <w:noWrap/>
          </w:tcPr>
          <w:p w:rsidR="00B958B1" w:rsidRPr="00331B21" w:rsidRDefault="00B958B1" w:rsidP="009F3B54">
            <w:pPr>
              <w:pStyle w:val="OGTableofFigures"/>
              <w:rPr>
                <w:rFonts w:cs="Calibri"/>
                <w:szCs w:val="20"/>
              </w:rPr>
            </w:pPr>
            <w:r w:rsidRPr="00331B21">
              <w:rPr>
                <w:rFonts w:cs="Calibri"/>
                <w:szCs w:val="20"/>
              </w:rPr>
              <w:t>75</w:t>
            </w:r>
          </w:p>
        </w:tc>
        <w:tc>
          <w:tcPr>
            <w:tcW w:w="907" w:type="dxa"/>
            <w:shd w:val="clear" w:color="auto" w:fill="auto"/>
            <w:noWrap/>
          </w:tcPr>
          <w:p w:rsidR="00B958B1" w:rsidRPr="00331B21" w:rsidRDefault="00B958B1" w:rsidP="009F3B54">
            <w:pPr>
              <w:pStyle w:val="OGTableofFigures"/>
              <w:rPr>
                <w:rFonts w:cs="Calibri"/>
                <w:szCs w:val="20"/>
              </w:rPr>
            </w:pPr>
            <w:r>
              <w:rPr>
                <w:rFonts w:cs="Calibri"/>
                <w:szCs w:val="20"/>
              </w:rPr>
              <w:t>na</w:t>
            </w:r>
            <w:r w:rsidRPr="00331B21">
              <w:rPr>
                <w:rFonts w:cs="Calibri"/>
                <w:szCs w:val="20"/>
              </w:rPr>
              <w:t xml:space="preserve"> </w:t>
            </w:r>
          </w:p>
        </w:tc>
      </w:tr>
      <w:tr w:rsidR="00B958B1" w:rsidRPr="00331B21" w:rsidTr="009F3B54">
        <w:trPr>
          <w:cantSplit/>
        </w:trPr>
        <w:tc>
          <w:tcPr>
            <w:tcW w:w="7776" w:type="dxa"/>
            <w:gridSpan w:val="6"/>
            <w:tcBorders>
              <w:bottom w:val="single" w:sz="6" w:space="0" w:color="auto"/>
            </w:tcBorders>
            <w:shd w:val="clear" w:color="auto" w:fill="auto"/>
          </w:tcPr>
          <w:p w:rsidR="00B958B1" w:rsidRPr="00331B21" w:rsidRDefault="00B958B1" w:rsidP="009F3B54">
            <w:pPr>
              <w:pStyle w:val="OGNotes"/>
            </w:pPr>
            <w:r w:rsidRPr="00331B21">
              <w:t xml:space="preserve">This performance measure renames the </w:t>
            </w:r>
            <w:r>
              <w:t>2012</w:t>
            </w:r>
            <w:r w:rsidR="009F0F49">
              <w:noBreakHyphen/>
            </w:r>
            <w:r>
              <w:t xml:space="preserve">13 </w:t>
            </w:r>
            <w:r w:rsidRPr="00331B21">
              <w:t xml:space="preserve">performance measure </w:t>
            </w:r>
            <w:r>
              <w:t>‘</w:t>
            </w:r>
            <w:r w:rsidRPr="00331B21">
              <w:t>Grants acquitted within the timeframe specified in the terms and conditions of the funding agreement: Local Government Infrastructure Account</w:t>
            </w:r>
            <w:r>
              <w:t>’. T</w:t>
            </w:r>
            <w:r w:rsidRPr="00331B21">
              <w:t>he proposed name better reflects the intent of the measure.</w:t>
            </w:r>
          </w:p>
        </w:tc>
      </w:tr>
      <w:tr w:rsidR="00B958B1" w:rsidRPr="00331B21" w:rsidTr="009F3B54">
        <w:trPr>
          <w:cantSplit/>
        </w:trPr>
        <w:tc>
          <w:tcPr>
            <w:tcW w:w="3155" w:type="dxa"/>
            <w:tcBorders>
              <w:top w:val="single" w:sz="6" w:space="0" w:color="auto"/>
            </w:tcBorders>
            <w:shd w:val="clear" w:color="auto" w:fill="auto"/>
          </w:tcPr>
          <w:p w:rsidR="00B958B1" w:rsidRPr="00331B21" w:rsidRDefault="00B958B1" w:rsidP="009F3B54">
            <w:pPr>
              <w:pStyle w:val="OGTabHead"/>
              <w:rPr>
                <w:lang w:eastAsia="en-AU"/>
              </w:rPr>
            </w:pPr>
            <w:r w:rsidRPr="00331B21">
              <w:rPr>
                <w:lang w:eastAsia="en-AU"/>
              </w:rPr>
              <w:t>Cost</w:t>
            </w:r>
          </w:p>
        </w:tc>
        <w:tc>
          <w:tcPr>
            <w:tcW w:w="907" w:type="dxa"/>
            <w:tcBorders>
              <w:top w:val="single" w:sz="6" w:space="0" w:color="auto"/>
            </w:tcBorders>
            <w:shd w:val="clear" w:color="auto" w:fill="auto"/>
            <w:noWrap/>
          </w:tcPr>
          <w:p w:rsidR="00B958B1" w:rsidRPr="00331B21" w:rsidRDefault="00B958B1" w:rsidP="009F3B54">
            <w:pPr>
              <w:pStyle w:val="OGTabHead"/>
              <w:rPr>
                <w:lang w:eastAsia="en-AU"/>
              </w:rPr>
            </w:pPr>
            <w:r w:rsidRPr="00331B21">
              <w:rPr>
                <w:lang w:eastAsia="en-AU"/>
              </w:rPr>
              <w:t> </w:t>
            </w:r>
          </w:p>
        </w:tc>
        <w:tc>
          <w:tcPr>
            <w:tcW w:w="907" w:type="dxa"/>
            <w:tcBorders>
              <w:top w:val="single" w:sz="6" w:space="0" w:color="auto"/>
            </w:tcBorders>
            <w:shd w:val="clear" w:color="auto" w:fill="D9D9D9"/>
            <w:noWrap/>
          </w:tcPr>
          <w:p w:rsidR="00B958B1" w:rsidRPr="00331B21" w:rsidRDefault="00B958B1" w:rsidP="009F3B54">
            <w:pPr>
              <w:pStyle w:val="OGTabHead"/>
              <w:rPr>
                <w:lang w:eastAsia="en-AU"/>
              </w:rPr>
            </w:pPr>
            <w:r w:rsidRPr="00331B21">
              <w:rPr>
                <w:lang w:eastAsia="en-AU"/>
              </w:rPr>
              <w:t> </w:t>
            </w:r>
          </w:p>
        </w:tc>
        <w:tc>
          <w:tcPr>
            <w:tcW w:w="993" w:type="dxa"/>
            <w:tcBorders>
              <w:top w:val="single" w:sz="6" w:space="0" w:color="auto"/>
            </w:tcBorders>
            <w:shd w:val="clear" w:color="auto" w:fill="auto"/>
            <w:noWrap/>
          </w:tcPr>
          <w:p w:rsidR="00B958B1" w:rsidRPr="00331B21" w:rsidRDefault="00B958B1" w:rsidP="009F3B54">
            <w:pPr>
              <w:pStyle w:val="OGTabHead"/>
              <w:rPr>
                <w:lang w:eastAsia="en-AU"/>
              </w:rPr>
            </w:pPr>
            <w:r w:rsidRPr="00331B21">
              <w:rPr>
                <w:lang w:eastAsia="en-AU"/>
              </w:rPr>
              <w:t> </w:t>
            </w:r>
          </w:p>
        </w:tc>
        <w:tc>
          <w:tcPr>
            <w:tcW w:w="907" w:type="dxa"/>
            <w:tcBorders>
              <w:top w:val="single" w:sz="6" w:space="0" w:color="auto"/>
            </w:tcBorders>
            <w:shd w:val="clear" w:color="auto" w:fill="auto"/>
            <w:noWrap/>
          </w:tcPr>
          <w:p w:rsidR="00B958B1" w:rsidRPr="00331B21" w:rsidRDefault="00B958B1" w:rsidP="009F3B54">
            <w:pPr>
              <w:pStyle w:val="OGTabHead"/>
              <w:rPr>
                <w:lang w:eastAsia="en-AU"/>
              </w:rPr>
            </w:pPr>
            <w:r w:rsidRPr="00331B21">
              <w:rPr>
                <w:lang w:eastAsia="en-AU"/>
              </w:rPr>
              <w:t> </w:t>
            </w:r>
          </w:p>
        </w:tc>
        <w:tc>
          <w:tcPr>
            <w:tcW w:w="907" w:type="dxa"/>
            <w:tcBorders>
              <w:top w:val="single" w:sz="6" w:space="0" w:color="auto"/>
            </w:tcBorders>
            <w:shd w:val="clear" w:color="auto" w:fill="auto"/>
            <w:noWrap/>
          </w:tcPr>
          <w:p w:rsidR="00B958B1" w:rsidRPr="00331B21" w:rsidRDefault="00B958B1" w:rsidP="009F3B54">
            <w:pPr>
              <w:pStyle w:val="OGTabHead"/>
              <w:rPr>
                <w:lang w:eastAsia="en-AU"/>
              </w:rPr>
            </w:pPr>
            <w:r w:rsidRPr="00331B21">
              <w:rPr>
                <w:lang w:eastAsia="en-AU"/>
              </w:rPr>
              <w:t> </w:t>
            </w:r>
          </w:p>
        </w:tc>
      </w:tr>
      <w:tr w:rsidR="00B958B1" w:rsidRPr="00331B21" w:rsidTr="009F3B54">
        <w:trPr>
          <w:cantSplit/>
        </w:trPr>
        <w:tc>
          <w:tcPr>
            <w:tcW w:w="3155" w:type="dxa"/>
            <w:shd w:val="clear" w:color="auto" w:fill="auto"/>
          </w:tcPr>
          <w:p w:rsidR="00B958B1" w:rsidRDefault="00B958B1" w:rsidP="009F3B54">
            <w:pPr>
              <w:pStyle w:val="OGTabText"/>
              <w:rPr>
                <w:color w:val="000000"/>
                <w:lang w:eastAsia="en-AU"/>
              </w:rPr>
            </w:pPr>
            <w:r w:rsidRPr="00331B21">
              <w:rPr>
                <w:color w:val="000000"/>
                <w:lang w:eastAsia="en-AU"/>
              </w:rPr>
              <w:t>Total output cost</w:t>
            </w:r>
          </w:p>
          <w:p w:rsidR="00B958B1" w:rsidRPr="008E0FD5" w:rsidRDefault="00B958B1" w:rsidP="009F3B54">
            <w:pPr>
              <w:pStyle w:val="OGTabText"/>
              <w:rPr>
                <w:color w:val="000000"/>
                <w:sz w:val="15"/>
                <w:szCs w:val="15"/>
                <w:lang w:eastAsia="en-AU"/>
              </w:rPr>
            </w:pPr>
          </w:p>
        </w:tc>
        <w:tc>
          <w:tcPr>
            <w:tcW w:w="907" w:type="dxa"/>
            <w:shd w:val="clear" w:color="auto" w:fill="auto"/>
            <w:noWrap/>
          </w:tcPr>
          <w:p w:rsidR="00B958B1" w:rsidRPr="00331B21" w:rsidRDefault="00B958B1" w:rsidP="009F3B54">
            <w:pPr>
              <w:pStyle w:val="OGUoM"/>
              <w:rPr>
                <w:rFonts w:cs="Calibri"/>
                <w:szCs w:val="20"/>
              </w:rPr>
            </w:pPr>
            <w:r w:rsidRPr="00331B21">
              <w:rPr>
                <w:rFonts w:cs="Calibri"/>
                <w:szCs w:val="20"/>
              </w:rPr>
              <w:t>$</w:t>
            </w:r>
            <w:r>
              <w:rPr>
                <w:rFonts w:cs="Calibri"/>
                <w:szCs w:val="20"/>
              </w:rPr>
              <w:t> million</w:t>
            </w:r>
          </w:p>
        </w:tc>
        <w:tc>
          <w:tcPr>
            <w:tcW w:w="907" w:type="dxa"/>
            <w:shd w:val="clear" w:color="auto" w:fill="D9D9D9"/>
            <w:noWrap/>
          </w:tcPr>
          <w:p w:rsidR="00B958B1" w:rsidRPr="00331B21" w:rsidRDefault="00B958B1" w:rsidP="009F3B54">
            <w:pPr>
              <w:pStyle w:val="OGTableofFigures"/>
              <w:rPr>
                <w:rFonts w:cs="Calibri"/>
                <w:szCs w:val="20"/>
              </w:rPr>
            </w:pPr>
            <w:r>
              <w:rPr>
                <w:rFonts w:cs="Calibri"/>
                <w:szCs w:val="20"/>
              </w:rPr>
              <w:t>222.5</w:t>
            </w:r>
          </w:p>
        </w:tc>
        <w:tc>
          <w:tcPr>
            <w:tcW w:w="993" w:type="dxa"/>
            <w:shd w:val="clear" w:color="auto" w:fill="auto"/>
            <w:noWrap/>
          </w:tcPr>
          <w:p w:rsidR="00B958B1" w:rsidRPr="00331B21" w:rsidRDefault="00B958B1" w:rsidP="009F3B54">
            <w:pPr>
              <w:pStyle w:val="OGTableofFigures"/>
              <w:rPr>
                <w:rFonts w:cs="Calibri"/>
                <w:szCs w:val="20"/>
              </w:rPr>
            </w:pPr>
            <w:r>
              <w:rPr>
                <w:rFonts w:cs="Calibri"/>
                <w:szCs w:val="20"/>
              </w:rPr>
              <w:t xml:space="preserve">179.4 </w:t>
            </w:r>
          </w:p>
        </w:tc>
        <w:tc>
          <w:tcPr>
            <w:tcW w:w="907" w:type="dxa"/>
            <w:shd w:val="clear" w:color="auto" w:fill="auto"/>
            <w:noWrap/>
          </w:tcPr>
          <w:p w:rsidR="00B958B1" w:rsidRPr="00331B21" w:rsidRDefault="00B958B1" w:rsidP="009F3B54">
            <w:pPr>
              <w:pStyle w:val="OGTableofFigures"/>
              <w:rPr>
                <w:rFonts w:cs="Calibri"/>
                <w:szCs w:val="20"/>
              </w:rPr>
            </w:pPr>
            <w:r w:rsidRPr="00331B21">
              <w:rPr>
                <w:rFonts w:cs="Calibri"/>
                <w:szCs w:val="20"/>
              </w:rPr>
              <w:t>175.2</w:t>
            </w:r>
          </w:p>
        </w:tc>
        <w:tc>
          <w:tcPr>
            <w:tcW w:w="907" w:type="dxa"/>
            <w:shd w:val="clear" w:color="auto" w:fill="auto"/>
            <w:noWrap/>
          </w:tcPr>
          <w:p w:rsidR="00B958B1" w:rsidRPr="00331B21" w:rsidRDefault="00B958B1" w:rsidP="009F3B54">
            <w:pPr>
              <w:pStyle w:val="OGTableofFigures"/>
              <w:rPr>
                <w:rFonts w:cs="Calibri"/>
                <w:szCs w:val="20"/>
              </w:rPr>
            </w:pPr>
            <w:r w:rsidRPr="00331B21">
              <w:rPr>
                <w:rFonts w:cs="Calibri"/>
                <w:szCs w:val="20"/>
              </w:rPr>
              <w:t>173.5</w:t>
            </w:r>
          </w:p>
        </w:tc>
      </w:tr>
      <w:tr w:rsidR="00B958B1" w:rsidRPr="00331B21" w:rsidTr="009F3B54">
        <w:trPr>
          <w:cantSplit/>
        </w:trPr>
        <w:tc>
          <w:tcPr>
            <w:tcW w:w="7776" w:type="dxa"/>
            <w:gridSpan w:val="6"/>
            <w:tcBorders>
              <w:bottom w:val="single" w:sz="6" w:space="0" w:color="auto"/>
            </w:tcBorders>
            <w:shd w:val="clear" w:color="auto" w:fill="auto"/>
          </w:tcPr>
          <w:p w:rsidR="00B958B1" w:rsidRPr="00175147" w:rsidRDefault="00B958B1" w:rsidP="009F3B54">
            <w:pPr>
              <w:pStyle w:val="OGNotes"/>
            </w:pPr>
            <w:r w:rsidRPr="003B3876">
              <w:t>The 2011</w:t>
            </w:r>
            <w:r w:rsidR="009F0F49">
              <w:noBreakHyphen/>
            </w:r>
            <w:r w:rsidRPr="003B3876">
              <w:t>12 and 2012</w:t>
            </w:r>
            <w:r w:rsidR="009F0F49">
              <w:noBreakHyphen/>
            </w:r>
            <w:r w:rsidRPr="003B3876">
              <w:t>13 amounts relate to the activities of Regional Victoria Development which were previously reported under the former Department of Planning and Community Development.</w:t>
            </w:r>
          </w:p>
        </w:tc>
      </w:tr>
      <w:tr w:rsidR="00B958B1" w:rsidRPr="00331B21" w:rsidTr="009F3B54">
        <w:trPr>
          <w:cantSplit/>
        </w:trPr>
        <w:tc>
          <w:tcPr>
            <w:tcW w:w="7776" w:type="dxa"/>
            <w:gridSpan w:val="6"/>
            <w:tcBorders>
              <w:top w:val="single" w:sz="6" w:space="0" w:color="auto"/>
            </w:tcBorders>
            <w:shd w:val="clear" w:color="auto" w:fill="auto"/>
          </w:tcPr>
          <w:p w:rsidR="00B958B1" w:rsidRPr="00331B21" w:rsidRDefault="00B958B1" w:rsidP="009F3B54">
            <w:pPr>
              <w:pStyle w:val="OGHeading2"/>
              <w:rPr>
                <w:lang w:eastAsia="en-AU"/>
              </w:rPr>
            </w:pPr>
            <w:r w:rsidRPr="00331B21">
              <w:rPr>
                <w:lang w:eastAsia="en-AU"/>
              </w:rPr>
              <w:t>Energy and Resources</w:t>
            </w:r>
          </w:p>
        </w:tc>
      </w:tr>
      <w:tr w:rsidR="00B958B1" w:rsidRPr="00331B21" w:rsidTr="009F3B54">
        <w:trPr>
          <w:cantSplit/>
        </w:trPr>
        <w:tc>
          <w:tcPr>
            <w:tcW w:w="7776" w:type="dxa"/>
            <w:gridSpan w:val="6"/>
            <w:tcBorders>
              <w:bottom w:val="single" w:sz="6" w:space="0" w:color="auto"/>
            </w:tcBorders>
            <w:shd w:val="clear" w:color="auto" w:fill="auto"/>
          </w:tcPr>
          <w:p w:rsidR="00B958B1" w:rsidRPr="00331B21" w:rsidRDefault="00B958B1" w:rsidP="009F3B54">
            <w:pPr>
              <w:pStyle w:val="OGText"/>
              <w:rPr>
                <w:lang w:eastAsia="en-AU"/>
              </w:rPr>
            </w:pPr>
            <w:r w:rsidRPr="00331B21">
              <w:rPr>
                <w:lang w:eastAsia="en-AU"/>
              </w:rPr>
              <w:t>Develop policy frameworks and deliver programs to: ensure that consumers benefit from competitive, efficient, reliable and safe energy services; facilitate investment in coal, gas, renewable energy, targeted mineral resources; responsibly manage and support access to earth resources for current and future use; and support technological development within these sectors.</w:t>
            </w:r>
          </w:p>
        </w:tc>
      </w:tr>
      <w:tr w:rsidR="00B958B1" w:rsidRPr="00331B21" w:rsidTr="009F3B54">
        <w:trPr>
          <w:cantSplit/>
        </w:trPr>
        <w:tc>
          <w:tcPr>
            <w:tcW w:w="3155" w:type="dxa"/>
            <w:tcBorders>
              <w:top w:val="single" w:sz="6" w:space="0" w:color="auto"/>
            </w:tcBorders>
            <w:shd w:val="clear" w:color="auto" w:fill="auto"/>
          </w:tcPr>
          <w:p w:rsidR="00B958B1" w:rsidRPr="00331B21" w:rsidRDefault="00B958B1" w:rsidP="00175147">
            <w:pPr>
              <w:pStyle w:val="OGTabHead"/>
              <w:pageBreakBefore/>
              <w:rPr>
                <w:lang w:eastAsia="en-AU"/>
              </w:rPr>
            </w:pPr>
            <w:r w:rsidRPr="00331B21">
              <w:rPr>
                <w:lang w:eastAsia="en-AU"/>
              </w:rPr>
              <w:t>Quantity</w:t>
            </w:r>
          </w:p>
        </w:tc>
        <w:tc>
          <w:tcPr>
            <w:tcW w:w="907" w:type="dxa"/>
            <w:tcBorders>
              <w:top w:val="single" w:sz="6" w:space="0" w:color="auto"/>
            </w:tcBorders>
            <w:shd w:val="clear" w:color="auto" w:fill="auto"/>
            <w:noWrap/>
          </w:tcPr>
          <w:p w:rsidR="00B958B1" w:rsidRPr="00331B21" w:rsidRDefault="00B958B1" w:rsidP="009F3B54">
            <w:pPr>
              <w:pStyle w:val="OGTabHead"/>
              <w:rPr>
                <w:lang w:eastAsia="en-AU"/>
              </w:rPr>
            </w:pPr>
            <w:r w:rsidRPr="00331B21">
              <w:rPr>
                <w:lang w:eastAsia="en-AU"/>
              </w:rPr>
              <w:t> </w:t>
            </w:r>
          </w:p>
        </w:tc>
        <w:tc>
          <w:tcPr>
            <w:tcW w:w="907" w:type="dxa"/>
            <w:tcBorders>
              <w:top w:val="single" w:sz="6" w:space="0" w:color="auto"/>
            </w:tcBorders>
            <w:shd w:val="clear" w:color="auto" w:fill="D9D9D9"/>
            <w:noWrap/>
          </w:tcPr>
          <w:p w:rsidR="00B958B1" w:rsidRPr="00331B21" w:rsidRDefault="00B958B1" w:rsidP="009F3B54">
            <w:pPr>
              <w:pStyle w:val="OGTabHead"/>
              <w:rPr>
                <w:lang w:eastAsia="en-AU"/>
              </w:rPr>
            </w:pPr>
            <w:r w:rsidRPr="00331B21">
              <w:rPr>
                <w:lang w:eastAsia="en-AU"/>
              </w:rPr>
              <w:t> </w:t>
            </w:r>
          </w:p>
        </w:tc>
        <w:tc>
          <w:tcPr>
            <w:tcW w:w="993" w:type="dxa"/>
            <w:tcBorders>
              <w:top w:val="single" w:sz="6" w:space="0" w:color="auto"/>
            </w:tcBorders>
            <w:shd w:val="clear" w:color="auto" w:fill="auto"/>
            <w:noWrap/>
          </w:tcPr>
          <w:p w:rsidR="00B958B1" w:rsidRPr="00331B21" w:rsidRDefault="00B958B1" w:rsidP="009F3B54">
            <w:pPr>
              <w:pStyle w:val="OGTabHead"/>
              <w:rPr>
                <w:lang w:eastAsia="en-AU"/>
              </w:rPr>
            </w:pPr>
            <w:r w:rsidRPr="00331B21">
              <w:rPr>
                <w:lang w:eastAsia="en-AU"/>
              </w:rPr>
              <w:t> </w:t>
            </w:r>
          </w:p>
        </w:tc>
        <w:tc>
          <w:tcPr>
            <w:tcW w:w="907" w:type="dxa"/>
            <w:tcBorders>
              <w:top w:val="single" w:sz="6" w:space="0" w:color="auto"/>
            </w:tcBorders>
            <w:shd w:val="clear" w:color="auto" w:fill="auto"/>
            <w:noWrap/>
          </w:tcPr>
          <w:p w:rsidR="00B958B1" w:rsidRPr="00331B21" w:rsidRDefault="00B958B1" w:rsidP="009F3B54">
            <w:pPr>
              <w:pStyle w:val="OGTabHead"/>
              <w:rPr>
                <w:lang w:eastAsia="en-AU"/>
              </w:rPr>
            </w:pPr>
            <w:r w:rsidRPr="00331B21">
              <w:rPr>
                <w:lang w:eastAsia="en-AU"/>
              </w:rPr>
              <w:t> </w:t>
            </w:r>
          </w:p>
        </w:tc>
        <w:tc>
          <w:tcPr>
            <w:tcW w:w="907" w:type="dxa"/>
            <w:tcBorders>
              <w:top w:val="single" w:sz="6" w:space="0" w:color="auto"/>
            </w:tcBorders>
            <w:shd w:val="clear" w:color="auto" w:fill="auto"/>
            <w:noWrap/>
          </w:tcPr>
          <w:p w:rsidR="00B958B1" w:rsidRPr="00331B21" w:rsidRDefault="00B958B1" w:rsidP="009F3B54">
            <w:pPr>
              <w:pStyle w:val="OGTabHead"/>
              <w:rPr>
                <w:lang w:eastAsia="en-AU"/>
              </w:rPr>
            </w:pPr>
            <w:r w:rsidRPr="00331B21">
              <w:rPr>
                <w:lang w:eastAsia="en-AU"/>
              </w:rPr>
              <w:t> </w:t>
            </w:r>
          </w:p>
        </w:tc>
      </w:tr>
      <w:tr w:rsidR="00B958B1" w:rsidRPr="00331B21" w:rsidTr="009F3B54">
        <w:trPr>
          <w:cantSplit/>
        </w:trPr>
        <w:tc>
          <w:tcPr>
            <w:tcW w:w="3155" w:type="dxa"/>
            <w:shd w:val="clear" w:color="auto" w:fill="auto"/>
          </w:tcPr>
          <w:p w:rsidR="00B958B1" w:rsidRPr="00331B21" w:rsidRDefault="00B958B1" w:rsidP="009F3B54">
            <w:pPr>
              <w:pStyle w:val="OGTabText"/>
              <w:rPr>
                <w:color w:val="000000"/>
                <w:lang w:eastAsia="en-AU"/>
              </w:rPr>
            </w:pPr>
            <w:r w:rsidRPr="00331B21">
              <w:rPr>
                <w:color w:val="000000"/>
                <w:lang w:eastAsia="en-AU"/>
              </w:rPr>
              <w:t>Delivery of key milestones for the Powerline Bushfire Safety work program</w:t>
            </w:r>
          </w:p>
        </w:tc>
        <w:tc>
          <w:tcPr>
            <w:tcW w:w="907" w:type="dxa"/>
            <w:shd w:val="clear" w:color="auto" w:fill="auto"/>
            <w:noWrap/>
          </w:tcPr>
          <w:p w:rsidR="00B958B1" w:rsidRPr="00331B21" w:rsidRDefault="00B958B1" w:rsidP="009F3B54">
            <w:pPr>
              <w:pStyle w:val="OGUoM"/>
              <w:rPr>
                <w:rFonts w:cs="Calibri"/>
                <w:szCs w:val="20"/>
              </w:rPr>
            </w:pPr>
            <w:r w:rsidRPr="00331B21">
              <w:rPr>
                <w:rFonts w:cs="Calibri"/>
                <w:szCs w:val="20"/>
              </w:rPr>
              <w:t>per cent</w:t>
            </w:r>
          </w:p>
        </w:tc>
        <w:tc>
          <w:tcPr>
            <w:tcW w:w="907" w:type="dxa"/>
            <w:shd w:val="clear" w:color="auto" w:fill="D9D9D9"/>
            <w:noWrap/>
          </w:tcPr>
          <w:p w:rsidR="00B958B1" w:rsidRPr="00331B21" w:rsidRDefault="00B958B1" w:rsidP="009F3B54">
            <w:pPr>
              <w:pStyle w:val="OGTableofFigures"/>
              <w:rPr>
                <w:rFonts w:cs="Calibri"/>
                <w:szCs w:val="20"/>
              </w:rPr>
            </w:pPr>
            <w:r w:rsidRPr="00331B21">
              <w:rPr>
                <w:rFonts w:cs="Calibri"/>
                <w:szCs w:val="20"/>
              </w:rPr>
              <w:t>100</w:t>
            </w:r>
          </w:p>
        </w:tc>
        <w:tc>
          <w:tcPr>
            <w:tcW w:w="993" w:type="dxa"/>
            <w:shd w:val="clear" w:color="auto" w:fill="auto"/>
            <w:noWrap/>
          </w:tcPr>
          <w:p w:rsidR="00B958B1" w:rsidRPr="00331B21" w:rsidRDefault="00B958B1" w:rsidP="009F3B54">
            <w:pPr>
              <w:pStyle w:val="OGTableofFigures"/>
              <w:rPr>
                <w:rFonts w:cs="Calibri"/>
                <w:szCs w:val="20"/>
              </w:rPr>
            </w:pPr>
            <w:r w:rsidRPr="00331B21">
              <w:rPr>
                <w:rFonts w:cs="Calibri"/>
                <w:szCs w:val="20"/>
              </w:rPr>
              <w:t>100</w:t>
            </w:r>
          </w:p>
        </w:tc>
        <w:tc>
          <w:tcPr>
            <w:tcW w:w="907" w:type="dxa"/>
            <w:shd w:val="clear" w:color="auto" w:fill="auto"/>
            <w:noWrap/>
          </w:tcPr>
          <w:p w:rsidR="00B958B1" w:rsidRPr="00331B21" w:rsidRDefault="00B958B1" w:rsidP="009F3B54">
            <w:pPr>
              <w:pStyle w:val="OGTableofFigures"/>
              <w:rPr>
                <w:rFonts w:cs="Calibri"/>
                <w:szCs w:val="20"/>
              </w:rPr>
            </w:pPr>
            <w:r w:rsidRPr="00331B21">
              <w:rPr>
                <w:rFonts w:cs="Calibri"/>
                <w:szCs w:val="20"/>
              </w:rPr>
              <w:t>100</w:t>
            </w:r>
          </w:p>
        </w:tc>
        <w:tc>
          <w:tcPr>
            <w:tcW w:w="907" w:type="dxa"/>
            <w:shd w:val="clear" w:color="auto" w:fill="auto"/>
            <w:noWrap/>
          </w:tcPr>
          <w:p w:rsidR="00B958B1" w:rsidRPr="00331B21" w:rsidRDefault="00B958B1" w:rsidP="009F3B54">
            <w:pPr>
              <w:pStyle w:val="OGTableofFigures"/>
              <w:rPr>
                <w:rFonts w:cs="Calibri"/>
                <w:szCs w:val="20"/>
              </w:rPr>
            </w:pPr>
            <w:r w:rsidRPr="00331B21">
              <w:rPr>
                <w:rFonts w:cs="Calibri"/>
                <w:szCs w:val="20"/>
              </w:rPr>
              <w:t>nm</w:t>
            </w:r>
          </w:p>
        </w:tc>
      </w:tr>
      <w:tr w:rsidR="00B958B1" w:rsidRPr="00331B21" w:rsidTr="009F3B54">
        <w:trPr>
          <w:cantSplit/>
        </w:trPr>
        <w:tc>
          <w:tcPr>
            <w:tcW w:w="7776" w:type="dxa"/>
            <w:gridSpan w:val="6"/>
            <w:tcBorders>
              <w:bottom w:val="single" w:sz="6" w:space="0" w:color="auto"/>
            </w:tcBorders>
            <w:shd w:val="clear" w:color="auto" w:fill="auto"/>
          </w:tcPr>
          <w:p w:rsidR="00B958B1" w:rsidRPr="00331B21" w:rsidRDefault="00B958B1" w:rsidP="009F3B54">
            <w:pPr>
              <w:pStyle w:val="OGNotes"/>
            </w:pPr>
            <w:r w:rsidRPr="00331B21">
              <w:t>This performance measure renames the 2012</w:t>
            </w:r>
            <w:r w:rsidR="009F0F49">
              <w:noBreakHyphen/>
            </w:r>
            <w:r w:rsidRPr="00331B21">
              <w:t>13 performance measure ‘Delivery of milestones for the Safer Elec</w:t>
            </w:r>
            <w:r>
              <w:t>tricity Asset Fund work program</w:t>
            </w:r>
            <w:r w:rsidRPr="00331B21">
              <w:t>’</w:t>
            </w:r>
            <w:r>
              <w:t>.</w:t>
            </w:r>
            <w:r w:rsidRPr="00331B21">
              <w:t xml:space="preserve"> The new measure reports on the same activity as the previous measure, however it has been amended to better reflect the broader work program for this initiative.</w:t>
            </w:r>
          </w:p>
        </w:tc>
      </w:tr>
      <w:tr w:rsidR="00B958B1" w:rsidRPr="00331B21" w:rsidTr="009F3B54">
        <w:trPr>
          <w:cantSplit/>
        </w:trPr>
        <w:tc>
          <w:tcPr>
            <w:tcW w:w="3155" w:type="dxa"/>
            <w:tcBorders>
              <w:top w:val="single" w:sz="6" w:space="0" w:color="auto"/>
              <w:bottom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Delivery of Advanced Metering Infrastructure program in line with planned project milestones</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per cent</w:t>
            </w:r>
          </w:p>
        </w:tc>
        <w:tc>
          <w:tcPr>
            <w:tcW w:w="907" w:type="dxa"/>
            <w:tcBorders>
              <w:top w:val="single" w:sz="6" w:space="0" w:color="auto"/>
              <w:bottom w:val="single" w:sz="6" w:space="0" w:color="auto"/>
            </w:tcBorders>
            <w:shd w:val="clear" w:color="auto" w:fill="D9D9D9"/>
            <w:noWrap/>
          </w:tcPr>
          <w:p w:rsidR="00B958B1" w:rsidRPr="00331B21" w:rsidRDefault="00B958B1" w:rsidP="009F3B54">
            <w:pPr>
              <w:pStyle w:val="OGTableofFigures"/>
              <w:rPr>
                <w:rFonts w:cs="Calibri"/>
                <w:szCs w:val="20"/>
              </w:rPr>
            </w:pPr>
            <w:r w:rsidRPr="00331B21">
              <w:rPr>
                <w:rFonts w:cs="Calibri"/>
                <w:szCs w:val="20"/>
              </w:rPr>
              <w:t>100</w:t>
            </w:r>
          </w:p>
        </w:tc>
        <w:tc>
          <w:tcPr>
            <w:tcW w:w="993"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100</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100</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szCs w:val="20"/>
              </w:rPr>
              <w:t>nm</w:t>
            </w:r>
          </w:p>
        </w:tc>
      </w:tr>
      <w:tr w:rsidR="00B958B1" w:rsidRPr="00331B21" w:rsidTr="009F3B54">
        <w:trPr>
          <w:cantSplit/>
        </w:trPr>
        <w:tc>
          <w:tcPr>
            <w:tcW w:w="3155" w:type="dxa"/>
            <w:tcBorders>
              <w:top w:val="single" w:sz="6" w:space="0" w:color="auto"/>
              <w:bottom w:val="single" w:sz="6" w:space="0" w:color="auto"/>
            </w:tcBorders>
            <w:shd w:val="clear" w:color="auto" w:fill="auto"/>
          </w:tcPr>
          <w:p w:rsidR="00B958B1" w:rsidRPr="00331B21" w:rsidRDefault="00B958B1" w:rsidP="009F3B54">
            <w:pPr>
              <w:pStyle w:val="OGTabText"/>
              <w:rPr>
                <w:lang w:eastAsia="en-AU"/>
              </w:rPr>
            </w:pPr>
            <w:r w:rsidRPr="00331B21">
              <w:rPr>
                <w:color w:val="000000"/>
                <w:szCs w:val="20"/>
                <w:lang w:eastAsia="en-AU"/>
              </w:rPr>
              <w:t>Exercise strategies for maintaining security of electricity and gas supply</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number</w:t>
            </w:r>
          </w:p>
        </w:tc>
        <w:tc>
          <w:tcPr>
            <w:tcW w:w="907" w:type="dxa"/>
            <w:tcBorders>
              <w:top w:val="single" w:sz="6" w:space="0" w:color="auto"/>
              <w:bottom w:val="single" w:sz="6" w:space="0" w:color="auto"/>
            </w:tcBorders>
            <w:shd w:val="clear" w:color="auto" w:fill="D9D9D9"/>
            <w:noWrap/>
          </w:tcPr>
          <w:p w:rsidR="00B958B1" w:rsidRPr="00331B21" w:rsidRDefault="00B958B1" w:rsidP="009F3B54">
            <w:pPr>
              <w:pStyle w:val="OGTableofFigures"/>
              <w:rPr>
                <w:rFonts w:cs="Calibri"/>
                <w:szCs w:val="20"/>
              </w:rPr>
            </w:pPr>
            <w:r w:rsidRPr="00331B21">
              <w:rPr>
                <w:rFonts w:cs="Calibri"/>
                <w:color w:val="000000"/>
                <w:szCs w:val="20"/>
              </w:rPr>
              <w:t>4</w:t>
            </w:r>
          </w:p>
        </w:tc>
        <w:tc>
          <w:tcPr>
            <w:tcW w:w="993"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4</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4</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4</w:t>
            </w:r>
          </w:p>
        </w:tc>
      </w:tr>
      <w:tr w:rsidR="00B958B1" w:rsidRPr="00331B21" w:rsidTr="009F3B54">
        <w:trPr>
          <w:cantSplit/>
        </w:trPr>
        <w:tc>
          <w:tcPr>
            <w:tcW w:w="3155" w:type="dxa"/>
            <w:tcBorders>
              <w:top w:val="single" w:sz="6" w:space="0" w:color="auto"/>
              <w:bottom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Earth resource information packages released to industry covering the promotion of new geological data and regulatory guidance material</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number</w:t>
            </w:r>
          </w:p>
        </w:tc>
        <w:tc>
          <w:tcPr>
            <w:tcW w:w="907" w:type="dxa"/>
            <w:tcBorders>
              <w:top w:val="single" w:sz="6" w:space="0" w:color="auto"/>
              <w:bottom w:val="single" w:sz="6" w:space="0" w:color="auto"/>
            </w:tcBorders>
            <w:shd w:val="clear" w:color="auto" w:fill="D9D9D9"/>
            <w:noWrap/>
          </w:tcPr>
          <w:p w:rsidR="00B958B1" w:rsidRPr="00331B21" w:rsidRDefault="00B958B1" w:rsidP="009F3B54">
            <w:pPr>
              <w:pStyle w:val="OGTableofFigures"/>
              <w:rPr>
                <w:rFonts w:cs="Calibri"/>
                <w:szCs w:val="20"/>
              </w:rPr>
            </w:pPr>
            <w:r w:rsidRPr="00331B21">
              <w:rPr>
                <w:rFonts w:cs="Calibri"/>
                <w:color w:val="000000"/>
                <w:szCs w:val="20"/>
              </w:rPr>
              <w:t>8</w:t>
            </w:r>
          </w:p>
        </w:tc>
        <w:tc>
          <w:tcPr>
            <w:tcW w:w="993"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8</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8</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12</w:t>
            </w:r>
          </w:p>
        </w:tc>
      </w:tr>
      <w:tr w:rsidR="00B958B1" w:rsidRPr="00331B21" w:rsidTr="009F3B54">
        <w:trPr>
          <w:cantSplit/>
        </w:trPr>
        <w:tc>
          <w:tcPr>
            <w:tcW w:w="3155" w:type="dxa"/>
            <w:tcBorders>
              <w:top w:val="single" w:sz="6" w:space="0" w:color="auto"/>
              <w:bottom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Major strategic policy briefings to government</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number</w:t>
            </w:r>
          </w:p>
        </w:tc>
        <w:tc>
          <w:tcPr>
            <w:tcW w:w="907" w:type="dxa"/>
            <w:tcBorders>
              <w:top w:val="single" w:sz="6" w:space="0" w:color="auto"/>
              <w:bottom w:val="single" w:sz="6" w:space="0" w:color="auto"/>
            </w:tcBorders>
            <w:shd w:val="clear" w:color="auto" w:fill="D9D9D9"/>
            <w:noWrap/>
          </w:tcPr>
          <w:p w:rsidR="00B958B1" w:rsidRPr="00331B21" w:rsidRDefault="00B958B1" w:rsidP="009F3B54">
            <w:pPr>
              <w:pStyle w:val="OGTableofFigures"/>
              <w:rPr>
                <w:rFonts w:cs="Calibri"/>
                <w:color w:val="000000"/>
                <w:szCs w:val="20"/>
              </w:rPr>
            </w:pPr>
            <w:r w:rsidRPr="00331B21">
              <w:rPr>
                <w:rFonts w:cs="Calibri"/>
                <w:color w:val="000000"/>
                <w:szCs w:val="20"/>
              </w:rPr>
              <w:t>6</w:t>
            </w:r>
          </w:p>
        </w:tc>
        <w:tc>
          <w:tcPr>
            <w:tcW w:w="993"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6</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6</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6</w:t>
            </w:r>
          </w:p>
        </w:tc>
      </w:tr>
      <w:tr w:rsidR="00B958B1" w:rsidRPr="00331B21" w:rsidTr="009F3B54">
        <w:trPr>
          <w:cantSplit/>
        </w:trPr>
        <w:tc>
          <w:tcPr>
            <w:tcW w:w="3155" w:type="dxa"/>
            <w:tcBorders>
              <w:top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Delivery of stakeholder engagement information forums as part of the Clean Coal Victoria work program</w:t>
            </w:r>
          </w:p>
        </w:tc>
        <w:tc>
          <w:tcPr>
            <w:tcW w:w="907" w:type="dxa"/>
            <w:tcBorders>
              <w:top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number</w:t>
            </w:r>
          </w:p>
        </w:tc>
        <w:tc>
          <w:tcPr>
            <w:tcW w:w="907" w:type="dxa"/>
            <w:tcBorders>
              <w:top w:val="single" w:sz="6" w:space="0" w:color="auto"/>
            </w:tcBorders>
            <w:shd w:val="clear" w:color="auto" w:fill="D9D9D9"/>
            <w:noWrap/>
          </w:tcPr>
          <w:p w:rsidR="00B958B1" w:rsidRPr="00331B21" w:rsidRDefault="00B958B1" w:rsidP="009F3B54">
            <w:pPr>
              <w:pStyle w:val="OGTableofFigures"/>
              <w:rPr>
                <w:rFonts w:cs="Calibri"/>
                <w:color w:val="000000"/>
                <w:szCs w:val="20"/>
              </w:rPr>
            </w:pPr>
            <w:r w:rsidRPr="00331B21">
              <w:rPr>
                <w:rFonts w:cs="Calibri"/>
                <w:color w:val="000000"/>
                <w:szCs w:val="20"/>
              </w:rPr>
              <w:t>15</w:t>
            </w:r>
          </w:p>
        </w:tc>
        <w:tc>
          <w:tcPr>
            <w:tcW w:w="993" w:type="dxa"/>
            <w:tcBorders>
              <w:top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nm</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nm</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nm</w:t>
            </w:r>
          </w:p>
        </w:tc>
      </w:tr>
      <w:tr w:rsidR="00B958B1" w:rsidRPr="00331B21" w:rsidTr="009F3B54">
        <w:trPr>
          <w:cantSplit/>
        </w:trPr>
        <w:tc>
          <w:tcPr>
            <w:tcW w:w="7776" w:type="dxa"/>
            <w:gridSpan w:val="6"/>
            <w:tcBorders>
              <w:bottom w:val="single" w:sz="6" w:space="0" w:color="auto"/>
            </w:tcBorders>
            <w:shd w:val="clear" w:color="auto" w:fill="auto"/>
          </w:tcPr>
          <w:p w:rsidR="00B958B1" w:rsidRPr="00331B21" w:rsidRDefault="00B958B1" w:rsidP="009F3B54">
            <w:pPr>
              <w:pStyle w:val="OGNotes"/>
            </w:pPr>
            <w:r w:rsidRPr="00331B21">
              <w:t>New performance measure to reflect the Clean Coal Victoria Extension initiative.</w:t>
            </w:r>
          </w:p>
        </w:tc>
      </w:tr>
      <w:tr w:rsidR="00B958B1" w:rsidRPr="00331B21" w:rsidTr="009F3B54">
        <w:trPr>
          <w:cantSplit/>
        </w:trPr>
        <w:tc>
          <w:tcPr>
            <w:tcW w:w="3155" w:type="dxa"/>
            <w:tcBorders>
              <w:top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Meetings of the AMI Ministerial Advisory Council conducted in accordance with terms of reference and strategic agenda</w:t>
            </w:r>
          </w:p>
        </w:tc>
        <w:tc>
          <w:tcPr>
            <w:tcW w:w="907" w:type="dxa"/>
            <w:tcBorders>
              <w:top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number</w:t>
            </w:r>
          </w:p>
        </w:tc>
        <w:tc>
          <w:tcPr>
            <w:tcW w:w="907" w:type="dxa"/>
            <w:tcBorders>
              <w:top w:val="single" w:sz="6" w:space="0" w:color="auto"/>
            </w:tcBorders>
            <w:shd w:val="clear" w:color="auto" w:fill="D9D9D9"/>
            <w:noWrap/>
          </w:tcPr>
          <w:p w:rsidR="00B958B1" w:rsidRPr="00331B21" w:rsidRDefault="00B958B1" w:rsidP="009F3B54">
            <w:pPr>
              <w:pStyle w:val="OGTableofFigures"/>
              <w:rPr>
                <w:rFonts w:cs="Calibri"/>
                <w:szCs w:val="20"/>
              </w:rPr>
            </w:pPr>
            <w:r w:rsidRPr="00331B21">
              <w:rPr>
                <w:rFonts w:cs="Calibri"/>
                <w:color w:val="000000"/>
                <w:szCs w:val="20"/>
              </w:rPr>
              <w:t>4</w:t>
            </w:r>
          </w:p>
        </w:tc>
        <w:tc>
          <w:tcPr>
            <w:tcW w:w="993"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5</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4</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nm</w:t>
            </w:r>
          </w:p>
        </w:tc>
      </w:tr>
      <w:tr w:rsidR="00B958B1" w:rsidRPr="00331B21" w:rsidTr="009F3B54">
        <w:trPr>
          <w:cantSplit/>
        </w:trPr>
        <w:tc>
          <w:tcPr>
            <w:tcW w:w="7776" w:type="dxa"/>
            <w:gridSpan w:val="6"/>
            <w:tcBorders>
              <w:bottom w:val="single" w:sz="6" w:space="0" w:color="auto"/>
            </w:tcBorders>
            <w:shd w:val="clear" w:color="auto" w:fill="auto"/>
          </w:tcPr>
          <w:p w:rsidR="00B958B1" w:rsidRPr="00331B21" w:rsidRDefault="00B958B1" w:rsidP="009F3B54">
            <w:pPr>
              <w:pStyle w:val="OGNotes"/>
              <w:rPr>
                <w:color w:val="000000"/>
              </w:rPr>
            </w:pPr>
            <w:r w:rsidRPr="00331B21">
              <w:t>The 2012</w:t>
            </w:r>
            <w:r w:rsidR="009F0F49">
              <w:noBreakHyphen/>
            </w:r>
            <w:r w:rsidRPr="00331B21">
              <w:t>13 Expected Outcome is higher than the 2012</w:t>
            </w:r>
            <w:r w:rsidR="009F0F49">
              <w:noBreakHyphen/>
            </w:r>
            <w:r w:rsidRPr="00331B21">
              <w:t>13 Target due to a special meeting of the Advanced Metering Infrastructure Ministerial Advisory Council to discuss flexible pricing arrangements.</w:t>
            </w:r>
          </w:p>
        </w:tc>
      </w:tr>
      <w:tr w:rsidR="00B958B1" w:rsidRPr="00331B21" w:rsidTr="009F3B54">
        <w:trPr>
          <w:cantSplit/>
        </w:trPr>
        <w:tc>
          <w:tcPr>
            <w:tcW w:w="3155" w:type="dxa"/>
            <w:tcBorders>
              <w:top w:val="single" w:sz="6" w:space="0" w:color="auto"/>
              <w:bottom w:val="single" w:sz="6" w:space="0" w:color="auto"/>
            </w:tcBorders>
            <w:shd w:val="clear" w:color="auto" w:fill="auto"/>
          </w:tcPr>
          <w:p w:rsidR="00B958B1" w:rsidRPr="00072ADE" w:rsidRDefault="00B958B1" w:rsidP="009F3B54">
            <w:pPr>
              <w:pStyle w:val="OGTabText"/>
            </w:pPr>
            <w:r w:rsidRPr="00072ADE">
              <w:t>Strategic policy briefings on energy matters to portfolio minister</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number</w:t>
            </w:r>
          </w:p>
        </w:tc>
        <w:tc>
          <w:tcPr>
            <w:tcW w:w="907" w:type="dxa"/>
            <w:tcBorders>
              <w:top w:val="single" w:sz="6" w:space="0" w:color="auto"/>
              <w:bottom w:val="single" w:sz="6" w:space="0" w:color="auto"/>
            </w:tcBorders>
            <w:shd w:val="clear" w:color="auto" w:fill="D9D9D9"/>
            <w:noWrap/>
          </w:tcPr>
          <w:p w:rsidR="00B958B1" w:rsidRPr="00331B21" w:rsidRDefault="00B958B1" w:rsidP="009F3B54">
            <w:pPr>
              <w:pStyle w:val="OGTableofFigures"/>
              <w:rPr>
                <w:rFonts w:cs="Calibri"/>
                <w:color w:val="000000"/>
                <w:szCs w:val="20"/>
              </w:rPr>
            </w:pPr>
            <w:r w:rsidRPr="00331B21">
              <w:rPr>
                <w:rFonts w:cs="Calibri"/>
                <w:color w:val="000000"/>
                <w:szCs w:val="20"/>
              </w:rPr>
              <w:t>180</w:t>
            </w:r>
          </w:p>
        </w:tc>
        <w:tc>
          <w:tcPr>
            <w:tcW w:w="993"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182</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180 </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218</w:t>
            </w:r>
          </w:p>
        </w:tc>
      </w:tr>
      <w:tr w:rsidR="00B958B1" w:rsidRPr="00331B21" w:rsidTr="009F3B54">
        <w:trPr>
          <w:cantSplit/>
        </w:trPr>
        <w:tc>
          <w:tcPr>
            <w:tcW w:w="3155" w:type="dxa"/>
            <w:tcBorders>
              <w:top w:val="single" w:sz="6" w:space="0" w:color="auto"/>
              <w:bottom w:val="single" w:sz="6" w:space="0" w:color="auto"/>
            </w:tcBorders>
            <w:shd w:val="clear" w:color="auto" w:fill="auto"/>
          </w:tcPr>
          <w:p w:rsidR="00B958B1" w:rsidRPr="00072ADE" w:rsidRDefault="00B958B1" w:rsidP="009F3B54">
            <w:pPr>
              <w:pStyle w:val="OGTabText"/>
            </w:pPr>
            <w:r w:rsidRPr="00072ADE">
              <w:t xml:space="preserve">Audits completed at mineral and petroleum sites on specific </w:t>
            </w:r>
            <w:r>
              <w:br/>
            </w:r>
            <w:r w:rsidRPr="00072ADE">
              <w:t>high</w:t>
            </w:r>
            <w:r>
              <w:t>–</w:t>
            </w:r>
            <w:r w:rsidRPr="00072ADE">
              <w:t>risk issues</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number</w:t>
            </w:r>
          </w:p>
        </w:tc>
        <w:tc>
          <w:tcPr>
            <w:tcW w:w="907" w:type="dxa"/>
            <w:tcBorders>
              <w:top w:val="single" w:sz="6" w:space="0" w:color="auto"/>
              <w:bottom w:val="single" w:sz="6" w:space="0" w:color="auto"/>
            </w:tcBorders>
            <w:shd w:val="clear" w:color="auto" w:fill="D9D9D9"/>
            <w:noWrap/>
          </w:tcPr>
          <w:p w:rsidR="00B958B1" w:rsidRPr="00331B21" w:rsidRDefault="00B958B1" w:rsidP="009F3B54">
            <w:pPr>
              <w:pStyle w:val="OGTableofFigures"/>
              <w:rPr>
                <w:rFonts w:cs="Calibri"/>
                <w:color w:val="000000"/>
                <w:szCs w:val="20"/>
              </w:rPr>
            </w:pPr>
            <w:r w:rsidRPr="00331B21">
              <w:rPr>
                <w:rFonts w:cs="Calibri"/>
                <w:color w:val="000000"/>
                <w:szCs w:val="20"/>
              </w:rPr>
              <w:t>100</w:t>
            </w:r>
          </w:p>
        </w:tc>
        <w:tc>
          <w:tcPr>
            <w:tcW w:w="993"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100</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100</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101</w:t>
            </w:r>
          </w:p>
        </w:tc>
      </w:tr>
      <w:tr w:rsidR="00B958B1" w:rsidRPr="00331B21" w:rsidTr="009F3B54">
        <w:trPr>
          <w:cantSplit/>
        </w:trPr>
        <w:tc>
          <w:tcPr>
            <w:tcW w:w="3155" w:type="dxa"/>
            <w:tcBorders>
              <w:top w:val="single" w:sz="6" w:space="0" w:color="auto"/>
              <w:bottom w:val="single" w:sz="6" w:space="0" w:color="auto"/>
            </w:tcBorders>
            <w:shd w:val="clear" w:color="auto" w:fill="auto"/>
          </w:tcPr>
          <w:p w:rsidR="00B958B1" w:rsidRPr="00331B21" w:rsidRDefault="00B958B1" w:rsidP="009F3B54">
            <w:pPr>
              <w:pStyle w:val="OGTabText"/>
            </w:pPr>
            <w:r w:rsidRPr="00331B21">
              <w:t>Environmental and compliance audits of critical minerals and petroleum sites completed</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UoM"/>
            </w:pPr>
            <w:r w:rsidRPr="00331B21">
              <w:t>number</w:t>
            </w:r>
          </w:p>
        </w:tc>
        <w:tc>
          <w:tcPr>
            <w:tcW w:w="907" w:type="dxa"/>
            <w:tcBorders>
              <w:top w:val="single" w:sz="6" w:space="0" w:color="auto"/>
              <w:bottom w:val="single" w:sz="6" w:space="0" w:color="auto"/>
            </w:tcBorders>
            <w:shd w:val="clear" w:color="auto" w:fill="D9D9D9" w:themeFill="background1" w:themeFillShade="D9"/>
            <w:noWrap/>
          </w:tcPr>
          <w:p w:rsidR="00B958B1" w:rsidRPr="00331B21" w:rsidRDefault="00B958B1" w:rsidP="009F3B54">
            <w:pPr>
              <w:pStyle w:val="OGTableofFigures"/>
              <w:rPr>
                <w:color w:val="000000"/>
                <w:szCs w:val="20"/>
              </w:rPr>
            </w:pPr>
            <w:r w:rsidRPr="00331B21">
              <w:rPr>
                <w:color w:val="000000"/>
                <w:szCs w:val="20"/>
              </w:rPr>
              <w:t>60</w:t>
            </w:r>
          </w:p>
        </w:tc>
        <w:tc>
          <w:tcPr>
            <w:tcW w:w="993" w:type="dxa"/>
            <w:tcBorders>
              <w:top w:val="single" w:sz="6" w:space="0" w:color="auto"/>
              <w:bottom w:val="single" w:sz="6" w:space="0" w:color="auto"/>
            </w:tcBorders>
            <w:shd w:val="clear" w:color="auto" w:fill="auto"/>
            <w:noWrap/>
          </w:tcPr>
          <w:p w:rsidR="00B958B1" w:rsidRPr="00331B21" w:rsidRDefault="00B958B1" w:rsidP="009F3B54">
            <w:pPr>
              <w:pStyle w:val="OGTableofFigures"/>
              <w:rPr>
                <w:color w:val="000000"/>
                <w:szCs w:val="20"/>
              </w:rPr>
            </w:pPr>
            <w:r w:rsidRPr="00331B21">
              <w:rPr>
                <w:color w:val="000000"/>
                <w:szCs w:val="20"/>
              </w:rPr>
              <w:t>60</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color w:val="000000"/>
                <w:szCs w:val="20"/>
              </w:rPr>
            </w:pPr>
            <w:r w:rsidRPr="00331B21">
              <w:rPr>
                <w:color w:val="000000"/>
                <w:szCs w:val="20"/>
              </w:rPr>
              <w:t>60 </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color w:val="000000"/>
                <w:szCs w:val="20"/>
              </w:rPr>
            </w:pPr>
            <w:r w:rsidRPr="00331B21">
              <w:rPr>
                <w:color w:val="000000"/>
                <w:szCs w:val="20"/>
              </w:rPr>
              <w:t>55</w:t>
            </w:r>
          </w:p>
        </w:tc>
      </w:tr>
      <w:tr w:rsidR="00B958B1" w:rsidRPr="00331B21" w:rsidTr="009F3B54">
        <w:trPr>
          <w:cantSplit/>
        </w:trPr>
        <w:tc>
          <w:tcPr>
            <w:tcW w:w="3155" w:type="dxa"/>
            <w:tcBorders>
              <w:top w:val="single" w:sz="6" w:space="0" w:color="auto"/>
              <w:bottom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Minerals and petroleum licences, permits and authorities administered by DSDBI</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number</w:t>
            </w:r>
          </w:p>
        </w:tc>
        <w:tc>
          <w:tcPr>
            <w:tcW w:w="907" w:type="dxa"/>
            <w:tcBorders>
              <w:top w:val="single" w:sz="6" w:space="0" w:color="auto"/>
              <w:bottom w:val="single" w:sz="6" w:space="0" w:color="auto"/>
            </w:tcBorders>
            <w:shd w:val="clear" w:color="auto" w:fill="D9D9D9" w:themeFill="background1" w:themeFillShade="D9"/>
            <w:noWrap/>
          </w:tcPr>
          <w:p w:rsidR="00B958B1" w:rsidRPr="00331B21" w:rsidRDefault="00B958B1" w:rsidP="009F3B54">
            <w:pPr>
              <w:pStyle w:val="OGTableofFigures"/>
              <w:rPr>
                <w:rFonts w:cs="Calibri"/>
                <w:color w:val="000000"/>
                <w:szCs w:val="20"/>
              </w:rPr>
            </w:pPr>
            <w:r w:rsidRPr="00331B21">
              <w:rPr>
                <w:rFonts w:cs="Calibri"/>
                <w:color w:val="000000"/>
                <w:szCs w:val="20"/>
              </w:rPr>
              <w:t>1</w:t>
            </w:r>
            <w:r>
              <w:rPr>
                <w:rFonts w:cs="Calibri"/>
                <w:color w:val="000000"/>
                <w:szCs w:val="20"/>
              </w:rPr>
              <w:t> </w:t>
            </w:r>
            <w:r w:rsidRPr="00331B21">
              <w:rPr>
                <w:rFonts w:cs="Calibri"/>
                <w:color w:val="000000"/>
                <w:szCs w:val="20"/>
              </w:rPr>
              <w:t>700</w:t>
            </w:r>
          </w:p>
        </w:tc>
        <w:tc>
          <w:tcPr>
            <w:tcW w:w="993"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1</w:t>
            </w:r>
            <w:r>
              <w:rPr>
                <w:rFonts w:cs="Calibri"/>
                <w:color w:val="000000"/>
                <w:szCs w:val="20"/>
              </w:rPr>
              <w:t> </w:t>
            </w:r>
            <w:r w:rsidRPr="00331B21">
              <w:rPr>
                <w:rFonts w:cs="Calibri"/>
                <w:color w:val="000000"/>
                <w:szCs w:val="20"/>
              </w:rPr>
              <w:t>700</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1700</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1</w:t>
            </w:r>
            <w:r>
              <w:rPr>
                <w:rFonts w:cs="Calibri"/>
                <w:color w:val="000000"/>
                <w:szCs w:val="20"/>
              </w:rPr>
              <w:t> </w:t>
            </w:r>
            <w:r w:rsidRPr="00331B21">
              <w:rPr>
                <w:rFonts w:cs="Calibri"/>
                <w:color w:val="000000"/>
                <w:szCs w:val="20"/>
              </w:rPr>
              <w:t>703</w:t>
            </w:r>
          </w:p>
        </w:tc>
      </w:tr>
      <w:tr w:rsidR="00B958B1" w:rsidRPr="00331B21" w:rsidTr="009F3B54">
        <w:trPr>
          <w:cantSplit/>
        </w:trPr>
        <w:tc>
          <w:tcPr>
            <w:tcW w:w="3155" w:type="dxa"/>
            <w:tcBorders>
              <w:top w:val="single" w:sz="6" w:space="0" w:color="auto"/>
              <w:bottom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Technical Review Board to complete the review of stability reports for Latrobe Valley coal mines</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number</w:t>
            </w:r>
          </w:p>
        </w:tc>
        <w:tc>
          <w:tcPr>
            <w:tcW w:w="907" w:type="dxa"/>
            <w:tcBorders>
              <w:top w:val="single" w:sz="6" w:space="0" w:color="auto"/>
              <w:bottom w:val="single" w:sz="6" w:space="0" w:color="auto"/>
            </w:tcBorders>
            <w:shd w:val="clear" w:color="auto" w:fill="D9D9D9"/>
            <w:noWrap/>
          </w:tcPr>
          <w:p w:rsidR="00B958B1" w:rsidRPr="00331B21" w:rsidRDefault="00B958B1" w:rsidP="009F3B54">
            <w:pPr>
              <w:pStyle w:val="OGTableofFigures"/>
              <w:rPr>
                <w:rFonts w:cs="Calibri"/>
                <w:color w:val="000000"/>
                <w:szCs w:val="20"/>
              </w:rPr>
            </w:pPr>
            <w:r w:rsidRPr="00331B21">
              <w:rPr>
                <w:rFonts w:cs="Calibri"/>
                <w:color w:val="000000"/>
                <w:szCs w:val="20"/>
              </w:rPr>
              <w:t>3</w:t>
            </w:r>
          </w:p>
        </w:tc>
        <w:tc>
          <w:tcPr>
            <w:tcW w:w="993"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3</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3</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3</w:t>
            </w:r>
          </w:p>
        </w:tc>
      </w:tr>
      <w:tr w:rsidR="00B958B1" w:rsidRPr="00331B21" w:rsidTr="009F3B54">
        <w:trPr>
          <w:cantSplit/>
        </w:trPr>
        <w:tc>
          <w:tcPr>
            <w:tcW w:w="3155" w:type="dxa"/>
            <w:tcBorders>
              <w:top w:val="single" w:sz="6" w:space="0" w:color="auto"/>
            </w:tcBorders>
            <w:shd w:val="clear" w:color="auto" w:fill="auto"/>
          </w:tcPr>
          <w:p w:rsidR="00B958B1" w:rsidRPr="00331B21" w:rsidRDefault="00B958B1" w:rsidP="009F3B54">
            <w:pPr>
              <w:pStyle w:val="OGTabHead"/>
              <w:rPr>
                <w:lang w:eastAsia="en-AU"/>
              </w:rPr>
            </w:pPr>
            <w:r w:rsidRPr="00331B21">
              <w:rPr>
                <w:lang w:eastAsia="en-AU"/>
              </w:rPr>
              <w:t>Quality</w:t>
            </w:r>
          </w:p>
        </w:tc>
        <w:tc>
          <w:tcPr>
            <w:tcW w:w="907" w:type="dxa"/>
            <w:tcBorders>
              <w:top w:val="single" w:sz="6" w:space="0" w:color="auto"/>
            </w:tcBorders>
            <w:shd w:val="clear" w:color="auto" w:fill="auto"/>
            <w:noWrap/>
          </w:tcPr>
          <w:p w:rsidR="00B958B1" w:rsidRPr="00331B21" w:rsidRDefault="00B958B1" w:rsidP="009F3B54">
            <w:pPr>
              <w:pStyle w:val="OGTabHead"/>
              <w:rPr>
                <w:rFonts w:cs="Calibri"/>
                <w:szCs w:val="20"/>
              </w:rPr>
            </w:pPr>
          </w:p>
        </w:tc>
        <w:tc>
          <w:tcPr>
            <w:tcW w:w="907" w:type="dxa"/>
            <w:tcBorders>
              <w:top w:val="single" w:sz="6" w:space="0" w:color="auto"/>
            </w:tcBorders>
            <w:shd w:val="clear" w:color="auto" w:fill="D9D9D9"/>
            <w:noWrap/>
            <w:vAlign w:val="center"/>
          </w:tcPr>
          <w:p w:rsidR="00B958B1" w:rsidRPr="00331B21" w:rsidRDefault="00B958B1" w:rsidP="009F3B54">
            <w:pPr>
              <w:pStyle w:val="OGTabHead"/>
              <w:rPr>
                <w:rFonts w:cs="Calibri"/>
              </w:rPr>
            </w:pPr>
          </w:p>
        </w:tc>
        <w:tc>
          <w:tcPr>
            <w:tcW w:w="993" w:type="dxa"/>
            <w:tcBorders>
              <w:top w:val="single" w:sz="6" w:space="0" w:color="auto"/>
            </w:tcBorders>
            <w:shd w:val="clear" w:color="auto" w:fill="auto"/>
            <w:noWrap/>
            <w:vAlign w:val="center"/>
          </w:tcPr>
          <w:p w:rsidR="00B958B1" w:rsidRPr="00331B21" w:rsidRDefault="00B958B1" w:rsidP="009F3B54">
            <w:pPr>
              <w:pStyle w:val="OGTabHead"/>
              <w:rPr>
                <w:rFonts w:cs="Calibri"/>
              </w:rPr>
            </w:pPr>
          </w:p>
        </w:tc>
        <w:tc>
          <w:tcPr>
            <w:tcW w:w="907" w:type="dxa"/>
            <w:tcBorders>
              <w:top w:val="single" w:sz="6" w:space="0" w:color="auto"/>
            </w:tcBorders>
            <w:shd w:val="clear" w:color="auto" w:fill="auto"/>
            <w:noWrap/>
            <w:vAlign w:val="center"/>
          </w:tcPr>
          <w:p w:rsidR="00B958B1" w:rsidRPr="00331B21" w:rsidRDefault="00B958B1" w:rsidP="009F3B54">
            <w:pPr>
              <w:pStyle w:val="OGTabHead"/>
              <w:rPr>
                <w:rFonts w:cs="Calibri"/>
              </w:rPr>
            </w:pPr>
          </w:p>
        </w:tc>
        <w:tc>
          <w:tcPr>
            <w:tcW w:w="907" w:type="dxa"/>
            <w:tcBorders>
              <w:top w:val="single" w:sz="6" w:space="0" w:color="auto"/>
            </w:tcBorders>
            <w:shd w:val="clear" w:color="auto" w:fill="auto"/>
            <w:noWrap/>
            <w:vAlign w:val="center"/>
          </w:tcPr>
          <w:p w:rsidR="00B958B1" w:rsidRPr="00331B21" w:rsidRDefault="00B958B1" w:rsidP="009F3B54">
            <w:pPr>
              <w:pStyle w:val="OGTabHead"/>
              <w:rPr>
                <w:rFonts w:cs="Calibri"/>
              </w:rPr>
            </w:pPr>
          </w:p>
        </w:tc>
      </w:tr>
      <w:tr w:rsidR="00B958B1" w:rsidRPr="00331B21" w:rsidTr="009F3B54">
        <w:trPr>
          <w:cantSplit/>
        </w:trPr>
        <w:tc>
          <w:tcPr>
            <w:tcW w:w="3155" w:type="dxa"/>
            <w:tcBorders>
              <w:bottom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Proportion of minerals and petroleum publications and packages requiring post</w:t>
            </w:r>
            <w:r w:rsidR="009F0F49">
              <w:rPr>
                <w:color w:val="000000"/>
                <w:lang w:eastAsia="en-AU"/>
              </w:rPr>
              <w:noBreakHyphen/>
            </w:r>
            <w:r w:rsidRPr="00331B21">
              <w:rPr>
                <w:color w:val="000000"/>
                <w:lang w:eastAsia="en-AU"/>
              </w:rPr>
              <w:t>release correction or recall</w:t>
            </w:r>
          </w:p>
        </w:tc>
        <w:tc>
          <w:tcPr>
            <w:tcW w:w="907" w:type="dxa"/>
            <w:tcBorders>
              <w:bottom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per cent</w:t>
            </w:r>
          </w:p>
        </w:tc>
        <w:tc>
          <w:tcPr>
            <w:tcW w:w="907" w:type="dxa"/>
            <w:tcBorders>
              <w:bottom w:val="single" w:sz="6" w:space="0" w:color="auto"/>
            </w:tcBorders>
            <w:shd w:val="clear" w:color="auto" w:fill="D9D9D9"/>
            <w:noWrap/>
          </w:tcPr>
          <w:p w:rsidR="00B958B1" w:rsidRPr="00331B21" w:rsidRDefault="00B958B1" w:rsidP="009F3B54">
            <w:pPr>
              <w:pStyle w:val="OGTableofFigures"/>
              <w:rPr>
                <w:rFonts w:cs="Calibri"/>
                <w:szCs w:val="20"/>
              </w:rPr>
            </w:pPr>
            <w:r w:rsidRPr="00331B21">
              <w:rPr>
                <w:rFonts w:cs="Calibri"/>
                <w:color w:val="000000"/>
                <w:szCs w:val="20"/>
              </w:rPr>
              <w:t>&lt;</w:t>
            </w:r>
            <w:r>
              <w:rPr>
                <w:rFonts w:cs="Calibri"/>
                <w:color w:val="000000"/>
                <w:szCs w:val="20"/>
              </w:rPr>
              <w:t> </w:t>
            </w:r>
            <w:r w:rsidRPr="00331B21">
              <w:rPr>
                <w:rFonts w:cs="Calibri"/>
                <w:color w:val="000000"/>
                <w:szCs w:val="20"/>
              </w:rPr>
              <w:t>5</w:t>
            </w:r>
          </w:p>
        </w:tc>
        <w:tc>
          <w:tcPr>
            <w:tcW w:w="993" w:type="dxa"/>
            <w:tcBorders>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&lt;</w:t>
            </w:r>
            <w:r>
              <w:rPr>
                <w:rFonts w:cs="Calibri"/>
                <w:color w:val="000000"/>
                <w:szCs w:val="20"/>
              </w:rPr>
              <w:t> </w:t>
            </w:r>
            <w:r w:rsidRPr="00331B21">
              <w:rPr>
                <w:rFonts w:cs="Calibri"/>
                <w:color w:val="000000"/>
                <w:szCs w:val="20"/>
              </w:rPr>
              <w:t>5</w:t>
            </w:r>
          </w:p>
        </w:tc>
        <w:tc>
          <w:tcPr>
            <w:tcW w:w="907" w:type="dxa"/>
            <w:tcBorders>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&lt;</w:t>
            </w:r>
            <w:r>
              <w:rPr>
                <w:rFonts w:cs="Calibri"/>
                <w:color w:val="000000"/>
                <w:szCs w:val="20"/>
              </w:rPr>
              <w:t> </w:t>
            </w:r>
            <w:r w:rsidRPr="00331B21">
              <w:rPr>
                <w:rFonts w:cs="Calibri"/>
                <w:color w:val="000000"/>
                <w:szCs w:val="20"/>
              </w:rPr>
              <w:t>5</w:t>
            </w:r>
          </w:p>
        </w:tc>
        <w:tc>
          <w:tcPr>
            <w:tcW w:w="907" w:type="dxa"/>
            <w:tcBorders>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0</w:t>
            </w:r>
          </w:p>
        </w:tc>
      </w:tr>
      <w:tr w:rsidR="00B958B1" w:rsidRPr="00331B21" w:rsidTr="009F3B54">
        <w:trPr>
          <w:cantSplit/>
        </w:trPr>
        <w:tc>
          <w:tcPr>
            <w:tcW w:w="3155" w:type="dxa"/>
            <w:tcBorders>
              <w:top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Exploration and mining licences which are not active</w:t>
            </w:r>
          </w:p>
        </w:tc>
        <w:tc>
          <w:tcPr>
            <w:tcW w:w="907" w:type="dxa"/>
            <w:tcBorders>
              <w:top w:val="single" w:sz="6" w:space="0" w:color="auto"/>
            </w:tcBorders>
            <w:shd w:val="clear" w:color="auto" w:fill="auto"/>
            <w:noWrap/>
          </w:tcPr>
          <w:p w:rsidR="00B958B1" w:rsidRPr="00DB7B15" w:rsidRDefault="00B958B1" w:rsidP="009F3B54">
            <w:pPr>
              <w:pStyle w:val="OGUoM"/>
              <w:rPr>
                <w:rFonts w:cs="Calibri"/>
                <w:color w:val="000000"/>
                <w:szCs w:val="20"/>
              </w:rPr>
            </w:pPr>
            <w:r w:rsidRPr="00331B21">
              <w:rPr>
                <w:rFonts w:cs="Calibri"/>
                <w:color w:val="000000"/>
                <w:szCs w:val="20"/>
              </w:rPr>
              <w:t>per cent</w:t>
            </w:r>
          </w:p>
        </w:tc>
        <w:tc>
          <w:tcPr>
            <w:tcW w:w="907" w:type="dxa"/>
            <w:tcBorders>
              <w:top w:val="single" w:sz="6" w:space="0" w:color="auto"/>
            </w:tcBorders>
            <w:shd w:val="clear" w:color="auto" w:fill="D9D9D9"/>
            <w:noWrap/>
          </w:tcPr>
          <w:p w:rsidR="00B958B1" w:rsidRPr="00331B21" w:rsidRDefault="00B958B1" w:rsidP="009F3B54">
            <w:pPr>
              <w:pStyle w:val="OGTableofFigures"/>
              <w:rPr>
                <w:rFonts w:cs="Calibri"/>
                <w:color w:val="000000"/>
                <w:szCs w:val="20"/>
              </w:rPr>
            </w:pPr>
            <w:r w:rsidRPr="00331B21">
              <w:rPr>
                <w:rFonts w:cs="Calibri"/>
                <w:color w:val="000000"/>
                <w:szCs w:val="20"/>
              </w:rPr>
              <w:t>&lt;</w:t>
            </w:r>
            <w:r>
              <w:rPr>
                <w:rFonts w:cs="Calibri"/>
                <w:color w:val="000000"/>
                <w:szCs w:val="20"/>
              </w:rPr>
              <w:t> </w:t>
            </w:r>
            <w:r w:rsidRPr="00331B21">
              <w:rPr>
                <w:rFonts w:cs="Calibri"/>
                <w:color w:val="000000"/>
                <w:szCs w:val="20"/>
              </w:rPr>
              <w:t>17.5</w:t>
            </w:r>
          </w:p>
        </w:tc>
        <w:tc>
          <w:tcPr>
            <w:tcW w:w="993" w:type="dxa"/>
            <w:tcBorders>
              <w:top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&lt;</w:t>
            </w:r>
            <w:r>
              <w:rPr>
                <w:rFonts w:cs="Calibri"/>
                <w:color w:val="000000"/>
                <w:szCs w:val="20"/>
              </w:rPr>
              <w:t> </w:t>
            </w:r>
            <w:r w:rsidRPr="00331B21">
              <w:rPr>
                <w:rFonts w:cs="Calibri"/>
                <w:color w:val="000000"/>
                <w:szCs w:val="20"/>
              </w:rPr>
              <w:t>20</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&lt;</w:t>
            </w:r>
            <w:r>
              <w:rPr>
                <w:rFonts w:cs="Calibri"/>
                <w:color w:val="000000"/>
                <w:szCs w:val="20"/>
              </w:rPr>
              <w:t> </w:t>
            </w:r>
            <w:r w:rsidRPr="00331B21">
              <w:rPr>
                <w:rFonts w:cs="Calibri"/>
                <w:color w:val="000000"/>
                <w:szCs w:val="20"/>
              </w:rPr>
              <w:t>20</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15</w:t>
            </w:r>
          </w:p>
        </w:tc>
      </w:tr>
      <w:tr w:rsidR="00B958B1" w:rsidRPr="00331B21" w:rsidTr="009F3B54">
        <w:trPr>
          <w:cantSplit/>
        </w:trPr>
        <w:tc>
          <w:tcPr>
            <w:tcW w:w="7776" w:type="dxa"/>
            <w:gridSpan w:val="6"/>
            <w:tcBorders>
              <w:bottom w:val="single" w:sz="6" w:space="0" w:color="auto"/>
            </w:tcBorders>
            <w:shd w:val="clear" w:color="auto" w:fill="auto"/>
          </w:tcPr>
          <w:p w:rsidR="00B958B1" w:rsidRPr="00331B21" w:rsidRDefault="00B958B1" w:rsidP="009F3B54">
            <w:pPr>
              <w:pStyle w:val="OGNotes"/>
              <w:rPr>
                <w:rFonts w:cs="Calibri"/>
              </w:rPr>
            </w:pPr>
            <w:r w:rsidRPr="00331B21">
              <w:t>The amended 2013</w:t>
            </w:r>
            <w:r w:rsidR="009F0F49">
              <w:noBreakHyphen/>
            </w:r>
            <w:r w:rsidRPr="00331B21">
              <w:t>14 Target reflects the contribution of the Strengthening Our Earth Resources Sector initiative to this performance measure.</w:t>
            </w:r>
          </w:p>
        </w:tc>
      </w:tr>
      <w:tr w:rsidR="00B958B1" w:rsidRPr="00331B21" w:rsidTr="009F3B54">
        <w:trPr>
          <w:cantSplit/>
        </w:trPr>
        <w:tc>
          <w:tcPr>
            <w:tcW w:w="3155" w:type="dxa"/>
            <w:tcBorders>
              <w:top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Number of mine stability audits</w:t>
            </w:r>
          </w:p>
        </w:tc>
        <w:tc>
          <w:tcPr>
            <w:tcW w:w="907" w:type="dxa"/>
            <w:tcBorders>
              <w:top w:val="single" w:sz="6" w:space="0" w:color="auto"/>
            </w:tcBorders>
            <w:shd w:val="clear" w:color="auto" w:fill="auto"/>
            <w:noWrap/>
          </w:tcPr>
          <w:p w:rsidR="00B958B1" w:rsidRPr="00C56DE1" w:rsidRDefault="00B958B1" w:rsidP="009F3B54">
            <w:pPr>
              <w:pStyle w:val="OGUoM"/>
              <w:rPr>
                <w:rFonts w:cs="Calibri"/>
                <w:color w:val="000000"/>
                <w:szCs w:val="20"/>
              </w:rPr>
            </w:pPr>
            <w:r>
              <w:rPr>
                <w:rFonts w:cs="Calibri"/>
                <w:color w:val="000000"/>
                <w:szCs w:val="20"/>
              </w:rPr>
              <w:t>number</w:t>
            </w:r>
          </w:p>
        </w:tc>
        <w:tc>
          <w:tcPr>
            <w:tcW w:w="907" w:type="dxa"/>
            <w:tcBorders>
              <w:top w:val="single" w:sz="6" w:space="0" w:color="auto"/>
            </w:tcBorders>
            <w:shd w:val="clear" w:color="auto" w:fill="D9D9D9"/>
            <w:noWrap/>
          </w:tcPr>
          <w:p w:rsidR="00B958B1" w:rsidRPr="00331B21" w:rsidRDefault="00B958B1" w:rsidP="009F3B54">
            <w:pPr>
              <w:pStyle w:val="OGTableofFigures"/>
              <w:rPr>
                <w:rFonts w:cs="Calibri"/>
                <w:color w:val="000000"/>
                <w:szCs w:val="20"/>
              </w:rPr>
            </w:pPr>
            <w:r w:rsidRPr="00331B21">
              <w:rPr>
                <w:rFonts w:cs="Calibri"/>
                <w:color w:val="000000"/>
                <w:szCs w:val="20"/>
              </w:rPr>
              <w:t>3</w:t>
            </w:r>
          </w:p>
        </w:tc>
        <w:tc>
          <w:tcPr>
            <w:tcW w:w="993" w:type="dxa"/>
            <w:tcBorders>
              <w:top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nm</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nm</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color w:val="000000"/>
                <w:szCs w:val="20"/>
              </w:rPr>
            </w:pPr>
            <w:r w:rsidRPr="00331B21">
              <w:rPr>
                <w:rFonts w:cs="Calibri"/>
                <w:color w:val="000000"/>
                <w:szCs w:val="20"/>
              </w:rPr>
              <w:t>nm</w:t>
            </w:r>
          </w:p>
        </w:tc>
      </w:tr>
      <w:tr w:rsidR="00B958B1" w:rsidRPr="00331B21" w:rsidTr="009F3B54">
        <w:trPr>
          <w:cantSplit/>
        </w:trPr>
        <w:tc>
          <w:tcPr>
            <w:tcW w:w="7776" w:type="dxa"/>
            <w:gridSpan w:val="6"/>
            <w:tcBorders>
              <w:bottom w:val="single" w:sz="6" w:space="0" w:color="auto"/>
            </w:tcBorders>
            <w:shd w:val="clear" w:color="auto" w:fill="auto"/>
          </w:tcPr>
          <w:p w:rsidR="00B958B1" w:rsidRPr="00331B21" w:rsidRDefault="00B958B1" w:rsidP="009F3B54">
            <w:pPr>
              <w:pStyle w:val="OGNotes"/>
            </w:pPr>
            <w:r w:rsidRPr="00331B21">
              <w:t>New performance measure for 2013</w:t>
            </w:r>
            <w:r w:rsidR="009F0F49">
              <w:noBreakHyphen/>
            </w:r>
            <w:r w:rsidRPr="00331B21">
              <w:t>14 to reflect the Mine Stability initiative.</w:t>
            </w:r>
          </w:p>
        </w:tc>
      </w:tr>
      <w:tr w:rsidR="00B958B1" w:rsidRPr="00331B21" w:rsidTr="009F3B54">
        <w:trPr>
          <w:cantSplit/>
        </w:trPr>
        <w:tc>
          <w:tcPr>
            <w:tcW w:w="3155" w:type="dxa"/>
            <w:tcBorders>
              <w:top w:val="single" w:sz="6" w:space="0" w:color="auto"/>
            </w:tcBorders>
            <w:shd w:val="clear" w:color="auto" w:fill="auto"/>
          </w:tcPr>
          <w:p w:rsidR="00B958B1" w:rsidRPr="00331B21" w:rsidRDefault="00B958B1" w:rsidP="009F3B54">
            <w:pPr>
              <w:pStyle w:val="OGTabHead"/>
              <w:rPr>
                <w:lang w:eastAsia="en-AU"/>
              </w:rPr>
            </w:pPr>
            <w:r w:rsidRPr="00331B21">
              <w:rPr>
                <w:lang w:eastAsia="en-AU"/>
              </w:rPr>
              <w:t>Timeliness</w:t>
            </w:r>
          </w:p>
        </w:tc>
        <w:tc>
          <w:tcPr>
            <w:tcW w:w="907" w:type="dxa"/>
            <w:tcBorders>
              <w:top w:val="single" w:sz="6" w:space="0" w:color="auto"/>
            </w:tcBorders>
            <w:shd w:val="clear" w:color="auto" w:fill="auto"/>
          </w:tcPr>
          <w:p w:rsidR="00B958B1" w:rsidRPr="00331B21" w:rsidRDefault="00B958B1" w:rsidP="009F3B54">
            <w:pPr>
              <w:pStyle w:val="OGTabHead"/>
              <w:rPr>
                <w:lang w:eastAsia="en-AU"/>
              </w:rPr>
            </w:pPr>
          </w:p>
        </w:tc>
        <w:tc>
          <w:tcPr>
            <w:tcW w:w="907" w:type="dxa"/>
            <w:tcBorders>
              <w:top w:val="single" w:sz="6" w:space="0" w:color="auto"/>
            </w:tcBorders>
            <w:shd w:val="clear" w:color="auto" w:fill="D9D9D9"/>
          </w:tcPr>
          <w:p w:rsidR="00B958B1" w:rsidRPr="00331B21" w:rsidRDefault="00B958B1" w:rsidP="009F3B54">
            <w:pPr>
              <w:pStyle w:val="OGTabHead"/>
              <w:rPr>
                <w:lang w:eastAsia="en-AU"/>
              </w:rPr>
            </w:pPr>
          </w:p>
        </w:tc>
        <w:tc>
          <w:tcPr>
            <w:tcW w:w="993" w:type="dxa"/>
            <w:tcBorders>
              <w:top w:val="single" w:sz="6" w:space="0" w:color="auto"/>
            </w:tcBorders>
            <w:shd w:val="clear" w:color="auto" w:fill="auto"/>
          </w:tcPr>
          <w:p w:rsidR="00B958B1" w:rsidRPr="00331B21" w:rsidRDefault="00B958B1" w:rsidP="009F3B54">
            <w:pPr>
              <w:pStyle w:val="OGTabHead"/>
              <w:rPr>
                <w:lang w:eastAsia="en-AU"/>
              </w:rPr>
            </w:pPr>
          </w:p>
        </w:tc>
        <w:tc>
          <w:tcPr>
            <w:tcW w:w="907" w:type="dxa"/>
            <w:tcBorders>
              <w:top w:val="single" w:sz="6" w:space="0" w:color="auto"/>
            </w:tcBorders>
            <w:shd w:val="clear" w:color="auto" w:fill="auto"/>
          </w:tcPr>
          <w:p w:rsidR="00B958B1" w:rsidRPr="00331B21" w:rsidRDefault="00B958B1" w:rsidP="009F3B54">
            <w:pPr>
              <w:pStyle w:val="OGTabHead"/>
              <w:rPr>
                <w:lang w:eastAsia="en-AU"/>
              </w:rPr>
            </w:pPr>
          </w:p>
        </w:tc>
        <w:tc>
          <w:tcPr>
            <w:tcW w:w="907" w:type="dxa"/>
            <w:tcBorders>
              <w:top w:val="single" w:sz="6" w:space="0" w:color="auto"/>
            </w:tcBorders>
            <w:shd w:val="clear" w:color="auto" w:fill="auto"/>
          </w:tcPr>
          <w:p w:rsidR="00B958B1" w:rsidRPr="00331B21" w:rsidRDefault="00B958B1" w:rsidP="009F3B54">
            <w:pPr>
              <w:pStyle w:val="OGTabHead"/>
              <w:rPr>
                <w:lang w:eastAsia="en-AU"/>
              </w:rPr>
            </w:pPr>
          </w:p>
        </w:tc>
      </w:tr>
      <w:tr w:rsidR="00B958B1" w:rsidRPr="00331B21" w:rsidTr="009F3B54">
        <w:trPr>
          <w:cantSplit/>
        </w:trPr>
        <w:tc>
          <w:tcPr>
            <w:tcW w:w="3155" w:type="dxa"/>
            <w:tcBorders>
              <w:bottom w:val="single" w:sz="6" w:space="0" w:color="auto"/>
            </w:tcBorders>
            <w:shd w:val="clear" w:color="auto" w:fill="auto"/>
          </w:tcPr>
          <w:p w:rsidR="00B958B1" w:rsidRPr="00331B21" w:rsidRDefault="00B958B1" w:rsidP="009F3B54">
            <w:pPr>
              <w:pStyle w:val="OGTabText"/>
              <w:rPr>
                <w:lang w:eastAsia="en-AU"/>
              </w:rPr>
            </w:pPr>
            <w:r w:rsidRPr="00331B21">
              <w:rPr>
                <w:color w:val="000000"/>
                <w:lang w:eastAsia="en-AU"/>
              </w:rPr>
              <w:t xml:space="preserve">Delivery of milestones facilitated in line with grant agreements for the brown coal </w:t>
            </w:r>
            <w:r>
              <w:rPr>
                <w:color w:val="000000"/>
                <w:lang w:eastAsia="en-AU"/>
              </w:rPr>
              <w:t>research and development</w:t>
            </w:r>
            <w:r w:rsidRPr="00331B21">
              <w:rPr>
                <w:color w:val="000000"/>
                <w:lang w:eastAsia="en-AU"/>
              </w:rPr>
              <w:t xml:space="preserve"> grants that form part of the Energy Technology Innovation Strategy initiative</w:t>
            </w:r>
          </w:p>
        </w:tc>
        <w:tc>
          <w:tcPr>
            <w:tcW w:w="907" w:type="dxa"/>
            <w:tcBorders>
              <w:bottom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per cent</w:t>
            </w:r>
          </w:p>
        </w:tc>
        <w:tc>
          <w:tcPr>
            <w:tcW w:w="907" w:type="dxa"/>
            <w:tcBorders>
              <w:bottom w:val="single" w:sz="6" w:space="0" w:color="auto"/>
            </w:tcBorders>
            <w:shd w:val="clear" w:color="auto" w:fill="D9D9D9"/>
            <w:noWrap/>
          </w:tcPr>
          <w:p w:rsidR="00B958B1" w:rsidRPr="00331B21" w:rsidRDefault="00B958B1" w:rsidP="009F3B54">
            <w:pPr>
              <w:pStyle w:val="OGTableofFigures"/>
              <w:rPr>
                <w:rFonts w:cs="Calibri"/>
                <w:szCs w:val="20"/>
              </w:rPr>
            </w:pPr>
            <w:r w:rsidRPr="00331B21">
              <w:rPr>
                <w:rFonts w:cs="Calibri"/>
                <w:color w:val="000000"/>
                <w:szCs w:val="20"/>
              </w:rPr>
              <w:t>100</w:t>
            </w:r>
          </w:p>
        </w:tc>
        <w:tc>
          <w:tcPr>
            <w:tcW w:w="993" w:type="dxa"/>
            <w:tcBorders>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100</w:t>
            </w:r>
          </w:p>
        </w:tc>
        <w:tc>
          <w:tcPr>
            <w:tcW w:w="907" w:type="dxa"/>
            <w:tcBorders>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100</w:t>
            </w:r>
          </w:p>
        </w:tc>
        <w:tc>
          <w:tcPr>
            <w:tcW w:w="907" w:type="dxa"/>
            <w:tcBorders>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100</w:t>
            </w:r>
          </w:p>
        </w:tc>
      </w:tr>
      <w:tr w:rsidR="00B958B1" w:rsidRPr="00331B21" w:rsidTr="009F3B54">
        <w:trPr>
          <w:cantSplit/>
        </w:trPr>
        <w:tc>
          <w:tcPr>
            <w:tcW w:w="3155" w:type="dxa"/>
            <w:tcBorders>
              <w:top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Delivery of key milestones in line with the Facilitating Low Emission Transition approved project plan</w:t>
            </w:r>
          </w:p>
        </w:tc>
        <w:tc>
          <w:tcPr>
            <w:tcW w:w="907" w:type="dxa"/>
            <w:tcBorders>
              <w:top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per cent</w:t>
            </w:r>
          </w:p>
        </w:tc>
        <w:tc>
          <w:tcPr>
            <w:tcW w:w="907" w:type="dxa"/>
            <w:tcBorders>
              <w:top w:val="single" w:sz="6" w:space="0" w:color="auto"/>
            </w:tcBorders>
            <w:shd w:val="clear" w:color="auto" w:fill="D9D9D9"/>
            <w:noWrap/>
          </w:tcPr>
          <w:p w:rsidR="00B958B1" w:rsidRPr="00331B21" w:rsidRDefault="00B958B1" w:rsidP="009F3B54">
            <w:pPr>
              <w:pStyle w:val="OGTableofFigures"/>
              <w:rPr>
                <w:rFonts w:cs="Calibri"/>
                <w:szCs w:val="20"/>
              </w:rPr>
            </w:pPr>
            <w:r w:rsidRPr="00331B21">
              <w:rPr>
                <w:rFonts w:cs="Calibri"/>
                <w:color w:val="000000"/>
                <w:szCs w:val="20"/>
              </w:rPr>
              <w:t>100</w:t>
            </w:r>
          </w:p>
        </w:tc>
        <w:tc>
          <w:tcPr>
            <w:tcW w:w="993"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50</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100</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nm</w:t>
            </w:r>
          </w:p>
        </w:tc>
      </w:tr>
      <w:tr w:rsidR="00B958B1" w:rsidRPr="00331B21" w:rsidTr="009F3B54">
        <w:trPr>
          <w:cantSplit/>
        </w:trPr>
        <w:tc>
          <w:tcPr>
            <w:tcW w:w="7776" w:type="dxa"/>
            <w:gridSpan w:val="6"/>
            <w:tcBorders>
              <w:bottom w:val="single" w:sz="6" w:space="0" w:color="auto"/>
            </w:tcBorders>
            <w:shd w:val="clear" w:color="auto" w:fill="auto"/>
          </w:tcPr>
          <w:p w:rsidR="00B958B1" w:rsidRPr="00331B21" w:rsidRDefault="00B958B1" w:rsidP="009F3B54">
            <w:pPr>
              <w:pStyle w:val="OGNotes"/>
              <w:rPr>
                <w:color w:val="000000"/>
              </w:rPr>
            </w:pPr>
            <w:r w:rsidRPr="00331B21">
              <w:t>The 2012</w:t>
            </w:r>
            <w:r w:rsidR="009F0F49">
              <w:noBreakHyphen/>
            </w:r>
            <w:r w:rsidRPr="00331B21">
              <w:t>13 Expected Outcome is lower than the 2012</w:t>
            </w:r>
            <w:r w:rsidR="009F0F49">
              <w:noBreakHyphen/>
            </w:r>
            <w:r w:rsidRPr="00331B21">
              <w:t>13 Target due to the impact of the cessation of the Commonwealth Government's Contract for Closure program.</w:t>
            </w:r>
          </w:p>
        </w:tc>
      </w:tr>
      <w:tr w:rsidR="00B958B1" w:rsidRPr="00331B21" w:rsidTr="009F3B54">
        <w:trPr>
          <w:cantSplit/>
        </w:trPr>
        <w:tc>
          <w:tcPr>
            <w:tcW w:w="3155" w:type="dxa"/>
            <w:tcBorders>
              <w:top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Facilitate delivery of milestones in line with grant agreements for the large</w:t>
            </w:r>
            <w:r w:rsidR="009F0F49">
              <w:rPr>
                <w:color w:val="000000"/>
                <w:lang w:eastAsia="en-AU"/>
              </w:rPr>
              <w:noBreakHyphen/>
            </w:r>
            <w:r w:rsidRPr="00331B21">
              <w:rPr>
                <w:color w:val="000000"/>
                <w:lang w:eastAsia="en-AU"/>
              </w:rPr>
              <w:t>scale Carbon Capture and Storage demonstration program</w:t>
            </w:r>
          </w:p>
        </w:tc>
        <w:tc>
          <w:tcPr>
            <w:tcW w:w="907" w:type="dxa"/>
            <w:tcBorders>
              <w:top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per cent</w:t>
            </w:r>
          </w:p>
        </w:tc>
        <w:tc>
          <w:tcPr>
            <w:tcW w:w="907" w:type="dxa"/>
            <w:tcBorders>
              <w:top w:val="single" w:sz="6" w:space="0" w:color="auto"/>
            </w:tcBorders>
            <w:shd w:val="clear" w:color="auto" w:fill="D9D9D9"/>
            <w:noWrap/>
          </w:tcPr>
          <w:p w:rsidR="00B958B1" w:rsidRPr="00331B21" w:rsidRDefault="00B958B1" w:rsidP="009F3B54">
            <w:pPr>
              <w:pStyle w:val="OGTableofFigures"/>
              <w:rPr>
                <w:rFonts w:cs="Calibri"/>
                <w:szCs w:val="20"/>
              </w:rPr>
            </w:pPr>
            <w:r w:rsidRPr="00331B21">
              <w:rPr>
                <w:rFonts w:cs="Calibri"/>
                <w:color w:val="000000"/>
                <w:szCs w:val="20"/>
              </w:rPr>
              <w:t>100</w:t>
            </w:r>
          </w:p>
        </w:tc>
        <w:tc>
          <w:tcPr>
            <w:tcW w:w="993"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0</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100 </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100</w:t>
            </w:r>
          </w:p>
        </w:tc>
      </w:tr>
      <w:tr w:rsidR="00B958B1" w:rsidRPr="00331B21" w:rsidTr="009F3B54">
        <w:trPr>
          <w:cantSplit/>
        </w:trPr>
        <w:tc>
          <w:tcPr>
            <w:tcW w:w="7776" w:type="dxa"/>
            <w:gridSpan w:val="6"/>
            <w:tcBorders>
              <w:bottom w:val="single" w:sz="6" w:space="0" w:color="auto"/>
            </w:tcBorders>
            <w:shd w:val="clear" w:color="auto" w:fill="auto"/>
          </w:tcPr>
          <w:p w:rsidR="00B958B1" w:rsidRPr="00331B21" w:rsidRDefault="00B958B1" w:rsidP="009F3B54">
            <w:pPr>
              <w:pStyle w:val="OGNotes"/>
              <w:rPr>
                <w:color w:val="000000"/>
              </w:rPr>
            </w:pPr>
            <w:r w:rsidRPr="00331B21">
              <w:t>The 2012</w:t>
            </w:r>
            <w:r w:rsidR="009F0F49">
              <w:noBreakHyphen/>
            </w:r>
            <w:r w:rsidRPr="00331B21">
              <w:t>13 Expected Outcome is lower than the 2012</w:t>
            </w:r>
            <w:r w:rsidR="009F0F49">
              <w:noBreakHyphen/>
            </w:r>
            <w:r w:rsidRPr="00331B21">
              <w:t>13 Target as the pathway forward for the next stage of the program is yet to be finalised following the completion of feasibility studies for the initial phase of the program.</w:t>
            </w:r>
          </w:p>
        </w:tc>
      </w:tr>
      <w:tr w:rsidR="00B958B1" w:rsidRPr="00331B21" w:rsidTr="009F3B54">
        <w:trPr>
          <w:cantSplit/>
        </w:trPr>
        <w:tc>
          <w:tcPr>
            <w:tcW w:w="3155" w:type="dxa"/>
            <w:tcBorders>
              <w:top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Facilitate delivery of milestones in line with grant agreements for Energy Technology Innovation Strategy Sustainable Energy programs</w:t>
            </w:r>
          </w:p>
        </w:tc>
        <w:tc>
          <w:tcPr>
            <w:tcW w:w="907" w:type="dxa"/>
            <w:tcBorders>
              <w:top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per cent</w:t>
            </w:r>
          </w:p>
        </w:tc>
        <w:tc>
          <w:tcPr>
            <w:tcW w:w="907" w:type="dxa"/>
            <w:tcBorders>
              <w:top w:val="single" w:sz="6" w:space="0" w:color="auto"/>
            </w:tcBorders>
            <w:shd w:val="clear" w:color="auto" w:fill="D9D9D9"/>
            <w:noWrap/>
          </w:tcPr>
          <w:p w:rsidR="00B958B1" w:rsidRPr="00331B21" w:rsidRDefault="00B958B1" w:rsidP="009F3B54">
            <w:pPr>
              <w:pStyle w:val="OGTableofFigures"/>
              <w:rPr>
                <w:rFonts w:cs="Calibri"/>
                <w:szCs w:val="20"/>
              </w:rPr>
            </w:pPr>
            <w:r w:rsidRPr="00331B21">
              <w:rPr>
                <w:rFonts w:cs="Calibri"/>
                <w:color w:val="000000"/>
                <w:szCs w:val="20"/>
              </w:rPr>
              <w:t>100</w:t>
            </w:r>
          </w:p>
        </w:tc>
        <w:tc>
          <w:tcPr>
            <w:tcW w:w="993"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100</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100 </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100</w:t>
            </w:r>
          </w:p>
        </w:tc>
      </w:tr>
      <w:tr w:rsidR="00B958B1" w:rsidRPr="00331B21" w:rsidTr="009F3B54">
        <w:trPr>
          <w:cantSplit/>
        </w:trPr>
        <w:tc>
          <w:tcPr>
            <w:tcW w:w="3155" w:type="dxa"/>
            <w:tcBorders>
              <w:top w:val="single" w:sz="4" w:space="0" w:color="auto"/>
              <w:bottom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Submissions to Environment Effects Statements (EES) for earth resource proposals completed according to ESS panel timelines</w:t>
            </w:r>
          </w:p>
        </w:tc>
        <w:tc>
          <w:tcPr>
            <w:tcW w:w="907" w:type="dxa"/>
            <w:tcBorders>
              <w:top w:val="single" w:sz="4" w:space="0" w:color="auto"/>
              <w:bottom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per cent</w:t>
            </w:r>
          </w:p>
        </w:tc>
        <w:tc>
          <w:tcPr>
            <w:tcW w:w="907" w:type="dxa"/>
            <w:tcBorders>
              <w:top w:val="single" w:sz="4" w:space="0" w:color="auto"/>
              <w:bottom w:val="single" w:sz="6" w:space="0" w:color="auto"/>
            </w:tcBorders>
            <w:shd w:val="clear" w:color="auto" w:fill="D9D9D9"/>
            <w:noWrap/>
          </w:tcPr>
          <w:p w:rsidR="00B958B1" w:rsidRPr="00331B21" w:rsidRDefault="00B958B1" w:rsidP="009F3B54">
            <w:pPr>
              <w:pStyle w:val="OGTableofFigures"/>
              <w:rPr>
                <w:rFonts w:cs="Calibri"/>
                <w:szCs w:val="20"/>
              </w:rPr>
            </w:pPr>
            <w:r w:rsidRPr="00331B21">
              <w:rPr>
                <w:rFonts w:cs="Calibri"/>
                <w:color w:val="000000"/>
                <w:szCs w:val="20"/>
              </w:rPr>
              <w:t>100</w:t>
            </w:r>
          </w:p>
        </w:tc>
        <w:tc>
          <w:tcPr>
            <w:tcW w:w="993" w:type="dxa"/>
            <w:tcBorders>
              <w:top w:val="single" w:sz="4" w:space="0" w:color="auto"/>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100</w:t>
            </w:r>
          </w:p>
        </w:tc>
        <w:tc>
          <w:tcPr>
            <w:tcW w:w="907" w:type="dxa"/>
            <w:tcBorders>
              <w:top w:val="single" w:sz="4" w:space="0" w:color="auto"/>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100</w:t>
            </w:r>
          </w:p>
        </w:tc>
        <w:tc>
          <w:tcPr>
            <w:tcW w:w="907" w:type="dxa"/>
            <w:tcBorders>
              <w:top w:val="single" w:sz="4" w:space="0" w:color="auto"/>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100</w:t>
            </w:r>
          </w:p>
        </w:tc>
      </w:tr>
      <w:tr w:rsidR="00B958B1" w:rsidRPr="00331B21" w:rsidTr="009F3B54">
        <w:trPr>
          <w:cantSplit/>
        </w:trPr>
        <w:tc>
          <w:tcPr>
            <w:tcW w:w="3155" w:type="dxa"/>
            <w:tcBorders>
              <w:top w:val="single" w:sz="6" w:space="0" w:color="auto"/>
              <w:bottom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Facilitate delivery of milestones for the feasibility stage of CarbonNet (Carbon Capture and Storage) project</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per cent</w:t>
            </w:r>
          </w:p>
        </w:tc>
        <w:tc>
          <w:tcPr>
            <w:tcW w:w="907" w:type="dxa"/>
            <w:tcBorders>
              <w:top w:val="single" w:sz="6" w:space="0" w:color="auto"/>
              <w:bottom w:val="single" w:sz="6" w:space="0" w:color="auto"/>
            </w:tcBorders>
            <w:shd w:val="clear" w:color="auto" w:fill="D9D9D9"/>
            <w:noWrap/>
          </w:tcPr>
          <w:p w:rsidR="00B958B1" w:rsidRPr="00331B21" w:rsidRDefault="00B958B1" w:rsidP="009F3B54">
            <w:pPr>
              <w:pStyle w:val="OGTableofFigures"/>
              <w:rPr>
                <w:rFonts w:cs="Calibri"/>
                <w:szCs w:val="20"/>
              </w:rPr>
            </w:pPr>
            <w:r w:rsidRPr="00331B21">
              <w:rPr>
                <w:rFonts w:cs="Calibri"/>
                <w:color w:val="000000"/>
                <w:szCs w:val="20"/>
              </w:rPr>
              <w:t>100</w:t>
            </w:r>
          </w:p>
        </w:tc>
        <w:tc>
          <w:tcPr>
            <w:tcW w:w="993"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100</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100</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nm</w:t>
            </w:r>
          </w:p>
        </w:tc>
      </w:tr>
      <w:tr w:rsidR="00B958B1" w:rsidRPr="00331B21" w:rsidTr="009F3B54">
        <w:trPr>
          <w:cantSplit/>
        </w:trPr>
        <w:tc>
          <w:tcPr>
            <w:tcW w:w="3155" w:type="dxa"/>
            <w:tcBorders>
              <w:top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Facilitate delivery of the implementation plan of the CarbonNet geoscience evaluation program by 2014</w:t>
            </w:r>
          </w:p>
        </w:tc>
        <w:tc>
          <w:tcPr>
            <w:tcW w:w="907" w:type="dxa"/>
            <w:tcBorders>
              <w:top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per cent</w:t>
            </w:r>
          </w:p>
        </w:tc>
        <w:tc>
          <w:tcPr>
            <w:tcW w:w="907" w:type="dxa"/>
            <w:tcBorders>
              <w:top w:val="single" w:sz="6" w:space="0" w:color="auto"/>
            </w:tcBorders>
            <w:shd w:val="clear" w:color="auto" w:fill="D9D9D9"/>
            <w:noWrap/>
          </w:tcPr>
          <w:p w:rsidR="00B958B1" w:rsidRPr="00331B21" w:rsidRDefault="00B958B1" w:rsidP="009F3B54">
            <w:pPr>
              <w:pStyle w:val="OGTableofFigures"/>
              <w:rPr>
                <w:rFonts w:cs="Calibri"/>
                <w:szCs w:val="20"/>
              </w:rPr>
            </w:pPr>
            <w:r w:rsidRPr="00331B21">
              <w:rPr>
                <w:rFonts w:cs="Calibri"/>
                <w:color w:val="000000"/>
                <w:szCs w:val="20"/>
              </w:rPr>
              <w:t>100</w:t>
            </w:r>
          </w:p>
        </w:tc>
        <w:tc>
          <w:tcPr>
            <w:tcW w:w="993"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85</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100</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nm</w:t>
            </w:r>
          </w:p>
        </w:tc>
      </w:tr>
      <w:tr w:rsidR="00B958B1" w:rsidRPr="00331B21" w:rsidTr="009F3B54">
        <w:trPr>
          <w:cantSplit/>
        </w:trPr>
        <w:tc>
          <w:tcPr>
            <w:tcW w:w="7776" w:type="dxa"/>
            <w:gridSpan w:val="6"/>
            <w:tcBorders>
              <w:bottom w:val="single" w:sz="6" w:space="0" w:color="auto"/>
            </w:tcBorders>
            <w:shd w:val="clear" w:color="auto" w:fill="auto"/>
          </w:tcPr>
          <w:p w:rsidR="00B958B1" w:rsidRPr="00331B21" w:rsidRDefault="00B958B1" w:rsidP="009F3B54">
            <w:pPr>
              <w:pStyle w:val="OGNotes"/>
              <w:rPr>
                <w:color w:val="000000"/>
              </w:rPr>
            </w:pPr>
            <w:r w:rsidRPr="00331B21">
              <w:t>The 2012</w:t>
            </w:r>
            <w:r w:rsidR="009F0F49">
              <w:noBreakHyphen/>
            </w:r>
            <w:r w:rsidRPr="00331B21">
              <w:t>13 Expected Outcome is lower than the 2012</w:t>
            </w:r>
            <w:r w:rsidR="009F0F49">
              <w:noBreakHyphen/>
            </w:r>
            <w:r w:rsidRPr="00331B21">
              <w:t>13 Target due to delays to the project schedule reflecting increased time for evaluation during the Independent Storage Review process.</w:t>
            </w:r>
          </w:p>
        </w:tc>
      </w:tr>
      <w:tr w:rsidR="00B958B1" w:rsidRPr="00331B21" w:rsidTr="009F3B54">
        <w:trPr>
          <w:cantSplit/>
        </w:trPr>
        <w:tc>
          <w:tcPr>
            <w:tcW w:w="3155" w:type="dxa"/>
            <w:tcBorders>
              <w:top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Facilitate delivery of milestones in line with grant agreements under the Advanced Lignite Demonstration program</w:t>
            </w:r>
          </w:p>
        </w:tc>
        <w:tc>
          <w:tcPr>
            <w:tcW w:w="907" w:type="dxa"/>
            <w:tcBorders>
              <w:top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per cent</w:t>
            </w:r>
          </w:p>
        </w:tc>
        <w:tc>
          <w:tcPr>
            <w:tcW w:w="907" w:type="dxa"/>
            <w:tcBorders>
              <w:top w:val="single" w:sz="6" w:space="0" w:color="auto"/>
            </w:tcBorders>
            <w:shd w:val="clear" w:color="auto" w:fill="D9D9D9"/>
            <w:noWrap/>
          </w:tcPr>
          <w:p w:rsidR="00B958B1" w:rsidRPr="00331B21" w:rsidRDefault="00B958B1" w:rsidP="009F3B54">
            <w:pPr>
              <w:pStyle w:val="OGTableofFigures"/>
              <w:rPr>
                <w:rFonts w:cs="Calibri"/>
                <w:szCs w:val="20"/>
              </w:rPr>
            </w:pPr>
            <w:r w:rsidRPr="00331B21">
              <w:rPr>
                <w:rFonts w:cs="Calibri"/>
                <w:color w:val="000000"/>
                <w:szCs w:val="20"/>
              </w:rPr>
              <w:t>100</w:t>
            </w:r>
          </w:p>
        </w:tc>
        <w:tc>
          <w:tcPr>
            <w:tcW w:w="993"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nm</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nm</w:t>
            </w:r>
          </w:p>
        </w:tc>
        <w:tc>
          <w:tcPr>
            <w:tcW w:w="907" w:type="dxa"/>
            <w:tcBorders>
              <w:top w:val="single" w:sz="6" w:space="0" w:color="auto"/>
            </w:tcBorders>
            <w:shd w:val="clear" w:color="auto" w:fill="auto"/>
            <w:noWrap/>
          </w:tcPr>
          <w:p w:rsidR="00B958B1" w:rsidRPr="00331B21" w:rsidRDefault="00B958B1" w:rsidP="009F3B54">
            <w:pPr>
              <w:pStyle w:val="OGTableofFigures"/>
              <w:rPr>
                <w:rFonts w:cs="Calibri"/>
                <w:szCs w:val="20"/>
              </w:rPr>
            </w:pPr>
            <w:r w:rsidRPr="00331B21">
              <w:rPr>
                <w:rFonts w:cs="Calibri"/>
                <w:color w:val="000000"/>
                <w:szCs w:val="20"/>
              </w:rPr>
              <w:t>nm</w:t>
            </w:r>
          </w:p>
        </w:tc>
      </w:tr>
      <w:tr w:rsidR="00B958B1" w:rsidRPr="00331B21" w:rsidTr="009F3B54">
        <w:trPr>
          <w:cantSplit/>
        </w:trPr>
        <w:tc>
          <w:tcPr>
            <w:tcW w:w="7776" w:type="dxa"/>
            <w:gridSpan w:val="6"/>
            <w:tcBorders>
              <w:bottom w:val="single" w:sz="6" w:space="0" w:color="auto"/>
            </w:tcBorders>
            <w:shd w:val="clear" w:color="auto" w:fill="auto"/>
          </w:tcPr>
          <w:p w:rsidR="00B958B1" w:rsidRPr="00331B21" w:rsidRDefault="00B958B1" w:rsidP="009F3B54">
            <w:pPr>
              <w:pStyle w:val="OGNotes"/>
            </w:pPr>
            <w:r w:rsidRPr="00331B21">
              <w:t>New performance measure for 2013</w:t>
            </w:r>
            <w:r w:rsidR="009F0F49">
              <w:noBreakHyphen/>
            </w:r>
            <w:r w:rsidRPr="00331B21">
              <w:t>14 to reflect performance in meeting agreed milestones for projects under the joint State</w:t>
            </w:r>
            <w:r>
              <w:t>–</w:t>
            </w:r>
            <w:r w:rsidRPr="00331B21">
              <w:t>Commonwealth $90</w:t>
            </w:r>
            <w:r>
              <w:t> million</w:t>
            </w:r>
            <w:r w:rsidRPr="00331B21">
              <w:t xml:space="preserve"> Advanced Lignite Demonstration program.</w:t>
            </w:r>
          </w:p>
        </w:tc>
      </w:tr>
      <w:tr w:rsidR="00B958B1" w:rsidRPr="00331B21" w:rsidTr="009F3B54">
        <w:trPr>
          <w:cantSplit/>
        </w:trPr>
        <w:tc>
          <w:tcPr>
            <w:tcW w:w="3155" w:type="dxa"/>
            <w:tcBorders>
              <w:top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Facilitate delivery of milestones in line with grant agreements under the Low Emission Energy Technologies program</w:t>
            </w:r>
          </w:p>
        </w:tc>
        <w:tc>
          <w:tcPr>
            <w:tcW w:w="907" w:type="dxa"/>
            <w:tcBorders>
              <w:top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per cent</w:t>
            </w:r>
          </w:p>
        </w:tc>
        <w:tc>
          <w:tcPr>
            <w:tcW w:w="907" w:type="dxa"/>
            <w:tcBorders>
              <w:top w:val="single" w:sz="6" w:space="0" w:color="auto"/>
            </w:tcBorders>
            <w:shd w:val="clear" w:color="auto" w:fill="D9D9D9"/>
            <w:noWrap/>
          </w:tcPr>
          <w:p w:rsidR="00B958B1" w:rsidRPr="00331B21" w:rsidRDefault="00B958B1" w:rsidP="009F3B54">
            <w:pPr>
              <w:pStyle w:val="OGTableofFigures"/>
              <w:rPr>
                <w:szCs w:val="20"/>
                <w:lang w:eastAsia="en-AU"/>
              </w:rPr>
            </w:pPr>
            <w:r w:rsidRPr="00331B21">
              <w:rPr>
                <w:rFonts w:cs="Calibri"/>
                <w:color w:val="000000"/>
                <w:szCs w:val="20"/>
              </w:rPr>
              <w:t>100</w:t>
            </w:r>
          </w:p>
        </w:tc>
        <w:tc>
          <w:tcPr>
            <w:tcW w:w="993" w:type="dxa"/>
            <w:tcBorders>
              <w:top w:val="single" w:sz="6" w:space="0" w:color="auto"/>
            </w:tcBorders>
            <w:shd w:val="clear" w:color="auto" w:fill="auto"/>
            <w:noWrap/>
          </w:tcPr>
          <w:p w:rsidR="00B958B1" w:rsidRPr="00331B21" w:rsidRDefault="00B958B1" w:rsidP="009F3B54">
            <w:pPr>
              <w:pStyle w:val="OGTableofFigures"/>
              <w:rPr>
                <w:szCs w:val="20"/>
                <w:lang w:eastAsia="en-AU"/>
              </w:rPr>
            </w:pPr>
            <w:r w:rsidRPr="00331B21">
              <w:rPr>
                <w:rFonts w:cs="Calibri"/>
                <w:color w:val="000000"/>
                <w:szCs w:val="20"/>
              </w:rPr>
              <w:t>nm</w:t>
            </w:r>
          </w:p>
        </w:tc>
        <w:tc>
          <w:tcPr>
            <w:tcW w:w="907" w:type="dxa"/>
            <w:tcBorders>
              <w:top w:val="single" w:sz="6" w:space="0" w:color="auto"/>
            </w:tcBorders>
            <w:shd w:val="clear" w:color="auto" w:fill="auto"/>
            <w:noWrap/>
          </w:tcPr>
          <w:p w:rsidR="00B958B1" w:rsidRPr="00331B21" w:rsidRDefault="00B958B1" w:rsidP="009F3B54">
            <w:pPr>
              <w:pStyle w:val="OGTableofFigures"/>
              <w:rPr>
                <w:szCs w:val="20"/>
                <w:lang w:eastAsia="en-AU"/>
              </w:rPr>
            </w:pPr>
            <w:r w:rsidRPr="00331B21">
              <w:rPr>
                <w:rFonts w:cs="Calibri"/>
                <w:color w:val="000000"/>
                <w:szCs w:val="20"/>
              </w:rPr>
              <w:t>nm</w:t>
            </w:r>
          </w:p>
        </w:tc>
        <w:tc>
          <w:tcPr>
            <w:tcW w:w="907" w:type="dxa"/>
            <w:tcBorders>
              <w:top w:val="single" w:sz="6" w:space="0" w:color="auto"/>
            </w:tcBorders>
            <w:shd w:val="clear" w:color="auto" w:fill="auto"/>
            <w:noWrap/>
          </w:tcPr>
          <w:p w:rsidR="00B958B1" w:rsidRPr="00331B21" w:rsidRDefault="00B958B1" w:rsidP="009F3B54">
            <w:pPr>
              <w:pStyle w:val="OGTableofFigures"/>
              <w:rPr>
                <w:szCs w:val="20"/>
                <w:lang w:eastAsia="en-AU"/>
              </w:rPr>
            </w:pPr>
            <w:r w:rsidRPr="00331B21">
              <w:rPr>
                <w:rFonts w:cs="Calibri"/>
                <w:color w:val="000000"/>
                <w:szCs w:val="20"/>
              </w:rPr>
              <w:t>nm</w:t>
            </w:r>
          </w:p>
        </w:tc>
      </w:tr>
      <w:tr w:rsidR="00B958B1" w:rsidRPr="00331B21" w:rsidTr="009F3B54">
        <w:trPr>
          <w:cantSplit/>
        </w:trPr>
        <w:tc>
          <w:tcPr>
            <w:tcW w:w="7776" w:type="dxa"/>
            <w:gridSpan w:val="6"/>
            <w:tcBorders>
              <w:bottom w:val="single" w:sz="6" w:space="0" w:color="auto"/>
            </w:tcBorders>
            <w:shd w:val="clear" w:color="auto" w:fill="auto"/>
          </w:tcPr>
          <w:p w:rsidR="00B958B1" w:rsidRPr="00331B21" w:rsidRDefault="00B958B1" w:rsidP="009F3B54">
            <w:pPr>
              <w:pStyle w:val="OGNotes"/>
            </w:pPr>
            <w:r w:rsidRPr="00331B21">
              <w:t>New performance measure for 2013</w:t>
            </w:r>
            <w:r w:rsidR="009F0F49">
              <w:noBreakHyphen/>
            </w:r>
            <w:r w:rsidRPr="00331B21">
              <w:t>14 to reflect performance in meeting agreed milestones for projects under the $41</w:t>
            </w:r>
            <w:r>
              <w:t> million</w:t>
            </w:r>
            <w:r w:rsidRPr="00331B21">
              <w:t xml:space="preserve"> Low Emission Energy Technologies program.</w:t>
            </w:r>
          </w:p>
        </w:tc>
      </w:tr>
      <w:tr w:rsidR="00B958B1" w:rsidRPr="00331B21" w:rsidTr="009F3B54">
        <w:trPr>
          <w:cantSplit/>
        </w:trPr>
        <w:tc>
          <w:tcPr>
            <w:tcW w:w="3155" w:type="dxa"/>
            <w:tcBorders>
              <w:top w:val="single" w:sz="6" w:space="0" w:color="auto"/>
              <w:bottom w:val="single" w:sz="6" w:space="0" w:color="auto"/>
            </w:tcBorders>
            <w:shd w:val="clear" w:color="auto" w:fill="auto"/>
          </w:tcPr>
          <w:p w:rsidR="00B958B1" w:rsidRPr="00331B21" w:rsidRDefault="00B958B1" w:rsidP="009F3B54">
            <w:pPr>
              <w:pStyle w:val="OGTabText"/>
              <w:rPr>
                <w:iCs/>
                <w:color w:val="000000"/>
                <w:lang w:eastAsia="en-AU"/>
              </w:rPr>
            </w:pPr>
            <w:r w:rsidRPr="00331B21">
              <w:rPr>
                <w:color w:val="000000"/>
                <w:lang w:eastAsia="en-AU"/>
              </w:rPr>
              <w:t>Minerals and petroleum exploration license applications not determined after three months</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per cent</w:t>
            </w:r>
          </w:p>
        </w:tc>
        <w:tc>
          <w:tcPr>
            <w:tcW w:w="907" w:type="dxa"/>
            <w:tcBorders>
              <w:top w:val="single" w:sz="6" w:space="0" w:color="auto"/>
              <w:bottom w:val="single" w:sz="6" w:space="0" w:color="auto"/>
            </w:tcBorders>
            <w:shd w:val="clear" w:color="auto" w:fill="D9D9D9"/>
            <w:noWrap/>
          </w:tcPr>
          <w:p w:rsidR="00B958B1" w:rsidRPr="00331B21" w:rsidRDefault="00B958B1" w:rsidP="009F3B54">
            <w:pPr>
              <w:pStyle w:val="OGTableofFigures"/>
              <w:rPr>
                <w:szCs w:val="20"/>
                <w:lang w:eastAsia="en-AU"/>
              </w:rPr>
            </w:pPr>
            <w:r w:rsidRPr="00331B21">
              <w:rPr>
                <w:rFonts w:cs="Calibri"/>
                <w:color w:val="000000"/>
                <w:szCs w:val="20"/>
              </w:rPr>
              <w:t>&lt;</w:t>
            </w:r>
            <w:r>
              <w:rPr>
                <w:rFonts w:cs="Calibri"/>
                <w:color w:val="000000"/>
                <w:szCs w:val="20"/>
              </w:rPr>
              <w:t> </w:t>
            </w:r>
            <w:r w:rsidRPr="00331B21">
              <w:rPr>
                <w:rFonts w:cs="Calibri"/>
                <w:color w:val="000000"/>
                <w:szCs w:val="20"/>
              </w:rPr>
              <w:t>5</w:t>
            </w:r>
          </w:p>
        </w:tc>
        <w:tc>
          <w:tcPr>
            <w:tcW w:w="993" w:type="dxa"/>
            <w:tcBorders>
              <w:top w:val="single" w:sz="6" w:space="0" w:color="auto"/>
              <w:bottom w:val="single" w:sz="6" w:space="0" w:color="auto"/>
            </w:tcBorders>
            <w:shd w:val="clear" w:color="auto" w:fill="auto"/>
            <w:noWrap/>
          </w:tcPr>
          <w:p w:rsidR="00B958B1" w:rsidRPr="00331B21" w:rsidRDefault="00B958B1" w:rsidP="009F3B54">
            <w:pPr>
              <w:pStyle w:val="OGTableofFigures"/>
              <w:rPr>
                <w:szCs w:val="20"/>
                <w:lang w:eastAsia="en-AU"/>
              </w:rPr>
            </w:pPr>
            <w:r w:rsidRPr="00331B21">
              <w:rPr>
                <w:rFonts w:cs="Calibri"/>
                <w:color w:val="000000"/>
                <w:szCs w:val="20"/>
              </w:rPr>
              <w:t>&lt;</w:t>
            </w:r>
            <w:r>
              <w:rPr>
                <w:rFonts w:cs="Calibri"/>
                <w:color w:val="000000"/>
                <w:szCs w:val="20"/>
              </w:rPr>
              <w:t> </w:t>
            </w:r>
            <w:r w:rsidRPr="00331B21">
              <w:rPr>
                <w:rFonts w:cs="Calibri"/>
                <w:color w:val="000000"/>
                <w:szCs w:val="20"/>
              </w:rPr>
              <w:t>5</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szCs w:val="20"/>
                <w:lang w:eastAsia="en-AU"/>
              </w:rPr>
            </w:pPr>
            <w:r w:rsidRPr="00331B21">
              <w:rPr>
                <w:rFonts w:cs="Calibri"/>
                <w:color w:val="000000"/>
                <w:szCs w:val="20"/>
              </w:rPr>
              <w:t>&lt;</w:t>
            </w:r>
            <w:r>
              <w:rPr>
                <w:rFonts w:cs="Calibri"/>
                <w:color w:val="000000"/>
                <w:szCs w:val="20"/>
              </w:rPr>
              <w:t> </w:t>
            </w:r>
            <w:r w:rsidRPr="00331B21">
              <w:rPr>
                <w:rFonts w:cs="Calibri"/>
                <w:color w:val="000000"/>
                <w:szCs w:val="20"/>
              </w:rPr>
              <w:t>5</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szCs w:val="20"/>
                <w:lang w:eastAsia="en-AU"/>
              </w:rPr>
            </w:pPr>
            <w:r w:rsidRPr="00331B21">
              <w:rPr>
                <w:rFonts w:cs="Calibri"/>
                <w:color w:val="000000"/>
                <w:szCs w:val="20"/>
              </w:rPr>
              <w:t>9</w:t>
            </w:r>
          </w:p>
        </w:tc>
      </w:tr>
      <w:tr w:rsidR="00B958B1" w:rsidRPr="00331B21" w:rsidTr="009F3B54">
        <w:trPr>
          <w:cantSplit/>
        </w:trPr>
        <w:tc>
          <w:tcPr>
            <w:tcW w:w="3155" w:type="dxa"/>
            <w:tcBorders>
              <w:top w:val="single" w:sz="6" w:space="0" w:color="auto"/>
              <w:bottom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Mining industry workplans not processed in one month</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per cent</w:t>
            </w:r>
          </w:p>
        </w:tc>
        <w:tc>
          <w:tcPr>
            <w:tcW w:w="907" w:type="dxa"/>
            <w:tcBorders>
              <w:top w:val="single" w:sz="6" w:space="0" w:color="auto"/>
              <w:bottom w:val="single" w:sz="6" w:space="0" w:color="auto"/>
            </w:tcBorders>
            <w:shd w:val="clear" w:color="auto" w:fill="D9D9D9"/>
            <w:noWrap/>
          </w:tcPr>
          <w:p w:rsidR="00B958B1" w:rsidRPr="00331B21" w:rsidRDefault="00B958B1" w:rsidP="009F3B54">
            <w:pPr>
              <w:pStyle w:val="OGTableofFigures"/>
              <w:rPr>
                <w:szCs w:val="20"/>
                <w:lang w:eastAsia="en-AU"/>
              </w:rPr>
            </w:pPr>
            <w:r w:rsidRPr="00331B21">
              <w:rPr>
                <w:rFonts w:cs="Calibri"/>
                <w:color w:val="000000"/>
                <w:szCs w:val="20"/>
              </w:rPr>
              <w:t>&lt;</w:t>
            </w:r>
            <w:r>
              <w:rPr>
                <w:rFonts w:cs="Calibri"/>
                <w:color w:val="000000"/>
                <w:szCs w:val="20"/>
              </w:rPr>
              <w:t> </w:t>
            </w:r>
            <w:r w:rsidRPr="00331B21">
              <w:rPr>
                <w:rFonts w:cs="Calibri"/>
                <w:color w:val="000000"/>
                <w:szCs w:val="20"/>
              </w:rPr>
              <w:t>5</w:t>
            </w:r>
          </w:p>
        </w:tc>
        <w:tc>
          <w:tcPr>
            <w:tcW w:w="993" w:type="dxa"/>
            <w:tcBorders>
              <w:top w:val="single" w:sz="6" w:space="0" w:color="auto"/>
              <w:bottom w:val="single" w:sz="6" w:space="0" w:color="auto"/>
            </w:tcBorders>
            <w:shd w:val="clear" w:color="auto" w:fill="auto"/>
            <w:noWrap/>
          </w:tcPr>
          <w:p w:rsidR="00B958B1" w:rsidRPr="00331B21" w:rsidRDefault="00B958B1" w:rsidP="009F3B54">
            <w:pPr>
              <w:pStyle w:val="OGTableofFigures"/>
              <w:rPr>
                <w:szCs w:val="20"/>
                <w:lang w:eastAsia="en-AU"/>
              </w:rPr>
            </w:pPr>
            <w:r w:rsidRPr="00331B21">
              <w:rPr>
                <w:rFonts w:cs="Calibri"/>
                <w:color w:val="000000"/>
                <w:szCs w:val="20"/>
              </w:rPr>
              <w:t>&lt;</w:t>
            </w:r>
            <w:r>
              <w:rPr>
                <w:rFonts w:cs="Calibri"/>
                <w:color w:val="000000"/>
                <w:szCs w:val="20"/>
              </w:rPr>
              <w:t> </w:t>
            </w:r>
            <w:r w:rsidRPr="00331B21">
              <w:rPr>
                <w:rFonts w:cs="Calibri"/>
                <w:color w:val="000000"/>
                <w:szCs w:val="20"/>
              </w:rPr>
              <w:t>5</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szCs w:val="20"/>
                <w:lang w:eastAsia="en-AU"/>
              </w:rPr>
            </w:pPr>
            <w:r w:rsidRPr="00331B21">
              <w:rPr>
                <w:rFonts w:cs="Calibri"/>
                <w:color w:val="000000"/>
                <w:szCs w:val="20"/>
              </w:rPr>
              <w:t>&lt;</w:t>
            </w:r>
            <w:r>
              <w:rPr>
                <w:rFonts w:cs="Calibri"/>
                <w:color w:val="000000"/>
                <w:szCs w:val="20"/>
              </w:rPr>
              <w:t> </w:t>
            </w:r>
            <w:r w:rsidRPr="00331B21">
              <w:rPr>
                <w:rFonts w:cs="Calibri"/>
                <w:color w:val="000000"/>
                <w:szCs w:val="20"/>
              </w:rPr>
              <w:t>5</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szCs w:val="20"/>
                <w:lang w:eastAsia="en-AU"/>
              </w:rPr>
            </w:pPr>
            <w:r w:rsidRPr="00331B21">
              <w:rPr>
                <w:rFonts w:cs="Calibri"/>
                <w:color w:val="000000"/>
                <w:szCs w:val="20"/>
              </w:rPr>
              <w:t>11</w:t>
            </w:r>
          </w:p>
        </w:tc>
      </w:tr>
      <w:tr w:rsidR="00B958B1" w:rsidRPr="00331B21" w:rsidTr="009F3B54">
        <w:trPr>
          <w:cantSplit/>
        </w:trPr>
        <w:tc>
          <w:tcPr>
            <w:tcW w:w="3155" w:type="dxa"/>
            <w:tcBorders>
              <w:top w:val="single" w:sz="6" w:space="0" w:color="auto"/>
              <w:bottom w:val="single" w:sz="6" w:space="0" w:color="auto"/>
            </w:tcBorders>
            <w:shd w:val="clear" w:color="auto" w:fill="auto"/>
          </w:tcPr>
          <w:p w:rsidR="00B958B1" w:rsidRPr="00331B21" w:rsidRDefault="00B958B1" w:rsidP="009F3B54">
            <w:pPr>
              <w:pStyle w:val="OGTabText"/>
              <w:rPr>
                <w:iCs/>
                <w:color w:val="000000"/>
                <w:lang w:eastAsia="en-AU"/>
              </w:rPr>
            </w:pPr>
            <w:r w:rsidRPr="00331B21">
              <w:rPr>
                <w:color w:val="000000"/>
                <w:lang w:eastAsia="en-AU"/>
              </w:rPr>
              <w:t>Mining licence applications not determined after four months</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per cent</w:t>
            </w:r>
          </w:p>
        </w:tc>
        <w:tc>
          <w:tcPr>
            <w:tcW w:w="907" w:type="dxa"/>
            <w:tcBorders>
              <w:top w:val="single" w:sz="6" w:space="0" w:color="auto"/>
              <w:bottom w:val="single" w:sz="6" w:space="0" w:color="auto"/>
            </w:tcBorders>
            <w:shd w:val="clear" w:color="auto" w:fill="D9D9D9"/>
            <w:noWrap/>
          </w:tcPr>
          <w:p w:rsidR="00B958B1" w:rsidRPr="00331B21" w:rsidRDefault="00B958B1" w:rsidP="009F3B54">
            <w:pPr>
              <w:pStyle w:val="OGTableofFigures"/>
              <w:rPr>
                <w:szCs w:val="20"/>
                <w:lang w:eastAsia="en-AU"/>
              </w:rPr>
            </w:pPr>
            <w:r w:rsidRPr="00331B21">
              <w:rPr>
                <w:rFonts w:cs="Calibri"/>
                <w:color w:val="000000"/>
                <w:szCs w:val="20"/>
              </w:rPr>
              <w:t>&lt;</w:t>
            </w:r>
            <w:r>
              <w:rPr>
                <w:rFonts w:cs="Calibri"/>
                <w:color w:val="000000"/>
                <w:szCs w:val="20"/>
              </w:rPr>
              <w:t> </w:t>
            </w:r>
            <w:r w:rsidRPr="00331B21">
              <w:rPr>
                <w:rFonts w:cs="Calibri"/>
                <w:color w:val="000000"/>
                <w:szCs w:val="20"/>
              </w:rPr>
              <w:t>5</w:t>
            </w:r>
          </w:p>
        </w:tc>
        <w:tc>
          <w:tcPr>
            <w:tcW w:w="993" w:type="dxa"/>
            <w:tcBorders>
              <w:top w:val="single" w:sz="6" w:space="0" w:color="auto"/>
              <w:bottom w:val="single" w:sz="6" w:space="0" w:color="auto"/>
            </w:tcBorders>
            <w:shd w:val="clear" w:color="auto" w:fill="auto"/>
            <w:noWrap/>
          </w:tcPr>
          <w:p w:rsidR="00B958B1" w:rsidRPr="00331B21" w:rsidRDefault="00B958B1" w:rsidP="009F3B54">
            <w:pPr>
              <w:pStyle w:val="OGTableofFigures"/>
              <w:rPr>
                <w:szCs w:val="20"/>
                <w:lang w:eastAsia="en-AU"/>
              </w:rPr>
            </w:pPr>
            <w:r w:rsidRPr="00331B21">
              <w:rPr>
                <w:rFonts w:cs="Calibri"/>
                <w:color w:val="000000"/>
                <w:szCs w:val="20"/>
              </w:rPr>
              <w:t>&lt;</w:t>
            </w:r>
            <w:r>
              <w:rPr>
                <w:rFonts w:cs="Calibri"/>
                <w:color w:val="000000"/>
                <w:szCs w:val="20"/>
              </w:rPr>
              <w:t> </w:t>
            </w:r>
            <w:r w:rsidRPr="00331B21">
              <w:rPr>
                <w:rFonts w:cs="Calibri"/>
                <w:color w:val="000000"/>
                <w:szCs w:val="20"/>
              </w:rPr>
              <w:t>5</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szCs w:val="20"/>
                <w:lang w:eastAsia="en-AU"/>
              </w:rPr>
            </w:pPr>
            <w:r w:rsidRPr="00331B21">
              <w:rPr>
                <w:rFonts w:cs="Calibri"/>
                <w:color w:val="000000"/>
                <w:szCs w:val="20"/>
              </w:rPr>
              <w:t>&lt;</w:t>
            </w:r>
            <w:r>
              <w:rPr>
                <w:rFonts w:cs="Calibri"/>
                <w:color w:val="000000"/>
                <w:szCs w:val="20"/>
              </w:rPr>
              <w:t> </w:t>
            </w:r>
            <w:r w:rsidRPr="00331B21">
              <w:rPr>
                <w:rFonts w:cs="Calibri"/>
                <w:color w:val="000000"/>
                <w:szCs w:val="20"/>
              </w:rPr>
              <w:t>5</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szCs w:val="20"/>
                <w:lang w:eastAsia="en-AU"/>
              </w:rPr>
            </w:pPr>
            <w:r w:rsidRPr="00331B21">
              <w:rPr>
                <w:rFonts w:cs="Calibri"/>
                <w:color w:val="000000"/>
                <w:szCs w:val="20"/>
              </w:rPr>
              <w:t>9</w:t>
            </w:r>
          </w:p>
        </w:tc>
      </w:tr>
      <w:tr w:rsidR="00B958B1" w:rsidRPr="00331B21" w:rsidTr="009F3B54">
        <w:trPr>
          <w:cantSplit/>
        </w:trPr>
        <w:tc>
          <w:tcPr>
            <w:tcW w:w="3155" w:type="dxa"/>
            <w:tcBorders>
              <w:top w:val="single" w:sz="6" w:space="0" w:color="auto"/>
              <w:bottom w:val="single" w:sz="6" w:space="0" w:color="auto"/>
            </w:tcBorders>
            <w:shd w:val="clear" w:color="auto" w:fill="auto"/>
          </w:tcPr>
          <w:p w:rsidR="00B958B1" w:rsidRPr="00331B21" w:rsidRDefault="00B958B1" w:rsidP="009F3B54">
            <w:pPr>
              <w:pStyle w:val="OGTabText"/>
              <w:rPr>
                <w:color w:val="000000"/>
                <w:lang w:eastAsia="en-AU"/>
              </w:rPr>
            </w:pPr>
            <w:r w:rsidRPr="00331B21">
              <w:rPr>
                <w:color w:val="000000"/>
                <w:lang w:eastAsia="en-AU"/>
              </w:rPr>
              <w:t>Earth resource geoscience data packages released to market in line with agreed timetables.</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UoM"/>
              <w:rPr>
                <w:rFonts w:cs="Calibri"/>
                <w:szCs w:val="20"/>
              </w:rPr>
            </w:pPr>
            <w:r w:rsidRPr="00331B21">
              <w:rPr>
                <w:rFonts w:cs="Calibri"/>
                <w:szCs w:val="20"/>
              </w:rPr>
              <w:t>per cent</w:t>
            </w:r>
          </w:p>
        </w:tc>
        <w:tc>
          <w:tcPr>
            <w:tcW w:w="907" w:type="dxa"/>
            <w:tcBorders>
              <w:top w:val="single" w:sz="6" w:space="0" w:color="auto"/>
              <w:bottom w:val="single" w:sz="6" w:space="0" w:color="auto"/>
            </w:tcBorders>
            <w:shd w:val="clear" w:color="auto" w:fill="D9D9D9"/>
            <w:noWrap/>
          </w:tcPr>
          <w:p w:rsidR="00B958B1" w:rsidRPr="00331B21" w:rsidRDefault="00B958B1" w:rsidP="009F3B54">
            <w:pPr>
              <w:pStyle w:val="OGTableofFigures"/>
              <w:rPr>
                <w:szCs w:val="20"/>
                <w:lang w:eastAsia="en-AU"/>
              </w:rPr>
            </w:pPr>
            <w:r w:rsidRPr="00331B21">
              <w:rPr>
                <w:rFonts w:cs="Calibri"/>
                <w:color w:val="000000"/>
                <w:szCs w:val="20"/>
              </w:rPr>
              <w:t>&gt;</w:t>
            </w:r>
            <w:r>
              <w:rPr>
                <w:rFonts w:cs="Calibri"/>
                <w:color w:val="000000"/>
                <w:szCs w:val="20"/>
              </w:rPr>
              <w:t> </w:t>
            </w:r>
            <w:r w:rsidRPr="00331B21">
              <w:rPr>
                <w:rFonts w:cs="Calibri"/>
                <w:color w:val="000000"/>
                <w:szCs w:val="20"/>
              </w:rPr>
              <w:t>95</w:t>
            </w:r>
          </w:p>
        </w:tc>
        <w:tc>
          <w:tcPr>
            <w:tcW w:w="993" w:type="dxa"/>
            <w:tcBorders>
              <w:top w:val="single" w:sz="6" w:space="0" w:color="auto"/>
              <w:bottom w:val="single" w:sz="6" w:space="0" w:color="auto"/>
            </w:tcBorders>
            <w:shd w:val="clear" w:color="auto" w:fill="auto"/>
            <w:noWrap/>
          </w:tcPr>
          <w:p w:rsidR="00B958B1" w:rsidRPr="00331B21" w:rsidRDefault="00B958B1" w:rsidP="009F3B54">
            <w:pPr>
              <w:pStyle w:val="OGTableofFigures"/>
              <w:rPr>
                <w:szCs w:val="20"/>
                <w:lang w:eastAsia="en-AU"/>
              </w:rPr>
            </w:pPr>
            <w:r w:rsidRPr="00331B21">
              <w:rPr>
                <w:rFonts w:cs="Calibri"/>
                <w:color w:val="000000"/>
                <w:szCs w:val="20"/>
              </w:rPr>
              <w:t>&gt;</w:t>
            </w:r>
            <w:r>
              <w:rPr>
                <w:rFonts w:cs="Calibri"/>
                <w:color w:val="000000"/>
                <w:szCs w:val="20"/>
              </w:rPr>
              <w:t> </w:t>
            </w:r>
            <w:r w:rsidRPr="00331B21">
              <w:rPr>
                <w:rFonts w:cs="Calibri"/>
                <w:color w:val="000000"/>
                <w:szCs w:val="20"/>
              </w:rPr>
              <w:t>95</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szCs w:val="20"/>
                <w:lang w:eastAsia="en-AU"/>
              </w:rPr>
            </w:pPr>
            <w:r w:rsidRPr="00331B21">
              <w:rPr>
                <w:rFonts w:cs="Calibri"/>
                <w:color w:val="000000"/>
                <w:szCs w:val="20"/>
              </w:rPr>
              <w:t>&gt;</w:t>
            </w:r>
            <w:r>
              <w:rPr>
                <w:rFonts w:cs="Calibri"/>
                <w:color w:val="000000"/>
                <w:szCs w:val="20"/>
              </w:rPr>
              <w:t> </w:t>
            </w:r>
            <w:r w:rsidRPr="00331B21">
              <w:rPr>
                <w:rFonts w:cs="Calibri"/>
                <w:color w:val="000000"/>
                <w:szCs w:val="20"/>
              </w:rPr>
              <w:t>95</w:t>
            </w:r>
          </w:p>
        </w:tc>
        <w:tc>
          <w:tcPr>
            <w:tcW w:w="907" w:type="dxa"/>
            <w:tcBorders>
              <w:top w:val="single" w:sz="6" w:space="0" w:color="auto"/>
              <w:bottom w:val="single" w:sz="6" w:space="0" w:color="auto"/>
            </w:tcBorders>
            <w:shd w:val="clear" w:color="auto" w:fill="auto"/>
            <w:noWrap/>
          </w:tcPr>
          <w:p w:rsidR="00B958B1" w:rsidRPr="00331B21" w:rsidRDefault="00B958B1" w:rsidP="009F3B54">
            <w:pPr>
              <w:pStyle w:val="OGTableofFigures"/>
              <w:rPr>
                <w:szCs w:val="20"/>
                <w:lang w:eastAsia="en-AU"/>
              </w:rPr>
            </w:pPr>
            <w:r w:rsidRPr="00331B21">
              <w:rPr>
                <w:rFonts w:cs="Calibri"/>
                <w:color w:val="000000"/>
                <w:szCs w:val="20"/>
              </w:rPr>
              <w:t>100</w:t>
            </w:r>
          </w:p>
        </w:tc>
      </w:tr>
      <w:tr w:rsidR="00B958B1" w:rsidRPr="00331B21" w:rsidTr="009F3B54">
        <w:trPr>
          <w:cantSplit/>
        </w:trPr>
        <w:tc>
          <w:tcPr>
            <w:tcW w:w="3155" w:type="dxa"/>
            <w:tcBorders>
              <w:top w:val="single" w:sz="6" w:space="0" w:color="auto"/>
            </w:tcBorders>
            <w:shd w:val="clear" w:color="auto" w:fill="auto"/>
          </w:tcPr>
          <w:p w:rsidR="00B958B1" w:rsidRPr="00331B21" w:rsidRDefault="00B958B1" w:rsidP="009F3B54">
            <w:pPr>
              <w:pStyle w:val="OGTabHead"/>
              <w:rPr>
                <w:lang w:eastAsia="en-AU"/>
              </w:rPr>
            </w:pPr>
            <w:r w:rsidRPr="00331B21">
              <w:rPr>
                <w:lang w:eastAsia="en-AU"/>
              </w:rPr>
              <w:t>Cost</w:t>
            </w:r>
          </w:p>
        </w:tc>
        <w:tc>
          <w:tcPr>
            <w:tcW w:w="907" w:type="dxa"/>
            <w:tcBorders>
              <w:top w:val="single" w:sz="6" w:space="0" w:color="auto"/>
            </w:tcBorders>
            <w:shd w:val="clear" w:color="auto" w:fill="auto"/>
            <w:noWrap/>
          </w:tcPr>
          <w:p w:rsidR="00B958B1" w:rsidRPr="00331B21" w:rsidRDefault="00B958B1" w:rsidP="009F3B54">
            <w:pPr>
              <w:pStyle w:val="OGTabHead"/>
              <w:rPr>
                <w:lang w:eastAsia="en-AU"/>
              </w:rPr>
            </w:pPr>
            <w:r w:rsidRPr="00331B21">
              <w:rPr>
                <w:lang w:eastAsia="en-AU"/>
              </w:rPr>
              <w:t> </w:t>
            </w:r>
          </w:p>
        </w:tc>
        <w:tc>
          <w:tcPr>
            <w:tcW w:w="907" w:type="dxa"/>
            <w:tcBorders>
              <w:top w:val="single" w:sz="6" w:space="0" w:color="auto"/>
            </w:tcBorders>
            <w:shd w:val="clear" w:color="auto" w:fill="D9D9D9"/>
            <w:noWrap/>
          </w:tcPr>
          <w:p w:rsidR="00B958B1" w:rsidRPr="00331B21" w:rsidRDefault="00B958B1" w:rsidP="009F3B54">
            <w:pPr>
              <w:pStyle w:val="OGTabHead"/>
              <w:rPr>
                <w:szCs w:val="20"/>
                <w:lang w:eastAsia="en-AU"/>
              </w:rPr>
            </w:pPr>
            <w:r w:rsidRPr="00331B21">
              <w:rPr>
                <w:szCs w:val="20"/>
                <w:lang w:eastAsia="en-AU"/>
              </w:rPr>
              <w:t> </w:t>
            </w:r>
          </w:p>
        </w:tc>
        <w:tc>
          <w:tcPr>
            <w:tcW w:w="993" w:type="dxa"/>
            <w:tcBorders>
              <w:top w:val="single" w:sz="6" w:space="0" w:color="auto"/>
            </w:tcBorders>
            <w:shd w:val="clear" w:color="auto" w:fill="auto"/>
            <w:noWrap/>
          </w:tcPr>
          <w:p w:rsidR="00B958B1" w:rsidRPr="00331B21" w:rsidRDefault="00B958B1" w:rsidP="009F3B54">
            <w:pPr>
              <w:pStyle w:val="OGTabHead"/>
              <w:rPr>
                <w:szCs w:val="20"/>
                <w:lang w:eastAsia="en-AU"/>
              </w:rPr>
            </w:pPr>
            <w:r w:rsidRPr="00331B21">
              <w:rPr>
                <w:szCs w:val="20"/>
                <w:lang w:eastAsia="en-AU"/>
              </w:rPr>
              <w:t> </w:t>
            </w:r>
          </w:p>
        </w:tc>
        <w:tc>
          <w:tcPr>
            <w:tcW w:w="907" w:type="dxa"/>
            <w:tcBorders>
              <w:top w:val="single" w:sz="6" w:space="0" w:color="auto"/>
            </w:tcBorders>
            <w:shd w:val="clear" w:color="auto" w:fill="auto"/>
            <w:noWrap/>
          </w:tcPr>
          <w:p w:rsidR="00B958B1" w:rsidRPr="00331B21" w:rsidRDefault="00B958B1" w:rsidP="009F3B54">
            <w:pPr>
              <w:pStyle w:val="OGTabHead"/>
              <w:rPr>
                <w:szCs w:val="20"/>
                <w:lang w:eastAsia="en-AU"/>
              </w:rPr>
            </w:pPr>
            <w:r w:rsidRPr="00331B21">
              <w:rPr>
                <w:szCs w:val="20"/>
                <w:lang w:eastAsia="en-AU"/>
              </w:rPr>
              <w:t> </w:t>
            </w:r>
          </w:p>
        </w:tc>
        <w:tc>
          <w:tcPr>
            <w:tcW w:w="907" w:type="dxa"/>
            <w:tcBorders>
              <w:top w:val="single" w:sz="6" w:space="0" w:color="auto"/>
            </w:tcBorders>
            <w:shd w:val="clear" w:color="auto" w:fill="auto"/>
            <w:noWrap/>
          </w:tcPr>
          <w:p w:rsidR="00B958B1" w:rsidRPr="00331B21" w:rsidRDefault="00B958B1" w:rsidP="009F3B54">
            <w:pPr>
              <w:pStyle w:val="OGTabHead"/>
              <w:rPr>
                <w:szCs w:val="20"/>
                <w:lang w:eastAsia="en-AU"/>
              </w:rPr>
            </w:pPr>
            <w:r w:rsidRPr="00331B21">
              <w:rPr>
                <w:szCs w:val="20"/>
                <w:lang w:eastAsia="en-AU"/>
              </w:rPr>
              <w:t> </w:t>
            </w:r>
          </w:p>
        </w:tc>
      </w:tr>
      <w:tr w:rsidR="00B958B1" w:rsidRPr="00C76446" w:rsidTr="009F3B54">
        <w:trPr>
          <w:cantSplit/>
        </w:trPr>
        <w:tc>
          <w:tcPr>
            <w:tcW w:w="3155" w:type="dxa"/>
            <w:shd w:val="clear" w:color="auto" w:fill="auto"/>
          </w:tcPr>
          <w:p w:rsidR="00B958B1" w:rsidRPr="00EF7C58" w:rsidRDefault="00B958B1" w:rsidP="009F3B54">
            <w:pPr>
              <w:pStyle w:val="OGTabText"/>
              <w:rPr>
                <w:color w:val="000000"/>
                <w:lang w:eastAsia="en-AU"/>
              </w:rPr>
            </w:pPr>
            <w:r w:rsidRPr="00331B21">
              <w:rPr>
                <w:color w:val="000000"/>
                <w:lang w:eastAsia="en-AU"/>
              </w:rPr>
              <w:t>Total output cost</w:t>
            </w:r>
          </w:p>
        </w:tc>
        <w:tc>
          <w:tcPr>
            <w:tcW w:w="907" w:type="dxa"/>
            <w:shd w:val="clear" w:color="auto" w:fill="auto"/>
            <w:noWrap/>
          </w:tcPr>
          <w:p w:rsidR="00B958B1" w:rsidRPr="00331B21" w:rsidRDefault="00B958B1" w:rsidP="009F3B54">
            <w:pPr>
              <w:pStyle w:val="OGUoM"/>
              <w:rPr>
                <w:rFonts w:cs="Calibri"/>
                <w:szCs w:val="20"/>
              </w:rPr>
            </w:pPr>
            <w:r w:rsidRPr="00331B21">
              <w:rPr>
                <w:rFonts w:cs="Calibri"/>
                <w:szCs w:val="20"/>
              </w:rPr>
              <w:t>$</w:t>
            </w:r>
            <w:r>
              <w:rPr>
                <w:rFonts w:cs="Calibri"/>
                <w:szCs w:val="20"/>
              </w:rPr>
              <w:t> million</w:t>
            </w:r>
          </w:p>
        </w:tc>
        <w:tc>
          <w:tcPr>
            <w:tcW w:w="907" w:type="dxa"/>
            <w:shd w:val="clear" w:color="auto" w:fill="D9D9D9"/>
            <w:noWrap/>
          </w:tcPr>
          <w:p w:rsidR="00B958B1" w:rsidRPr="00331B21" w:rsidRDefault="00B958B1" w:rsidP="009F3B54">
            <w:pPr>
              <w:pStyle w:val="OGTableofFigures"/>
              <w:rPr>
                <w:rFonts w:cs="Calibri"/>
                <w:szCs w:val="20"/>
              </w:rPr>
            </w:pPr>
            <w:r>
              <w:rPr>
                <w:rFonts w:cs="Calibri"/>
                <w:szCs w:val="20"/>
              </w:rPr>
              <w:t>188.4</w:t>
            </w:r>
          </w:p>
        </w:tc>
        <w:tc>
          <w:tcPr>
            <w:tcW w:w="993" w:type="dxa"/>
            <w:shd w:val="clear" w:color="auto" w:fill="auto"/>
            <w:noWrap/>
          </w:tcPr>
          <w:p w:rsidR="00B958B1" w:rsidRPr="00331B21" w:rsidRDefault="00B958B1" w:rsidP="009F3B54">
            <w:pPr>
              <w:pStyle w:val="OGTableofFigures"/>
              <w:rPr>
                <w:rFonts w:cs="Calibri"/>
                <w:szCs w:val="20"/>
              </w:rPr>
            </w:pPr>
            <w:r>
              <w:rPr>
                <w:rFonts w:cs="Calibri"/>
                <w:szCs w:val="20"/>
              </w:rPr>
              <w:t>na</w:t>
            </w:r>
          </w:p>
        </w:tc>
        <w:tc>
          <w:tcPr>
            <w:tcW w:w="907" w:type="dxa"/>
            <w:shd w:val="clear" w:color="auto" w:fill="auto"/>
            <w:noWrap/>
          </w:tcPr>
          <w:p w:rsidR="00B958B1" w:rsidRPr="00331B21" w:rsidRDefault="00B958B1" w:rsidP="009F3B54">
            <w:pPr>
              <w:pStyle w:val="OGTableofFigures"/>
              <w:rPr>
                <w:rFonts w:cs="Calibri"/>
                <w:szCs w:val="20"/>
              </w:rPr>
            </w:pPr>
            <w:r>
              <w:rPr>
                <w:rFonts w:cs="Calibri"/>
                <w:szCs w:val="20"/>
              </w:rPr>
              <w:t>na</w:t>
            </w:r>
          </w:p>
        </w:tc>
        <w:tc>
          <w:tcPr>
            <w:tcW w:w="907" w:type="dxa"/>
            <w:shd w:val="clear" w:color="auto" w:fill="auto"/>
            <w:noWrap/>
          </w:tcPr>
          <w:p w:rsidR="00B958B1" w:rsidRPr="001B562D" w:rsidRDefault="00B958B1" w:rsidP="009F3B54">
            <w:pPr>
              <w:pStyle w:val="OGTableofFigures"/>
              <w:rPr>
                <w:rFonts w:cs="Calibri"/>
                <w:szCs w:val="20"/>
              </w:rPr>
            </w:pPr>
            <w:r>
              <w:rPr>
                <w:rFonts w:cs="Calibri"/>
                <w:szCs w:val="20"/>
              </w:rPr>
              <w:t>na</w:t>
            </w:r>
          </w:p>
        </w:tc>
      </w:tr>
      <w:tr w:rsidR="00B958B1" w:rsidRPr="00C76446" w:rsidTr="009F3B54">
        <w:trPr>
          <w:cantSplit/>
          <w:trHeight w:val="623"/>
        </w:trPr>
        <w:tc>
          <w:tcPr>
            <w:tcW w:w="7776" w:type="dxa"/>
            <w:gridSpan w:val="6"/>
            <w:tcBorders>
              <w:bottom w:val="single" w:sz="12" w:space="0" w:color="auto"/>
            </w:tcBorders>
            <w:shd w:val="clear" w:color="auto" w:fill="auto"/>
          </w:tcPr>
          <w:p w:rsidR="00B958B1" w:rsidRDefault="00B958B1" w:rsidP="009F3B54">
            <w:pPr>
              <w:pStyle w:val="OGNotes"/>
              <w:rPr>
                <w:rFonts w:cs="Calibri"/>
              </w:rPr>
            </w:pPr>
            <w:r w:rsidRPr="00C83281">
              <w:t>This output was previously reported by the former Department of Primary Industr</w:t>
            </w:r>
            <w:r>
              <w:t>ies</w:t>
            </w:r>
            <w:r w:rsidRPr="00C83281">
              <w:t>. Historical costs have not been included as the output has been split between a number of departments as part of the machinery of government changes.</w:t>
            </w:r>
          </w:p>
        </w:tc>
      </w:tr>
    </w:tbl>
    <w:p w:rsidR="00B958B1" w:rsidRDefault="00B958B1" w:rsidP="009F3B54">
      <w:pPr>
        <w:pStyle w:val="Source"/>
      </w:pPr>
    </w:p>
    <w:p w:rsidR="00B958B1" w:rsidRPr="00741E60" w:rsidRDefault="00B958B1" w:rsidP="009F3B54"/>
    <w:p w:rsidR="00B958B1" w:rsidRDefault="00B958B1" w:rsidP="00C45CC5">
      <w:pPr>
        <w:sectPr w:rsidR="00B958B1" w:rsidSect="004B42A1">
          <w:footerReference w:type="even" r:id="rId33"/>
          <w:footerReference w:type="default" r:id="rId34"/>
          <w:pgSz w:w="9979" w:h="14181" w:code="138"/>
          <w:pgMar w:top="1138" w:right="1138" w:bottom="1138" w:left="1138" w:header="720" w:footer="720" w:gutter="0"/>
          <w:cols w:space="708"/>
          <w:docGrid w:linePitch="360"/>
        </w:sectPr>
      </w:pPr>
    </w:p>
    <w:p w:rsidR="00B958B1" w:rsidRDefault="00B958B1" w:rsidP="009F3B54">
      <w:pPr>
        <w:pStyle w:val="Heading1"/>
      </w:pPr>
      <w:bookmarkStart w:id="137" w:name="_Toc355362287"/>
      <w:r w:rsidRPr="0002334A">
        <w:t xml:space="preserve">Department </w:t>
      </w:r>
      <w:r>
        <w:t>o</w:t>
      </w:r>
      <w:r w:rsidRPr="0002334A">
        <w:t xml:space="preserve">f </w:t>
      </w:r>
      <w:r>
        <w:t xml:space="preserve">Transport, Planning </w:t>
      </w:r>
      <w:r w:rsidRPr="00376BA6">
        <w:t>and</w:t>
      </w:r>
      <w:r>
        <w:t xml:space="preserve"> Local Infrastructure</w:t>
      </w:r>
      <w:bookmarkEnd w:id="137"/>
    </w:p>
    <w:p w:rsidR="00B958B1" w:rsidRDefault="00B958B1" w:rsidP="009F3B54">
      <w:pPr>
        <w:pStyle w:val="Heading2"/>
      </w:pPr>
      <w:r>
        <w:t>Ministerial portfolios</w:t>
      </w:r>
    </w:p>
    <w:p w:rsidR="00B958B1" w:rsidRDefault="00B958B1" w:rsidP="009F3B54">
      <w:r>
        <w:t>The Department supports the ministerial portfolios of Public Transport, Roads, Ports, Planning, Local Government and Sport and Recreation.</w:t>
      </w:r>
    </w:p>
    <w:p w:rsidR="00B958B1" w:rsidRPr="006816D3" w:rsidRDefault="00B958B1" w:rsidP="009F3B54">
      <w:pPr>
        <w:rPr>
          <w:b/>
        </w:rPr>
      </w:pPr>
      <w:r w:rsidRPr="006816D3">
        <w:rPr>
          <w:b/>
        </w:rPr>
        <w:t>Departmental mission statement</w:t>
      </w:r>
    </w:p>
    <w:p w:rsidR="00B958B1" w:rsidRDefault="00B958B1" w:rsidP="009F3B54">
      <w:r>
        <w:t>The Department of Transport, Planning and Local Infrastructure’s goal is to integrate urban and transport planning with local infrastructure provision to deliver better outcomes for Victorians. The Department and its agencies aim to provide:</w:t>
      </w:r>
    </w:p>
    <w:p w:rsidR="00B958B1" w:rsidRDefault="00B958B1" w:rsidP="009F3B54">
      <w:pPr>
        <w:pStyle w:val="BulletText"/>
      </w:pPr>
      <w:r>
        <w:t>an integrated and sustainable transport system that contributes to a prosperous, inclusive and environmentally responsible State;</w:t>
      </w:r>
    </w:p>
    <w:p w:rsidR="00B958B1" w:rsidRDefault="00B958B1" w:rsidP="009F3B54">
      <w:pPr>
        <w:pStyle w:val="BulletText"/>
      </w:pPr>
      <w:r>
        <w:t xml:space="preserve">efficient and effective planning, building, heritage and local government systems, and support for the State’s sport and recreation sector, that ensures Victorian cities and regions are competitive and sustainable; and </w:t>
      </w:r>
    </w:p>
    <w:p w:rsidR="00B958B1" w:rsidRDefault="00B958B1" w:rsidP="009F3B54">
      <w:pPr>
        <w:pStyle w:val="BulletText"/>
      </w:pPr>
      <w:r>
        <w:t>authoritative, comprehensive and easily accessible land administration and land information to underpin effective decision</w:t>
      </w:r>
      <w:r w:rsidR="009F0F49">
        <w:noBreakHyphen/>
      </w:r>
      <w:r>
        <w:t>making and appropriate use of land.</w:t>
      </w:r>
    </w:p>
    <w:p w:rsidR="00B958B1" w:rsidRPr="006816D3" w:rsidRDefault="00B958B1" w:rsidP="009F3B54">
      <w:pPr>
        <w:rPr>
          <w:b/>
        </w:rPr>
      </w:pPr>
      <w:r w:rsidRPr="006816D3">
        <w:rPr>
          <w:b/>
        </w:rPr>
        <w:t>Departmental objectives, indicators and outputs</w:t>
      </w:r>
    </w:p>
    <w:p w:rsidR="00B958B1" w:rsidRDefault="00B958B1" w:rsidP="009F3B54">
      <w:r>
        <w:t>The Department of Transport, Planning and Local Infrastructure’s objectives, indicators and linked outputs</w:t>
      </w:r>
      <w:r>
        <w:rPr>
          <w:rStyle w:val="FootnoteReference"/>
        </w:rPr>
        <w:footnoteReference w:id="1"/>
      </w:r>
      <w:r>
        <w:t xml:space="preserve"> are:</w:t>
      </w:r>
    </w:p>
    <w:tbl>
      <w:tblPr>
        <w:tblStyle w:val="TableGrid"/>
        <w:tblW w:w="7776" w:type="dxa"/>
        <w:tblInd w:w="29" w:type="dxa"/>
        <w:tblBorders>
          <w:bottom w:val="single" w:sz="6" w:space="0" w:color="auto"/>
          <w:insideH w:val="single" w:sz="6" w:space="0" w:color="auto"/>
        </w:tblBorders>
        <w:tblLayout w:type="fixed"/>
        <w:tblCellMar>
          <w:left w:w="43" w:type="dxa"/>
          <w:right w:w="43" w:type="dxa"/>
        </w:tblCellMar>
        <w:tblLook w:val="04A0" w:firstRow="1" w:lastRow="0" w:firstColumn="1" w:lastColumn="0" w:noHBand="0" w:noVBand="1"/>
      </w:tblPr>
      <w:tblGrid>
        <w:gridCol w:w="2592"/>
        <w:gridCol w:w="2592"/>
        <w:gridCol w:w="2592"/>
      </w:tblGrid>
      <w:tr w:rsidR="00B958B1" w:rsidRPr="00D5009F" w:rsidTr="009F3B54">
        <w:trPr>
          <w:cantSplit/>
          <w:tblHeader/>
        </w:trPr>
        <w:tc>
          <w:tcPr>
            <w:tcW w:w="2592" w:type="dxa"/>
            <w:shd w:val="clear" w:color="auto" w:fill="000000"/>
          </w:tcPr>
          <w:p w:rsidR="00B958B1" w:rsidRPr="00D5009F" w:rsidRDefault="00B958B1" w:rsidP="009F3B54">
            <w:pPr>
              <w:pStyle w:val="TabletextheadingLeft0"/>
            </w:pPr>
            <w:r w:rsidRPr="00D5009F">
              <w:rPr>
                <w:highlight w:val="black"/>
              </w:rPr>
              <w:t>Departmental objectives</w:t>
            </w:r>
          </w:p>
        </w:tc>
        <w:tc>
          <w:tcPr>
            <w:tcW w:w="2592" w:type="dxa"/>
            <w:shd w:val="clear" w:color="auto" w:fill="000000"/>
          </w:tcPr>
          <w:p w:rsidR="00B958B1" w:rsidRPr="00D5009F" w:rsidRDefault="00B958B1" w:rsidP="009F3B54">
            <w:pPr>
              <w:pStyle w:val="TabletextheadingLeft0"/>
            </w:pPr>
            <w:r w:rsidRPr="00D5009F">
              <w:rPr>
                <w:highlight w:val="black"/>
              </w:rPr>
              <w:t>Indicators</w:t>
            </w:r>
          </w:p>
        </w:tc>
        <w:tc>
          <w:tcPr>
            <w:tcW w:w="2592" w:type="dxa"/>
            <w:shd w:val="clear" w:color="auto" w:fill="000000"/>
          </w:tcPr>
          <w:p w:rsidR="00B958B1" w:rsidRPr="00D5009F" w:rsidRDefault="00B958B1" w:rsidP="009F3B54">
            <w:pPr>
              <w:pStyle w:val="TabletextheadingLeft0"/>
            </w:pPr>
            <w:r w:rsidRPr="00D5009F">
              <w:rPr>
                <w:highlight w:val="black"/>
              </w:rPr>
              <w:t>Outputs</w:t>
            </w:r>
          </w:p>
        </w:tc>
      </w:tr>
      <w:tr w:rsidR="00B958B1" w:rsidTr="009F3B54">
        <w:trPr>
          <w:cantSplit/>
        </w:trPr>
        <w:tc>
          <w:tcPr>
            <w:tcW w:w="2592" w:type="dxa"/>
          </w:tcPr>
          <w:p w:rsidR="00B958B1" w:rsidRPr="00794FA2" w:rsidRDefault="00B958B1" w:rsidP="009F3B54">
            <w:pPr>
              <w:pStyle w:val="Tabletextnoindent"/>
            </w:pPr>
            <w:r w:rsidRPr="00794FA2">
              <w:t>Safer transport services and infrastructure</w:t>
            </w:r>
          </w:p>
          <w:p w:rsidR="00B958B1" w:rsidRPr="00794FA2" w:rsidRDefault="00B958B1" w:rsidP="009F3B54">
            <w:pPr>
              <w:pStyle w:val="Tabletextnoindent"/>
            </w:pPr>
            <w:r w:rsidRPr="00794FA2">
              <w:t>Make safety improvements to transport infrastructure and systems, improve security management and implement programs to promote safer transport user behaviour.</w:t>
            </w:r>
          </w:p>
        </w:tc>
        <w:tc>
          <w:tcPr>
            <w:tcW w:w="2592" w:type="dxa"/>
          </w:tcPr>
          <w:p w:rsidR="00B958B1" w:rsidRPr="00794FA2" w:rsidRDefault="00B958B1" w:rsidP="009F3B54">
            <w:pPr>
              <w:pStyle w:val="Tabletextnoindent"/>
            </w:pPr>
            <w:r w:rsidRPr="00794FA2">
              <w:t>Fatalities and serious injuries on the road network reduced through a strategic approach aimed at road user and vehicle regulation, road user education, safer road network operation and improving road infrastructure</w:t>
            </w:r>
            <w:r w:rsidRPr="00C9732C">
              <w:rPr>
                <w:rStyle w:val="FootnoteReference"/>
              </w:rPr>
              <w:footnoteReference w:id="2"/>
            </w:r>
          </w:p>
        </w:tc>
        <w:tc>
          <w:tcPr>
            <w:tcW w:w="2592" w:type="dxa"/>
          </w:tcPr>
          <w:p w:rsidR="00B958B1" w:rsidRPr="00794FA2" w:rsidRDefault="00B958B1" w:rsidP="009F3B54">
            <w:pPr>
              <w:pStyle w:val="Tabletextnoindent"/>
            </w:pPr>
            <w:r w:rsidRPr="00794FA2">
              <w:t>Transport Safety Regulation and Investigations</w:t>
            </w:r>
          </w:p>
          <w:p w:rsidR="00B958B1" w:rsidRPr="00794FA2" w:rsidRDefault="00B958B1" w:rsidP="009F3B54">
            <w:pPr>
              <w:pStyle w:val="Tabletextnoindent"/>
            </w:pPr>
            <w:r w:rsidRPr="00794FA2">
              <w:t>Transport Safety and Security Management</w:t>
            </w:r>
          </w:p>
        </w:tc>
      </w:tr>
      <w:tr w:rsidR="00B958B1" w:rsidTr="009F3B54">
        <w:trPr>
          <w:cantSplit/>
        </w:trPr>
        <w:tc>
          <w:tcPr>
            <w:tcW w:w="2592" w:type="dxa"/>
          </w:tcPr>
          <w:p w:rsidR="00B958B1" w:rsidRPr="00794FA2" w:rsidRDefault="00B958B1" w:rsidP="009F3B54">
            <w:pPr>
              <w:pStyle w:val="Tabletextnoindent"/>
            </w:pPr>
            <w:r w:rsidRPr="00794FA2">
              <w:t>Higher</w:t>
            </w:r>
            <w:r w:rsidR="009F0F49">
              <w:noBreakHyphen/>
            </w:r>
            <w:r w:rsidRPr="00794FA2">
              <w:t>quality transport services</w:t>
            </w:r>
          </w:p>
          <w:p w:rsidR="00B958B1" w:rsidRPr="00794FA2" w:rsidRDefault="00B958B1" w:rsidP="009F3B54">
            <w:pPr>
              <w:pStyle w:val="Tabletextnoindent"/>
            </w:pPr>
            <w:r w:rsidRPr="00794FA2">
              <w:t>Plan and provide higher levels of service delivery, and improve accessibility and provide better transport information.</w:t>
            </w:r>
          </w:p>
        </w:tc>
        <w:tc>
          <w:tcPr>
            <w:tcW w:w="2592" w:type="dxa"/>
          </w:tcPr>
          <w:p w:rsidR="00B958B1" w:rsidRPr="00794FA2" w:rsidRDefault="00B958B1" w:rsidP="009F3B54">
            <w:pPr>
              <w:pStyle w:val="Tabletextnoindent"/>
            </w:pPr>
            <w:r w:rsidRPr="00794FA2">
              <w:t>Public transport patronage</w:t>
            </w:r>
          </w:p>
          <w:p w:rsidR="00B958B1" w:rsidRPr="00794FA2" w:rsidRDefault="00B958B1" w:rsidP="009F3B54">
            <w:pPr>
              <w:pStyle w:val="Tabletextnoindent"/>
            </w:pPr>
            <w:r w:rsidRPr="00794FA2">
              <w:t>Public transport customer satisfaction</w:t>
            </w:r>
          </w:p>
          <w:p w:rsidR="00B958B1" w:rsidRPr="00794FA2" w:rsidRDefault="00B958B1" w:rsidP="009F3B54">
            <w:pPr>
              <w:pStyle w:val="Tabletextnoindent"/>
            </w:pPr>
            <w:r w:rsidRPr="00794FA2">
              <w:t>Public transport services delivered on time</w:t>
            </w:r>
          </w:p>
          <w:p w:rsidR="00B958B1" w:rsidRPr="00794FA2" w:rsidRDefault="00B958B1" w:rsidP="009F3B54">
            <w:pPr>
              <w:pStyle w:val="Tabletextnoindent"/>
            </w:pPr>
            <w:r w:rsidRPr="00794FA2">
              <w:t>Scheduled public transport services delivered</w:t>
            </w:r>
          </w:p>
        </w:tc>
        <w:tc>
          <w:tcPr>
            <w:tcW w:w="2592" w:type="dxa"/>
          </w:tcPr>
          <w:p w:rsidR="00B958B1" w:rsidRPr="003D6963" w:rsidRDefault="00B958B1" w:rsidP="009F3B54">
            <w:pPr>
              <w:pStyle w:val="Tabletextnoindent"/>
              <w:rPr>
                <w:lang w:val="fr-FR"/>
              </w:rPr>
            </w:pPr>
            <w:r w:rsidRPr="003D6963">
              <w:rPr>
                <w:lang w:val="fr-FR"/>
              </w:rPr>
              <w:t>Metropolitan Transport Services</w:t>
            </w:r>
          </w:p>
          <w:p w:rsidR="00B958B1" w:rsidRPr="003D6963" w:rsidRDefault="00B958B1" w:rsidP="009F3B54">
            <w:pPr>
              <w:pStyle w:val="Tabletextnoindent"/>
              <w:rPr>
                <w:lang w:val="fr-FR"/>
              </w:rPr>
            </w:pPr>
            <w:r w:rsidRPr="003D6963">
              <w:rPr>
                <w:lang w:val="fr-FR"/>
              </w:rPr>
              <w:t>Regional Transport Services</w:t>
            </w:r>
          </w:p>
          <w:p w:rsidR="00B958B1" w:rsidRPr="00794FA2" w:rsidRDefault="00B958B1" w:rsidP="009F3B54">
            <w:pPr>
              <w:pStyle w:val="Tabletextnoindent"/>
            </w:pPr>
            <w:r w:rsidRPr="00794FA2">
              <w:t>Statewide Transport Services</w:t>
            </w:r>
          </w:p>
        </w:tc>
      </w:tr>
      <w:tr w:rsidR="00B958B1" w:rsidTr="009F3B54">
        <w:trPr>
          <w:cantSplit/>
        </w:trPr>
        <w:tc>
          <w:tcPr>
            <w:tcW w:w="2592" w:type="dxa"/>
          </w:tcPr>
          <w:p w:rsidR="00B958B1" w:rsidRPr="00794FA2" w:rsidRDefault="00B958B1" w:rsidP="009F3B54">
            <w:pPr>
              <w:pStyle w:val="Tabletextnoindent"/>
            </w:pPr>
            <w:r>
              <w:t>Well</w:t>
            </w:r>
            <w:r w:rsidR="009F0F49">
              <w:noBreakHyphen/>
            </w:r>
            <w:r w:rsidRPr="00794FA2">
              <w:t>targeted improvements and maintenance to transport system assets</w:t>
            </w:r>
          </w:p>
          <w:p w:rsidR="00B958B1" w:rsidRPr="00794FA2" w:rsidRDefault="00B958B1" w:rsidP="009F3B54">
            <w:pPr>
              <w:pStyle w:val="Tabletextnoindent"/>
            </w:pPr>
            <w:r w:rsidRPr="00794FA2">
              <w:t>Undertake strategic planning and project development for transport system investments, build and procure new transport assets, and upgrade and maintain existing transport assets.</w:t>
            </w:r>
          </w:p>
        </w:tc>
        <w:tc>
          <w:tcPr>
            <w:tcW w:w="2592" w:type="dxa"/>
          </w:tcPr>
          <w:p w:rsidR="00B958B1" w:rsidRPr="00794FA2" w:rsidRDefault="00B958B1" w:rsidP="009F3B54">
            <w:pPr>
              <w:pStyle w:val="Tabletextnoindent"/>
            </w:pPr>
            <w:r w:rsidRPr="00794FA2">
              <w:t>Distressed freeway and arterial road surfaces</w:t>
            </w:r>
          </w:p>
          <w:p w:rsidR="00B958B1" w:rsidRPr="00794FA2" w:rsidRDefault="00B958B1" w:rsidP="009F3B54">
            <w:pPr>
              <w:pStyle w:val="Tabletextnoindent"/>
            </w:pPr>
            <w:r w:rsidRPr="00794FA2">
              <w:t>Road travel delay on metropolitan freeways and arterials</w:t>
            </w:r>
          </w:p>
        </w:tc>
        <w:tc>
          <w:tcPr>
            <w:tcW w:w="2592" w:type="dxa"/>
          </w:tcPr>
          <w:p w:rsidR="00B958B1" w:rsidRPr="00794FA2" w:rsidRDefault="00B958B1" w:rsidP="009F3B54">
            <w:pPr>
              <w:pStyle w:val="Tabletextnoindent"/>
            </w:pPr>
            <w:r w:rsidRPr="00794FA2">
              <w:t>Integrated Transport System Planning</w:t>
            </w:r>
          </w:p>
          <w:p w:rsidR="00B958B1" w:rsidRPr="00794FA2" w:rsidRDefault="00B958B1" w:rsidP="009F3B54">
            <w:pPr>
              <w:pStyle w:val="Tabletextnoindent"/>
            </w:pPr>
            <w:r w:rsidRPr="00794FA2">
              <w:t>Public Transport Network Improvements and Maintenance</w:t>
            </w:r>
          </w:p>
          <w:p w:rsidR="00B958B1" w:rsidRPr="00794FA2" w:rsidRDefault="00B958B1" w:rsidP="009F3B54">
            <w:pPr>
              <w:pStyle w:val="Tabletextnoindent"/>
            </w:pPr>
            <w:r w:rsidRPr="00794FA2">
              <w:t>Road Network Improvements</w:t>
            </w:r>
          </w:p>
          <w:p w:rsidR="00B958B1" w:rsidRPr="00794FA2" w:rsidRDefault="00B958B1" w:rsidP="009F3B54">
            <w:pPr>
              <w:pStyle w:val="Tabletextnoindent"/>
            </w:pPr>
            <w:r w:rsidRPr="00794FA2">
              <w:t>Road Asset Management</w:t>
            </w:r>
          </w:p>
          <w:p w:rsidR="00B958B1" w:rsidRPr="00794FA2" w:rsidRDefault="00B958B1" w:rsidP="009F3B54">
            <w:pPr>
              <w:pStyle w:val="Tabletextnoindent"/>
            </w:pPr>
            <w:r w:rsidRPr="00794FA2">
              <w:t>Ports and Freight Network Improvements and Maintenance</w:t>
            </w:r>
          </w:p>
        </w:tc>
      </w:tr>
      <w:tr w:rsidR="00B958B1" w:rsidTr="009F3B54">
        <w:trPr>
          <w:cantSplit/>
        </w:trPr>
        <w:tc>
          <w:tcPr>
            <w:tcW w:w="2592" w:type="dxa"/>
          </w:tcPr>
          <w:p w:rsidR="00B958B1" w:rsidRPr="00794FA2" w:rsidRDefault="00B958B1" w:rsidP="009F3B54">
            <w:pPr>
              <w:pStyle w:val="Tabletextnoindent"/>
            </w:pPr>
            <w:r w:rsidRPr="00794FA2">
              <w:t>Plan for the future growth and transformation of cities and regions</w:t>
            </w:r>
          </w:p>
          <w:p w:rsidR="00B958B1" w:rsidRPr="00794FA2" w:rsidRDefault="00B958B1" w:rsidP="009F3B54">
            <w:pPr>
              <w:pStyle w:val="Tabletextnoindent"/>
            </w:pPr>
            <w:r w:rsidRPr="00794FA2">
              <w:t>Develop and implement integrated long</w:t>
            </w:r>
            <w:r w:rsidR="009F0F49">
              <w:noBreakHyphen/>
            </w:r>
            <w:r w:rsidRPr="00794FA2">
              <w:t>term plans and planning reform to manage population growth, enhance liveability and guide integrated land use and transport planning, infrastructure provision, housing supply, urban design and heritage conservation delivered through streamlined planning, building and heritage systems.</w:t>
            </w:r>
          </w:p>
        </w:tc>
        <w:tc>
          <w:tcPr>
            <w:tcW w:w="2592" w:type="dxa"/>
          </w:tcPr>
          <w:p w:rsidR="00B958B1" w:rsidRPr="00794FA2" w:rsidRDefault="00B958B1" w:rsidP="009F3B54">
            <w:pPr>
              <w:pStyle w:val="Tabletextnoindent"/>
            </w:pPr>
            <w:r w:rsidRPr="00794FA2">
              <w:t>The vision for Victoria is reflected in the State Planning System</w:t>
            </w:r>
          </w:p>
          <w:p w:rsidR="00B958B1" w:rsidRPr="00794FA2" w:rsidRDefault="00B958B1" w:rsidP="009F3B54">
            <w:pPr>
              <w:pStyle w:val="Tabletextnoindent"/>
            </w:pPr>
            <w:r w:rsidRPr="00794FA2">
              <w:t>Level of satisfaction of key stakeholders with State Planning Strategies</w:t>
            </w:r>
          </w:p>
          <w:p w:rsidR="00B958B1" w:rsidRPr="00794FA2" w:rsidRDefault="00B958B1" w:rsidP="009F3B54">
            <w:pPr>
              <w:pStyle w:val="Tabletextnoindent"/>
            </w:pPr>
            <w:r w:rsidRPr="00794FA2">
              <w:t>Number and type of reforms implemented to increase the efficiency of Victoria’s planning, building and heritage system</w:t>
            </w:r>
          </w:p>
        </w:tc>
        <w:tc>
          <w:tcPr>
            <w:tcW w:w="2592" w:type="dxa"/>
          </w:tcPr>
          <w:p w:rsidR="00B958B1" w:rsidRPr="00794FA2" w:rsidRDefault="00B958B1" w:rsidP="009F3B54">
            <w:pPr>
              <w:pStyle w:val="Tabletextnoindent"/>
            </w:pPr>
            <w:r w:rsidRPr="00794FA2">
              <w:t>Planning, Building and Heritage</w:t>
            </w:r>
          </w:p>
        </w:tc>
      </w:tr>
      <w:tr w:rsidR="00B958B1" w:rsidTr="009F3B54">
        <w:trPr>
          <w:cantSplit/>
        </w:trPr>
        <w:tc>
          <w:tcPr>
            <w:tcW w:w="2592" w:type="dxa"/>
          </w:tcPr>
          <w:p w:rsidR="00B958B1" w:rsidRPr="00794FA2" w:rsidRDefault="00B958B1" w:rsidP="009F3B54">
            <w:pPr>
              <w:pStyle w:val="Tabletextnoindent"/>
            </w:pPr>
            <w:r w:rsidRPr="00794FA2">
              <w:t>Leadership, advocacy and advice on the quality of architecture and the built environment</w:t>
            </w:r>
          </w:p>
          <w:p w:rsidR="00B958B1" w:rsidRPr="00794FA2" w:rsidRDefault="00B958B1" w:rsidP="009F3B54">
            <w:pPr>
              <w:pStyle w:val="Tabletextnoindent"/>
            </w:pPr>
            <w:r w:rsidRPr="00794FA2">
              <w:t>Provide advocacy and strategic advice to government and key stakeholders to support high</w:t>
            </w:r>
            <w:r w:rsidR="009F0F49">
              <w:noBreakHyphen/>
            </w:r>
            <w:r w:rsidRPr="00794FA2">
              <w:t>quality architectural and built environment outcomes, improve whole</w:t>
            </w:r>
            <w:r>
              <w:t xml:space="preserve"> </w:t>
            </w:r>
            <w:r w:rsidRPr="00794FA2">
              <w:t>of</w:t>
            </w:r>
            <w:r>
              <w:t xml:space="preserve"> </w:t>
            </w:r>
            <w:r w:rsidRPr="00794FA2">
              <w:t>government procurement processes and build on Victoria's reputation for design excellence.</w:t>
            </w:r>
          </w:p>
        </w:tc>
        <w:tc>
          <w:tcPr>
            <w:tcW w:w="2592" w:type="dxa"/>
          </w:tcPr>
          <w:p w:rsidR="00B958B1" w:rsidRPr="00794FA2" w:rsidRDefault="00B958B1" w:rsidP="009F3B54">
            <w:pPr>
              <w:pStyle w:val="Tabletextnoindent"/>
            </w:pPr>
            <w:r w:rsidRPr="00794FA2">
              <w:t>The quality of the built environment has significant cultural and public value contributing to an enriched sense of place for all Victorians</w:t>
            </w:r>
          </w:p>
        </w:tc>
        <w:tc>
          <w:tcPr>
            <w:tcW w:w="2592" w:type="dxa"/>
          </w:tcPr>
          <w:p w:rsidR="00B958B1" w:rsidRPr="00794FA2" w:rsidRDefault="00B958B1" w:rsidP="009F3B54">
            <w:pPr>
              <w:pStyle w:val="Tabletextnoindent"/>
            </w:pPr>
            <w:r w:rsidRPr="00794FA2">
              <w:t>Office of the Victorian Government Architect</w:t>
            </w:r>
          </w:p>
        </w:tc>
      </w:tr>
      <w:tr w:rsidR="00B958B1" w:rsidTr="009F3B54">
        <w:trPr>
          <w:cantSplit/>
        </w:trPr>
        <w:tc>
          <w:tcPr>
            <w:tcW w:w="2592" w:type="dxa"/>
          </w:tcPr>
          <w:p w:rsidR="00B958B1" w:rsidRPr="00794FA2" w:rsidRDefault="00B958B1" w:rsidP="009F3B54">
            <w:pPr>
              <w:pStyle w:val="Tabletextnoindent"/>
            </w:pPr>
            <w:r w:rsidRPr="00794FA2">
              <w:t>Deliver effective reform and governance of local government</w:t>
            </w:r>
          </w:p>
          <w:p w:rsidR="00B958B1" w:rsidRPr="00794FA2" w:rsidRDefault="00B958B1" w:rsidP="009F3B54">
            <w:pPr>
              <w:pStyle w:val="Tabletextnoindent"/>
            </w:pPr>
            <w:r w:rsidRPr="00794FA2">
              <w:t>Develop and maintain systems that support a strong, transparent and accountable system of local government.</w:t>
            </w:r>
          </w:p>
        </w:tc>
        <w:tc>
          <w:tcPr>
            <w:tcW w:w="2592" w:type="dxa"/>
          </w:tcPr>
          <w:p w:rsidR="00B958B1" w:rsidRPr="00794FA2" w:rsidRDefault="00B958B1" w:rsidP="009F3B54">
            <w:pPr>
              <w:pStyle w:val="Tabletextnoindent"/>
            </w:pPr>
            <w:r>
              <w:t>Proportion of local councils trialling the new performance framework actively participating in the trial</w:t>
            </w:r>
          </w:p>
        </w:tc>
        <w:tc>
          <w:tcPr>
            <w:tcW w:w="2592" w:type="dxa"/>
          </w:tcPr>
          <w:p w:rsidR="00B958B1" w:rsidRPr="00794FA2" w:rsidRDefault="00B958B1" w:rsidP="009F3B54">
            <w:pPr>
              <w:pStyle w:val="Tabletextnoindent"/>
            </w:pPr>
            <w:r w:rsidRPr="00794FA2">
              <w:t>Local Government</w:t>
            </w:r>
          </w:p>
          <w:p w:rsidR="00B958B1" w:rsidRPr="00794FA2" w:rsidRDefault="00B958B1" w:rsidP="009F3B54">
            <w:pPr>
              <w:pStyle w:val="Tabletextnoindent"/>
            </w:pPr>
          </w:p>
        </w:tc>
      </w:tr>
      <w:tr w:rsidR="00B958B1" w:rsidTr="009F3B54">
        <w:trPr>
          <w:cantSplit/>
        </w:trPr>
        <w:tc>
          <w:tcPr>
            <w:tcW w:w="2592" w:type="dxa"/>
            <w:tcBorders>
              <w:bottom w:val="single" w:sz="6" w:space="0" w:color="auto"/>
            </w:tcBorders>
          </w:tcPr>
          <w:p w:rsidR="00B958B1" w:rsidRPr="00794FA2" w:rsidRDefault="00B958B1" w:rsidP="009F3B54">
            <w:pPr>
              <w:pStyle w:val="Tabletextnoindent"/>
            </w:pPr>
            <w:r w:rsidRPr="00794FA2">
              <w:t>Facilitate strategic investment in State and local infrastructure</w:t>
            </w:r>
          </w:p>
          <w:p w:rsidR="00B958B1" w:rsidRPr="00794FA2" w:rsidRDefault="00B958B1" w:rsidP="009F3B54">
            <w:pPr>
              <w:pStyle w:val="Tabletextnoindent"/>
            </w:pPr>
            <w:r w:rsidRPr="00794FA2">
              <w:t>Develop proposals for State and local infrastructure projects, including sporting facilities, to stimulate growth, boost competitiveness, support population growth and build on Victoria’s outstanding reputation for hosting major sporting events at world</w:t>
            </w:r>
            <w:r w:rsidR="009F0F49">
              <w:noBreakHyphen/>
            </w:r>
            <w:r w:rsidRPr="00794FA2">
              <w:t>class facilities.</w:t>
            </w:r>
          </w:p>
        </w:tc>
        <w:tc>
          <w:tcPr>
            <w:tcW w:w="2592" w:type="dxa"/>
            <w:tcBorders>
              <w:bottom w:val="single" w:sz="6" w:space="0" w:color="auto"/>
            </w:tcBorders>
          </w:tcPr>
          <w:p w:rsidR="00B958B1" w:rsidRPr="00794FA2" w:rsidRDefault="00B958B1" w:rsidP="009F3B54">
            <w:pPr>
              <w:pStyle w:val="Tabletextnoindent"/>
            </w:pPr>
            <w:r w:rsidRPr="00794FA2">
              <w:t xml:space="preserve">Total investment dollars leveraged, by type, for committed infrastructure projects </w:t>
            </w:r>
          </w:p>
          <w:p w:rsidR="00B958B1" w:rsidRPr="00794FA2" w:rsidRDefault="00B958B1" w:rsidP="009F3B54">
            <w:pPr>
              <w:pStyle w:val="Tabletextnoindent"/>
            </w:pPr>
            <w:r w:rsidRPr="00794FA2">
              <w:t>Level of participation in sport and recreation equal to national average</w:t>
            </w:r>
          </w:p>
        </w:tc>
        <w:tc>
          <w:tcPr>
            <w:tcW w:w="2592" w:type="dxa"/>
            <w:tcBorders>
              <w:bottom w:val="single" w:sz="6" w:space="0" w:color="auto"/>
            </w:tcBorders>
          </w:tcPr>
          <w:p w:rsidR="00B958B1" w:rsidRPr="00794FA2" w:rsidRDefault="00B958B1" w:rsidP="009F3B54">
            <w:pPr>
              <w:pStyle w:val="Tabletextnoindent"/>
            </w:pPr>
            <w:r w:rsidRPr="00794FA2">
              <w:t>Sport and Recreation</w:t>
            </w:r>
          </w:p>
        </w:tc>
      </w:tr>
      <w:tr w:rsidR="00B958B1" w:rsidTr="009F3B54">
        <w:trPr>
          <w:cantSplit/>
        </w:trPr>
        <w:tc>
          <w:tcPr>
            <w:tcW w:w="2592" w:type="dxa"/>
            <w:tcBorders>
              <w:top w:val="single" w:sz="6" w:space="0" w:color="auto"/>
              <w:bottom w:val="single" w:sz="12" w:space="0" w:color="auto"/>
            </w:tcBorders>
          </w:tcPr>
          <w:p w:rsidR="00B958B1" w:rsidRPr="00794FA2" w:rsidRDefault="00B958B1" w:rsidP="009F3B54">
            <w:pPr>
              <w:pStyle w:val="Tabletextnoindent"/>
            </w:pPr>
            <w:r w:rsidRPr="00794FA2">
              <w:t>Deliver benefits for the community through effective management of Victoria’s land assets</w:t>
            </w:r>
          </w:p>
          <w:p w:rsidR="00B958B1" w:rsidRPr="00794FA2" w:rsidRDefault="00B958B1" w:rsidP="009F3B54">
            <w:pPr>
              <w:pStyle w:val="Tabletextnoindent"/>
            </w:pPr>
            <w:r w:rsidRPr="00794FA2">
              <w:t>Deliver quality land administration services to support social, environmental and economic outcomes.</w:t>
            </w:r>
          </w:p>
        </w:tc>
        <w:tc>
          <w:tcPr>
            <w:tcW w:w="2592" w:type="dxa"/>
            <w:tcBorders>
              <w:top w:val="single" w:sz="6" w:space="0" w:color="auto"/>
              <w:bottom w:val="single" w:sz="12" w:space="0" w:color="auto"/>
            </w:tcBorders>
          </w:tcPr>
          <w:p w:rsidR="00B958B1" w:rsidRPr="00794FA2" w:rsidRDefault="00B958B1" w:rsidP="009F3B54">
            <w:pPr>
              <w:pStyle w:val="Tabletextnoindent"/>
            </w:pPr>
            <w:r w:rsidRPr="00794FA2">
              <w:t xml:space="preserve">Improvement in the provision of timely and authoritative land administration and property information services </w:t>
            </w:r>
          </w:p>
        </w:tc>
        <w:tc>
          <w:tcPr>
            <w:tcW w:w="2592" w:type="dxa"/>
            <w:tcBorders>
              <w:top w:val="single" w:sz="6" w:space="0" w:color="auto"/>
              <w:bottom w:val="single" w:sz="12" w:space="0" w:color="auto"/>
            </w:tcBorders>
          </w:tcPr>
          <w:p w:rsidR="00B958B1" w:rsidRPr="00794FA2" w:rsidRDefault="00B958B1" w:rsidP="009F3B54">
            <w:pPr>
              <w:pStyle w:val="Tabletextnoindent"/>
            </w:pPr>
            <w:r w:rsidRPr="00794FA2">
              <w:t>Land Victoria</w:t>
            </w:r>
          </w:p>
        </w:tc>
      </w:tr>
    </w:tbl>
    <w:p w:rsidR="00B958B1" w:rsidRDefault="00B958B1" w:rsidP="009F3B54">
      <w:pPr>
        <w:pStyle w:val="Source"/>
      </w:pPr>
      <w:r>
        <w:t>Source: Department of Transport, Planning and Local Infrastructure</w:t>
      </w:r>
    </w:p>
    <w:p w:rsidR="00B958B1" w:rsidRPr="00415349" w:rsidRDefault="00B958B1" w:rsidP="009F3B54">
      <w:pPr>
        <w:pStyle w:val="Heading2"/>
      </w:pPr>
      <w:r w:rsidRPr="00415349">
        <w:t xml:space="preserve">Changes to the output structure </w:t>
      </w:r>
    </w:p>
    <w:p w:rsidR="00B958B1" w:rsidRDefault="00B958B1" w:rsidP="009F3B54">
      <w:r w:rsidRPr="001B5FD0">
        <w:t xml:space="preserve">The Department has made changes to </w:t>
      </w:r>
      <w:r>
        <w:t xml:space="preserve">its </w:t>
      </w:r>
      <w:r w:rsidRPr="001B5FD0">
        <w:t>output structure</w:t>
      </w:r>
      <w:r>
        <w:t xml:space="preserve"> for 2013</w:t>
      </w:r>
      <w:r w:rsidR="009F0F49">
        <w:noBreakHyphen/>
      </w:r>
      <w:r>
        <w:t>14</w:t>
      </w:r>
      <w:r w:rsidRPr="001B5FD0">
        <w:t xml:space="preserve">, as shown in the table below: </w:t>
      </w:r>
    </w:p>
    <w:tbl>
      <w:tblPr>
        <w:tblStyle w:val="TableGrid"/>
        <w:tblW w:w="7776" w:type="dxa"/>
        <w:tblInd w:w="29" w:type="dxa"/>
        <w:tblBorders>
          <w:bottom w:val="single" w:sz="12" w:space="0" w:color="auto"/>
        </w:tblBorders>
        <w:tblLayout w:type="fixed"/>
        <w:tblCellMar>
          <w:left w:w="43" w:type="dxa"/>
          <w:right w:w="43" w:type="dxa"/>
        </w:tblCellMar>
        <w:tblLook w:val="04A0" w:firstRow="1" w:lastRow="0" w:firstColumn="1" w:lastColumn="0" w:noHBand="0" w:noVBand="1"/>
      </w:tblPr>
      <w:tblGrid>
        <w:gridCol w:w="2592"/>
        <w:gridCol w:w="2592"/>
        <w:gridCol w:w="2592"/>
      </w:tblGrid>
      <w:tr w:rsidR="00B958B1" w:rsidRPr="00D5009F" w:rsidTr="009F3B54">
        <w:trPr>
          <w:cantSplit/>
          <w:tblHeader/>
        </w:trPr>
        <w:tc>
          <w:tcPr>
            <w:tcW w:w="2592" w:type="dxa"/>
            <w:shd w:val="clear" w:color="auto" w:fill="000000"/>
          </w:tcPr>
          <w:p w:rsidR="00B958B1" w:rsidRPr="00794FA2" w:rsidRDefault="00B958B1" w:rsidP="009F3B54">
            <w:pPr>
              <w:pStyle w:val="TabletextheadingLeft0"/>
              <w:rPr>
                <w:b/>
              </w:rPr>
            </w:pPr>
            <w:r w:rsidRPr="00794FA2">
              <w:rPr>
                <w:b/>
              </w:rPr>
              <w:t>2012</w:t>
            </w:r>
            <w:r w:rsidR="009F0F49">
              <w:rPr>
                <w:b/>
              </w:rPr>
              <w:noBreakHyphen/>
            </w:r>
            <w:r w:rsidRPr="00794FA2">
              <w:rPr>
                <w:b/>
              </w:rPr>
              <w:t>13 Outputs</w:t>
            </w:r>
            <w:r w:rsidRPr="00794FA2">
              <w:rPr>
                <w:b/>
                <w:highlight w:val="black"/>
              </w:rPr>
              <w:t xml:space="preserve"> </w:t>
            </w:r>
          </w:p>
        </w:tc>
        <w:tc>
          <w:tcPr>
            <w:tcW w:w="2592" w:type="dxa"/>
            <w:shd w:val="clear" w:color="auto" w:fill="000000"/>
          </w:tcPr>
          <w:p w:rsidR="00B958B1" w:rsidRPr="00794FA2" w:rsidRDefault="00B958B1" w:rsidP="009F3B54">
            <w:pPr>
              <w:pStyle w:val="TabletextheadingLeft0"/>
              <w:rPr>
                <w:b/>
              </w:rPr>
            </w:pPr>
            <w:r w:rsidRPr="00794FA2">
              <w:rPr>
                <w:b/>
              </w:rPr>
              <w:t>Reason</w:t>
            </w:r>
          </w:p>
        </w:tc>
        <w:tc>
          <w:tcPr>
            <w:tcW w:w="2592" w:type="dxa"/>
            <w:shd w:val="clear" w:color="auto" w:fill="000000"/>
          </w:tcPr>
          <w:p w:rsidR="00B958B1" w:rsidRPr="00794FA2" w:rsidRDefault="00B958B1" w:rsidP="009F3B54">
            <w:pPr>
              <w:pStyle w:val="TabletextheadingLeft0"/>
              <w:rPr>
                <w:b/>
              </w:rPr>
            </w:pPr>
            <w:r w:rsidRPr="00794FA2">
              <w:rPr>
                <w:b/>
              </w:rPr>
              <w:t>2013</w:t>
            </w:r>
            <w:r w:rsidR="009F0F49">
              <w:rPr>
                <w:b/>
              </w:rPr>
              <w:noBreakHyphen/>
            </w:r>
            <w:r w:rsidRPr="00794FA2">
              <w:rPr>
                <w:b/>
              </w:rPr>
              <w:t>14 Outputs</w:t>
            </w:r>
          </w:p>
        </w:tc>
      </w:tr>
      <w:tr w:rsidR="00B958B1" w:rsidTr="009F3B54">
        <w:trPr>
          <w:cantSplit/>
        </w:trPr>
        <w:tc>
          <w:tcPr>
            <w:tcW w:w="2592" w:type="dxa"/>
            <w:tcBorders>
              <w:bottom w:val="nil"/>
            </w:tcBorders>
          </w:tcPr>
          <w:p w:rsidR="00B958B1" w:rsidRPr="00485CCA" w:rsidRDefault="00B958B1" w:rsidP="009F3B54">
            <w:pPr>
              <w:pStyle w:val="Tabletextnoindent"/>
            </w:pPr>
            <w:r>
              <w:t xml:space="preserve">Integrated </w:t>
            </w:r>
            <w:r w:rsidRPr="00794FA2">
              <w:t>Metropolitan</w:t>
            </w:r>
            <w:r>
              <w:t xml:space="preserve"> Public Transport Services</w:t>
            </w:r>
            <w:r w:rsidRPr="00CC254B">
              <w:rPr>
                <w:vertAlign w:val="superscript"/>
              </w:rPr>
              <w:t>(a)</w:t>
            </w:r>
          </w:p>
        </w:tc>
        <w:tc>
          <w:tcPr>
            <w:tcW w:w="2592" w:type="dxa"/>
            <w:tcBorders>
              <w:bottom w:val="nil"/>
            </w:tcBorders>
          </w:tcPr>
          <w:p w:rsidR="00B958B1" w:rsidRPr="00485CCA" w:rsidRDefault="00B958B1" w:rsidP="009F3B54">
            <w:pPr>
              <w:pStyle w:val="Tabletextnoindent"/>
            </w:pPr>
            <w:r>
              <w:t>Restructure</w:t>
            </w:r>
          </w:p>
        </w:tc>
        <w:tc>
          <w:tcPr>
            <w:tcW w:w="2592" w:type="dxa"/>
            <w:tcBorders>
              <w:bottom w:val="nil"/>
            </w:tcBorders>
          </w:tcPr>
          <w:p w:rsidR="00B958B1" w:rsidRPr="003D6963" w:rsidRDefault="00B958B1" w:rsidP="009F3B54">
            <w:pPr>
              <w:pStyle w:val="Tabletextnoindent"/>
              <w:rPr>
                <w:rFonts w:cs="Calibri"/>
                <w:szCs w:val="20"/>
                <w:lang w:val="fr-FR"/>
              </w:rPr>
            </w:pPr>
            <w:r w:rsidRPr="003D6963">
              <w:rPr>
                <w:rFonts w:cs="Calibri"/>
                <w:szCs w:val="20"/>
                <w:lang w:val="fr-FR"/>
              </w:rPr>
              <w:t>Metropolitan Transport Services</w:t>
            </w:r>
          </w:p>
          <w:p w:rsidR="00B958B1" w:rsidRPr="003D6963" w:rsidRDefault="00B958B1" w:rsidP="009F3B54">
            <w:pPr>
              <w:pStyle w:val="Tabletextnoindent"/>
              <w:rPr>
                <w:rFonts w:cs="Calibri"/>
                <w:szCs w:val="20"/>
                <w:lang w:val="fr-FR"/>
              </w:rPr>
            </w:pPr>
            <w:r w:rsidRPr="003D6963">
              <w:rPr>
                <w:rFonts w:cs="Calibri"/>
                <w:szCs w:val="20"/>
                <w:lang w:val="fr-FR"/>
              </w:rPr>
              <w:t>Statewide Transport Services</w:t>
            </w:r>
          </w:p>
          <w:p w:rsidR="00B958B1" w:rsidRPr="004545F3" w:rsidRDefault="00B958B1" w:rsidP="009F3B54">
            <w:pPr>
              <w:pStyle w:val="Tabletextnoindent"/>
            </w:pPr>
            <w:r w:rsidRPr="00243452">
              <w:t>Public Transport Network Improvements and Maintenance</w:t>
            </w:r>
          </w:p>
        </w:tc>
      </w:tr>
      <w:tr w:rsidR="00B958B1" w:rsidTr="009F3B54">
        <w:trPr>
          <w:cantSplit/>
        </w:trPr>
        <w:tc>
          <w:tcPr>
            <w:tcW w:w="2592" w:type="dxa"/>
            <w:tcBorders>
              <w:bottom w:val="nil"/>
            </w:tcBorders>
            <w:shd w:val="clear" w:color="auto" w:fill="EAEAEA"/>
          </w:tcPr>
          <w:p w:rsidR="00B958B1" w:rsidRPr="00485CCA" w:rsidRDefault="00B958B1" w:rsidP="009F3B54">
            <w:pPr>
              <w:pStyle w:val="Tabletextnoindent"/>
            </w:pPr>
            <w:r>
              <w:t>Rural and Regional Public Transport Services</w:t>
            </w:r>
            <w:r>
              <w:rPr>
                <w:vertAlign w:val="superscript"/>
              </w:rPr>
              <w:t>(b</w:t>
            </w:r>
            <w:r w:rsidRPr="00CC254B">
              <w:rPr>
                <w:vertAlign w:val="superscript"/>
              </w:rPr>
              <w:t>)</w:t>
            </w:r>
          </w:p>
        </w:tc>
        <w:tc>
          <w:tcPr>
            <w:tcW w:w="2592" w:type="dxa"/>
            <w:tcBorders>
              <w:bottom w:val="nil"/>
            </w:tcBorders>
            <w:shd w:val="clear" w:color="auto" w:fill="EAEAEA"/>
          </w:tcPr>
          <w:p w:rsidR="00B958B1" w:rsidRPr="004545F3" w:rsidRDefault="00B958B1" w:rsidP="009F3B54">
            <w:pPr>
              <w:pStyle w:val="Tabletextnoindent"/>
            </w:pPr>
            <w:r>
              <w:t>Restructure</w:t>
            </w:r>
          </w:p>
        </w:tc>
        <w:tc>
          <w:tcPr>
            <w:tcW w:w="2592" w:type="dxa"/>
            <w:tcBorders>
              <w:bottom w:val="nil"/>
            </w:tcBorders>
            <w:shd w:val="clear" w:color="auto" w:fill="EAEAEA"/>
          </w:tcPr>
          <w:p w:rsidR="00B958B1" w:rsidRDefault="00B958B1" w:rsidP="009F3B54">
            <w:pPr>
              <w:pStyle w:val="Tabletextnoindent"/>
            </w:pPr>
            <w:r w:rsidRPr="00243452">
              <w:rPr>
                <w:rFonts w:cs="Calibri"/>
                <w:szCs w:val="20"/>
              </w:rPr>
              <w:t>Statewide Transport Services</w:t>
            </w:r>
          </w:p>
          <w:p w:rsidR="00B958B1" w:rsidRPr="004545F3" w:rsidRDefault="00B958B1" w:rsidP="009F3B54">
            <w:pPr>
              <w:pStyle w:val="Tabletextnoindent"/>
            </w:pPr>
            <w:r>
              <w:t>Regional Transport</w:t>
            </w:r>
            <w:r w:rsidRPr="004B1FC9">
              <w:t xml:space="preserve"> Services</w:t>
            </w:r>
          </w:p>
        </w:tc>
      </w:tr>
      <w:tr w:rsidR="00B958B1" w:rsidTr="009F3B54">
        <w:trPr>
          <w:cantSplit/>
        </w:trPr>
        <w:tc>
          <w:tcPr>
            <w:tcW w:w="2592" w:type="dxa"/>
            <w:tcBorders>
              <w:top w:val="nil"/>
              <w:bottom w:val="nil"/>
            </w:tcBorders>
          </w:tcPr>
          <w:p w:rsidR="00B958B1" w:rsidRPr="0050089B" w:rsidRDefault="00B958B1" w:rsidP="009F3B54">
            <w:pPr>
              <w:pStyle w:val="Tabletextnoindent"/>
            </w:pPr>
            <w:r>
              <w:t>Specialist Transport Services</w:t>
            </w:r>
            <w:r>
              <w:rPr>
                <w:vertAlign w:val="superscript"/>
              </w:rPr>
              <w:t>(c</w:t>
            </w:r>
            <w:r w:rsidRPr="00CC254B">
              <w:rPr>
                <w:vertAlign w:val="superscript"/>
              </w:rPr>
              <w:t>)</w:t>
            </w:r>
          </w:p>
        </w:tc>
        <w:tc>
          <w:tcPr>
            <w:tcW w:w="2592" w:type="dxa"/>
            <w:tcBorders>
              <w:top w:val="nil"/>
              <w:bottom w:val="nil"/>
            </w:tcBorders>
          </w:tcPr>
          <w:p w:rsidR="00B958B1" w:rsidRPr="0050089B" w:rsidRDefault="00B958B1" w:rsidP="009F3B54">
            <w:pPr>
              <w:pStyle w:val="Tabletextnoindent"/>
            </w:pPr>
            <w:r>
              <w:t>Restructure</w:t>
            </w:r>
          </w:p>
        </w:tc>
        <w:tc>
          <w:tcPr>
            <w:tcW w:w="2592" w:type="dxa"/>
            <w:tcBorders>
              <w:top w:val="nil"/>
              <w:bottom w:val="nil"/>
            </w:tcBorders>
          </w:tcPr>
          <w:p w:rsidR="00B958B1" w:rsidRPr="00243452" w:rsidRDefault="00B958B1" w:rsidP="009F3B54">
            <w:pPr>
              <w:pStyle w:val="Tabletextnoindent"/>
              <w:rPr>
                <w:rFonts w:cs="Calibri"/>
              </w:rPr>
            </w:pPr>
            <w:r w:rsidRPr="00243452">
              <w:rPr>
                <w:rFonts w:cs="Calibri"/>
              </w:rPr>
              <w:t>Statewide Transport Services Public Transport Network Improvements and Maintenance</w:t>
            </w:r>
          </w:p>
        </w:tc>
      </w:tr>
      <w:tr w:rsidR="00B958B1" w:rsidTr="009F3B54">
        <w:trPr>
          <w:cantSplit/>
        </w:trPr>
        <w:tc>
          <w:tcPr>
            <w:tcW w:w="2592" w:type="dxa"/>
            <w:tcBorders>
              <w:bottom w:val="nil"/>
            </w:tcBorders>
            <w:shd w:val="clear" w:color="auto" w:fill="EAEAEA"/>
          </w:tcPr>
          <w:p w:rsidR="00B958B1" w:rsidRPr="0050089B" w:rsidRDefault="00B958B1" w:rsidP="009F3B54">
            <w:pPr>
              <w:pStyle w:val="Tabletextnoindent"/>
            </w:pPr>
            <w:r>
              <w:t>Integrated Transport Planning and Sustainable Transport Development</w:t>
            </w:r>
            <w:r>
              <w:rPr>
                <w:vertAlign w:val="superscript"/>
              </w:rPr>
              <w:t>(d</w:t>
            </w:r>
            <w:r w:rsidRPr="00CC254B">
              <w:rPr>
                <w:vertAlign w:val="superscript"/>
              </w:rPr>
              <w:t>)</w:t>
            </w:r>
          </w:p>
        </w:tc>
        <w:tc>
          <w:tcPr>
            <w:tcW w:w="2592" w:type="dxa"/>
            <w:tcBorders>
              <w:bottom w:val="nil"/>
            </w:tcBorders>
            <w:shd w:val="clear" w:color="auto" w:fill="EAEAEA"/>
          </w:tcPr>
          <w:p w:rsidR="00B958B1" w:rsidRPr="0050089B" w:rsidRDefault="00B958B1" w:rsidP="009F3B54">
            <w:pPr>
              <w:pStyle w:val="Tabletextnoindent"/>
            </w:pPr>
            <w:r>
              <w:t>Restructure</w:t>
            </w:r>
          </w:p>
        </w:tc>
        <w:tc>
          <w:tcPr>
            <w:tcW w:w="2592" w:type="dxa"/>
            <w:tcBorders>
              <w:bottom w:val="nil"/>
            </w:tcBorders>
            <w:shd w:val="clear" w:color="auto" w:fill="EAEAEA"/>
          </w:tcPr>
          <w:p w:rsidR="00B958B1" w:rsidRPr="00243452" w:rsidRDefault="00B958B1" w:rsidP="009F3B54">
            <w:pPr>
              <w:pStyle w:val="Tabletextnoindent"/>
              <w:rPr>
                <w:rFonts w:cs="Calibri"/>
              </w:rPr>
            </w:pPr>
            <w:r w:rsidRPr="00243452">
              <w:rPr>
                <w:rFonts w:cs="Calibri"/>
              </w:rPr>
              <w:t>Integrated Transport System Planning</w:t>
            </w:r>
          </w:p>
          <w:p w:rsidR="00B958B1" w:rsidRPr="00924AD4" w:rsidRDefault="00B958B1" w:rsidP="009F3B54">
            <w:pPr>
              <w:pStyle w:val="Tabletextnoindent"/>
            </w:pPr>
            <w:r w:rsidRPr="00243452">
              <w:rPr>
                <w:rFonts w:cs="Calibri"/>
              </w:rPr>
              <w:t>Road Network Improvements</w:t>
            </w:r>
          </w:p>
        </w:tc>
      </w:tr>
      <w:tr w:rsidR="00B958B1" w:rsidTr="009F3B54">
        <w:trPr>
          <w:cantSplit/>
        </w:trPr>
        <w:tc>
          <w:tcPr>
            <w:tcW w:w="2592" w:type="dxa"/>
            <w:tcBorders>
              <w:top w:val="nil"/>
              <w:bottom w:val="nil"/>
            </w:tcBorders>
          </w:tcPr>
          <w:p w:rsidR="00B958B1" w:rsidRPr="00384FB9" w:rsidRDefault="00B958B1" w:rsidP="009F3B54">
            <w:pPr>
              <w:pStyle w:val="Tabletextnoindent"/>
            </w:pPr>
            <w:r w:rsidRPr="008230A9">
              <w:t>Public</w:t>
            </w:r>
            <w:r>
              <w:t xml:space="preserve"> Transport Infrastructure Development</w:t>
            </w:r>
            <w:r>
              <w:rPr>
                <w:vertAlign w:val="superscript"/>
              </w:rPr>
              <w:t>(e</w:t>
            </w:r>
            <w:r w:rsidRPr="00CC254B">
              <w:rPr>
                <w:vertAlign w:val="superscript"/>
              </w:rPr>
              <w:t>)</w:t>
            </w:r>
          </w:p>
        </w:tc>
        <w:tc>
          <w:tcPr>
            <w:tcW w:w="2592" w:type="dxa"/>
            <w:tcBorders>
              <w:top w:val="nil"/>
              <w:bottom w:val="nil"/>
            </w:tcBorders>
          </w:tcPr>
          <w:p w:rsidR="00B958B1" w:rsidRPr="0050089B" w:rsidRDefault="00B958B1" w:rsidP="009F3B54">
            <w:pPr>
              <w:pStyle w:val="Tabletextnoindent"/>
            </w:pPr>
            <w:r>
              <w:t>Restructure</w:t>
            </w:r>
          </w:p>
        </w:tc>
        <w:tc>
          <w:tcPr>
            <w:tcW w:w="2592" w:type="dxa"/>
            <w:tcBorders>
              <w:top w:val="nil"/>
              <w:bottom w:val="nil"/>
            </w:tcBorders>
          </w:tcPr>
          <w:p w:rsidR="00B958B1" w:rsidRPr="00243452" w:rsidRDefault="00B958B1" w:rsidP="009F3B54">
            <w:pPr>
              <w:pStyle w:val="Tabletextnoindent"/>
              <w:rPr>
                <w:rFonts w:cs="Calibri"/>
              </w:rPr>
            </w:pPr>
            <w:r w:rsidRPr="00243452">
              <w:rPr>
                <w:rFonts w:cs="Calibri"/>
              </w:rPr>
              <w:t>Public Transport Network Improvements and Maintenance</w:t>
            </w:r>
          </w:p>
        </w:tc>
      </w:tr>
      <w:tr w:rsidR="00B958B1" w:rsidTr="009F3B54">
        <w:trPr>
          <w:cantSplit/>
        </w:trPr>
        <w:tc>
          <w:tcPr>
            <w:tcW w:w="2592" w:type="dxa"/>
            <w:tcBorders>
              <w:bottom w:val="nil"/>
            </w:tcBorders>
            <w:shd w:val="clear" w:color="auto" w:fill="EAEAEA"/>
          </w:tcPr>
          <w:p w:rsidR="00B958B1" w:rsidRDefault="00B958B1" w:rsidP="009F3B54">
            <w:pPr>
              <w:pStyle w:val="Tabletextnoindent"/>
            </w:pPr>
            <w:r>
              <w:t>Freight, Logistics, Ports and Marine Development</w:t>
            </w:r>
            <w:r>
              <w:rPr>
                <w:vertAlign w:val="superscript"/>
              </w:rPr>
              <w:t>(f</w:t>
            </w:r>
            <w:r w:rsidRPr="00CC254B">
              <w:rPr>
                <w:vertAlign w:val="superscript"/>
              </w:rPr>
              <w:t>)</w:t>
            </w:r>
          </w:p>
        </w:tc>
        <w:tc>
          <w:tcPr>
            <w:tcW w:w="2592" w:type="dxa"/>
            <w:tcBorders>
              <w:bottom w:val="nil"/>
            </w:tcBorders>
            <w:shd w:val="clear" w:color="auto" w:fill="EAEAEA"/>
          </w:tcPr>
          <w:p w:rsidR="00B958B1" w:rsidRDefault="00B958B1" w:rsidP="009F3B54">
            <w:pPr>
              <w:pStyle w:val="Tabletextnoindent"/>
            </w:pPr>
            <w:r>
              <w:t>Restructure</w:t>
            </w:r>
          </w:p>
        </w:tc>
        <w:tc>
          <w:tcPr>
            <w:tcW w:w="2592" w:type="dxa"/>
            <w:tcBorders>
              <w:bottom w:val="nil"/>
            </w:tcBorders>
            <w:shd w:val="clear" w:color="auto" w:fill="EAEAEA"/>
          </w:tcPr>
          <w:p w:rsidR="00B958B1" w:rsidRDefault="00B958B1" w:rsidP="009F3B54">
            <w:pPr>
              <w:pStyle w:val="Tabletextnoindent"/>
            </w:pPr>
            <w:r w:rsidRPr="00EA47FD">
              <w:t>Integrated Transport System Planning</w:t>
            </w:r>
          </w:p>
          <w:p w:rsidR="00B958B1" w:rsidRPr="00152311" w:rsidRDefault="00B958B1" w:rsidP="009F3B54">
            <w:pPr>
              <w:pStyle w:val="Tabletextnoindent"/>
            </w:pPr>
            <w:r w:rsidRPr="009F745D">
              <w:t>Ports and Freight Network Improvements</w:t>
            </w:r>
            <w:r>
              <w:t xml:space="preserve"> and Maintenance </w:t>
            </w:r>
          </w:p>
        </w:tc>
      </w:tr>
      <w:tr w:rsidR="00B958B1" w:rsidTr="009F3B54">
        <w:trPr>
          <w:cantSplit/>
        </w:trPr>
        <w:tc>
          <w:tcPr>
            <w:tcW w:w="2592" w:type="dxa"/>
            <w:tcBorders>
              <w:top w:val="nil"/>
              <w:bottom w:val="nil"/>
            </w:tcBorders>
          </w:tcPr>
          <w:p w:rsidR="00B958B1" w:rsidRDefault="00B958B1" w:rsidP="009F3B54">
            <w:pPr>
              <w:pStyle w:val="Tabletextnoindent"/>
              <w:rPr>
                <w:szCs w:val="20"/>
                <w:lang w:eastAsia="en-AU"/>
              </w:rPr>
            </w:pPr>
            <w:r>
              <w:rPr>
                <w:szCs w:val="20"/>
                <w:lang w:eastAsia="en-AU"/>
              </w:rPr>
              <w:t>Planning, Building and Heritage</w:t>
            </w:r>
            <w:r>
              <w:rPr>
                <w:vertAlign w:val="superscript"/>
              </w:rPr>
              <w:t>(g</w:t>
            </w:r>
            <w:r w:rsidRPr="00CC254B">
              <w:rPr>
                <w:vertAlign w:val="superscript"/>
              </w:rPr>
              <w:t>)</w:t>
            </w:r>
          </w:p>
          <w:p w:rsidR="00B958B1" w:rsidRDefault="00B958B1" w:rsidP="009F3B54">
            <w:pPr>
              <w:pStyle w:val="Tabletextnoindent"/>
            </w:pPr>
            <w:r>
              <w:rPr>
                <w:szCs w:val="20"/>
                <w:lang w:eastAsia="en-AU"/>
              </w:rPr>
              <w:t>Community Development</w:t>
            </w:r>
            <w:r>
              <w:rPr>
                <w:vertAlign w:val="superscript"/>
              </w:rPr>
              <w:t>(h</w:t>
            </w:r>
            <w:r w:rsidRPr="00CC254B">
              <w:rPr>
                <w:vertAlign w:val="superscript"/>
              </w:rPr>
              <w:t>)</w:t>
            </w:r>
          </w:p>
        </w:tc>
        <w:tc>
          <w:tcPr>
            <w:tcW w:w="2592" w:type="dxa"/>
            <w:tcBorders>
              <w:top w:val="nil"/>
              <w:bottom w:val="nil"/>
            </w:tcBorders>
          </w:tcPr>
          <w:p w:rsidR="00B958B1" w:rsidRDefault="00B958B1" w:rsidP="009F3B54">
            <w:pPr>
              <w:pStyle w:val="Tabletextnoindent"/>
            </w:pPr>
            <w:r>
              <w:rPr>
                <w:szCs w:val="20"/>
                <w:lang w:eastAsia="en-AU"/>
              </w:rPr>
              <w:t>Machinery of government</w:t>
            </w:r>
          </w:p>
        </w:tc>
        <w:tc>
          <w:tcPr>
            <w:tcW w:w="2592" w:type="dxa"/>
            <w:tcBorders>
              <w:top w:val="nil"/>
              <w:bottom w:val="nil"/>
            </w:tcBorders>
          </w:tcPr>
          <w:p w:rsidR="00B958B1" w:rsidRPr="00924AD4" w:rsidRDefault="00B958B1" w:rsidP="009F3B54">
            <w:pPr>
              <w:pStyle w:val="Tabletextnoindent"/>
            </w:pPr>
            <w:r>
              <w:rPr>
                <w:szCs w:val="20"/>
                <w:lang w:eastAsia="en-AU"/>
              </w:rPr>
              <w:t>Planning, Building and Heritage</w:t>
            </w:r>
          </w:p>
        </w:tc>
      </w:tr>
      <w:tr w:rsidR="00B958B1" w:rsidTr="009F3B54">
        <w:trPr>
          <w:cantSplit/>
        </w:trPr>
        <w:tc>
          <w:tcPr>
            <w:tcW w:w="2592" w:type="dxa"/>
            <w:tcBorders>
              <w:bottom w:val="nil"/>
            </w:tcBorders>
            <w:shd w:val="clear" w:color="auto" w:fill="EAEAEA"/>
          </w:tcPr>
          <w:p w:rsidR="00B958B1" w:rsidRDefault="00B958B1" w:rsidP="009F3B54">
            <w:pPr>
              <w:pStyle w:val="Tabletextnoindent"/>
              <w:rPr>
                <w:szCs w:val="20"/>
                <w:lang w:eastAsia="en-AU"/>
              </w:rPr>
            </w:pPr>
            <w:r>
              <w:rPr>
                <w:szCs w:val="20"/>
                <w:lang w:eastAsia="en-AU"/>
              </w:rPr>
              <w:t>Office of the Victorian Government Architect</w:t>
            </w:r>
            <w:r>
              <w:rPr>
                <w:vertAlign w:val="superscript"/>
              </w:rPr>
              <w:t>(i</w:t>
            </w:r>
            <w:r w:rsidRPr="00CC254B">
              <w:rPr>
                <w:vertAlign w:val="superscript"/>
              </w:rPr>
              <w:t>)</w:t>
            </w:r>
          </w:p>
        </w:tc>
        <w:tc>
          <w:tcPr>
            <w:tcW w:w="2592" w:type="dxa"/>
            <w:tcBorders>
              <w:bottom w:val="nil"/>
            </w:tcBorders>
            <w:shd w:val="clear" w:color="auto" w:fill="EAEAEA"/>
          </w:tcPr>
          <w:p w:rsidR="00B958B1" w:rsidRDefault="00B958B1" w:rsidP="009F3B54">
            <w:pPr>
              <w:pStyle w:val="Tabletextnoindent"/>
              <w:rPr>
                <w:szCs w:val="20"/>
                <w:lang w:eastAsia="en-AU"/>
              </w:rPr>
            </w:pPr>
            <w:r>
              <w:rPr>
                <w:szCs w:val="20"/>
                <w:lang w:eastAsia="en-AU"/>
              </w:rPr>
              <w:t>Machinery of government</w:t>
            </w:r>
          </w:p>
        </w:tc>
        <w:tc>
          <w:tcPr>
            <w:tcW w:w="2592" w:type="dxa"/>
            <w:tcBorders>
              <w:bottom w:val="nil"/>
            </w:tcBorders>
            <w:shd w:val="clear" w:color="auto" w:fill="EAEAEA"/>
          </w:tcPr>
          <w:p w:rsidR="00B958B1" w:rsidRDefault="00B958B1" w:rsidP="009F3B54">
            <w:pPr>
              <w:pStyle w:val="Tabletextnoindent"/>
              <w:rPr>
                <w:szCs w:val="20"/>
                <w:lang w:eastAsia="en-AU"/>
              </w:rPr>
            </w:pPr>
            <w:r>
              <w:rPr>
                <w:szCs w:val="20"/>
                <w:lang w:eastAsia="en-AU"/>
              </w:rPr>
              <w:t>Office of the Victorian Government Architect</w:t>
            </w:r>
          </w:p>
        </w:tc>
      </w:tr>
      <w:tr w:rsidR="00B958B1" w:rsidTr="009F3B54">
        <w:trPr>
          <w:cantSplit/>
        </w:trPr>
        <w:tc>
          <w:tcPr>
            <w:tcW w:w="2592" w:type="dxa"/>
            <w:tcBorders>
              <w:bottom w:val="nil"/>
            </w:tcBorders>
            <w:shd w:val="clear" w:color="auto" w:fill="FFFFFF" w:themeFill="background1"/>
          </w:tcPr>
          <w:p w:rsidR="00B958B1" w:rsidRPr="00212886" w:rsidRDefault="00B958B1" w:rsidP="009F3B54">
            <w:pPr>
              <w:pStyle w:val="Tabletextnoindent"/>
              <w:rPr>
                <w:szCs w:val="20"/>
                <w:lang w:eastAsia="en-AU"/>
              </w:rPr>
            </w:pPr>
            <w:r>
              <w:rPr>
                <w:szCs w:val="20"/>
                <w:lang w:eastAsia="en-AU"/>
              </w:rPr>
              <w:t>Local Government</w:t>
            </w:r>
            <w:r w:rsidRPr="00212886">
              <w:rPr>
                <w:szCs w:val="20"/>
                <w:vertAlign w:val="superscript"/>
                <w:lang w:eastAsia="en-AU"/>
              </w:rPr>
              <w:t>(g)</w:t>
            </w:r>
          </w:p>
        </w:tc>
        <w:tc>
          <w:tcPr>
            <w:tcW w:w="2592" w:type="dxa"/>
            <w:tcBorders>
              <w:bottom w:val="nil"/>
            </w:tcBorders>
            <w:shd w:val="clear" w:color="auto" w:fill="FFFFFF" w:themeFill="background1"/>
          </w:tcPr>
          <w:p w:rsidR="00B958B1" w:rsidRPr="00212886" w:rsidRDefault="00B958B1" w:rsidP="009F3B54">
            <w:pPr>
              <w:pStyle w:val="Tabletextnoindent"/>
              <w:rPr>
                <w:szCs w:val="20"/>
                <w:lang w:eastAsia="en-AU"/>
              </w:rPr>
            </w:pPr>
            <w:r>
              <w:rPr>
                <w:szCs w:val="20"/>
                <w:lang w:eastAsia="en-AU"/>
              </w:rPr>
              <w:t>Machinery of government</w:t>
            </w:r>
          </w:p>
        </w:tc>
        <w:tc>
          <w:tcPr>
            <w:tcW w:w="2592" w:type="dxa"/>
            <w:tcBorders>
              <w:bottom w:val="nil"/>
            </w:tcBorders>
            <w:shd w:val="clear" w:color="auto" w:fill="FFFFFF" w:themeFill="background1"/>
          </w:tcPr>
          <w:p w:rsidR="00B958B1" w:rsidRPr="00212886" w:rsidRDefault="00B958B1" w:rsidP="009F3B54">
            <w:pPr>
              <w:pStyle w:val="Tabletextnoindent"/>
              <w:rPr>
                <w:szCs w:val="20"/>
                <w:lang w:eastAsia="en-AU"/>
              </w:rPr>
            </w:pPr>
            <w:r>
              <w:rPr>
                <w:szCs w:val="20"/>
                <w:lang w:eastAsia="en-AU"/>
              </w:rPr>
              <w:t>Local Government</w:t>
            </w:r>
          </w:p>
        </w:tc>
      </w:tr>
      <w:tr w:rsidR="00B958B1" w:rsidTr="009F3B54">
        <w:trPr>
          <w:cantSplit/>
        </w:trPr>
        <w:tc>
          <w:tcPr>
            <w:tcW w:w="2592" w:type="dxa"/>
            <w:tcBorders>
              <w:top w:val="nil"/>
              <w:bottom w:val="nil"/>
            </w:tcBorders>
            <w:shd w:val="clear" w:color="auto" w:fill="EAEAEA"/>
          </w:tcPr>
          <w:p w:rsidR="00B958B1" w:rsidRDefault="00B958B1" w:rsidP="009F3B54">
            <w:pPr>
              <w:pStyle w:val="Tabletextnoindent"/>
              <w:rPr>
                <w:szCs w:val="20"/>
                <w:lang w:eastAsia="en-AU"/>
              </w:rPr>
            </w:pPr>
            <w:r>
              <w:rPr>
                <w:szCs w:val="20"/>
                <w:lang w:eastAsia="en-AU"/>
              </w:rPr>
              <w:t>Sport and Recreation Development</w:t>
            </w:r>
            <w:r>
              <w:rPr>
                <w:vertAlign w:val="superscript"/>
              </w:rPr>
              <w:t>(g</w:t>
            </w:r>
            <w:r w:rsidRPr="00CC254B">
              <w:rPr>
                <w:vertAlign w:val="superscript"/>
              </w:rPr>
              <w:t>)</w:t>
            </w:r>
          </w:p>
        </w:tc>
        <w:tc>
          <w:tcPr>
            <w:tcW w:w="2592" w:type="dxa"/>
            <w:tcBorders>
              <w:top w:val="nil"/>
              <w:bottom w:val="nil"/>
            </w:tcBorders>
            <w:shd w:val="clear" w:color="auto" w:fill="EAEAEA"/>
          </w:tcPr>
          <w:p w:rsidR="00B958B1" w:rsidRDefault="00B958B1" w:rsidP="009F3B54">
            <w:pPr>
              <w:pStyle w:val="Tabletextnoindent"/>
              <w:rPr>
                <w:szCs w:val="20"/>
                <w:lang w:eastAsia="en-AU"/>
              </w:rPr>
            </w:pPr>
            <w:r>
              <w:rPr>
                <w:szCs w:val="20"/>
                <w:lang w:eastAsia="en-AU"/>
              </w:rPr>
              <w:t>Machinery of government</w:t>
            </w:r>
          </w:p>
        </w:tc>
        <w:tc>
          <w:tcPr>
            <w:tcW w:w="2592" w:type="dxa"/>
            <w:tcBorders>
              <w:top w:val="nil"/>
              <w:bottom w:val="nil"/>
            </w:tcBorders>
            <w:shd w:val="clear" w:color="auto" w:fill="EAEAEA"/>
          </w:tcPr>
          <w:p w:rsidR="00B958B1" w:rsidRDefault="00B958B1" w:rsidP="009F3B54">
            <w:pPr>
              <w:pStyle w:val="Tabletextnoindent"/>
              <w:rPr>
                <w:szCs w:val="20"/>
                <w:lang w:eastAsia="en-AU"/>
              </w:rPr>
            </w:pPr>
            <w:r>
              <w:rPr>
                <w:szCs w:val="20"/>
                <w:lang w:eastAsia="en-AU"/>
              </w:rPr>
              <w:t>Sport and Recreation</w:t>
            </w:r>
          </w:p>
        </w:tc>
      </w:tr>
      <w:tr w:rsidR="00B958B1" w:rsidTr="009F3B54">
        <w:trPr>
          <w:cantSplit/>
        </w:trPr>
        <w:tc>
          <w:tcPr>
            <w:tcW w:w="2592" w:type="dxa"/>
            <w:tcBorders>
              <w:bottom w:val="single" w:sz="12" w:space="0" w:color="auto"/>
            </w:tcBorders>
            <w:shd w:val="clear" w:color="auto" w:fill="FFFFFF" w:themeFill="background1"/>
          </w:tcPr>
          <w:p w:rsidR="00B958B1" w:rsidRDefault="00B958B1" w:rsidP="009F3B54">
            <w:pPr>
              <w:pStyle w:val="Tabletextnoindent"/>
              <w:rPr>
                <w:szCs w:val="20"/>
                <w:lang w:eastAsia="en-AU"/>
              </w:rPr>
            </w:pPr>
            <w:r>
              <w:rPr>
                <w:szCs w:val="20"/>
                <w:lang w:eastAsia="en-AU"/>
              </w:rPr>
              <w:t>Land Administration and Property Information</w:t>
            </w:r>
            <w:r w:rsidRPr="00212886">
              <w:rPr>
                <w:szCs w:val="20"/>
                <w:vertAlign w:val="superscript"/>
                <w:lang w:eastAsia="en-AU"/>
              </w:rPr>
              <w:t>(j)</w:t>
            </w:r>
          </w:p>
        </w:tc>
        <w:tc>
          <w:tcPr>
            <w:tcW w:w="2592" w:type="dxa"/>
            <w:tcBorders>
              <w:bottom w:val="single" w:sz="12" w:space="0" w:color="auto"/>
            </w:tcBorders>
            <w:shd w:val="clear" w:color="auto" w:fill="FFFFFF" w:themeFill="background1"/>
          </w:tcPr>
          <w:p w:rsidR="00B958B1" w:rsidRDefault="00B958B1" w:rsidP="009F3B54">
            <w:pPr>
              <w:pStyle w:val="Tabletextnoindent"/>
              <w:rPr>
                <w:szCs w:val="20"/>
                <w:lang w:eastAsia="en-AU"/>
              </w:rPr>
            </w:pPr>
            <w:r>
              <w:rPr>
                <w:szCs w:val="20"/>
                <w:lang w:eastAsia="en-AU"/>
              </w:rPr>
              <w:t>Machinery of government</w:t>
            </w:r>
          </w:p>
        </w:tc>
        <w:tc>
          <w:tcPr>
            <w:tcW w:w="2592" w:type="dxa"/>
            <w:tcBorders>
              <w:bottom w:val="single" w:sz="12" w:space="0" w:color="auto"/>
            </w:tcBorders>
            <w:shd w:val="clear" w:color="auto" w:fill="FFFFFF" w:themeFill="background1"/>
          </w:tcPr>
          <w:p w:rsidR="00B958B1" w:rsidRDefault="00B958B1" w:rsidP="009F3B54">
            <w:pPr>
              <w:pStyle w:val="Tabletextnoindent"/>
              <w:rPr>
                <w:szCs w:val="20"/>
                <w:lang w:eastAsia="en-AU"/>
              </w:rPr>
            </w:pPr>
            <w:r>
              <w:rPr>
                <w:szCs w:val="20"/>
                <w:lang w:eastAsia="en-AU"/>
              </w:rPr>
              <w:t>Land Victoria</w:t>
            </w:r>
          </w:p>
        </w:tc>
      </w:tr>
    </w:tbl>
    <w:p w:rsidR="00B958B1" w:rsidRDefault="00B958B1" w:rsidP="009F3B54">
      <w:pPr>
        <w:pStyle w:val="Source"/>
      </w:pPr>
      <w:r>
        <w:t>Source: Department of Transport, Planning and Local Infrastructure</w:t>
      </w:r>
    </w:p>
    <w:p w:rsidR="00B958B1" w:rsidRPr="00D5009F" w:rsidRDefault="00B958B1" w:rsidP="009F3B54">
      <w:pPr>
        <w:pStyle w:val="Notes"/>
      </w:pPr>
      <w:r w:rsidRPr="00AF4654">
        <w:t>Notes:</w:t>
      </w:r>
    </w:p>
    <w:p w:rsidR="00B958B1" w:rsidRDefault="00B958B1" w:rsidP="009F3B54">
      <w:pPr>
        <w:pStyle w:val="Notes"/>
      </w:pPr>
      <w:r>
        <w:t>(a)</w:t>
      </w:r>
      <w:r>
        <w:tab/>
        <w:t>This output has been restructured into the new outputs ‘Metropolitan Transport Services’ and ‘Public Transport Network Improvements and Maintenance’ to provide a clearer linkage between departmental objectives and outputs.</w:t>
      </w:r>
    </w:p>
    <w:p w:rsidR="00B958B1" w:rsidRDefault="00B958B1">
      <w:pPr>
        <w:spacing w:after="0"/>
        <w:rPr>
          <w:rFonts w:ascii="Calibri" w:hAnsi="Calibri"/>
          <w:i/>
          <w:sz w:val="15"/>
        </w:rPr>
      </w:pPr>
      <w:r>
        <w:br w:type="page"/>
      </w:r>
    </w:p>
    <w:p w:rsidR="00B958B1" w:rsidRPr="00D5009F" w:rsidRDefault="00B958B1" w:rsidP="009F3B54">
      <w:pPr>
        <w:pStyle w:val="Notes"/>
      </w:pPr>
      <w:r w:rsidRPr="00AF4654">
        <w:t>Notes</w:t>
      </w:r>
      <w:r>
        <w:t xml:space="preserve"> (continued)</w:t>
      </w:r>
      <w:r w:rsidRPr="00AF4654">
        <w:t>:</w:t>
      </w:r>
    </w:p>
    <w:p w:rsidR="00B958B1" w:rsidRDefault="00B958B1" w:rsidP="009F3B54">
      <w:pPr>
        <w:pStyle w:val="Notes"/>
      </w:pPr>
      <w:r>
        <w:t>(b)</w:t>
      </w:r>
      <w:r>
        <w:tab/>
        <w:t xml:space="preserve">This output </w:t>
      </w:r>
      <w:r w:rsidRPr="00D5009F">
        <w:t>has been restructured into the new output ‘Regional Transport Services’ to provide a clearer linkage between departmental objectives and outputs.</w:t>
      </w:r>
    </w:p>
    <w:p w:rsidR="00B958B1" w:rsidRPr="00D5009F" w:rsidRDefault="00B958B1" w:rsidP="009F3B54">
      <w:pPr>
        <w:pStyle w:val="Notes"/>
      </w:pPr>
      <w:r>
        <w:t>(c)</w:t>
      </w:r>
      <w:r>
        <w:tab/>
      </w:r>
      <w:r w:rsidRPr="00D5009F">
        <w:t>This output has been restructured into the new outputs ‘Statewide Transport Services’ and ‘Public Transport Network Improvements and Maintenance’ to provide a clearer linkage between departmental objectives and outputs.</w:t>
      </w:r>
    </w:p>
    <w:p w:rsidR="00B958B1" w:rsidRPr="00D5009F" w:rsidRDefault="00B958B1" w:rsidP="009F3B54">
      <w:pPr>
        <w:pStyle w:val="Notes"/>
      </w:pPr>
      <w:r>
        <w:t>(d)</w:t>
      </w:r>
      <w:r>
        <w:tab/>
      </w:r>
      <w:r w:rsidRPr="00D5009F">
        <w:t>This output has been restructured into the new outputs ‘Integrated Transport System Planning’ and ‘Road Network Improvements’ to provide a clearer linkage between departmental objectives and outputs.</w:t>
      </w:r>
    </w:p>
    <w:p w:rsidR="00B958B1" w:rsidRPr="00D5009F" w:rsidRDefault="00B958B1" w:rsidP="009F3B54">
      <w:pPr>
        <w:pStyle w:val="Notes"/>
      </w:pPr>
      <w:r>
        <w:t>(e)</w:t>
      </w:r>
      <w:r>
        <w:tab/>
      </w:r>
      <w:r w:rsidRPr="00D5009F">
        <w:t>This output has been restructured into the new output ‘Public Transport Network Improvements and Maintenance’ to provide a clearer linkage between departmental objectives and output.</w:t>
      </w:r>
    </w:p>
    <w:p w:rsidR="00B958B1" w:rsidRPr="00D5009F" w:rsidRDefault="00B958B1" w:rsidP="009F3B54">
      <w:pPr>
        <w:pStyle w:val="Notes"/>
      </w:pPr>
      <w:r>
        <w:t>(f)</w:t>
      </w:r>
      <w:r>
        <w:tab/>
      </w:r>
      <w:r w:rsidRPr="00D5009F">
        <w:t>This output has been restructured into the new outputs ‘Integrated Transport System Planning’ and ‘Ports and Freight Network Improvements and Maintenance’ to provide a clearer linkage between departmental objectives and outputs.</w:t>
      </w:r>
    </w:p>
    <w:p w:rsidR="00B958B1" w:rsidRPr="00D5009F" w:rsidRDefault="00B958B1" w:rsidP="009F3B54">
      <w:pPr>
        <w:pStyle w:val="Notes"/>
      </w:pPr>
      <w:r>
        <w:t>(g)</w:t>
      </w:r>
      <w:r>
        <w:tab/>
      </w:r>
      <w:r w:rsidRPr="00D5009F">
        <w:t>This output has been transferred from the former Department of Planning and Community Development to reflect machinery</w:t>
      </w:r>
      <w:r>
        <w:t xml:space="preserve"> </w:t>
      </w:r>
      <w:r w:rsidRPr="00D5009F">
        <w:t>of</w:t>
      </w:r>
      <w:r>
        <w:t xml:space="preserve"> </w:t>
      </w:r>
      <w:r w:rsidRPr="00D5009F">
        <w:t>government changes.</w:t>
      </w:r>
    </w:p>
    <w:p w:rsidR="00B958B1" w:rsidRPr="00D5009F" w:rsidRDefault="00B958B1" w:rsidP="009F3B54">
      <w:pPr>
        <w:pStyle w:val="Notes"/>
      </w:pPr>
      <w:r>
        <w:t>(h)</w:t>
      </w:r>
      <w:r>
        <w:tab/>
      </w:r>
      <w:r w:rsidRPr="00D5009F">
        <w:t>Part of the ‘Community Development’ output from the former Department of Planning and Community Development has been transferred into the ‘Planning, Building and Heritage’ output to reflect machinery</w:t>
      </w:r>
      <w:r>
        <w:t xml:space="preserve"> </w:t>
      </w:r>
      <w:r w:rsidRPr="00D5009F">
        <w:t>of</w:t>
      </w:r>
      <w:r>
        <w:t xml:space="preserve"> </w:t>
      </w:r>
      <w:r w:rsidRPr="00D5009F">
        <w:t>government changes.</w:t>
      </w:r>
    </w:p>
    <w:p w:rsidR="00B958B1" w:rsidRDefault="00B958B1" w:rsidP="009F3B54">
      <w:pPr>
        <w:pStyle w:val="Notes"/>
      </w:pPr>
      <w:r>
        <w:t>(i)</w:t>
      </w:r>
      <w:r>
        <w:tab/>
      </w:r>
      <w:r w:rsidRPr="00D5009F">
        <w:t>This output has been transferred from the Department of Premier and Cabinet to reflect machinery</w:t>
      </w:r>
      <w:r>
        <w:t xml:space="preserve"> of </w:t>
      </w:r>
      <w:r w:rsidRPr="00D5009F">
        <w:t>government changes.</w:t>
      </w:r>
    </w:p>
    <w:p w:rsidR="00B958B1" w:rsidRPr="00D5009F" w:rsidRDefault="00B958B1" w:rsidP="009F3B54">
      <w:pPr>
        <w:pStyle w:val="Notes"/>
      </w:pPr>
      <w:r>
        <w:t>(j)</w:t>
      </w:r>
      <w:r>
        <w:tab/>
      </w:r>
      <w:r w:rsidRPr="00D5009F">
        <w:t>Part of the ‘Land Administration and Property Information’ output has been transferred from the former Department of Sustainability and Environment into the new ‘Land Victoria’ output to reflect machinery</w:t>
      </w:r>
      <w:r>
        <w:t xml:space="preserve"> </w:t>
      </w:r>
      <w:r w:rsidRPr="00D5009F">
        <w:t>of</w:t>
      </w:r>
      <w:r>
        <w:t xml:space="preserve"> </w:t>
      </w:r>
      <w:r w:rsidRPr="00D5009F">
        <w:t>government changes.</w:t>
      </w:r>
    </w:p>
    <w:p w:rsidR="00B958B1" w:rsidRDefault="00B958B1" w:rsidP="009F3B54"/>
    <w:p w:rsidR="00B958B1" w:rsidRDefault="00B958B1" w:rsidP="009F3B54">
      <w:r w:rsidRPr="005C36EE">
        <w:t xml:space="preserve">The following table summarises the </w:t>
      </w:r>
      <w:r>
        <w:t xml:space="preserve">Department’s </w:t>
      </w:r>
      <w:r w:rsidRPr="005C36EE">
        <w:t>total output cost</w:t>
      </w:r>
      <w:r>
        <w:t>:</w:t>
      </w:r>
    </w:p>
    <w:p w:rsidR="00B958B1" w:rsidRDefault="00B958B1" w:rsidP="009F3B54">
      <w:pPr>
        <w:pStyle w:val="Tableheading"/>
      </w:pPr>
      <w:r>
        <w:t>Table 2.23:</w:t>
      </w:r>
      <w:r>
        <w:tab/>
        <w:t>Output summary</w:t>
      </w:r>
    </w:p>
    <w:p w:rsidR="00B958B1" w:rsidRPr="00637FC8" w:rsidRDefault="00B958B1" w:rsidP="009F3B54">
      <w:pPr>
        <w:pStyle w:val="million"/>
        <w:rPr>
          <w:rFonts w:ascii="Times New Roman" w:hAnsi="Times New Roman"/>
          <w:i w:val="0"/>
          <w:sz w:val="20"/>
          <w:szCs w:val="20"/>
          <w:lang w:eastAsia="en-AU"/>
        </w:rPr>
      </w:pPr>
      <w:r>
        <w:rPr>
          <w:sz w:val="20"/>
        </w:rPr>
        <w:t>($ million)</w:t>
      </w:r>
    </w:p>
    <w:tbl>
      <w:tblPr>
        <w:tblW w:w="7776" w:type="dxa"/>
        <w:tblInd w:w="29" w:type="dxa"/>
        <w:tblLayout w:type="fixed"/>
        <w:tblCellMar>
          <w:left w:w="43" w:type="dxa"/>
          <w:right w:w="43" w:type="dxa"/>
        </w:tblCellMar>
        <w:tblLook w:val="0000" w:firstRow="0" w:lastRow="0" w:firstColumn="0" w:lastColumn="0" w:noHBand="0" w:noVBand="0"/>
      </w:tblPr>
      <w:tblGrid>
        <w:gridCol w:w="4064"/>
        <w:gridCol w:w="870"/>
        <w:gridCol w:w="870"/>
        <w:gridCol w:w="870"/>
        <w:gridCol w:w="1102"/>
      </w:tblGrid>
      <w:tr w:rsidR="00B958B1" w:rsidRPr="00D85FE0" w:rsidTr="009F3B54">
        <w:tc>
          <w:tcPr>
            <w:tcW w:w="4064" w:type="dxa"/>
            <w:tcBorders>
              <w:top w:val="single" w:sz="4" w:space="0" w:color="auto"/>
              <w:left w:val="single" w:sz="4" w:space="0" w:color="auto"/>
              <w:bottom w:val="nil"/>
              <w:right w:val="nil"/>
            </w:tcBorders>
            <w:shd w:val="clear" w:color="auto" w:fill="000000"/>
          </w:tcPr>
          <w:p w:rsidR="00B958B1" w:rsidRPr="00D85FE0" w:rsidRDefault="00B958B1" w:rsidP="009F3B54">
            <w:pPr>
              <w:pStyle w:val="Tabletext"/>
              <w:rPr>
                <w:rFonts w:eastAsiaTheme="minorEastAsia"/>
                <w:lang w:eastAsia="en-AU"/>
              </w:rPr>
            </w:pPr>
            <w:r w:rsidRPr="00D85FE0">
              <w:rPr>
                <w:rFonts w:eastAsiaTheme="minorEastAsia"/>
                <w:lang w:eastAsia="en-AU"/>
              </w:rPr>
              <w:t xml:space="preserve"> </w:t>
            </w:r>
          </w:p>
        </w:tc>
        <w:tc>
          <w:tcPr>
            <w:tcW w:w="870" w:type="dxa"/>
            <w:tcBorders>
              <w:top w:val="single" w:sz="4" w:space="0" w:color="auto"/>
              <w:left w:val="nil"/>
              <w:bottom w:val="nil"/>
              <w:right w:val="nil"/>
            </w:tcBorders>
            <w:shd w:val="clear" w:color="auto" w:fill="000000"/>
          </w:tcPr>
          <w:p w:rsidR="00B958B1" w:rsidRPr="00D85FE0" w:rsidRDefault="00B958B1" w:rsidP="009F3B54">
            <w:pPr>
              <w:pStyle w:val="Tabletextheading"/>
              <w:rPr>
                <w:rFonts w:eastAsiaTheme="minorEastAsia"/>
                <w:lang w:eastAsia="en-AU"/>
              </w:rPr>
            </w:pPr>
            <w:r w:rsidRPr="00D85FE0">
              <w:rPr>
                <w:rFonts w:eastAsiaTheme="minorEastAsia"/>
                <w:lang w:eastAsia="en-AU"/>
              </w:rPr>
              <w:t>2012</w:t>
            </w:r>
            <w:r w:rsidR="009F0F49">
              <w:rPr>
                <w:rFonts w:eastAsiaTheme="minorEastAsia"/>
                <w:lang w:eastAsia="en-AU"/>
              </w:rPr>
              <w:noBreakHyphen/>
            </w:r>
            <w:r w:rsidRPr="00D85FE0">
              <w:rPr>
                <w:rFonts w:eastAsiaTheme="minorEastAsia"/>
                <w:lang w:eastAsia="en-AU"/>
              </w:rPr>
              <w:t>13</w:t>
            </w:r>
          </w:p>
        </w:tc>
        <w:tc>
          <w:tcPr>
            <w:tcW w:w="870" w:type="dxa"/>
            <w:tcBorders>
              <w:top w:val="single" w:sz="4" w:space="0" w:color="auto"/>
              <w:left w:val="nil"/>
              <w:bottom w:val="nil"/>
              <w:right w:val="nil"/>
            </w:tcBorders>
            <w:shd w:val="clear" w:color="auto" w:fill="000000"/>
          </w:tcPr>
          <w:p w:rsidR="00B958B1" w:rsidRPr="00D85FE0" w:rsidRDefault="00B958B1" w:rsidP="009F3B54">
            <w:pPr>
              <w:pStyle w:val="Tabletextheading"/>
              <w:rPr>
                <w:rFonts w:eastAsiaTheme="minorEastAsia"/>
                <w:lang w:eastAsia="en-AU"/>
              </w:rPr>
            </w:pPr>
            <w:r w:rsidRPr="00D85FE0">
              <w:rPr>
                <w:rFonts w:eastAsiaTheme="minorEastAsia"/>
                <w:lang w:eastAsia="en-AU"/>
              </w:rPr>
              <w:t>2012</w:t>
            </w:r>
            <w:r w:rsidR="009F0F49">
              <w:rPr>
                <w:rFonts w:eastAsiaTheme="minorEastAsia"/>
                <w:lang w:eastAsia="en-AU"/>
              </w:rPr>
              <w:noBreakHyphen/>
            </w:r>
            <w:r w:rsidRPr="00D85FE0">
              <w:rPr>
                <w:rFonts w:eastAsiaTheme="minorEastAsia"/>
                <w:lang w:eastAsia="en-AU"/>
              </w:rPr>
              <w:t>13</w:t>
            </w:r>
          </w:p>
        </w:tc>
        <w:tc>
          <w:tcPr>
            <w:tcW w:w="870" w:type="dxa"/>
            <w:tcBorders>
              <w:top w:val="single" w:sz="4" w:space="0" w:color="auto"/>
              <w:left w:val="nil"/>
              <w:bottom w:val="nil"/>
              <w:right w:val="nil"/>
            </w:tcBorders>
            <w:shd w:val="clear" w:color="auto" w:fill="000000"/>
          </w:tcPr>
          <w:p w:rsidR="00B958B1" w:rsidRPr="00D85FE0" w:rsidRDefault="00B958B1" w:rsidP="009F3B54">
            <w:pPr>
              <w:pStyle w:val="Tabletextheading"/>
              <w:rPr>
                <w:rFonts w:eastAsiaTheme="minorEastAsia"/>
                <w:lang w:eastAsia="en-AU"/>
              </w:rPr>
            </w:pPr>
            <w:r w:rsidRPr="00D85FE0">
              <w:rPr>
                <w:rFonts w:eastAsiaTheme="minorEastAsia"/>
                <w:lang w:eastAsia="en-AU"/>
              </w:rPr>
              <w:t>2013</w:t>
            </w:r>
            <w:r w:rsidR="009F0F49">
              <w:rPr>
                <w:rFonts w:eastAsiaTheme="minorEastAsia"/>
                <w:lang w:eastAsia="en-AU"/>
              </w:rPr>
              <w:noBreakHyphen/>
            </w:r>
            <w:r w:rsidRPr="00D85FE0">
              <w:rPr>
                <w:rFonts w:eastAsiaTheme="minorEastAsia"/>
                <w:lang w:eastAsia="en-AU"/>
              </w:rPr>
              <w:t>14</w:t>
            </w:r>
          </w:p>
        </w:tc>
        <w:tc>
          <w:tcPr>
            <w:tcW w:w="1102" w:type="dxa"/>
            <w:tcBorders>
              <w:top w:val="single" w:sz="4" w:space="0" w:color="auto"/>
              <w:left w:val="nil"/>
              <w:bottom w:val="nil"/>
              <w:right w:val="single" w:sz="4" w:space="0" w:color="auto"/>
            </w:tcBorders>
            <w:shd w:val="clear" w:color="auto" w:fill="000000"/>
          </w:tcPr>
          <w:p w:rsidR="00B958B1" w:rsidRPr="00D85FE0" w:rsidRDefault="00B958B1" w:rsidP="009F3B54">
            <w:pPr>
              <w:pStyle w:val="Tabletextheading"/>
              <w:rPr>
                <w:rFonts w:eastAsiaTheme="minorEastAsia"/>
                <w:vertAlign w:val="superscript"/>
                <w:lang w:eastAsia="en-AU"/>
              </w:rPr>
            </w:pPr>
            <w:r w:rsidRPr="00D85FE0">
              <w:rPr>
                <w:rFonts w:eastAsiaTheme="minorEastAsia"/>
                <w:lang w:eastAsia="en-AU"/>
              </w:rPr>
              <w:t xml:space="preserve">Variation </w:t>
            </w:r>
            <w:r w:rsidRPr="00D85FE0">
              <w:rPr>
                <w:rFonts w:eastAsiaTheme="minorEastAsia"/>
                <w:vertAlign w:val="superscript"/>
                <w:lang w:eastAsia="en-AU"/>
              </w:rPr>
              <w:t>(a)</w:t>
            </w:r>
          </w:p>
        </w:tc>
      </w:tr>
      <w:tr w:rsidR="00B958B1" w:rsidRPr="00D85FE0" w:rsidTr="009F3B54">
        <w:tc>
          <w:tcPr>
            <w:tcW w:w="4064" w:type="dxa"/>
            <w:tcBorders>
              <w:top w:val="nil"/>
              <w:left w:val="single" w:sz="4" w:space="0" w:color="auto"/>
              <w:bottom w:val="single" w:sz="4" w:space="0" w:color="auto"/>
              <w:right w:val="nil"/>
            </w:tcBorders>
            <w:shd w:val="clear" w:color="auto" w:fill="000000"/>
          </w:tcPr>
          <w:p w:rsidR="00B958B1" w:rsidRPr="00D85FE0" w:rsidRDefault="00B958B1" w:rsidP="009F3B54">
            <w:pPr>
              <w:pStyle w:val="Tabletext"/>
              <w:rPr>
                <w:rFonts w:eastAsiaTheme="minorEastAsia"/>
                <w:lang w:eastAsia="en-AU"/>
              </w:rPr>
            </w:pPr>
            <w:r w:rsidRPr="00D85FE0">
              <w:rPr>
                <w:rFonts w:eastAsiaTheme="minorEastAsia"/>
                <w:lang w:eastAsia="en-AU"/>
              </w:rPr>
              <w:t xml:space="preserve"> </w:t>
            </w:r>
          </w:p>
        </w:tc>
        <w:tc>
          <w:tcPr>
            <w:tcW w:w="870" w:type="dxa"/>
            <w:tcBorders>
              <w:top w:val="nil"/>
              <w:left w:val="nil"/>
              <w:bottom w:val="single" w:sz="4" w:space="0" w:color="auto"/>
              <w:right w:val="nil"/>
            </w:tcBorders>
            <w:shd w:val="clear" w:color="auto" w:fill="000000"/>
          </w:tcPr>
          <w:p w:rsidR="00B958B1" w:rsidRPr="00D85FE0" w:rsidRDefault="00B958B1" w:rsidP="009F3B54">
            <w:pPr>
              <w:pStyle w:val="Tabletextheading"/>
              <w:rPr>
                <w:rFonts w:eastAsiaTheme="minorEastAsia"/>
                <w:lang w:eastAsia="en-AU"/>
              </w:rPr>
            </w:pPr>
            <w:r w:rsidRPr="00D85FE0">
              <w:rPr>
                <w:rFonts w:eastAsiaTheme="minorEastAsia"/>
                <w:lang w:eastAsia="en-AU"/>
              </w:rPr>
              <w:t>Budget</w:t>
            </w:r>
          </w:p>
        </w:tc>
        <w:tc>
          <w:tcPr>
            <w:tcW w:w="870" w:type="dxa"/>
            <w:tcBorders>
              <w:top w:val="nil"/>
              <w:left w:val="nil"/>
              <w:bottom w:val="single" w:sz="4" w:space="0" w:color="auto"/>
              <w:right w:val="nil"/>
            </w:tcBorders>
            <w:shd w:val="clear" w:color="auto" w:fill="000000"/>
          </w:tcPr>
          <w:p w:rsidR="00B958B1" w:rsidRPr="00D85FE0" w:rsidRDefault="00B958B1" w:rsidP="009F3B54">
            <w:pPr>
              <w:pStyle w:val="Tabletextheading"/>
              <w:rPr>
                <w:rFonts w:eastAsiaTheme="minorEastAsia"/>
                <w:lang w:eastAsia="en-AU"/>
              </w:rPr>
            </w:pPr>
            <w:r w:rsidRPr="00D85FE0">
              <w:rPr>
                <w:rFonts w:eastAsiaTheme="minorEastAsia"/>
                <w:lang w:eastAsia="en-AU"/>
              </w:rPr>
              <w:t>Revised</w:t>
            </w:r>
          </w:p>
        </w:tc>
        <w:tc>
          <w:tcPr>
            <w:tcW w:w="870" w:type="dxa"/>
            <w:tcBorders>
              <w:top w:val="nil"/>
              <w:left w:val="nil"/>
              <w:bottom w:val="single" w:sz="4" w:space="0" w:color="auto"/>
              <w:right w:val="nil"/>
            </w:tcBorders>
            <w:shd w:val="clear" w:color="auto" w:fill="000000"/>
          </w:tcPr>
          <w:p w:rsidR="00B958B1" w:rsidRPr="00D85FE0" w:rsidRDefault="00B958B1" w:rsidP="009F3B54">
            <w:pPr>
              <w:pStyle w:val="Tabletextheading"/>
              <w:rPr>
                <w:rFonts w:eastAsiaTheme="minorEastAsia"/>
                <w:lang w:eastAsia="en-AU"/>
              </w:rPr>
            </w:pPr>
            <w:r w:rsidRPr="00D85FE0">
              <w:rPr>
                <w:rFonts w:eastAsiaTheme="minorEastAsia"/>
                <w:lang w:eastAsia="en-AU"/>
              </w:rPr>
              <w:t>Budget</w:t>
            </w:r>
          </w:p>
        </w:tc>
        <w:tc>
          <w:tcPr>
            <w:tcW w:w="1102" w:type="dxa"/>
            <w:tcBorders>
              <w:top w:val="nil"/>
              <w:left w:val="nil"/>
              <w:bottom w:val="single" w:sz="4" w:space="0" w:color="auto"/>
              <w:right w:val="single" w:sz="4" w:space="0" w:color="auto"/>
            </w:tcBorders>
            <w:shd w:val="clear" w:color="auto" w:fill="000000"/>
          </w:tcPr>
          <w:p w:rsidR="00B958B1" w:rsidRPr="00D85FE0" w:rsidRDefault="00B958B1" w:rsidP="009F3B54">
            <w:pPr>
              <w:pStyle w:val="Tabletextheading"/>
              <w:rPr>
                <w:rFonts w:eastAsiaTheme="minorEastAsia"/>
                <w:lang w:eastAsia="en-AU"/>
              </w:rPr>
            </w:pPr>
            <w:r w:rsidRPr="00D85FE0">
              <w:rPr>
                <w:rFonts w:eastAsiaTheme="minorEastAsia"/>
                <w:lang w:eastAsia="en-AU"/>
              </w:rPr>
              <w:t>%</w:t>
            </w:r>
          </w:p>
        </w:tc>
      </w:tr>
      <w:tr w:rsidR="00B958B1" w:rsidRPr="00D85FE0" w:rsidTr="009F3B54">
        <w:tc>
          <w:tcPr>
            <w:tcW w:w="4064" w:type="dxa"/>
            <w:tcBorders>
              <w:top w:val="single" w:sz="4" w:space="0" w:color="auto"/>
              <w:left w:val="nil"/>
              <w:bottom w:val="nil"/>
              <w:right w:val="nil"/>
            </w:tcBorders>
          </w:tcPr>
          <w:p w:rsidR="00B958B1" w:rsidRPr="00D85FE0" w:rsidRDefault="00B958B1" w:rsidP="009F3B54">
            <w:pPr>
              <w:pStyle w:val="Tabletext"/>
              <w:rPr>
                <w:rFonts w:eastAsiaTheme="minorEastAsia"/>
                <w:color w:val="000000"/>
                <w:lang w:eastAsia="en-AU"/>
              </w:rPr>
            </w:pPr>
            <w:r w:rsidRPr="00D85FE0">
              <w:rPr>
                <w:rFonts w:eastAsiaTheme="minorEastAsia"/>
                <w:color w:val="000000"/>
                <w:lang w:eastAsia="en-AU"/>
              </w:rPr>
              <w:t>Transport Safety Regulation and Investigations</w:t>
            </w:r>
          </w:p>
        </w:tc>
        <w:tc>
          <w:tcPr>
            <w:tcW w:w="870" w:type="dxa"/>
            <w:tcBorders>
              <w:top w:val="single" w:sz="4" w:space="0" w:color="auto"/>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213.9</w:t>
            </w:r>
          </w:p>
        </w:tc>
        <w:tc>
          <w:tcPr>
            <w:tcW w:w="870" w:type="dxa"/>
            <w:tcBorders>
              <w:top w:val="single" w:sz="4" w:space="0" w:color="auto"/>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205.2</w:t>
            </w:r>
          </w:p>
        </w:tc>
        <w:tc>
          <w:tcPr>
            <w:tcW w:w="870" w:type="dxa"/>
            <w:tcBorders>
              <w:top w:val="single" w:sz="4" w:space="0" w:color="auto"/>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211.8</w:t>
            </w:r>
          </w:p>
        </w:tc>
        <w:tc>
          <w:tcPr>
            <w:tcW w:w="1102" w:type="dxa"/>
            <w:tcBorders>
              <w:top w:val="single" w:sz="4" w:space="0" w:color="auto"/>
              <w:left w:val="nil"/>
              <w:bottom w:val="nil"/>
              <w:right w:val="nil"/>
            </w:tcBorders>
          </w:tcPr>
          <w:p w:rsidR="00B958B1" w:rsidRPr="00D85FE0" w:rsidRDefault="009F0F49" w:rsidP="009F3B54">
            <w:pPr>
              <w:pStyle w:val="TableofFigures"/>
              <w:rPr>
                <w:rFonts w:eastAsiaTheme="minorEastAsia"/>
                <w:color w:val="000000"/>
                <w:lang w:eastAsia="en-AU"/>
              </w:rPr>
            </w:pPr>
            <w:r>
              <w:rPr>
                <w:rFonts w:eastAsiaTheme="minorEastAsia"/>
                <w:color w:val="000000"/>
                <w:lang w:eastAsia="en-AU"/>
              </w:rPr>
              <w:noBreakHyphen/>
            </w:r>
            <w:r w:rsidR="00B958B1" w:rsidRPr="00D85FE0">
              <w:rPr>
                <w:rFonts w:eastAsiaTheme="minorEastAsia"/>
                <w:color w:val="000000"/>
                <w:lang w:eastAsia="en-AU"/>
              </w:rPr>
              <w:t>1.0</w:t>
            </w:r>
          </w:p>
        </w:tc>
      </w:tr>
      <w:tr w:rsidR="00B958B1" w:rsidRPr="00D85FE0" w:rsidTr="009F3B54">
        <w:tc>
          <w:tcPr>
            <w:tcW w:w="4064" w:type="dxa"/>
            <w:tcBorders>
              <w:top w:val="nil"/>
              <w:left w:val="nil"/>
              <w:bottom w:val="nil"/>
              <w:right w:val="nil"/>
            </w:tcBorders>
          </w:tcPr>
          <w:p w:rsidR="00B958B1" w:rsidRPr="00D85FE0" w:rsidRDefault="00B958B1" w:rsidP="009F3B54">
            <w:pPr>
              <w:pStyle w:val="Tabletext"/>
              <w:rPr>
                <w:rFonts w:eastAsiaTheme="minorEastAsia"/>
                <w:color w:val="000000"/>
                <w:lang w:eastAsia="en-AU"/>
              </w:rPr>
            </w:pPr>
            <w:r w:rsidRPr="00D85FE0">
              <w:rPr>
                <w:rFonts w:eastAsiaTheme="minorEastAsia"/>
                <w:color w:val="000000"/>
                <w:lang w:eastAsia="en-AU"/>
              </w:rPr>
              <w:t>Transport Safety and Security Management</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97.8</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121.5</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141.9</w:t>
            </w:r>
          </w:p>
        </w:tc>
        <w:tc>
          <w:tcPr>
            <w:tcW w:w="1102" w:type="dxa"/>
            <w:tcBorders>
              <w:top w:val="nil"/>
              <w:left w:val="nil"/>
              <w:bottom w:val="nil"/>
              <w:right w:val="nil"/>
            </w:tcBorders>
          </w:tcPr>
          <w:p w:rsidR="00B958B1" w:rsidRPr="00D85FE0" w:rsidRDefault="00B958B1" w:rsidP="009F3B54">
            <w:pPr>
              <w:pStyle w:val="TableofFigures"/>
              <w:rPr>
                <w:rFonts w:eastAsiaTheme="minorEastAsia"/>
                <w:color w:val="000000"/>
                <w:lang w:eastAsia="en-AU"/>
              </w:rPr>
            </w:pPr>
            <w:r w:rsidRPr="00D85FE0">
              <w:rPr>
                <w:rFonts w:eastAsiaTheme="minorEastAsia"/>
                <w:color w:val="000000"/>
                <w:lang w:eastAsia="en-AU"/>
              </w:rPr>
              <w:t>45.1</w:t>
            </w:r>
          </w:p>
        </w:tc>
      </w:tr>
      <w:tr w:rsidR="00B958B1" w:rsidRPr="00D85FE0" w:rsidTr="009F3B54">
        <w:tc>
          <w:tcPr>
            <w:tcW w:w="4064" w:type="dxa"/>
            <w:tcBorders>
              <w:top w:val="nil"/>
              <w:left w:val="nil"/>
              <w:bottom w:val="nil"/>
              <w:right w:val="nil"/>
            </w:tcBorders>
          </w:tcPr>
          <w:p w:rsidR="00B958B1" w:rsidRPr="00D85FE0" w:rsidRDefault="00B958B1" w:rsidP="009F3B54">
            <w:pPr>
              <w:pStyle w:val="Tabletext"/>
              <w:rPr>
                <w:rFonts w:eastAsiaTheme="minorEastAsia" w:cs="Calibri"/>
                <w:color w:val="000000"/>
                <w:vertAlign w:val="superscript"/>
                <w:lang w:eastAsia="en-AU"/>
              </w:rPr>
            </w:pPr>
            <w:r w:rsidRPr="00D85FE0">
              <w:rPr>
                <w:rFonts w:eastAsiaTheme="minorEastAsia"/>
                <w:color w:val="000000"/>
                <w:lang w:eastAsia="en-AU"/>
              </w:rPr>
              <w:t xml:space="preserve">Metropolitan Transport Services </w:t>
            </w:r>
            <w:r w:rsidRPr="00D85FE0">
              <w:rPr>
                <w:rFonts w:eastAsiaTheme="minorEastAsia" w:cs="Calibri"/>
                <w:color w:val="000000"/>
                <w:vertAlign w:val="superscript"/>
                <w:lang w:eastAsia="en-AU"/>
              </w:rPr>
              <w:t>(b)</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3 </w:t>
            </w:r>
            <w:r w:rsidRPr="00D85FE0">
              <w:rPr>
                <w:rFonts w:eastAsiaTheme="minorEastAsia" w:cs="Calibri"/>
                <w:color w:val="000000"/>
                <w:lang w:eastAsia="en-AU"/>
              </w:rPr>
              <w:t>016.0</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3 </w:t>
            </w:r>
            <w:r w:rsidRPr="00D85FE0">
              <w:rPr>
                <w:rFonts w:eastAsiaTheme="minorEastAsia" w:cs="Calibri"/>
                <w:color w:val="000000"/>
                <w:lang w:eastAsia="en-AU"/>
              </w:rPr>
              <w:t>070.5</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3</w:t>
            </w:r>
            <w:r w:rsidRPr="00D85FE0">
              <w:rPr>
                <w:rFonts w:eastAsiaTheme="minorEastAsia" w:cs="Calibri"/>
                <w:color w:val="000000"/>
                <w:lang w:eastAsia="en-AU"/>
              </w:rPr>
              <w:t xml:space="preserve"> 189.0</w:t>
            </w:r>
          </w:p>
        </w:tc>
        <w:tc>
          <w:tcPr>
            <w:tcW w:w="1102" w:type="dxa"/>
            <w:tcBorders>
              <w:top w:val="nil"/>
              <w:left w:val="nil"/>
              <w:bottom w:val="nil"/>
              <w:right w:val="nil"/>
            </w:tcBorders>
          </w:tcPr>
          <w:p w:rsidR="00B958B1" w:rsidRPr="00D85FE0" w:rsidRDefault="00B958B1" w:rsidP="009F3B54">
            <w:pPr>
              <w:pStyle w:val="TableofFigures"/>
              <w:rPr>
                <w:rFonts w:eastAsiaTheme="minorEastAsia"/>
                <w:color w:val="000000"/>
                <w:lang w:eastAsia="en-AU"/>
              </w:rPr>
            </w:pPr>
            <w:r w:rsidRPr="00D85FE0">
              <w:rPr>
                <w:rFonts w:eastAsiaTheme="minorEastAsia"/>
                <w:color w:val="000000"/>
                <w:lang w:eastAsia="en-AU"/>
              </w:rPr>
              <w:t>5.7</w:t>
            </w:r>
          </w:p>
        </w:tc>
      </w:tr>
      <w:tr w:rsidR="00B958B1" w:rsidRPr="00D85FE0" w:rsidTr="009F3B54">
        <w:tc>
          <w:tcPr>
            <w:tcW w:w="4064" w:type="dxa"/>
            <w:tcBorders>
              <w:top w:val="nil"/>
              <w:left w:val="nil"/>
              <w:bottom w:val="nil"/>
              <w:right w:val="nil"/>
            </w:tcBorders>
          </w:tcPr>
          <w:p w:rsidR="00B958B1" w:rsidRPr="00D85FE0" w:rsidRDefault="00B958B1" w:rsidP="009F3B54">
            <w:pPr>
              <w:pStyle w:val="Tabletext"/>
              <w:rPr>
                <w:rFonts w:eastAsiaTheme="minorEastAsia" w:cs="Calibri"/>
                <w:color w:val="000000"/>
                <w:vertAlign w:val="superscript"/>
                <w:lang w:eastAsia="en-AU"/>
              </w:rPr>
            </w:pPr>
            <w:r w:rsidRPr="00D85FE0">
              <w:rPr>
                <w:rFonts w:eastAsiaTheme="minorEastAsia"/>
                <w:color w:val="000000"/>
                <w:lang w:eastAsia="en-AU"/>
              </w:rPr>
              <w:t xml:space="preserve">Regional Transport Services </w:t>
            </w:r>
            <w:r w:rsidRPr="00D85FE0">
              <w:rPr>
                <w:rFonts w:eastAsiaTheme="minorEastAsia" w:cs="Calibri"/>
                <w:color w:val="000000"/>
                <w:vertAlign w:val="superscript"/>
                <w:lang w:eastAsia="en-AU"/>
              </w:rPr>
              <w:t>(b)</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839.7</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844.2</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869.8</w:t>
            </w:r>
          </w:p>
        </w:tc>
        <w:tc>
          <w:tcPr>
            <w:tcW w:w="1102" w:type="dxa"/>
            <w:tcBorders>
              <w:top w:val="nil"/>
              <w:left w:val="nil"/>
              <w:bottom w:val="nil"/>
              <w:right w:val="nil"/>
            </w:tcBorders>
          </w:tcPr>
          <w:p w:rsidR="00B958B1" w:rsidRPr="00D85FE0" w:rsidRDefault="00B958B1" w:rsidP="009F3B54">
            <w:pPr>
              <w:pStyle w:val="TableofFigures"/>
              <w:rPr>
                <w:rFonts w:eastAsiaTheme="minorEastAsia"/>
                <w:color w:val="000000"/>
                <w:lang w:eastAsia="en-AU"/>
              </w:rPr>
            </w:pPr>
            <w:r w:rsidRPr="00D85FE0">
              <w:rPr>
                <w:rFonts w:eastAsiaTheme="minorEastAsia"/>
                <w:color w:val="000000"/>
                <w:lang w:eastAsia="en-AU"/>
              </w:rPr>
              <w:t>3.6</w:t>
            </w:r>
          </w:p>
        </w:tc>
      </w:tr>
      <w:tr w:rsidR="00B958B1" w:rsidRPr="00D85FE0" w:rsidTr="009F3B54">
        <w:tc>
          <w:tcPr>
            <w:tcW w:w="4064" w:type="dxa"/>
            <w:tcBorders>
              <w:top w:val="nil"/>
              <w:left w:val="nil"/>
              <w:bottom w:val="nil"/>
              <w:right w:val="nil"/>
            </w:tcBorders>
          </w:tcPr>
          <w:p w:rsidR="00B958B1" w:rsidRPr="00D85FE0" w:rsidRDefault="00B958B1" w:rsidP="009F3B54">
            <w:pPr>
              <w:pStyle w:val="Tabletext"/>
              <w:rPr>
                <w:rFonts w:eastAsiaTheme="minorEastAsia" w:cs="Calibri"/>
                <w:color w:val="000000"/>
                <w:vertAlign w:val="superscript"/>
                <w:lang w:eastAsia="en-AU"/>
              </w:rPr>
            </w:pPr>
            <w:r w:rsidRPr="00D85FE0">
              <w:rPr>
                <w:rFonts w:eastAsiaTheme="minorEastAsia"/>
                <w:color w:val="000000"/>
                <w:lang w:eastAsia="en-AU"/>
              </w:rPr>
              <w:t xml:space="preserve">Statewide Transport Services </w:t>
            </w:r>
            <w:r w:rsidRPr="00D85FE0">
              <w:rPr>
                <w:rFonts w:eastAsiaTheme="minorEastAsia" w:cs="Calibri"/>
                <w:color w:val="000000"/>
                <w:vertAlign w:val="superscript"/>
                <w:lang w:eastAsia="en-AU"/>
              </w:rPr>
              <w:t>(b)</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348.8</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346.0</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372.5</w:t>
            </w:r>
          </w:p>
        </w:tc>
        <w:tc>
          <w:tcPr>
            <w:tcW w:w="1102" w:type="dxa"/>
            <w:tcBorders>
              <w:top w:val="nil"/>
              <w:left w:val="nil"/>
              <w:bottom w:val="nil"/>
              <w:right w:val="nil"/>
            </w:tcBorders>
          </w:tcPr>
          <w:p w:rsidR="00B958B1" w:rsidRPr="00D85FE0" w:rsidRDefault="00B958B1" w:rsidP="009F3B54">
            <w:pPr>
              <w:pStyle w:val="TableofFigures"/>
              <w:rPr>
                <w:rFonts w:eastAsiaTheme="minorEastAsia"/>
                <w:color w:val="000000"/>
                <w:lang w:eastAsia="en-AU"/>
              </w:rPr>
            </w:pPr>
            <w:r w:rsidRPr="00D85FE0">
              <w:rPr>
                <w:rFonts w:eastAsiaTheme="minorEastAsia"/>
                <w:color w:val="000000"/>
                <w:lang w:eastAsia="en-AU"/>
              </w:rPr>
              <w:t>6.8</w:t>
            </w:r>
          </w:p>
        </w:tc>
      </w:tr>
      <w:tr w:rsidR="00B958B1" w:rsidRPr="00D85FE0" w:rsidTr="009F3B54">
        <w:tc>
          <w:tcPr>
            <w:tcW w:w="4064" w:type="dxa"/>
            <w:tcBorders>
              <w:top w:val="nil"/>
              <w:left w:val="nil"/>
              <w:bottom w:val="nil"/>
              <w:right w:val="nil"/>
            </w:tcBorders>
          </w:tcPr>
          <w:p w:rsidR="00B958B1" w:rsidRPr="00D85FE0" w:rsidRDefault="00B958B1" w:rsidP="009F3B54">
            <w:pPr>
              <w:pStyle w:val="Tabletext"/>
              <w:rPr>
                <w:rFonts w:eastAsiaTheme="minorEastAsia" w:cs="Calibri"/>
                <w:color w:val="000000"/>
                <w:vertAlign w:val="superscript"/>
                <w:lang w:eastAsia="en-AU"/>
              </w:rPr>
            </w:pPr>
            <w:r w:rsidRPr="00D85FE0">
              <w:rPr>
                <w:rFonts w:eastAsiaTheme="minorEastAsia"/>
                <w:color w:val="000000"/>
                <w:lang w:eastAsia="en-AU"/>
              </w:rPr>
              <w:t xml:space="preserve">Integrated Transport System Planning </w:t>
            </w:r>
            <w:r w:rsidRPr="00D85FE0">
              <w:rPr>
                <w:rFonts w:eastAsiaTheme="minorEastAsia" w:cs="Calibri"/>
                <w:color w:val="000000"/>
                <w:vertAlign w:val="superscript"/>
                <w:lang w:eastAsia="en-AU"/>
              </w:rPr>
              <w:t>(b)</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41.0</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51.8</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26.7</w:t>
            </w:r>
          </w:p>
        </w:tc>
        <w:tc>
          <w:tcPr>
            <w:tcW w:w="1102" w:type="dxa"/>
            <w:tcBorders>
              <w:top w:val="nil"/>
              <w:left w:val="nil"/>
              <w:bottom w:val="nil"/>
              <w:right w:val="nil"/>
            </w:tcBorders>
          </w:tcPr>
          <w:p w:rsidR="00B958B1" w:rsidRPr="00D85FE0" w:rsidRDefault="009F0F49" w:rsidP="009F3B54">
            <w:pPr>
              <w:pStyle w:val="TableofFigures"/>
              <w:rPr>
                <w:rFonts w:eastAsiaTheme="minorEastAsia"/>
                <w:color w:val="000000"/>
                <w:lang w:eastAsia="en-AU"/>
              </w:rPr>
            </w:pPr>
            <w:r>
              <w:rPr>
                <w:rFonts w:eastAsiaTheme="minorEastAsia"/>
                <w:color w:val="000000"/>
                <w:lang w:eastAsia="en-AU"/>
              </w:rPr>
              <w:noBreakHyphen/>
            </w:r>
            <w:r w:rsidR="00B958B1" w:rsidRPr="00D85FE0">
              <w:rPr>
                <w:rFonts w:eastAsiaTheme="minorEastAsia"/>
                <w:color w:val="000000"/>
                <w:lang w:eastAsia="en-AU"/>
              </w:rPr>
              <w:t>34.9</w:t>
            </w:r>
          </w:p>
        </w:tc>
      </w:tr>
      <w:tr w:rsidR="00B958B1" w:rsidRPr="00D85FE0" w:rsidTr="009F3B54">
        <w:tc>
          <w:tcPr>
            <w:tcW w:w="4064" w:type="dxa"/>
            <w:tcBorders>
              <w:top w:val="nil"/>
              <w:left w:val="nil"/>
              <w:bottom w:val="nil"/>
              <w:right w:val="nil"/>
            </w:tcBorders>
          </w:tcPr>
          <w:p w:rsidR="00B958B1" w:rsidRPr="00D85FE0" w:rsidRDefault="00B958B1" w:rsidP="009F3B54">
            <w:pPr>
              <w:pStyle w:val="Tabletext"/>
              <w:rPr>
                <w:rFonts w:eastAsiaTheme="minorEastAsia"/>
                <w:color w:val="000000"/>
                <w:lang w:eastAsia="en-AU"/>
              </w:rPr>
            </w:pPr>
            <w:r w:rsidRPr="00D85FE0">
              <w:rPr>
                <w:rFonts w:eastAsiaTheme="minorEastAsia"/>
                <w:color w:val="000000"/>
                <w:lang w:eastAsia="en-AU"/>
              </w:rPr>
              <w:t>Public Transport Network Improvements and Maintenance</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118.8</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169.0</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73.3</w:t>
            </w:r>
          </w:p>
        </w:tc>
        <w:tc>
          <w:tcPr>
            <w:tcW w:w="1102" w:type="dxa"/>
            <w:tcBorders>
              <w:top w:val="nil"/>
              <w:left w:val="nil"/>
              <w:bottom w:val="nil"/>
              <w:right w:val="nil"/>
            </w:tcBorders>
          </w:tcPr>
          <w:p w:rsidR="00B958B1" w:rsidRPr="00D85FE0" w:rsidRDefault="009F0F49" w:rsidP="009F3B54">
            <w:pPr>
              <w:pStyle w:val="TableofFigures"/>
              <w:rPr>
                <w:rFonts w:eastAsiaTheme="minorEastAsia"/>
                <w:color w:val="000000"/>
                <w:lang w:eastAsia="en-AU"/>
              </w:rPr>
            </w:pPr>
            <w:r>
              <w:rPr>
                <w:rFonts w:eastAsiaTheme="minorEastAsia"/>
                <w:color w:val="000000"/>
                <w:lang w:eastAsia="en-AU"/>
              </w:rPr>
              <w:noBreakHyphen/>
            </w:r>
            <w:r w:rsidR="00B958B1" w:rsidRPr="00D85FE0">
              <w:rPr>
                <w:rFonts w:eastAsiaTheme="minorEastAsia"/>
                <w:color w:val="000000"/>
                <w:lang w:eastAsia="en-AU"/>
              </w:rPr>
              <w:t>38.3</w:t>
            </w:r>
          </w:p>
        </w:tc>
      </w:tr>
      <w:tr w:rsidR="00B958B1" w:rsidRPr="00D85FE0" w:rsidTr="009F3B54">
        <w:tc>
          <w:tcPr>
            <w:tcW w:w="4064" w:type="dxa"/>
            <w:tcBorders>
              <w:top w:val="nil"/>
              <w:left w:val="nil"/>
              <w:bottom w:val="nil"/>
              <w:right w:val="nil"/>
            </w:tcBorders>
          </w:tcPr>
          <w:p w:rsidR="00B958B1" w:rsidRPr="00D85FE0" w:rsidRDefault="00B958B1" w:rsidP="009F3B54">
            <w:pPr>
              <w:pStyle w:val="Tabletext"/>
              <w:rPr>
                <w:rFonts w:eastAsiaTheme="minorEastAsia" w:cs="Calibri"/>
                <w:color w:val="000000"/>
                <w:vertAlign w:val="superscript"/>
                <w:lang w:eastAsia="en-AU"/>
              </w:rPr>
            </w:pPr>
            <w:r w:rsidRPr="00D85FE0">
              <w:rPr>
                <w:rFonts w:eastAsiaTheme="minorEastAsia"/>
                <w:color w:val="000000"/>
                <w:lang w:eastAsia="en-AU"/>
              </w:rPr>
              <w:t xml:space="preserve">Road Network Improvements </w:t>
            </w:r>
            <w:r w:rsidRPr="00D85FE0">
              <w:rPr>
                <w:rFonts w:eastAsiaTheme="minorEastAsia" w:cs="Calibri"/>
                <w:color w:val="000000"/>
                <w:vertAlign w:val="superscript"/>
                <w:lang w:eastAsia="en-AU"/>
              </w:rPr>
              <w:t>(b)</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836.6</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867.6</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870.1</w:t>
            </w:r>
          </w:p>
        </w:tc>
        <w:tc>
          <w:tcPr>
            <w:tcW w:w="1102" w:type="dxa"/>
            <w:tcBorders>
              <w:top w:val="nil"/>
              <w:left w:val="nil"/>
              <w:bottom w:val="nil"/>
              <w:right w:val="nil"/>
            </w:tcBorders>
          </w:tcPr>
          <w:p w:rsidR="00B958B1" w:rsidRPr="00D85FE0" w:rsidRDefault="00B958B1" w:rsidP="009F3B54">
            <w:pPr>
              <w:pStyle w:val="TableofFigures"/>
              <w:rPr>
                <w:rFonts w:eastAsiaTheme="minorEastAsia"/>
                <w:color w:val="000000"/>
                <w:lang w:eastAsia="en-AU"/>
              </w:rPr>
            </w:pPr>
            <w:r w:rsidRPr="00D85FE0">
              <w:rPr>
                <w:rFonts w:eastAsiaTheme="minorEastAsia"/>
                <w:color w:val="000000"/>
                <w:lang w:eastAsia="en-AU"/>
              </w:rPr>
              <w:t>4.0</w:t>
            </w:r>
          </w:p>
        </w:tc>
      </w:tr>
      <w:tr w:rsidR="00B958B1" w:rsidRPr="00D85FE0" w:rsidTr="009F3B54">
        <w:tc>
          <w:tcPr>
            <w:tcW w:w="4064" w:type="dxa"/>
            <w:tcBorders>
              <w:top w:val="nil"/>
              <w:left w:val="nil"/>
              <w:bottom w:val="nil"/>
              <w:right w:val="nil"/>
            </w:tcBorders>
          </w:tcPr>
          <w:p w:rsidR="00B958B1" w:rsidRPr="00D85FE0" w:rsidRDefault="00B958B1" w:rsidP="009F3B54">
            <w:pPr>
              <w:pStyle w:val="Tabletext"/>
              <w:rPr>
                <w:rFonts w:eastAsiaTheme="minorEastAsia"/>
                <w:color w:val="000000"/>
                <w:lang w:eastAsia="en-AU"/>
              </w:rPr>
            </w:pPr>
            <w:r w:rsidRPr="00D85FE0">
              <w:rPr>
                <w:rFonts w:eastAsiaTheme="minorEastAsia"/>
                <w:color w:val="000000"/>
                <w:lang w:eastAsia="en-AU"/>
              </w:rPr>
              <w:t>Road Asset Management</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387.9</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441.9</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436.2</w:t>
            </w:r>
          </w:p>
        </w:tc>
        <w:tc>
          <w:tcPr>
            <w:tcW w:w="1102" w:type="dxa"/>
            <w:tcBorders>
              <w:top w:val="nil"/>
              <w:left w:val="nil"/>
              <w:bottom w:val="nil"/>
              <w:right w:val="nil"/>
            </w:tcBorders>
          </w:tcPr>
          <w:p w:rsidR="00B958B1" w:rsidRPr="00D85FE0" w:rsidRDefault="00B958B1" w:rsidP="009F3B54">
            <w:pPr>
              <w:pStyle w:val="TableofFigures"/>
              <w:rPr>
                <w:rFonts w:eastAsiaTheme="minorEastAsia"/>
                <w:color w:val="000000"/>
                <w:lang w:eastAsia="en-AU"/>
              </w:rPr>
            </w:pPr>
            <w:r w:rsidRPr="00D85FE0">
              <w:rPr>
                <w:rFonts w:eastAsiaTheme="minorEastAsia"/>
                <w:color w:val="000000"/>
                <w:lang w:eastAsia="en-AU"/>
              </w:rPr>
              <w:t>12.5</w:t>
            </w:r>
          </w:p>
        </w:tc>
      </w:tr>
      <w:tr w:rsidR="00B958B1" w:rsidRPr="00D85FE0" w:rsidTr="009F3B54">
        <w:tc>
          <w:tcPr>
            <w:tcW w:w="4064" w:type="dxa"/>
            <w:tcBorders>
              <w:top w:val="nil"/>
              <w:left w:val="nil"/>
              <w:bottom w:val="nil"/>
              <w:right w:val="nil"/>
            </w:tcBorders>
          </w:tcPr>
          <w:p w:rsidR="00B958B1" w:rsidRPr="00D85FE0" w:rsidRDefault="00B958B1" w:rsidP="009F3B54">
            <w:pPr>
              <w:pStyle w:val="Tabletext"/>
              <w:rPr>
                <w:rFonts w:eastAsiaTheme="minorEastAsia" w:cs="Calibri"/>
                <w:color w:val="000000"/>
                <w:vertAlign w:val="superscript"/>
                <w:lang w:eastAsia="en-AU"/>
              </w:rPr>
            </w:pPr>
            <w:r w:rsidRPr="00D85FE0">
              <w:rPr>
                <w:rFonts w:eastAsiaTheme="minorEastAsia"/>
                <w:color w:val="000000"/>
                <w:lang w:eastAsia="en-AU"/>
              </w:rPr>
              <w:t xml:space="preserve">Ports and Freight Network Improvements and Maintenance </w:t>
            </w:r>
            <w:r w:rsidRPr="00D85FE0">
              <w:rPr>
                <w:rFonts w:eastAsiaTheme="minorEastAsia" w:cs="Calibri"/>
                <w:color w:val="000000"/>
                <w:vertAlign w:val="superscript"/>
                <w:lang w:eastAsia="en-AU"/>
              </w:rPr>
              <w:t>(b)</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60.7</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72.3</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60.0</w:t>
            </w:r>
          </w:p>
        </w:tc>
        <w:tc>
          <w:tcPr>
            <w:tcW w:w="1102" w:type="dxa"/>
            <w:tcBorders>
              <w:top w:val="nil"/>
              <w:left w:val="nil"/>
              <w:bottom w:val="nil"/>
              <w:right w:val="nil"/>
            </w:tcBorders>
          </w:tcPr>
          <w:p w:rsidR="00B958B1" w:rsidRPr="00D85FE0" w:rsidRDefault="009F0F49" w:rsidP="009F3B54">
            <w:pPr>
              <w:pStyle w:val="TableofFigures"/>
              <w:rPr>
                <w:rFonts w:eastAsiaTheme="minorEastAsia"/>
                <w:color w:val="000000"/>
                <w:lang w:eastAsia="en-AU"/>
              </w:rPr>
            </w:pPr>
            <w:r>
              <w:rPr>
                <w:rFonts w:eastAsiaTheme="minorEastAsia"/>
                <w:color w:val="000000"/>
                <w:lang w:eastAsia="en-AU"/>
              </w:rPr>
              <w:noBreakHyphen/>
            </w:r>
            <w:r w:rsidR="00B958B1" w:rsidRPr="00D85FE0">
              <w:rPr>
                <w:rFonts w:eastAsiaTheme="minorEastAsia"/>
                <w:color w:val="000000"/>
                <w:lang w:eastAsia="en-AU"/>
              </w:rPr>
              <w:t>1.2</w:t>
            </w:r>
          </w:p>
        </w:tc>
      </w:tr>
      <w:tr w:rsidR="00B958B1" w:rsidRPr="00D85FE0" w:rsidTr="009F3B54">
        <w:tc>
          <w:tcPr>
            <w:tcW w:w="4064" w:type="dxa"/>
            <w:tcBorders>
              <w:top w:val="nil"/>
              <w:left w:val="nil"/>
              <w:bottom w:val="nil"/>
              <w:right w:val="nil"/>
            </w:tcBorders>
          </w:tcPr>
          <w:p w:rsidR="00B958B1" w:rsidRPr="00D85FE0" w:rsidRDefault="00B958B1" w:rsidP="009F3B54">
            <w:pPr>
              <w:pStyle w:val="Tabletext"/>
              <w:rPr>
                <w:rFonts w:eastAsiaTheme="minorEastAsia"/>
                <w:color w:val="000000"/>
                <w:lang w:eastAsia="en-AU"/>
              </w:rPr>
            </w:pPr>
            <w:r w:rsidRPr="00D85FE0">
              <w:rPr>
                <w:rFonts w:eastAsiaTheme="minorEastAsia"/>
                <w:color w:val="000000"/>
                <w:lang w:eastAsia="en-AU"/>
              </w:rPr>
              <w:t>Planning, Building and Heritage</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104.7</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87.5</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105.9</w:t>
            </w:r>
          </w:p>
        </w:tc>
        <w:tc>
          <w:tcPr>
            <w:tcW w:w="1102" w:type="dxa"/>
            <w:tcBorders>
              <w:top w:val="nil"/>
              <w:left w:val="nil"/>
              <w:bottom w:val="nil"/>
              <w:right w:val="nil"/>
            </w:tcBorders>
          </w:tcPr>
          <w:p w:rsidR="00B958B1" w:rsidRPr="00D85FE0" w:rsidRDefault="00B958B1" w:rsidP="009F3B54">
            <w:pPr>
              <w:pStyle w:val="TableofFigures"/>
              <w:rPr>
                <w:rFonts w:eastAsiaTheme="minorEastAsia"/>
                <w:color w:val="000000"/>
                <w:lang w:eastAsia="en-AU"/>
              </w:rPr>
            </w:pPr>
            <w:r w:rsidRPr="00D85FE0">
              <w:rPr>
                <w:rFonts w:eastAsiaTheme="minorEastAsia"/>
                <w:color w:val="000000"/>
                <w:lang w:eastAsia="en-AU"/>
              </w:rPr>
              <w:t>1.1</w:t>
            </w:r>
          </w:p>
        </w:tc>
      </w:tr>
      <w:tr w:rsidR="00B958B1" w:rsidRPr="00D85FE0" w:rsidTr="009F3B54">
        <w:tc>
          <w:tcPr>
            <w:tcW w:w="4064" w:type="dxa"/>
            <w:tcBorders>
              <w:top w:val="nil"/>
              <w:left w:val="nil"/>
              <w:bottom w:val="nil"/>
              <w:right w:val="nil"/>
            </w:tcBorders>
          </w:tcPr>
          <w:p w:rsidR="00B958B1" w:rsidRPr="00D85FE0" w:rsidRDefault="00B958B1" w:rsidP="009F3B54">
            <w:pPr>
              <w:pStyle w:val="Tabletext"/>
              <w:rPr>
                <w:rFonts w:eastAsiaTheme="minorEastAsia"/>
                <w:color w:val="000000"/>
                <w:lang w:eastAsia="en-AU"/>
              </w:rPr>
            </w:pPr>
            <w:r w:rsidRPr="00D85FE0">
              <w:rPr>
                <w:rFonts w:eastAsiaTheme="minorEastAsia"/>
                <w:color w:val="000000"/>
                <w:lang w:eastAsia="en-AU"/>
              </w:rPr>
              <w:t>Office of the Victorian Government Architect</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1.8</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2.1</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1.8</w:t>
            </w:r>
          </w:p>
        </w:tc>
        <w:tc>
          <w:tcPr>
            <w:tcW w:w="1102" w:type="dxa"/>
            <w:tcBorders>
              <w:top w:val="nil"/>
              <w:left w:val="nil"/>
              <w:bottom w:val="nil"/>
              <w:right w:val="nil"/>
            </w:tcBorders>
          </w:tcPr>
          <w:p w:rsidR="00B958B1" w:rsidRPr="00D85FE0" w:rsidRDefault="00B958B1" w:rsidP="009F3B54">
            <w:pPr>
              <w:pStyle w:val="TableofFigures"/>
              <w:rPr>
                <w:rFonts w:eastAsiaTheme="minorEastAsia"/>
                <w:color w:val="000000"/>
                <w:lang w:eastAsia="en-AU"/>
              </w:rPr>
            </w:pPr>
            <w:r w:rsidRPr="00D85FE0">
              <w:rPr>
                <w:rFonts w:eastAsiaTheme="minorEastAsia"/>
                <w:color w:val="000000"/>
                <w:lang w:eastAsia="en-AU"/>
              </w:rPr>
              <w:t>0.0</w:t>
            </w:r>
          </w:p>
        </w:tc>
      </w:tr>
      <w:tr w:rsidR="00B958B1" w:rsidRPr="00D85FE0" w:rsidTr="009F3B54">
        <w:tc>
          <w:tcPr>
            <w:tcW w:w="4064" w:type="dxa"/>
            <w:tcBorders>
              <w:top w:val="nil"/>
              <w:left w:val="nil"/>
              <w:bottom w:val="nil"/>
              <w:right w:val="nil"/>
            </w:tcBorders>
          </w:tcPr>
          <w:p w:rsidR="00B958B1" w:rsidRPr="00D85FE0" w:rsidRDefault="00B958B1" w:rsidP="009F3B54">
            <w:pPr>
              <w:pStyle w:val="Tabletext"/>
              <w:rPr>
                <w:rFonts w:eastAsiaTheme="minorEastAsia"/>
                <w:color w:val="000000"/>
                <w:lang w:eastAsia="en-AU"/>
              </w:rPr>
            </w:pPr>
            <w:r w:rsidRPr="00D85FE0">
              <w:rPr>
                <w:rFonts w:eastAsiaTheme="minorEastAsia"/>
                <w:color w:val="000000"/>
                <w:lang w:eastAsia="en-AU"/>
              </w:rPr>
              <w:t>Local Government</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57.7</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60.4</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57.2</w:t>
            </w:r>
          </w:p>
        </w:tc>
        <w:tc>
          <w:tcPr>
            <w:tcW w:w="1102" w:type="dxa"/>
            <w:tcBorders>
              <w:top w:val="nil"/>
              <w:left w:val="nil"/>
              <w:bottom w:val="nil"/>
              <w:right w:val="nil"/>
            </w:tcBorders>
          </w:tcPr>
          <w:p w:rsidR="00B958B1" w:rsidRPr="00D85FE0" w:rsidRDefault="009F0F49" w:rsidP="009F3B54">
            <w:pPr>
              <w:pStyle w:val="TableofFigures"/>
              <w:rPr>
                <w:rFonts w:eastAsiaTheme="minorEastAsia"/>
                <w:color w:val="000000"/>
                <w:lang w:eastAsia="en-AU"/>
              </w:rPr>
            </w:pPr>
            <w:r>
              <w:rPr>
                <w:rFonts w:eastAsiaTheme="minorEastAsia"/>
                <w:color w:val="000000"/>
                <w:lang w:eastAsia="en-AU"/>
              </w:rPr>
              <w:noBreakHyphen/>
            </w:r>
            <w:r w:rsidR="00B958B1" w:rsidRPr="00D85FE0">
              <w:rPr>
                <w:rFonts w:eastAsiaTheme="minorEastAsia"/>
                <w:color w:val="000000"/>
                <w:lang w:eastAsia="en-AU"/>
              </w:rPr>
              <w:t>0.9</w:t>
            </w:r>
          </w:p>
        </w:tc>
      </w:tr>
      <w:tr w:rsidR="00B958B1" w:rsidRPr="00D85FE0" w:rsidTr="009F3B54">
        <w:tc>
          <w:tcPr>
            <w:tcW w:w="4064" w:type="dxa"/>
            <w:tcBorders>
              <w:top w:val="nil"/>
              <w:left w:val="nil"/>
              <w:bottom w:val="nil"/>
              <w:right w:val="nil"/>
            </w:tcBorders>
          </w:tcPr>
          <w:p w:rsidR="00B958B1" w:rsidRPr="00D85FE0" w:rsidRDefault="00B958B1" w:rsidP="009F3B54">
            <w:pPr>
              <w:pStyle w:val="Tabletext"/>
              <w:rPr>
                <w:rFonts w:eastAsiaTheme="minorEastAsia"/>
                <w:color w:val="000000"/>
                <w:lang w:eastAsia="en-AU"/>
              </w:rPr>
            </w:pPr>
            <w:r w:rsidRPr="00D85FE0">
              <w:rPr>
                <w:rFonts w:eastAsiaTheme="minorEastAsia"/>
                <w:color w:val="000000"/>
                <w:lang w:eastAsia="en-AU"/>
              </w:rPr>
              <w:t>Sport and Recreation</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106.2</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112.5</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77.2</w:t>
            </w:r>
          </w:p>
        </w:tc>
        <w:tc>
          <w:tcPr>
            <w:tcW w:w="1102" w:type="dxa"/>
            <w:tcBorders>
              <w:top w:val="nil"/>
              <w:left w:val="nil"/>
              <w:bottom w:val="nil"/>
              <w:right w:val="nil"/>
            </w:tcBorders>
          </w:tcPr>
          <w:p w:rsidR="00B958B1" w:rsidRPr="00D85FE0" w:rsidRDefault="009F0F49" w:rsidP="009F3B54">
            <w:pPr>
              <w:pStyle w:val="TableofFigures"/>
              <w:rPr>
                <w:rFonts w:eastAsiaTheme="minorEastAsia"/>
                <w:color w:val="000000"/>
                <w:lang w:eastAsia="en-AU"/>
              </w:rPr>
            </w:pPr>
            <w:r>
              <w:rPr>
                <w:rFonts w:eastAsiaTheme="minorEastAsia"/>
                <w:color w:val="000000"/>
                <w:lang w:eastAsia="en-AU"/>
              </w:rPr>
              <w:noBreakHyphen/>
            </w:r>
            <w:r w:rsidR="00B958B1" w:rsidRPr="00D85FE0">
              <w:rPr>
                <w:rFonts w:eastAsiaTheme="minorEastAsia"/>
                <w:color w:val="000000"/>
                <w:lang w:eastAsia="en-AU"/>
              </w:rPr>
              <w:t>27.3</w:t>
            </w:r>
          </w:p>
        </w:tc>
      </w:tr>
      <w:tr w:rsidR="00B958B1" w:rsidRPr="00D85FE0" w:rsidTr="009F3B54">
        <w:tc>
          <w:tcPr>
            <w:tcW w:w="4064" w:type="dxa"/>
            <w:tcBorders>
              <w:top w:val="nil"/>
              <w:left w:val="nil"/>
              <w:bottom w:val="nil"/>
              <w:right w:val="nil"/>
            </w:tcBorders>
          </w:tcPr>
          <w:p w:rsidR="00B958B1" w:rsidRPr="00D85FE0" w:rsidRDefault="00B958B1" w:rsidP="009F3B54">
            <w:pPr>
              <w:pStyle w:val="Tabletext"/>
              <w:rPr>
                <w:rFonts w:eastAsiaTheme="minorEastAsia" w:cs="Calibri"/>
                <w:color w:val="000000"/>
                <w:vertAlign w:val="superscript"/>
                <w:lang w:eastAsia="en-AU"/>
              </w:rPr>
            </w:pPr>
            <w:r w:rsidRPr="00D85FE0">
              <w:rPr>
                <w:rFonts w:eastAsiaTheme="minorEastAsia"/>
                <w:color w:val="000000"/>
                <w:lang w:eastAsia="en-AU"/>
              </w:rPr>
              <w:t xml:space="preserve">Land Victoria </w:t>
            </w:r>
            <w:r w:rsidRPr="00D85FE0">
              <w:rPr>
                <w:rFonts w:eastAsiaTheme="minorEastAsia" w:cs="Calibri"/>
                <w:color w:val="000000"/>
                <w:vertAlign w:val="superscript"/>
                <w:lang w:eastAsia="en-AU"/>
              </w:rPr>
              <w:t>(c)</w:t>
            </w:r>
          </w:p>
        </w:tc>
        <w:tc>
          <w:tcPr>
            <w:tcW w:w="870" w:type="dxa"/>
            <w:tcBorders>
              <w:top w:val="nil"/>
              <w:left w:val="nil"/>
              <w:bottom w:val="nil"/>
              <w:right w:val="nil"/>
            </w:tcBorders>
          </w:tcPr>
          <w:p w:rsidR="00B958B1" w:rsidRPr="00D85FE0" w:rsidRDefault="00B958B1" w:rsidP="009F3B54">
            <w:pPr>
              <w:pStyle w:val="TableofFigures"/>
              <w:rPr>
                <w:rFonts w:eastAsiaTheme="minorEastAsia"/>
                <w:color w:val="000000"/>
                <w:lang w:eastAsia="en-AU"/>
              </w:rPr>
            </w:pPr>
            <w:r w:rsidRPr="00D85FE0">
              <w:rPr>
                <w:rFonts w:eastAsiaTheme="minorEastAsia"/>
                <w:color w:val="000000"/>
                <w:lang w:eastAsia="en-AU"/>
              </w:rPr>
              <w:t>na</w:t>
            </w:r>
          </w:p>
        </w:tc>
        <w:tc>
          <w:tcPr>
            <w:tcW w:w="870" w:type="dxa"/>
            <w:tcBorders>
              <w:top w:val="nil"/>
              <w:left w:val="nil"/>
              <w:bottom w:val="nil"/>
              <w:right w:val="nil"/>
            </w:tcBorders>
          </w:tcPr>
          <w:p w:rsidR="00B958B1" w:rsidRPr="00D85FE0" w:rsidRDefault="00B958B1" w:rsidP="009F3B54">
            <w:pPr>
              <w:pStyle w:val="TableofFigures"/>
              <w:rPr>
                <w:rFonts w:eastAsiaTheme="minorEastAsia"/>
                <w:color w:val="000000"/>
                <w:lang w:eastAsia="en-AU"/>
              </w:rPr>
            </w:pPr>
            <w:r w:rsidRPr="00D85FE0">
              <w:rPr>
                <w:rFonts w:eastAsiaTheme="minorEastAsia"/>
                <w:color w:val="000000"/>
                <w:lang w:eastAsia="en-AU"/>
              </w:rPr>
              <w:t>na</w:t>
            </w:r>
          </w:p>
        </w:tc>
        <w:tc>
          <w:tcPr>
            <w:tcW w:w="870" w:type="dxa"/>
            <w:tcBorders>
              <w:top w:val="nil"/>
              <w:left w:val="nil"/>
              <w:bottom w:val="nil"/>
              <w:right w:val="nil"/>
            </w:tcBorders>
          </w:tcPr>
          <w:p w:rsidR="00B958B1" w:rsidRPr="00D85FE0" w:rsidRDefault="00B958B1" w:rsidP="009F3B54">
            <w:pPr>
              <w:pStyle w:val="TableofFigures"/>
              <w:rPr>
                <w:rFonts w:eastAsiaTheme="minorEastAsia" w:cs="Calibri"/>
                <w:color w:val="000000"/>
                <w:lang w:eastAsia="en-AU"/>
              </w:rPr>
            </w:pPr>
            <w:r w:rsidRPr="00D85FE0">
              <w:rPr>
                <w:rFonts w:eastAsiaTheme="minorEastAsia"/>
                <w:color w:val="000000"/>
                <w:lang w:eastAsia="en-AU"/>
              </w:rPr>
              <w:t xml:space="preserve"> 76.7</w:t>
            </w:r>
          </w:p>
        </w:tc>
        <w:tc>
          <w:tcPr>
            <w:tcW w:w="1102" w:type="dxa"/>
            <w:tcBorders>
              <w:top w:val="nil"/>
              <w:left w:val="nil"/>
              <w:bottom w:val="nil"/>
              <w:right w:val="nil"/>
            </w:tcBorders>
          </w:tcPr>
          <w:p w:rsidR="00B958B1" w:rsidRPr="00D85FE0" w:rsidRDefault="00B958B1" w:rsidP="009F3B54">
            <w:pPr>
              <w:pStyle w:val="TableofFigures"/>
              <w:rPr>
                <w:rFonts w:eastAsiaTheme="minorEastAsia"/>
                <w:color w:val="000000"/>
                <w:lang w:eastAsia="en-AU"/>
              </w:rPr>
            </w:pPr>
            <w:r w:rsidRPr="00D85FE0">
              <w:rPr>
                <w:rFonts w:eastAsiaTheme="minorEastAsia"/>
                <w:color w:val="000000"/>
                <w:lang w:eastAsia="en-AU"/>
              </w:rPr>
              <w:t>na</w:t>
            </w:r>
          </w:p>
        </w:tc>
      </w:tr>
      <w:tr w:rsidR="00B958B1" w:rsidRPr="00D85FE0" w:rsidTr="009F3B54">
        <w:tc>
          <w:tcPr>
            <w:tcW w:w="4064" w:type="dxa"/>
            <w:tcBorders>
              <w:top w:val="single" w:sz="6" w:space="0" w:color="auto"/>
              <w:left w:val="nil"/>
              <w:bottom w:val="single" w:sz="12" w:space="0" w:color="auto"/>
              <w:right w:val="nil"/>
            </w:tcBorders>
          </w:tcPr>
          <w:p w:rsidR="00B958B1" w:rsidRPr="00D85FE0" w:rsidRDefault="00B958B1" w:rsidP="009F3B54">
            <w:pPr>
              <w:pStyle w:val="Tabletext"/>
              <w:rPr>
                <w:rFonts w:eastAsiaTheme="minorEastAsia"/>
                <w:b/>
                <w:bCs/>
                <w:color w:val="000000"/>
                <w:lang w:eastAsia="en-AU"/>
              </w:rPr>
            </w:pPr>
            <w:r w:rsidRPr="00D85FE0">
              <w:rPr>
                <w:rFonts w:eastAsiaTheme="minorEastAsia"/>
                <w:b/>
                <w:bCs/>
                <w:color w:val="000000"/>
                <w:lang w:eastAsia="en-AU"/>
              </w:rPr>
              <w:t>Total</w:t>
            </w:r>
          </w:p>
        </w:tc>
        <w:tc>
          <w:tcPr>
            <w:tcW w:w="870" w:type="dxa"/>
            <w:tcBorders>
              <w:top w:val="single" w:sz="6" w:space="0" w:color="auto"/>
              <w:left w:val="nil"/>
              <w:bottom w:val="single" w:sz="12" w:space="0" w:color="auto"/>
              <w:right w:val="nil"/>
            </w:tcBorders>
          </w:tcPr>
          <w:p w:rsidR="00B958B1" w:rsidRPr="00D85FE0" w:rsidRDefault="00B958B1" w:rsidP="009F3B54">
            <w:pPr>
              <w:pStyle w:val="TableofFigures"/>
              <w:rPr>
                <w:rFonts w:eastAsiaTheme="minorEastAsia"/>
                <w:b/>
                <w:bCs/>
                <w:color w:val="000000"/>
                <w:szCs w:val="22"/>
                <w:lang w:eastAsia="en-AU"/>
              </w:rPr>
            </w:pPr>
            <w:r w:rsidRPr="00D85FE0">
              <w:rPr>
                <w:rFonts w:eastAsiaTheme="minorEastAsia"/>
                <w:b/>
                <w:bCs/>
                <w:color w:val="000000"/>
                <w:szCs w:val="22"/>
                <w:lang w:eastAsia="en-AU"/>
              </w:rPr>
              <w:t>na</w:t>
            </w:r>
          </w:p>
        </w:tc>
        <w:tc>
          <w:tcPr>
            <w:tcW w:w="870" w:type="dxa"/>
            <w:tcBorders>
              <w:top w:val="single" w:sz="6" w:space="0" w:color="auto"/>
              <w:left w:val="nil"/>
              <w:bottom w:val="single" w:sz="12" w:space="0" w:color="auto"/>
              <w:right w:val="nil"/>
            </w:tcBorders>
          </w:tcPr>
          <w:p w:rsidR="00B958B1" w:rsidRPr="00D85FE0" w:rsidRDefault="00B958B1" w:rsidP="009F3B54">
            <w:pPr>
              <w:pStyle w:val="TableofFigures"/>
              <w:rPr>
                <w:rFonts w:eastAsiaTheme="minorEastAsia"/>
                <w:b/>
                <w:bCs/>
                <w:color w:val="000000"/>
                <w:szCs w:val="22"/>
                <w:lang w:eastAsia="en-AU"/>
              </w:rPr>
            </w:pPr>
            <w:r w:rsidRPr="00D85FE0">
              <w:rPr>
                <w:rFonts w:eastAsiaTheme="minorEastAsia"/>
                <w:b/>
                <w:bCs/>
                <w:color w:val="000000"/>
                <w:szCs w:val="22"/>
                <w:lang w:eastAsia="en-AU"/>
              </w:rPr>
              <w:t>na</w:t>
            </w:r>
          </w:p>
        </w:tc>
        <w:tc>
          <w:tcPr>
            <w:tcW w:w="870" w:type="dxa"/>
            <w:tcBorders>
              <w:top w:val="single" w:sz="6" w:space="0" w:color="auto"/>
              <w:left w:val="nil"/>
              <w:bottom w:val="single" w:sz="12" w:space="0" w:color="auto"/>
              <w:right w:val="nil"/>
            </w:tcBorders>
          </w:tcPr>
          <w:p w:rsidR="00B958B1" w:rsidRPr="00D85FE0" w:rsidRDefault="00B958B1" w:rsidP="009F3B54">
            <w:pPr>
              <w:pStyle w:val="TableofFigures"/>
              <w:rPr>
                <w:rFonts w:eastAsiaTheme="minorEastAsia" w:cs="Calibri"/>
                <w:b/>
                <w:bCs/>
                <w:color w:val="000000"/>
                <w:szCs w:val="22"/>
                <w:lang w:eastAsia="en-AU"/>
              </w:rPr>
            </w:pPr>
            <w:r w:rsidRPr="00D85FE0">
              <w:rPr>
                <w:rFonts w:eastAsiaTheme="minorEastAsia"/>
                <w:b/>
                <w:bCs/>
                <w:color w:val="000000"/>
                <w:szCs w:val="22"/>
                <w:lang w:eastAsia="en-AU"/>
              </w:rPr>
              <w:t xml:space="preserve">6 </w:t>
            </w:r>
            <w:r w:rsidRPr="00D85FE0">
              <w:rPr>
                <w:rFonts w:eastAsiaTheme="minorEastAsia" w:cs="Calibri"/>
                <w:b/>
                <w:bCs/>
                <w:color w:val="000000"/>
                <w:szCs w:val="22"/>
                <w:lang w:eastAsia="en-AU"/>
              </w:rPr>
              <w:t>570.1</w:t>
            </w:r>
          </w:p>
        </w:tc>
        <w:tc>
          <w:tcPr>
            <w:tcW w:w="1102" w:type="dxa"/>
            <w:tcBorders>
              <w:top w:val="single" w:sz="6" w:space="0" w:color="auto"/>
              <w:left w:val="nil"/>
              <w:bottom w:val="single" w:sz="12" w:space="0" w:color="auto"/>
              <w:right w:val="nil"/>
            </w:tcBorders>
          </w:tcPr>
          <w:p w:rsidR="00B958B1" w:rsidRPr="00D85FE0" w:rsidRDefault="00B958B1" w:rsidP="009F3B54">
            <w:pPr>
              <w:pStyle w:val="TableofFigures"/>
              <w:rPr>
                <w:rFonts w:eastAsiaTheme="minorEastAsia"/>
                <w:b/>
                <w:bCs/>
                <w:color w:val="000000"/>
                <w:szCs w:val="22"/>
                <w:lang w:eastAsia="en-AU"/>
              </w:rPr>
            </w:pPr>
            <w:r w:rsidRPr="00D85FE0">
              <w:rPr>
                <w:rFonts w:eastAsiaTheme="minorEastAsia"/>
                <w:b/>
                <w:bCs/>
                <w:color w:val="000000"/>
                <w:szCs w:val="22"/>
                <w:lang w:eastAsia="en-AU"/>
              </w:rPr>
              <w:t>na</w:t>
            </w:r>
          </w:p>
        </w:tc>
      </w:tr>
    </w:tbl>
    <w:p w:rsidR="00B958B1" w:rsidRDefault="00B958B1" w:rsidP="009F3B54">
      <w:pPr>
        <w:pStyle w:val="Source"/>
      </w:pPr>
      <w:r w:rsidRPr="00A07028">
        <w:t xml:space="preserve">Source: Department of </w:t>
      </w:r>
      <w:r>
        <w:t>Transport, Planning and Local Infrastructure</w:t>
      </w:r>
    </w:p>
    <w:p w:rsidR="00B958B1" w:rsidRPr="00AF4654" w:rsidRDefault="00B958B1" w:rsidP="009F3B54">
      <w:pPr>
        <w:pStyle w:val="Notes"/>
      </w:pPr>
      <w:r>
        <w:fldChar w:fldCharType="begin"/>
      </w:r>
      <w:r>
        <w:instrText xml:space="preserve"> XE "</w:instrText>
      </w:r>
      <w:r w:rsidRPr="000C26B8">
        <w:instrText>Department of Transport, Planning and Local Infrastructure:Output summary</w:instrText>
      </w:r>
      <w:r>
        <w:instrText xml:space="preserve">" </w:instrText>
      </w:r>
      <w:r>
        <w:fldChar w:fldCharType="end"/>
      </w:r>
      <w:r>
        <w:t>Notes:</w:t>
      </w:r>
    </w:p>
    <w:p w:rsidR="00B958B1" w:rsidRDefault="00B958B1" w:rsidP="009F3B54">
      <w:pPr>
        <w:pStyle w:val="Notes"/>
      </w:pPr>
      <w:r>
        <w:t>(a)</w:t>
      </w:r>
      <w:r>
        <w:tab/>
        <w:t>Variation between 2012</w:t>
      </w:r>
      <w:r w:rsidR="009F0F49">
        <w:noBreakHyphen/>
      </w:r>
      <w:r>
        <w:t>13 budget and 2013</w:t>
      </w:r>
      <w:r w:rsidR="009F0F49">
        <w:noBreakHyphen/>
      </w:r>
      <w:r w:rsidRPr="00AF4654">
        <w:t>1</w:t>
      </w:r>
      <w:r>
        <w:t>4</w:t>
      </w:r>
      <w:r w:rsidRPr="00AF4654">
        <w:t xml:space="preserve"> budget.</w:t>
      </w:r>
    </w:p>
    <w:p w:rsidR="00B958B1" w:rsidRDefault="00B958B1" w:rsidP="009F3B54">
      <w:pPr>
        <w:pStyle w:val="Notes"/>
      </w:pPr>
      <w:r>
        <w:t>(b)</w:t>
      </w:r>
      <w:r>
        <w:tab/>
        <w:t>Due to changes in the output structure, the 2012</w:t>
      </w:r>
      <w:r w:rsidR="009F0F49">
        <w:noBreakHyphen/>
      </w:r>
      <w:r>
        <w:t xml:space="preserve">13 budget figure is not comparable to the figure of the previous output as published in the </w:t>
      </w:r>
      <w:r>
        <w:rPr>
          <w:i w:val="0"/>
        </w:rPr>
        <w:t>2012</w:t>
      </w:r>
      <w:r w:rsidR="009F0F49">
        <w:rPr>
          <w:i w:val="0"/>
        </w:rPr>
        <w:noBreakHyphen/>
      </w:r>
      <w:r>
        <w:rPr>
          <w:i w:val="0"/>
        </w:rPr>
        <w:t>13 b</w:t>
      </w:r>
      <w:r w:rsidRPr="00EE373E">
        <w:rPr>
          <w:i w:val="0"/>
        </w:rPr>
        <w:t>ud</w:t>
      </w:r>
      <w:r>
        <w:rPr>
          <w:i w:val="0"/>
        </w:rPr>
        <w:t>ge</w:t>
      </w:r>
      <w:r w:rsidRPr="00EE373E">
        <w:rPr>
          <w:i w:val="0"/>
        </w:rPr>
        <w:t>t</w:t>
      </w:r>
      <w:r>
        <w:t>.</w:t>
      </w:r>
    </w:p>
    <w:p w:rsidR="00B958B1" w:rsidRDefault="00B958B1" w:rsidP="009F3B54">
      <w:pPr>
        <w:pStyle w:val="Notes"/>
      </w:pPr>
      <w:r>
        <w:t>(c)</w:t>
      </w:r>
      <w:r>
        <w:tab/>
        <w:t>This is a new output in 2013</w:t>
      </w:r>
      <w:r w:rsidR="009F0F49">
        <w:noBreakHyphen/>
      </w:r>
      <w:r>
        <w:t>14.</w:t>
      </w:r>
    </w:p>
    <w:p w:rsidR="00B958B1" w:rsidRDefault="00B958B1" w:rsidP="009F3B54"/>
    <w:p w:rsidR="00B958B1" w:rsidRPr="00003F59" w:rsidRDefault="00B958B1" w:rsidP="009F3B54">
      <w:pPr>
        <w:pStyle w:val="Tableheading"/>
        <w:rPr>
          <w:kern w:val="28"/>
          <w:sz w:val="26"/>
          <w:szCs w:val="22"/>
        </w:rPr>
      </w:pPr>
      <w:r w:rsidRPr="00003F59">
        <w:rPr>
          <w:kern w:val="28"/>
          <w:sz w:val="26"/>
          <w:szCs w:val="22"/>
        </w:rPr>
        <w:t>Amounts available</w:t>
      </w:r>
    </w:p>
    <w:p w:rsidR="00B958B1" w:rsidRDefault="00B958B1" w:rsidP="009F3B54">
      <w:r>
        <w:t>The following tables detail the amounts available to the Department from Parliamentary authority and income generated through transactions.</w:t>
      </w:r>
    </w:p>
    <w:p w:rsidR="00B958B1" w:rsidRDefault="00B958B1" w:rsidP="009F3B54">
      <w:r>
        <w:t>Table 2.24 outlines the Department’s income from transactions and Table 2.25 summarises the sources of Parliamentary authority available to the Department to fund the provision of outputs, additions to the net asset base and payments made on behalf of the State.</w:t>
      </w:r>
    </w:p>
    <w:p w:rsidR="00B958B1" w:rsidRDefault="00B958B1" w:rsidP="009F3B54">
      <w:pPr>
        <w:pStyle w:val="Tableheading"/>
      </w:pPr>
      <w:r>
        <w:t>Table 2.24:</w:t>
      </w:r>
      <w:r>
        <w:tab/>
      </w:r>
      <w:r w:rsidRPr="00506304">
        <w:t>Income from transactions</w:t>
      </w:r>
    </w:p>
    <w:p w:rsidR="00B958B1" w:rsidRPr="00476AF0" w:rsidRDefault="00B958B1" w:rsidP="009F3B54">
      <w:pPr>
        <w:pStyle w:val="million"/>
      </w:pPr>
      <w:r w:rsidRPr="00506304">
        <w:t>($</w:t>
      </w:r>
      <w:r>
        <w:t> million</w:t>
      </w:r>
      <w:r w:rsidRPr="00506304">
        <w:t>)</w:t>
      </w:r>
    </w:p>
    <w:tbl>
      <w:tblPr>
        <w:tblW w:w="7776" w:type="dxa"/>
        <w:tblInd w:w="29" w:type="dxa"/>
        <w:tblLayout w:type="fixed"/>
        <w:tblCellMar>
          <w:left w:w="43" w:type="dxa"/>
          <w:right w:w="43" w:type="dxa"/>
        </w:tblCellMar>
        <w:tblLook w:val="0000" w:firstRow="0" w:lastRow="0" w:firstColumn="0" w:lastColumn="0" w:noHBand="0" w:noVBand="0"/>
      </w:tblPr>
      <w:tblGrid>
        <w:gridCol w:w="4154"/>
        <w:gridCol w:w="905"/>
        <w:gridCol w:w="906"/>
        <w:gridCol w:w="905"/>
        <w:gridCol w:w="906"/>
      </w:tblGrid>
      <w:tr w:rsidR="00B958B1" w:rsidRPr="00476AF0" w:rsidTr="004C3465">
        <w:tc>
          <w:tcPr>
            <w:tcW w:w="4154" w:type="dxa"/>
            <w:tcBorders>
              <w:top w:val="single" w:sz="6" w:space="0" w:color="auto"/>
              <w:left w:val="single" w:sz="6" w:space="0" w:color="auto"/>
              <w:bottom w:val="nil"/>
              <w:right w:val="nil"/>
            </w:tcBorders>
            <w:shd w:val="clear" w:color="auto" w:fill="000000"/>
          </w:tcPr>
          <w:p w:rsidR="00B958B1" w:rsidRPr="00476AF0" w:rsidRDefault="00B958B1" w:rsidP="009F3B54">
            <w:pPr>
              <w:pStyle w:val="Tabletext"/>
              <w:rPr>
                <w:lang w:eastAsia="en-AU"/>
              </w:rPr>
            </w:pPr>
            <w:r w:rsidRPr="00476AF0">
              <w:rPr>
                <w:lang w:eastAsia="en-AU"/>
              </w:rPr>
              <w:t xml:space="preserve"> </w:t>
            </w:r>
          </w:p>
        </w:tc>
        <w:tc>
          <w:tcPr>
            <w:tcW w:w="905" w:type="dxa"/>
            <w:tcBorders>
              <w:top w:val="single" w:sz="6" w:space="0" w:color="auto"/>
              <w:left w:val="nil"/>
              <w:bottom w:val="nil"/>
              <w:right w:val="nil"/>
            </w:tcBorders>
            <w:shd w:val="clear" w:color="auto" w:fill="000000"/>
          </w:tcPr>
          <w:p w:rsidR="00B958B1" w:rsidRPr="00476AF0" w:rsidRDefault="00B958B1" w:rsidP="009F3B54">
            <w:pPr>
              <w:pStyle w:val="Tabletextheading"/>
              <w:rPr>
                <w:lang w:eastAsia="en-AU"/>
              </w:rPr>
            </w:pPr>
            <w:r w:rsidRPr="00476AF0">
              <w:rPr>
                <w:lang w:eastAsia="en-AU"/>
              </w:rPr>
              <w:t>2011</w:t>
            </w:r>
            <w:r w:rsidR="009F0F49">
              <w:rPr>
                <w:lang w:eastAsia="en-AU"/>
              </w:rPr>
              <w:noBreakHyphen/>
            </w:r>
            <w:r w:rsidRPr="00476AF0">
              <w:rPr>
                <w:lang w:eastAsia="en-AU"/>
              </w:rPr>
              <w:t>12</w:t>
            </w:r>
          </w:p>
        </w:tc>
        <w:tc>
          <w:tcPr>
            <w:tcW w:w="906" w:type="dxa"/>
            <w:tcBorders>
              <w:top w:val="single" w:sz="6" w:space="0" w:color="auto"/>
              <w:left w:val="nil"/>
              <w:bottom w:val="nil"/>
              <w:right w:val="nil"/>
            </w:tcBorders>
            <w:shd w:val="clear" w:color="auto" w:fill="000000"/>
          </w:tcPr>
          <w:p w:rsidR="00B958B1" w:rsidRPr="00476AF0" w:rsidRDefault="00B958B1" w:rsidP="009F3B54">
            <w:pPr>
              <w:pStyle w:val="Tabletextheading"/>
              <w:rPr>
                <w:lang w:eastAsia="en-AU"/>
              </w:rPr>
            </w:pPr>
            <w:r w:rsidRPr="00476AF0">
              <w:rPr>
                <w:lang w:eastAsia="en-AU"/>
              </w:rPr>
              <w:t>2012</w:t>
            </w:r>
            <w:r w:rsidR="009F0F49">
              <w:rPr>
                <w:lang w:eastAsia="en-AU"/>
              </w:rPr>
              <w:noBreakHyphen/>
            </w:r>
            <w:r w:rsidRPr="00476AF0">
              <w:rPr>
                <w:lang w:eastAsia="en-AU"/>
              </w:rPr>
              <w:t>13</w:t>
            </w:r>
          </w:p>
        </w:tc>
        <w:tc>
          <w:tcPr>
            <w:tcW w:w="905" w:type="dxa"/>
            <w:tcBorders>
              <w:top w:val="single" w:sz="6" w:space="0" w:color="auto"/>
              <w:left w:val="nil"/>
              <w:bottom w:val="nil"/>
              <w:right w:val="nil"/>
            </w:tcBorders>
            <w:shd w:val="clear" w:color="auto" w:fill="000000"/>
          </w:tcPr>
          <w:p w:rsidR="00B958B1" w:rsidRPr="00476AF0" w:rsidRDefault="00B958B1" w:rsidP="009F3B54">
            <w:pPr>
              <w:pStyle w:val="Tabletextheading"/>
              <w:rPr>
                <w:lang w:eastAsia="en-AU"/>
              </w:rPr>
            </w:pPr>
            <w:r w:rsidRPr="00476AF0">
              <w:rPr>
                <w:lang w:eastAsia="en-AU"/>
              </w:rPr>
              <w:t>2012</w:t>
            </w:r>
            <w:r w:rsidR="009F0F49">
              <w:rPr>
                <w:lang w:eastAsia="en-AU"/>
              </w:rPr>
              <w:noBreakHyphen/>
            </w:r>
            <w:r w:rsidRPr="00476AF0">
              <w:rPr>
                <w:lang w:eastAsia="en-AU"/>
              </w:rPr>
              <w:t>13</w:t>
            </w:r>
          </w:p>
        </w:tc>
        <w:tc>
          <w:tcPr>
            <w:tcW w:w="906" w:type="dxa"/>
            <w:tcBorders>
              <w:top w:val="single" w:sz="6" w:space="0" w:color="auto"/>
              <w:left w:val="nil"/>
              <w:bottom w:val="nil"/>
              <w:right w:val="single" w:sz="6" w:space="0" w:color="auto"/>
            </w:tcBorders>
            <w:shd w:val="clear" w:color="auto" w:fill="000000"/>
          </w:tcPr>
          <w:p w:rsidR="00B958B1" w:rsidRPr="00476AF0" w:rsidRDefault="00B958B1" w:rsidP="009F3B54">
            <w:pPr>
              <w:pStyle w:val="Tabletextheading"/>
              <w:rPr>
                <w:lang w:eastAsia="en-AU"/>
              </w:rPr>
            </w:pPr>
            <w:r w:rsidRPr="00476AF0">
              <w:rPr>
                <w:lang w:eastAsia="en-AU"/>
              </w:rPr>
              <w:t>2013</w:t>
            </w:r>
            <w:r w:rsidR="009F0F49">
              <w:rPr>
                <w:lang w:eastAsia="en-AU"/>
              </w:rPr>
              <w:noBreakHyphen/>
            </w:r>
            <w:r w:rsidRPr="00476AF0">
              <w:rPr>
                <w:lang w:eastAsia="en-AU"/>
              </w:rPr>
              <w:t>14</w:t>
            </w:r>
          </w:p>
        </w:tc>
      </w:tr>
      <w:tr w:rsidR="00B958B1" w:rsidRPr="00476AF0" w:rsidTr="004C3465">
        <w:tc>
          <w:tcPr>
            <w:tcW w:w="4154" w:type="dxa"/>
            <w:tcBorders>
              <w:top w:val="nil"/>
              <w:left w:val="single" w:sz="6" w:space="0" w:color="auto"/>
              <w:bottom w:val="single" w:sz="6" w:space="0" w:color="auto"/>
              <w:right w:val="nil"/>
            </w:tcBorders>
            <w:shd w:val="clear" w:color="auto" w:fill="000000"/>
          </w:tcPr>
          <w:p w:rsidR="00B958B1" w:rsidRPr="00476AF0" w:rsidRDefault="00B958B1" w:rsidP="009F3B54">
            <w:pPr>
              <w:pStyle w:val="Tabletext"/>
              <w:rPr>
                <w:lang w:eastAsia="en-AU"/>
              </w:rPr>
            </w:pPr>
            <w:r w:rsidRPr="00476AF0">
              <w:rPr>
                <w:lang w:eastAsia="en-AU"/>
              </w:rPr>
              <w:t xml:space="preserve"> </w:t>
            </w:r>
          </w:p>
        </w:tc>
        <w:tc>
          <w:tcPr>
            <w:tcW w:w="905" w:type="dxa"/>
            <w:tcBorders>
              <w:top w:val="nil"/>
              <w:left w:val="nil"/>
              <w:bottom w:val="single" w:sz="6" w:space="0" w:color="auto"/>
              <w:right w:val="nil"/>
            </w:tcBorders>
            <w:shd w:val="clear" w:color="auto" w:fill="000000"/>
          </w:tcPr>
          <w:p w:rsidR="00B958B1" w:rsidRPr="00476AF0" w:rsidRDefault="00B958B1" w:rsidP="009F3B54">
            <w:pPr>
              <w:pStyle w:val="Tabletextheading"/>
              <w:rPr>
                <w:lang w:eastAsia="en-AU"/>
              </w:rPr>
            </w:pPr>
            <w:r w:rsidRPr="00476AF0">
              <w:rPr>
                <w:lang w:eastAsia="en-AU"/>
              </w:rPr>
              <w:t>Actual</w:t>
            </w:r>
          </w:p>
        </w:tc>
        <w:tc>
          <w:tcPr>
            <w:tcW w:w="906" w:type="dxa"/>
            <w:tcBorders>
              <w:top w:val="nil"/>
              <w:left w:val="nil"/>
              <w:bottom w:val="single" w:sz="6" w:space="0" w:color="auto"/>
              <w:right w:val="nil"/>
            </w:tcBorders>
            <w:shd w:val="clear" w:color="auto" w:fill="000000"/>
          </w:tcPr>
          <w:p w:rsidR="00B958B1" w:rsidRPr="00476AF0" w:rsidRDefault="00B958B1" w:rsidP="009F3B54">
            <w:pPr>
              <w:pStyle w:val="Tabletextheading"/>
              <w:rPr>
                <w:lang w:eastAsia="en-AU"/>
              </w:rPr>
            </w:pPr>
            <w:r w:rsidRPr="00476AF0">
              <w:rPr>
                <w:lang w:eastAsia="en-AU"/>
              </w:rPr>
              <w:t xml:space="preserve">Budget </w:t>
            </w:r>
          </w:p>
        </w:tc>
        <w:tc>
          <w:tcPr>
            <w:tcW w:w="905" w:type="dxa"/>
            <w:tcBorders>
              <w:top w:val="nil"/>
              <w:left w:val="nil"/>
              <w:bottom w:val="single" w:sz="6" w:space="0" w:color="auto"/>
              <w:right w:val="nil"/>
            </w:tcBorders>
            <w:shd w:val="clear" w:color="auto" w:fill="000000"/>
          </w:tcPr>
          <w:p w:rsidR="00B958B1" w:rsidRPr="00476AF0" w:rsidRDefault="00B958B1" w:rsidP="009F3B54">
            <w:pPr>
              <w:pStyle w:val="Tabletextheading"/>
              <w:rPr>
                <w:lang w:eastAsia="en-AU"/>
              </w:rPr>
            </w:pPr>
            <w:r w:rsidRPr="00476AF0">
              <w:rPr>
                <w:lang w:eastAsia="en-AU"/>
              </w:rPr>
              <w:t>Revised</w:t>
            </w:r>
          </w:p>
        </w:tc>
        <w:tc>
          <w:tcPr>
            <w:tcW w:w="906" w:type="dxa"/>
            <w:tcBorders>
              <w:top w:val="nil"/>
              <w:left w:val="nil"/>
              <w:bottom w:val="single" w:sz="6" w:space="0" w:color="auto"/>
              <w:right w:val="single" w:sz="6" w:space="0" w:color="auto"/>
            </w:tcBorders>
            <w:shd w:val="clear" w:color="auto" w:fill="000000"/>
          </w:tcPr>
          <w:p w:rsidR="00B958B1" w:rsidRPr="00476AF0" w:rsidRDefault="00B958B1" w:rsidP="009F3B54">
            <w:pPr>
              <w:pStyle w:val="Tabletextheading"/>
              <w:rPr>
                <w:lang w:eastAsia="en-AU"/>
              </w:rPr>
            </w:pPr>
            <w:r w:rsidRPr="00476AF0">
              <w:rPr>
                <w:lang w:eastAsia="en-AU"/>
              </w:rPr>
              <w:t>Budget</w:t>
            </w:r>
          </w:p>
        </w:tc>
      </w:tr>
      <w:tr w:rsidR="00B958B1" w:rsidRPr="00476AF0" w:rsidTr="004C3465">
        <w:tc>
          <w:tcPr>
            <w:tcW w:w="4154" w:type="dxa"/>
            <w:tcBorders>
              <w:top w:val="single" w:sz="6" w:space="0" w:color="auto"/>
              <w:left w:val="nil"/>
              <w:bottom w:val="nil"/>
              <w:right w:val="nil"/>
            </w:tcBorders>
          </w:tcPr>
          <w:p w:rsidR="00B958B1" w:rsidRPr="00476AF0" w:rsidRDefault="00B958B1" w:rsidP="009F3B54">
            <w:pPr>
              <w:pStyle w:val="Tabletext"/>
              <w:rPr>
                <w:lang w:eastAsia="en-AU"/>
              </w:rPr>
            </w:pPr>
            <w:r w:rsidRPr="00476AF0">
              <w:rPr>
                <w:lang w:eastAsia="en-AU"/>
              </w:rPr>
              <w:t>Output appropriations</w:t>
            </w:r>
          </w:p>
        </w:tc>
        <w:tc>
          <w:tcPr>
            <w:tcW w:w="905" w:type="dxa"/>
            <w:tcBorders>
              <w:top w:val="single" w:sz="6" w:space="0" w:color="auto"/>
              <w:left w:val="nil"/>
              <w:bottom w:val="nil"/>
              <w:right w:val="nil"/>
            </w:tcBorders>
          </w:tcPr>
          <w:p w:rsidR="00B958B1" w:rsidRPr="00476AF0" w:rsidRDefault="00B958B1" w:rsidP="009F3B54">
            <w:pPr>
              <w:pStyle w:val="TableofFigures"/>
              <w:rPr>
                <w:rFonts w:eastAsiaTheme="minorEastAsia" w:cs="Calibri"/>
                <w:lang w:eastAsia="en-AU"/>
              </w:rPr>
            </w:pPr>
            <w:r w:rsidRPr="00476AF0">
              <w:rPr>
                <w:lang w:eastAsia="en-AU"/>
              </w:rPr>
              <w:t>5</w:t>
            </w:r>
            <w:r w:rsidRPr="00476AF0">
              <w:rPr>
                <w:rFonts w:eastAsiaTheme="minorEastAsia" w:cs="Calibri"/>
                <w:lang w:eastAsia="en-AU"/>
              </w:rPr>
              <w:t xml:space="preserve"> 175.0</w:t>
            </w:r>
          </w:p>
        </w:tc>
        <w:tc>
          <w:tcPr>
            <w:tcW w:w="906" w:type="dxa"/>
            <w:tcBorders>
              <w:top w:val="single" w:sz="6" w:space="0" w:color="auto"/>
              <w:left w:val="nil"/>
              <w:bottom w:val="nil"/>
              <w:right w:val="nil"/>
            </w:tcBorders>
          </w:tcPr>
          <w:p w:rsidR="00B958B1" w:rsidRPr="00476AF0" w:rsidRDefault="00B958B1" w:rsidP="009F3B54">
            <w:pPr>
              <w:pStyle w:val="TableofFigures"/>
              <w:rPr>
                <w:rFonts w:eastAsiaTheme="minorEastAsia" w:cs="Calibri"/>
                <w:lang w:eastAsia="en-AU"/>
              </w:rPr>
            </w:pPr>
            <w:r w:rsidRPr="00476AF0">
              <w:rPr>
                <w:lang w:eastAsia="en-AU"/>
              </w:rPr>
              <w:t>5</w:t>
            </w:r>
            <w:r w:rsidRPr="00476AF0">
              <w:rPr>
                <w:rFonts w:eastAsiaTheme="minorEastAsia" w:cs="Calibri"/>
                <w:lang w:eastAsia="en-AU"/>
              </w:rPr>
              <w:t xml:space="preserve"> 011.7</w:t>
            </w:r>
          </w:p>
        </w:tc>
        <w:tc>
          <w:tcPr>
            <w:tcW w:w="905" w:type="dxa"/>
            <w:tcBorders>
              <w:top w:val="single" w:sz="6" w:space="0" w:color="auto"/>
              <w:left w:val="nil"/>
              <w:bottom w:val="nil"/>
              <w:right w:val="nil"/>
            </w:tcBorders>
          </w:tcPr>
          <w:p w:rsidR="00B958B1" w:rsidRPr="00476AF0" w:rsidRDefault="00B958B1" w:rsidP="009F3B54">
            <w:pPr>
              <w:pStyle w:val="TableofFigures"/>
              <w:rPr>
                <w:rFonts w:eastAsiaTheme="minorEastAsia" w:cs="Calibri"/>
                <w:lang w:eastAsia="en-AU"/>
              </w:rPr>
            </w:pPr>
            <w:r w:rsidRPr="00476AF0">
              <w:rPr>
                <w:lang w:eastAsia="en-AU"/>
              </w:rPr>
              <w:t>5</w:t>
            </w:r>
            <w:r w:rsidRPr="00476AF0">
              <w:rPr>
                <w:rFonts w:eastAsiaTheme="minorEastAsia" w:cs="Calibri"/>
                <w:lang w:eastAsia="en-AU"/>
              </w:rPr>
              <w:t xml:space="preserve"> 030.2</w:t>
            </w:r>
          </w:p>
        </w:tc>
        <w:tc>
          <w:tcPr>
            <w:tcW w:w="906" w:type="dxa"/>
            <w:tcBorders>
              <w:top w:val="single" w:sz="6" w:space="0" w:color="auto"/>
              <w:left w:val="nil"/>
              <w:bottom w:val="nil"/>
              <w:right w:val="nil"/>
            </w:tcBorders>
          </w:tcPr>
          <w:p w:rsidR="00B958B1" w:rsidRPr="00476AF0" w:rsidRDefault="00B958B1" w:rsidP="009F3B54">
            <w:pPr>
              <w:pStyle w:val="TableofFigures"/>
              <w:rPr>
                <w:rFonts w:eastAsiaTheme="minorEastAsia" w:cs="Calibri"/>
                <w:lang w:eastAsia="en-AU"/>
              </w:rPr>
            </w:pPr>
            <w:r w:rsidRPr="00476AF0">
              <w:rPr>
                <w:lang w:eastAsia="en-AU"/>
              </w:rPr>
              <w:t>5</w:t>
            </w:r>
            <w:r w:rsidRPr="00476AF0">
              <w:rPr>
                <w:rFonts w:eastAsiaTheme="minorEastAsia" w:cs="Calibri"/>
                <w:lang w:eastAsia="en-AU"/>
              </w:rPr>
              <w:t xml:space="preserve"> 383.2</w:t>
            </w:r>
          </w:p>
        </w:tc>
      </w:tr>
      <w:tr w:rsidR="00B958B1" w:rsidRPr="00476AF0" w:rsidTr="009F3B54">
        <w:tc>
          <w:tcPr>
            <w:tcW w:w="4154" w:type="dxa"/>
            <w:tcBorders>
              <w:top w:val="nil"/>
              <w:left w:val="nil"/>
              <w:bottom w:val="nil"/>
              <w:right w:val="nil"/>
            </w:tcBorders>
          </w:tcPr>
          <w:p w:rsidR="00B958B1" w:rsidRPr="00476AF0" w:rsidRDefault="00B958B1" w:rsidP="009F3B54">
            <w:pPr>
              <w:pStyle w:val="Tabletext"/>
              <w:rPr>
                <w:lang w:eastAsia="en-AU"/>
              </w:rPr>
            </w:pPr>
            <w:r w:rsidRPr="00476AF0">
              <w:rPr>
                <w:lang w:eastAsia="en-AU"/>
              </w:rPr>
              <w:t>Special appropriations</w:t>
            </w:r>
          </w:p>
        </w:tc>
        <w:tc>
          <w:tcPr>
            <w:tcW w:w="905"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 xml:space="preserve"> 1.6</w:t>
            </w:r>
          </w:p>
        </w:tc>
        <w:tc>
          <w:tcPr>
            <w:tcW w:w="906"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 xml:space="preserve"> 2.0</w:t>
            </w:r>
          </w:p>
        </w:tc>
        <w:tc>
          <w:tcPr>
            <w:tcW w:w="905"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 xml:space="preserve"> 2.8</w:t>
            </w:r>
          </w:p>
        </w:tc>
        <w:tc>
          <w:tcPr>
            <w:tcW w:w="906"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 xml:space="preserve"> 7.0</w:t>
            </w:r>
          </w:p>
        </w:tc>
      </w:tr>
      <w:tr w:rsidR="00B958B1" w:rsidRPr="00476AF0" w:rsidTr="009F3B54">
        <w:tc>
          <w:tcPr>
            <w:tcW w:w="4154" w:type="dxa"/>
            <w:tcBorders>
              <w:top w:val="nil"/>
              <w:left w:val="nil"/>
              <w:bottom w:val="nil"/>
              <w:right w:val="nil"/>
            </w:tcBorders>
          </w:tcPr>
          <w:p w:rsidR="00B958B1" w:rsidRPr="00476AF0" w:rsidRDefault="00B958B1" w:rsidP="009F3B54">
            <w:pPr>
              <w:pStyle w:val="Tabletext"/>
              <w:rPr>
                <w:lang w:eastAsia="en-AU"/>
              </w:rPr>
            </w:pPr>
            <w:r w:rsidRPr="00476AF0">
              <w:rPr>
                <w:lang w:eastAsia="en-AU"/>
              </w:rPr>
              <w:t>Interest</w:t>
            </w:r>
          </w:p>
        </w:tc>
        <w:tc>
          <w:tcPr>
            <w:tcW w:w="905"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 xml:space="preserve"> 5.0</w:t>
            </w:r>
          </w:p>
        </w:tc>
        <w:tc>
          <w:tcPr>
            <w:tcW w:w="906"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 xml:space="preserve"> 1.5</w:t>
            </w:r>
          </w:p>
        </w:tc>
        <w:tc>
          <w:tcPr>
            <w:tcW w:w="905"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 xml:space="preserve"> 4.0</w:t>
            </w:r>
          </w:p>
        </w:tc>
        <w:tc>
          <w:tcPr>
            <w:tcW w:w="906"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 xml:space="preserve"> 4.3</w:t>
            </w:r>
          </w:p>
        </w:tc>
      </w:tr>
      <w:tr w:rsidR="00B958B1" w:rsidRPr="00476AF0" w:rsidTr="009F3B54">
        <w:tc>
          <w:tcPr>
            <w:tcW w:w="4154" w:type="dxa"/>
            <w:tcBorders>
              <w:top w:val="nil"/>
              <w:left w:val="nil"/>
              <w:bottom w:val="nil"/>
              <w:right w:val="nil"/>
            </w:tcBorders>
          </w:tcPr>
          <w:p w:rsidR="00B958B1" w:rsidRPr="00476AF0" w:rsidRDefault="00B958B1" w:rsidP="009F3B54">
            <w:pPr>
              <w:pStyle w:val="Tabletext"/>
              <w:rPr>
                <w:lang w:eastAsia="en-AU"/>
              </w:rPr>
            </w:pPr>
            <w:r w:rsidRPr="00476AF0">
              <w:rPr>
                <w:lang w:eastAsia="en-AU"/>
              </w:rPr>
              <w:t>Sale of goods and services</w:t>
            </w:r>
          </w:p>
        </w:tc>
        <w:tc>
          <w:tcPr>
            <w:tcW w:w="905"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 xml:space="preserve"> 751.3</w:t>
            </w:r>
          </w:p>
        </w:tc>
        <w:tc>
          <w:tcPr>
            <w:tcW w:w="906"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 xml:space="preserve"> 791.6</w:t>
            </w:r>
          </w:p>
        </w:tc>
        <w:tc>
          <w:tcPr>
            <w:tcW w:w="905"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 xml:space="preserve"> 789.7</w:t>
            </w:r>
          </w:p>
        </w:tc>
        <w:tc>
          <w:tcPr>
            <w:tcW w:w="906"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 xml:space="preserve"> 855.9</w:t>
            </w:r>
          </w:p>
        </w:tc>
      </w:tr>
      <w:tr w:rsidR="00B958B1" w:rsidRPr="00476AF0" w:rsidTr="009F3B54">
        <w:tc>
          <w:tcPr>
            <w:tcW w:w="4154" w:type="dxa"/>
            <w:tcBorders>
              <w:top w:val="nil"/>
              <w:left w:val="nil"/>
              <w:bottom w:val="nil"/>
              <w:right w:val="nil"/>
            </w:tcBorders>
          </w:tcPr>
          <w:p w:rsidR="00B958B1" w:rsidRPr="00476AF0" w:rsidRDefault="00B958B1" w:rsidP="009F3B54">
            <w:pPr>
              <w:pStyle w:val="Tabletext"/>
              <w:rPr>
                <w:lang w:eastAsia="en-AU"/>
              </w:rPr>
            </w:pPr>
            <w:r w:rsidRPr="00476AF0">
              <w:rPr>
                <w:lang w:eastAsia="en-AU"/>
              </w:rPr>
              <w:t>Grants</w:t>
            </w:r>
          </w:p>
        </w:tc>
        <w:tc>
          <w:tcPr>
            <w:tcW w:w="905"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 xml:space="preserve"> 292.8</w:t>
            </w:r>
          </w:p>
        </w:tc>
        <w:tc>
          <w:tcPr>
            <w:tcW w:w="906"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 xml:space="preserve"> 231.8</w:t>
            </w:r>
          </w:p>
        </w:tc>
        <w:tc>
          <w:tcPr>
            <w:tcW w:w="905"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 xml:space="preserve"> 252.6</w:t>
            </w:r>
          </w:p>
        </w:tc>
        <w:tc>
          <w:tcPr>
            <w:tcW w:w="906"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 xml:space="preserve"> 281.7</w:t>
            </w:r>
          </w:p>
        </w:tc>
      </w:tr>
      <w:tr w:rsidR="00B958B1" w:rsidRPr="00476AF0" w:rsidTr="009F3B54">
        <w:tc>
          <w:tcPr>
            <w:tcW w:w="4154" w:type="dxa"/>
            <w:tcBorders>
              <w:top w:val="nil"/>
              <w:left w:val="nil"/>
              <w:bottom w:val="nil"/>
              <w:right w:val="nil"/>
            </w:tcBorders>
          </w:tcPr>
          <w:p w:rsidR="00B958B1" w:rsidRPr="00476AF0" w:rsidRDefault="00B958B1" w:rsidP="009F3B54">
            <w:pPr>
              <w:pStyle w:val="Tabletext"/>
              <w:rPr>
                <w:lang w:eastAsia="en-AU"/>
              </w:rPr>
            </w:pPr>
            <w:r w:rsidRPr="00476AF0">
              <w:rPr>
                <w:lang w:eastAsia="en-AU"/>
              </w:rPr>
              <w:t>Fair value of assets and services received free of charge or for nominal consideration</w:t>
            </w:r>
          </w:p>
        </w:tc>
        <w:tc>
          <w:tcPr>
            <w:tcW w:w="905"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 xml:space="preserve"> 56.5</w:t>
            </w:r>
          </w:p>
        </w:tc>
        <w:tc>
          <w:tcPr>
            <w:tcW w:w="906"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w:t>
            </w:r>
          </w:p>
        </w:tc>
        <w:tc>
          <w:tcPr>
            <w:tcW w:w="905"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 xml:space="preserve"> 1.0</w:t>
            </w:r>
          </w:p>
        </w:tc>
        <w:tc>
          <w:tcPr>
            <w:tcW w:w="906"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w:t>
            </w:r>
          </w:p>
        </w:tc>
      </w:tr>
      <w:tr w:rsidR="00B958B1" w:rsidRPr="00476AF0" w:rsidTr="009F3B54">
        <w:tc>
          <w:tcPr>
            <w:tcW w:w="4154" w:type="dxa"/>
            <w:tcBorders>
              <w:top w:val="nil"/>
              <w:left w:val="nil"/>
              <w:bottom w:val="nil"/>
              <w:right w:val="nil"/>
            </w:tcBorders>
          </w:tcPr>
          <w:p w:rsidR="00B958B1" w:rsidRPr="00476AF0" w:rsidRDefault="00B958B1" w:rsidP="009F3B54">
            <w:pPr>
              <w:pStyle w:val="Tabletext"/>
              <w:rPr>
                <w:lang w:eastAsia="en-AU"/>
              </w:rPr>
            </w:pPr>
            <w:r w:rsidRPr="00476AF0">
              <w:rPr>
                <w:lang w:eastAsia="en-AU"/>
              </w:rPr>
              <w:t>Other income</w:t>
            </w:r>
          </w:p>
        </w:tc>
        <w:tc>
          <w:tcPr>
            <w:tcW w:w="905"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 xml:space="preserve"> 133.9</w:t>
            </w:r>
          </w:p>
        </w:tc>
        <w:tc>
          <w:tcPr>
            <w:tcW w:w="906"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 xml:space="preserve"> 122.0</w:t>
            </w:r>
          </w:p>
        </w:tc>
        <w:tc>
          <w:tcPr>
            <w:tcW w:w="905"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 xml:space="preserve"> 156.3</w:t>
            </w:r>
          </w:p>
        </w:tc>
        <w:tc>
          <w:tcPr>
            <w:tcW w:w="906" w:type="dxa"/>
            <w:tcBorders>
              <w:top w:val="nil"/>
              <w:left w:val="nil"/>
              <w:bottom w:val="nil"/>
              <w:right w:val="nil"/>
            </w:tcBorders>
          </w:tcPr>
          <w:p w:rsidR="00B958B1" w:rsidRPr="00476AF0" w:rsidRDefault="00B958B1" w:rsidP="009F3B54">
            <w:pPr>
              <w:pStyle w:val="TableofFigures"/>
              <w:rPr>
                <w:lang w:eastAsia="en-AU"/>
              </w:rPr>
            </w:pPr>
            <w:r w:rsidRPr="00476AF0">
              <w:rPr>
                <w:lang w:eastAsia="en-AU"/>
              </w:rPr>
              <w:t xml:space="preserve"> 113.3</w:t>
            </w:r>
          </w:p>
        </w:tc>
      </w:tr>
      <w:tr w:rsidR="00B958B1" w:rsidRPr="00476AF0" w:rsidTr="009F3B54">
        <w:tc>
          <w:tcPr>
            <w:tcW w:w="4154" w:type="dxa"/>
            <w:tcBorders>
              <w:top w:val="single" w:sz="6" w:space="0" w:color="auto"/>
              <w:left w:val="nil"/>
              <w:bottom w:val="single" w:sz="12" w:space="0" w:color="auto"/>
              <w:right w:val="nil"/>
            </w:tcBorders>
          </w:tcPr>
          <w:p w:rsidR="00B958B1" w:rsidRPr="00476AF0" w:rsidRDefault="00B958B1" w:rsidP="009F3B54">
            <w:pPr>
              <w:pStyle w:val="Tabletext"/>
              <w:rPr>
                <w:b/>
                <w:bCs/>
                <w:lang w:eastAsia="en-AU"/>
              </w:rPr>
            </w:pPr>
            <w:r w:rsidRPr="00476AF0">
              <w:rPr>
                <w:b/>
                <w:bCs/>
                <w:lang w:eastAsia="en-AU"/>
              </w:rPr>
              <w:t>Total income from transactions</w:t>
            </w:r>
          </w:p>
        </w:tc>
        <w:tc>
          <w:tcPr>
            <w:tcW w:w="905" w:type="dxa"/>
            <w:tcBorders>
              <w:top w:val="single" w:sz="6" w:space="0" w:color="auto"/>
              <w:left w:val="nil"/>
              <w:bottom w:val="single" w:sz="12" w:space="0" w:color="auto"/>
              <w:right w:val="nil"/>
            </w:tcBorders>
          </w:tcPr>
          <w:p w:rsidR="00B958B1" w:rsidRPr="00476AF0" w:rsidRDefault="00B958B1" w:rsidP="009F3B54">
            <w:pPr>
              <w:pStyle w:val="TableofFigures"/>
              <w:rPr>
                <w:rFonts w:eastAsiaTheme="minorEastAsia" w:cs="Calibri"/>
                <w:b/>
                <w:bCs/>
                <w:lang w:eastAsia="en-AU"/>
              </w:rPr>
            </w:pPr>
            <w:r w:rsidRPr="00476AF0">
              <w:rPr>
                <w:b/>
                <w:bCs/>
                <w:lang w:eastAsia="en-AU"/>
              </w:rPr>
              <w:t>6</w:t>
            </w:r>
            <w:r w:rsidRPr="00476AF0">
              <w:rPr>
                <w:rFonts w:eastAsiaTheme="minorEastAsia" w:cs="Calibri"/>
                <w:b/>
                <w:bCs/>
                <w:lang w:eastAsia="en-AU"/>
              </w:rPr>
              <w:t xml:space="preserve"> 416.1</w:t>
            </w:r>
          </w:p>
        </w:tc>
        <w:tc>
          <w:tcPr>
            <w:tcW w:w="906" w:type="dxa"/>
            <w:tcBorders>
              <w:top w:val="single" w:sz="6" w:space="0" w:color="auto"/>
              <w:left w:val="nil"/>
              <w:bottom w:val="single" w:sz="12" w:space="0" w:color="auto"/>
              <w:right w:val="nil"/>
            </w:tcBorders>
          </w:tcPr>
          <w:p w:rsidR="00B958B1" w:rsidRPr="00476AF0" w:rsidRDefault="00B958B1" w:rsidP="009F3B54">
            <w:pPr>
              <w:pStyle w:val="TableofFigures"/>
              <w:rPr>
                <w:rFonts w:eastAsiaTheme="minorEastAsia" w:cs="Calibri"/>
                <w:b/>
                <w:bCs/>
                <w:lang w:eastAsia="en-AU"/>
              </w:rPr>
            </w:pPr>
            <w:r w:rsidRPr="00476AF0">
              <w:rPr>
                <w:b/>
                <w:bCs/>
                <w:lang w:eastAsia="en-AU"/>
              </w:rPr>
              <w:t>6</w:t>
            </w:r>
            <w:r w:rsidRPr="00476AF0">
              <w:rPr>
                <w:rFonts w:eastAsiaTheme="minorEastAsia" w:cs="Calibri"/>
                <w:b/>
                <w:bCs/>
                <w:lang w:eastAsia="en-AU"/>
              </w:rPr>
              <w:t xml:space="preserve"> 160.6</w:t>
            </w:r>
          </w:p>
        </w:tc>
        <w:tc>
          <w:tcPr>
            <w:tcW w:w="905" w:type="dxa"/>
            <w:tcBorders>
              <w:top w:val="single" w:sz="6" w:space="0" w:color="auto"/>
              <w:left w:val="nil"/>
              <w:bottom w:val="single" w:sz="12" w:space="0" w:color="auto"/>
              <w:right w:val="nil"/>
            </w:tcBorders>
          </w:tcPr>
          <w:p w:rsidR="00B958B1" w:rsidRPr="00476AF0" w:rsidRDefault="00B958B1" w:rsidP="009F3B54">
            <w:pPr>
              <w:pStyle w:val="TableofFigures"/>
              <w:rPr>
                <w:rFonts w:eastAsiaTheme="minorEastAsia" w:cs="Calibri"/>
                <w:b/>
                <w:bCs/>
                <w:lang w:eastAsia="en-AU"/>
              </w:rPr>
            </w:pPr>
            <w:r w:rsidRPr="00476AF0">
              <w:rPr>
                <w:b/>
                <w:bCs/>
                <w:lang w:eastAsia="en-AU"/>
              </w:rPr>
              <w:t>6</w:t>
            </w:r>
            <w:r w:rsidRPr="00476AF0">
              <w:rPr>
                <w:rFonts w:eastAsiaTheme="minorEastAsia" w:cs="Calibri"/>
                <w:b/>
                <w:bCs/>
                <w:lang w:eastAsia="en-AU"/>
              </w:rPr>
              <w:t xml:space="preserve"> 236.6</w:t>
            </w:r>
          </w:p>
        </w:tc>
        <w:tc>
          <w:tcPr>
            <w:tcW w:w="906" w:type="dxa"/>
            <w:tcBorders>
              <w:top w:val="single" w:sz="6" w:space="0" w:color="auto"/>
              <w:left w:val="nil"/>
              <w:bottom w:val="single" w:sz="12" w:space="0" w:color="auto"/>
              <w:right w:val="nil"/>
            </w:tcBorders>
          </w:tcPr>
          <w:p w:rsidR="00B958B1" w:rsidRPr="00476AF0" w:rsidRDefault="00B958B1" w:rsidP="009F3B54">
            <w:pPr>
              <w:pStyle w:val="TableofFigures"/>
              <w:rPr>
                <w:rFonts w:eastAsiaTheme="minorEastAsia" w:cs="Calibri"/>
                <w:b/>
                <w:bCs/>
                <w:lang w:eastAsia="en-AU"/>
              </w:rPr>
            </w:pPr>
            <w:r w:rsidRPr="00476AF0">
              <w:rPr>
                <w:b/>
                <w:bCs/>
                <w:lang w:eastAsia="en-AU"/>
              </w:rPr>
              <w:t>6</w:t>
            </w:r>
            <w:r w:rsidRPr="00476AF0">
              <w:rPr>
                <w:rFonts w:eastAsiaTheme="minorEastAsia" w:cs="Calibri"/>
                <w:b/>
                <w:bCs/>
                <w:lang w:eastAsia="en-AU"/>
              </w:rPr>
              <w:t xml:space="preserve"> 645.3</w:t>
            </w:r>
          </w:p>
        </w:tc>
      </w:tr>
    </w:tbl>
    <w:p w:rsidR="00B958B1" w:rsidRDefault="00B958B1" w:rsidP="009F3B54">
      <w:pPr>
        <w:pStyle w:val="Source"/>
      </w:pPr>
      <w:r w:rsidRPr="005322D7">
        <w:t>Sources: Departments of Transport, Planning and Local Infrastructure and Treasury and Finance</w:t>
      </w:r>
    </w:p>
    <w:p w:rsidR="00B958B1" w:rsidRDefault="00B958B1" w:rsidP="009F3B54">
      <w:pPr>
        <w:pStyle w:val="Notes"/>
      </w:pPr>
      <w:r>
        <w:fldChar w:fldCharType="begin"/>
      </w:r>
      <w:r>
        <w:instrText xml:space="preserve"> XE "</w:instrText>
      </w:r>
      <w:r w:rsidRPr="000C26B8">
        <w:instrText>Department of Transport, Planning and Local Infrastructure:</w:instrText>
      </w:r>
      <w:r>
        <w:instrText xml:space="preserve">Income from transactions" </w:instrText>
      </w:r>
      <w:r>
        <w:fldChar w:fldCharType="end"/>
      </w:r>
      <w:r>
        <w:t>Notes</w:t>
      </w:r>
    </w:p>
    <w:p w:rsidR="00B958B1" w:rsidRDefault="00B958B1" w:rsidP="009F3B54">
      <w:pPr>
        <w:pStyle w:val="Notes"/>
      </w:pPr>
      <w:r>
        <w:t>(a)</w:t>
      </w:r>
      <w:r>
        <w:tab/>
      </w:r>
      <w:r w:rsidRPr="005322D7">
        <w:t>Figures for 2011</w:t>
      </w:r>
      <w:r w:rsidR="009F0F49">
        <w:noBreakHyphen/>
      </w:r>
      <w:r w:rsidRPr="005322D7">
        <w:t>12 and 2012</w:t>
      </w:r>
      <w:r w:rsidR="009F0F49">
        <w:noBreakHyphen/>
      </w:r>
      <w:r w:rsidRPr="005322D7">
        <w:t xml:space="preserve">13 reflect the operations of the former Department of </w:t>
      </w:r>
      <w:r>
        <w:t>Transport, which do not include the impact of machinery of government changes effective from 1 July 2013.</w:t>
      </w:r>
    </w:p>
    <w:p w:rsidR="00B958B1" w:rsidRDefault="00B958B1" w:rsidP="009F3B54">
      <w:pPr>
        <w:pStyle w:val="Notes"/>
      </w:pPr>
      <w:r>
        <w:t>(b)</w:t>
      </w:r>
      <w:r>
        <w:tab/>
      </w:r>
      <w:r w:rsidRPr="005322D7">
        <w:t>The 2013</w:t>
      </w:r>
      <w:r w:rsidR="009F0F49">
        <w:noBreakHyphen/>
      </w:r>
      <w:r w:rsidRPr="005322D7">
        <w:t>14 budget reflects the full impact of the machinery of government changes effective from 1 July 2013.</w:t>
      </w:r>
    </w:p>
    <w:p w:rsidR="00B958B1" w:rsidRDefault="00B958B1" w:rsidP="00175147">
      <w:pPr>
        <w:pStyle w:val="Source"/>
        <w:rPr>
          <w:lang w:eastAsia="en-AU"/>
        </w:rPr>
      </w:pPr>
    </w:p>
    <w:p w:rsidR="00B958B1" w:rsidRPr="005322D7" w:rsidRDefault="00B958B1" w:rsidP="009F3B54">
      <w:pPr>
        <w:pStyle w:val="Tableheading"/>
        <w:rPr>
          <w:lang w:eastAsia="en-AU"/>
        </w:rPr>
      </w:pPr>
      <w:r w:rsidRPr="005322D7">
        <w:rPr>
          <w:lang w:eastAsia="en-AU"/>
        </w:rPr>
        <w:t>Table</w:t>
      </w:r>
      <w:r>
        <w:rPr>
          <w:lang w:eastAsia="en-AU"/>
        </w:rPr>
        <w:t> 2.25</w:t>
      </w:r>
      <w:r w:rsidRPr="005322D7">
        <w:rPr>
          <w:lang w:eastAsia="en-AU"/>
        </w:rPr>
        <w:t>:</w:t>
      </w:r>
      <w:r>
        <w:rPr>
          <w:lang w:eastAsia="en-AU"/>
        </w:rPr>
        <w:tab/>
      </w:r>
      <w:r w:rsidRPr="005322D7">
        <w:rPr>
          <w:lang w:eastAsia="en-AU"/>
        </w:rPr>
        <w:t>Parliamentary authority for resources</w:t>
      </w:r>
    </w:p>
    <w:p w:rsidR="00B958B1" w:rsidRDefault="00B958B1" w:rsidP="009F3B54">
      <w:pPr>
        <w:pStyle w:val="million"/>
        <w:rPr>
          <w:rFonts w:ascii="Times New Roman" w:hAnsi="Times New Roman"/>
          <w:sz w:val="20"/>
          <w:lang w:eastAsia="en-AU"/>
        </w:rPr>
      </w:pPr>
      <w:r w:rsidRPr="00506304">
        <w:t>($</w:t>
      </w:r>
      <w:r>
        <w:t> million</w:t>
      </w:r>
      <w:r w:rsidRPr="00506304">
        <w:t>)</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B958B1" w:rsidRPr="00476AF0" w:rsidTr="009F3B54">
        <w:trPr>
          <w:cantSplit/>
        </w:trPr>
        <w:tc>
          <w:tcPr>
            <w:tcW w:w="4665" w:type="dxa"/>
            <w:tcBorders>
              <w:top w:val="single" w:sz="4" w:space="0" w:color="auto"/>
              <w:left w:val="single" w:sz="4" w:space="0" w:color="auto"/>
              <w:bottom w:val="nil"/>
              <w:right w:val="nil"/>
            </w:tcBorders>
            <w:shd w:val="clear" w:color="auto" w:fill="000000"/>
          </w:tcPr>
          <w:p w:rsidR="00B958B1" w:rsidRPr="00476AF0" w:rsidRDefault="00B958B1" w:rsidP="009F3B54">
            <w:pPr>
              <w:pStyle w:val="Tabletext"/>
              <w:rPr>
                <w:rFonts w:eastAsiaTheme="minorEastAsia"/>
                <w:lang w:eastAsia="en-AU"/>
              </w:rPr>
            </w:pPr>
            <w:r w:rsidRPr="00476AF0">
              <w:rPr>
                <w:rFonts w:eastAsiaTheme="minorEastAsia"/>
                <w:lang w:eastAsia="en-AU"/>
              </w:rPr>
              <w:t xml:space="preserve"> </w:t>
            </w:r>
          </w:p>
        </w:tc>
        <w:tc>
          <w:tcPr>
            <w:tcW w:w="1036" w:type="dxa"/>
            <w:tcBorders>
              <w:top w:val="single" w:sz="4" w:space="0" w:color="auto"/>
              <w:left w:val="nil"/>
              <w:bottom w:val="nil"/>
              <w:right w:val="nil"/>
            </w:tcBorders>
            <w:shd w:val="clear" w:color="auto" w:fill="000000"/>
          </w:tcPr>
          <w:p w:rsidR="00B958B1" w:rsidRPr="00476AF0" w:rsidRDefault="00B958B1" w:rsidP="009F3B54">
            <w:pPr>
              <w:pStyle w:val="Tabletextheading"/>
              <w:rPr>
                <w:rFonts w:eastAsiaTheme="minorEastAsia"/>
                <w:lang w:eastAsia="en-AU"/>
              </w:rPr>
            </w:pPr>
            <w:r w:rsidRPr="00476AF0">
              <w:rPr>
                <w:rFonts w:eastAsiaTheme="minorEastAsia"/>
                <w:lang w:eastAsia="en-AU"/>
              </w:rPr>
              <w:t>2012</w:t>
            </w:r>
            <w:r w:rsidR="009F0F49">
              <w:rPr>
                <w:rFonts w:eastAsiaTheme="minorEastAsia"/>
                <w:lang w:eastAsia="en-AU"/>
              </w:rPr>
              <w:noBreakHyphen/>
            </w:r>
            <w:r w:rsidRPr="00476AF0">
              <w:rPr>
                <w:rFonts w:eastAsiaTheme="minorEastAsia"/>
                <w:lang w:eastAsia="en-AU"/>
              </w:rPr>
              <w:t>13</w:t>
            </w:r>
          </w:p>
        </w:tc>
        <w:tc>
          <w:tcPr>
            <w:tcW w:w="1036" w:type="dxa"/>
            <w:tcBorders>
              <w:top w:val="single" w:sz="4" w:space="0" w:color="auto"/>
              <w:left w:val="nil"/>
              <w:bottom w:val="nil"/>
              <w:right w:val="nil"/>
            </w:tcBorders>
            <w:shd w:val="clear" w:color="auto" w:fill="000000"/>
          </w:tcPr>
          <w:p w:rsidR="00B958B1" w:rsidRPr="00476AF0" w:rsidRDefault="00B958B1" w:rsidP="009F3B54">
            <w:pPr>
              <w:pStyle w:val="Tabletextheading"/>
              <w:rPr>
                <w:rFonts w:eastAsiaTheme="minorEastAsia"/>
                <w:lang w:eastAsia="en-AU"/>
              </w:rPr>
            </w:pPr>
            <w:r w:rsidRPr="00476AF0">
              <w:rPr>
                <w:rFonts w:eastAsiaTheme="minorEastAsia"/>
                <w:lang w:eastAsia="en-AU"/>
              </w:rPr>
              <w:t>2012</w:t>
            </w:r>
            <w:r w:rsidR="009F0F49">
              <w:rPr>
                <w:rFonts w:eastAsiaTheme="minorEastAsia"/>
                <w:lang w:eastAsia="en-AU"/>
              </w:rPr>
              <w:noBreakHyphen/>
            </w:r>
            <w:r w:rsidRPr="00476AF0">
              <w:rPr>
                <w:rFonts w:eastAsiaTheme="minorEastAsia"/>
                <w:lang w:eastAsia="en-AU"/>
              </w:rPr>
              <w:t>13</w:t>
            </w:r>
          </w:p>
        </w:tc>
        <w:tc>
          <w:tcPr>
            <w:tcW w:w="1036" w:type="dxa"/>
            <w:tcBorders>
              <w:top w:val="single" w:sz="4" w:space="0" w:color="auto"/>
              <w:left w:val="nil"/>
              <w:bottom w:val="nil"/>
              <w:right w:val="single" w:sz="4" w:space="0" w:color="auto"/>
            </w:tcBorders>
            <w:shd w:val="clear" w:color="auto" w:fill="000000"/>
          </w:tcPr>
          <w:p w:rsidR="00B958B1" w:rsidRPr="00476AF0" w:rsidRDefault="00B958B1" w:rsidP="009F3B54">
            <w:pPr>
              <w:pStyle w:val="Tabletextheading"/>
              <w:rPr>
                <w:rFonts w:eastAsiaTheme="minorEastAsia"/>
                <w:lang w:eastAsia="en-AU"/>
              </w:rPr>
            </w:pPr>
            <w:r w:rsidRPr="00476AF0">
              <w:rPr>
                <w:rFonts w:eastAsiaTheme="minorEastAsia"/>
                <w:lang w:eastAsia="en-AU"/>
              </w:rPr>
              <w:t>2013</w:t>
            </w:r>
            <w:r w:rsidR="009F0F49">
              <w:rPr>
                <w:rFonts w:eastAsiaTheme="minorEastAsia"/>
                <w:lang w:eastAsia="en-AU"/>
              </w:rPr>
              <w:noBreakHyphen/>
            </w:r>
            <w:r w:rsidRPr="00476AF0">
              <w:rPr>
                <w:rFonts w:eastAsiaTheme="minorEastAsia"/>
                <w:lang w:eastAsia="en-AU"/>
              </w:rPr>
              <w:t>14</w:t>
            </w:r>
          </w:p>
        </w:tc>
      </w:tr>
      <w:tr w:rsidR="00B958B1" w:rsidRPr="00476AF0" w:rsidTr="009F3B54">
        <w:trPr>
          <w:cantSplit/>
        </w:trPr>
        <w:tc>
          <w:tcPr>
            <w:tcW w:w="4665" w:type="dxa"/>
            <w:tcBorders>
              <w:top w:val="nil"/>
              <w:left w:val="single" w:sz="4" w:space="0" w:color="auto"/>
              <w:bottom w:val="single" w:sz="4" w:space="0" w:color="auto"/>
              <w:right w:val="nil"/>
            </w:tcBorders>
            <w:shd w:val="clear" w:color="auto" w:fill="000000"/>
          </w:tcPr>
          <w:p w:rsidR="00B958B1" w:rsidRPr="00476AF0" w:rsidRDefault="00B958B1" w:rsidP="009F3B54">
            <w:pPr>
              <w:pStyle w:val="Tabletext"/>
              <w:rPr>
                <w:rFonts w:eastAsiaTheme="minorEastAsia"/>
                <w:lang w:eastAsia="en-AU"/>
              </w:rPr>
            </w:pPr>
            <w:r w:rsidRPr="00476AF0">
              <w:rPr>
                <w:rFonts w:eastAsiaTheme="minorEastAsia"/>
                <w:lang w:eastAsia="en-AU"/>
              </w:rPr>
              <w:t xml:space="preserve"> </w:t>
            </w:r>
          </w:p>
        </w:tc>
        <w:tc>
          <w:tcPr>
            <w:tcW w:w="1036" w:type="dxa"/>
            <w:tcBorders>
              <w:top w:val="nil"/>
              <w:left w:val="nil"/>
              <w:bottom w:val="single" w:sz="4" w:space="0" w:color="auto"/>
              <w:right w:val="nil"/>
            </w:tcBorders>
            <w:shd w:val="clear" w:color="auto" w:fill="000000"/>
          </w:tcPr>
          <w:p w:rsidR="00B958B1" w:rsidRPr="00476AF0" w:rsidRDefault="00B958B1" w:rsidP="009F3B54">
            <w:pPr>
              <w:pStyle w:val="Tabletextheading"/>
              <w:rPr>
                <w:rFonts w:eastAsiaTheme="minorEastAsia"/>
                <w:lang w:eastAsia="en-AU"/>
              </w:rPr>
            </w:pPr>
            <w:r w:rsidRPr="00476AF0">
              <w:rPr>
                <w:rFonts w:eastAsiaTheme="minorEastAsia"/>
                <w:lang w:eastAsia="en-AU"/>
              </w:rPr>
              <w:t>Budget</w:t>
            </w:r>
          </w:p>
        </w:tc>
        <w:tc>
          <w:tcPr>
            <w:tcW w:w="1036" w:type="dxa"/>
            <w:tcBorders>
              <w:top w:val="nil"/>
              <w:left w:val="nil"/>
              <w:bottom w:val="single" w:sz="4" w:space="0" w:color="auto"/>
              <w:right w:val="nil"/>
            </w:tcBorders>
            <w:shd w:val="clear" w:color="auto" w:fill="000000"/>
          </w:tcPr>
          <w:p w:rsidR="00B958B1" w:rsidRPr="00476AF0" w:rsidRDefault="00B958B1" w:rsidP="009F3B54">
            <w:pPr>
              <w:pStyle w:val="Tabletextheading"/>
              <w:rPr>
                <w:rFonts w:eastAsiaTheme="minorEastAsia"/>
                <w:lang w:eastAsia="en-AU"/>
              </w:rPr>
            </w:pPr>
            <w:r w:rsidRPr="00476AF0">
              <w:rPr>
                <w:rFonts w:eastAsiaTheme="minorEastAsia"/>
                <w:lang w:eastAsia="en-AU"/>
              </w:rPr>
              <w:t>Revised</w:t>
            </w:r>
          </w:p>
        </w:tc>
        <w:tc>
          <w:tcPr>
            <w:tcW w:w="1036" w:type="dxa"/>
            <w:tcBorders>
              <w:top w:val="nil"/>
              <w:left w:val="nil"/>
              <w:bottom w:val="single" w:sz="4" w:space="0" w:color="auto"/>
              <w:right w:val="single" w:sz="4" w:space="0" w:color="auto"/>
            </w:tcBorders>
            <w:shd w:val="clear" w:color="auto" w:fill="000000"/>
          </w:tcPr>
          <w:p w:rsidR="00B958B1" w:rsidRPr="00476AF0" w:rsidRDefault="00B958B1" w:rsidP="009F3B54">
            <w:pPr>
              <w:pStyle w:val="Tabletextheading"/>
              <w:rPr>
                <w:rFonts w:eastAsiaTheme="minorEastAsia"/>
                <w:lang w:eastAsia="en-AU"/>
              </w:rPr>
            </w:pPr>
            <w:r w:rsidRPr="00476AF0">
              <w:rPr>
                <w:rFonts w:eastAsiaTheme="minorEastAsia"/>
                <w:lang w:eastAsia="en-AU"/>
              </w:rPr>
              <w:t>Budget</w:t>
            </w:r>
          </w:p>
        </w:tc>
      </w:tr>
      <w:tr w:rsidR="00B958B1" w:rsidRPr="00476AF0" w:rsidTr="009F3B54">
        <w:trPr>
          <w:cantSplit/>
        </w:trPr>
        <w:tc>
          <w:tcPr>
            <w:tcW w:w="4665" w:type="dxa"/>
            <w:tcBorders>
              <w:top w:val="single" w:sz="4" w:space="0" w:color="auto"/>
              <w:left w:val="nil"/>
              <w:bottom w:val="nil"/>
              <w:right w:val="nil"/>
            </w:tcBorders>
            <w:shd w:val="solid" w:color="FFFFFF" w:fill="auto"/>
          </w:tcPr>
          <w:p w:rsidR="00B958B1" w:rsidRPr="00476AF0" w:rsidRDefault="00B958B1" w:rsidP="009F3B54">
            <w:pPr>
              <w:pStyle w:val="Tabletext"/>
              <w:rPr>
                <w:rFonts w:eastAsiaTheme="minorEastAsia"/>
                <w:b/>
                <w:bCs/>
                <w:lang w:eastAsia="en-AU"/>
              </w:rPr>
            </w:pPr>
            <w:r w:rsidRPr="00476AF0">
              <w:rPr>
                <w:rFonts w:eastAsiaTheme="minorEastAsia"/>
                <w:b/>
                <w:bCs/>
                <w:lang w:eastAsia="en-AU"/>
              </w:rPr>
              <w:t>Annual appropriations</w:t>
            </w:r>
          </w:p>
        </w:tc>
        <w:tc>
          <w:tcPr>
            <w:tcW w:w="1036" w:type="dxa"/>
            <w:tcBorders>
              <w:top w:val="single" w:sz="4" w:space="0" w:color="auto"/>
              <w:left w:val="nil"/>
              <w:bottom w:val="nil"/>
              <w:right w:val="nil"/>
            </w:tcBorders>
            <w:shd w:val="solid" w:color="FFFFFF" w:fill="auto"/>
          </w:tcPr>
          <w:p w:rsidR="00B958B1" w:rsidRPr="00476AF0" w:rsidRDefault="00B958B1" w:rsidP="009F3B54">
            <w:pPr>
              <w:pStyle w:val="TableofFigures"/>
              <w:rPr>
                <w:rFonts w:eastAsiaTheme="minorEastAsia" w:cs="Calibri"/>
                <w:b/>
                <w:bCs/>
                <w:lang w:eastAsia="en-AU"/>
              </w:rPr>
            </w:pPr>
            <w:r w:rsidRPr="00476AF0">
              <w:rPr>
                <w:rFonts w:eastAsiaTheme="minorEastAsia" w:cs="Calibri"/>
                <w:b/>
                <w:bCs/>
                <w:lang w:eastAsia="en-AU"/>
              </w:rPr>
              <w:t>6 839.7</w:t>
            </w:r>
          </w:p>
        </w:tc>
        <w:tc>
          <w:tcPr>
            <w:tcW w:w="1036" w:type="dxa"/>
            <w:tcBorders>
              <w:top w:val="single" w:sz="4" w:space="0" w:color="auto"/>
              <w:left w:val="nil"/>
              <w:bottom w:val="nil"/>
              <w:right w:val="nil"/>
            </w:tcBorders>
            <w:shd w:val="solid" w:color="FFFFFF" w:fill="auto"/>
          </w:tcPr>
          <w:p w:rsidR="00B958B1" w:rsidRPr="00476AF0" w:rsidRDefault="00B958B1" w:rsidP="009F3B54">
            <w:pPr>
              <w:pStyle w:val="TableofFigures"/>
              <w:rPr>
                <w:rFonts w:eastAsiaTheme="minorEastAsia" w:cs="Calibri"/>
                <w:b/>
                <w:bCs/>
                <w:lang w:eastAsia="en-AU"/>
              </w:rPr>
            </w:pPr>
            <w:r w:rsidRPr="00476AF0">
              <w:rPr>
                <w:rFonts w:eastAsiaTheme="minorEastAsia" w:cs="Calibri"/>
                <w:b/>
                <w:bCs/>
                <w:lang w:eastAsia="en-AU"/>
              </w:rPr>
              <w:t>5 822.7</w:t>
            </w:r>
          </w:p>
        </w:tc>
        <w:tc>
          <w:tcPr>
            <w:tcW w:w="1036" w:type="dxa"/>
            <w:tcBorders>
              <w:top w:val="single" w:sz="4" w:space="0" w:color="auto"/>
              <w:left w:val="nil"/>
              <w:bottom w:val="nil"/>
              <w:right w:val="nil"/>
            </w:tcBorders>
            <w:shd w:val="solid" w:color="FFFFFF" w:fill="auto"/>
          </w:tcPr>
          <w:p w:rsidR="00B958B1" w:rsidRPr="00476AF0" w:rsidRDefault="00B958B1" w:rsidP="009F3B54">
            <w:pPr>
              <w:pStyle w:val="TableofFigures"/>
              <w:rPr>
                <w:rFonts w:eastAsiaTheme="minorEastAsia" w:cs="Calibri"/>
                <w:b/>
                <w:bCs/>
                <w:lang w:eastAsia="en-AU"/>
              </w:rPr>
            </w:pPr>
            <w:r w:rsidRPr="00476AF0">
              <w:rPr>
                <w:rFonts w:eastAsiaTheme="minorEastAsia" w:cs="Calibri"/>
                <w:b/>
                <w:bCs/>
                <w:lang w:eastAsia="en-AU"/>
              </w:rPr>
              <w:t>6 959.0</w:t>
            </w:r>
          </w:p>
        </w:tc>
      </w:tr>
      <w:tr w:rsidR="00B958B1" w:rsidRPr="00476AF0" w:rsidTr="009F3B54">
        <w:trPr>
          <w:cantSplit/>
        </w:trPr>
        <w:tc>
          <w:tcPr>
            <w:tcW w:w="4665" w:type="dxa"/>
            <w:tcBorders>
              <w:top w:val="nil"/>
              <w:left w:val="nil"/>
              <w:bottom w:val="nil"/>
              <w:right w:val="nil"/>
            </w:tcBorders>
            <w:shd w:val="solid" w:color="FFFFFF" w:fill="auto"/>
          </w:tcPr>
          <w:p w:rsidR="00B958B1" w:rsidRPr="00476AF0" w:rsidRDefault="00B958B1" w:rsidP="009F3B54">
            <w:pPr>
              <w:pStyle w:val="Tabletext"/>
              <w:rPr>
                <w:rFonts w:eastAsiaTheme="minorEastAsia"/>
                <w:lang w:eastAsia="en-AU"/>
              </w:rPr>
            </w:pPr>
            <w:r w:rsidRPr="00476AF0">
              <w:rPr>
                <w:rFonts w:eastAsiaTheme="minorEastAsia"/>
                <w:lang w:eastAsia="en-AU"/>
              </w:rPr>
              <w:t xml:space="preserve"> Provision of outputs</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4 591.0</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4 562.0</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5 025.8</w:t>
            </w:r>
          </w:p>
        </w:tc>
      </w:tr>
      <w:tr w:rsidR="00B958B1" w:rsidRPr="00476AF0" w:rsidTr="009F3B54">
        <w:trPr>
          <w:cantSplit/>
        </w:trPr>
        <w:tc>
          <w:tcPr>
            <w:tcW w:w="4665" w:type="dxa"/>
            <w:tcBorders>
              <w:top w:val="nil"/>
              <w:left w:val="nil"/>
              <w:bottom w:val="nil"/>
              <w:right w:val="nil"/>
            </w:tcBorders>
            <w:shd w:val="solid" w:color="FFFFFF" w:fill="auto"/>
          </w:tcPr>
          <w:p w:rsidR="00B958B1" w:rsidRPr="00476AF0" w:rsidRDefault="00B958B1" w:rsidP="009F3B54">
            <w:pPr>
              <w:pStyle w:val="Tabletext"/>
              <w:rPr>
                <w:rFonts w:eastAsiaTheme="minorEastAsia"/>
                <w:lang w:eastAsia="en-AU"/>
              </w:rPr>
            </w:pPr>
            <w:r w:rsidRPr="00476AF0">
              <w:rPr>
                <w:rFonts w:eastAsiaTheme="minorEastAsia"/>
                <w:lang w:eastAsia="en-AU"/>
              </w:rPr>
              <w:t xml:space="preserve"> Additions to the net asset base</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2 248.7</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1 260.7</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1 932.3</w:t>
            </w:r>
          </w:p>
        </w:tc>
      </w:tr>
      <w:tr w:rsidR="00B958B1" w:rsidRPr="00476AF0" w:rsidTr="009F3B54">
        <w:trPr>
          <w:cantSplit/>
        </w:trPr>
        <w:tc>
          <w:tcPr>
            <w:tcW w:w="4665" w:type="dxa"/>
            <w:tcBorders>
              <w:top w:val="nil"/>
              <w:left w:val="nil"/>
              <w:bottom w:val="nil"/>
              <w:right w:val="nil"/>
            </w:tcBorders>
            <w:shd w:val="solid" w:color="FFFFFF" w:fill="auto"/>
          </w:tcPr>
          <w:p w:rsidR="00B958B1" w:rsidRPr="00476AF0" w:rsidRDefault="00B958B1" w:rsidP="009F3B54">
            <w:pPr>
              <w:pStyle w:val="Tabletext"/>
              <w:rPr>
                <w:rFonts w:eastAsiaTheme="minorEastAsia"/>
                <w:lang w:eastAsia="en-AU"/>
              </w:rPr>
            </w:pPr>
            <w:r w:rsidRPr="00476AF0">
              <w:rPr>
                <w:rFonts w:eastAsiaTheme="minorEastAsia"/>
                <w:lang w:eastAsia="en-AU"/>
              </w:rPr>
              <w:t xml:space="preserve"> Payments made on behalf of the State</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 xml:space="preserve"> 0.9</w:t>
            </w:r>
          </w:p>
        </w:tc>
      </w:tr>
      <w:tr w:rsidR="00B958B1" w:rsidRPr="00476AF0" w:rsidTr="009F3B54">
        <w:trPr>
          <w:cantSplit/>
        </w:trPr>
        <w:tc>
          <w:tcPr>
            <w:tcW w:w="4665" w:type="dxa"/>
            <w:tcBorders>
              <w:top w:val="nil"/>
              <w:left w:val="nil"/>
              <w:bottom w:val="nil"/>
              <w:right w:val="nil"/>
            </w:tcBorders>
            <w:shd w:val="solid" w:color="FFFFFF" w:fill="auto"/>
          </w:tcPr>
          <w:p w:rsidR="00B958B1" w:rsidRPr="00476AF0" w:rsidRDefault="00B958B1" w:rsidP="009F3B54">
            <w:pPr>
              <w:pStyle w:val="Tabletext"/>
              <w:rPr>
                <w:rFonts w:eastAsiaTheme="minorEastAsia"/>
                <w:lang w:eastAsia="en-AU"/>
              </w:rPr>
            </w:pPr>
            <w:r w:rsidRPr="00476AF0">
              <w:rPr>
                <w:rFonts w:eastAsiaTheme="minorEastAsia"/>
                <w:lang w:eastAsia="en-AU"/>
              </w:rPr>
              <w:t>Receipts credited to appropriations</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 xml:space="preserve"> 947.0</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 xml:space="preserve"> 733.3</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1 198.9</w:t>
            </w:r>
          </w:p>
        </w:tc>
      </w:tr>
      <w:tr w:rsidR="00B958B1" w:rsidRPr="00476AF0" w:rsidTr="009F3B54">
        <w:trPr>
          <w:cantSplit/>
        </w:trPr>
        <w:tc>
          <w:tcPr>
            <w:tcW w:w="4665" w:type="dxa"/>
            <w:tcBorders>
              <w:top w:val="nil"/>
              <w:left w:val="nil"/>
              <w:bottom w:val="nil"/>
              <w:right w:val="nil"/>
            </w:tcBorders>
            <w:shd w:val="solid" w:color="FFFFFF" w:fill="auto"/>
          </w:tcPr>
          <w:p w:rsidR="00B958B1" w:rsidRPr="00476AF0" w:rsidRDefault="00B958B1" w:rsidP="009F3B54">
            <w:pPr>
              <w:pStyle w:val="Tabletext"/>
              <w:rPr>
                <w:rFonts w:eastAsiaTheme="minorEastAsia"/>
                <w:b/>
                <w:bCs/>
                <w:lang w:eastAsia="en-AU"/>
              </w:rPr>
            </w:pPr>
            <w:r w:rsidRPr="00476AF0">
              <w:rPr>
                <w:rFonts w:eastAsiaTheme="minorEastAsia"/>
                <w:b/>
                <w:bCs/>
                <w:lang w:eastAsia="en-AU"/>
              </w:rPr>
              <w:t>Unapplied previous years appropriation</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 xml:space="preserve"> 20.6</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 xml:space="preserve"> 595.4</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 xml:space="preserve"> 30.3</w:t>
            </w:r>
          </w:p>
        </w:tc>
      </w:tr>
      <w:tr w:rsidR="00B958B1" w:rsidRPr="00476AF0" w:rsidTr="009F3B54">
        <w:trPr>
          <w:cantSplit/>
        </w:trPr>
        <w:tc>
          <w:tcPr>
            <w:tcW w:w="4665" w:type="dxa"/>
            <w:tcBorders>
              <w:top w:val="nil"/>
              <w:left w:val="nil"/>
              <w:bottom w:val="nil"/>
              <w:right w:val="nil"/>
            </w:tcBorders>
            <w:shd w:val="solid" w:color="FFFFFF" w:fill="auto"/>
          </w:tcPr>
          <w:p w:rsidR="00B958B1" w:rsidRPr="00476AF0" w:rsidRDefault="00B958B1" w:rsidP="009F3B54">
            <w:pPr>
              <w:pStyle w:val="Tabletext"/>
              <w:rPr>
                <w:rFonts w:eastAsiaTheme="minorEastAsia"/>
                <w:lang w:eastAsia="en-AU"/>
              </w:rPr>
            </w:pPr>
            <w:r w:rsidRPr="00476AF0">
              <w:rPr>
                <w:rFonts w:eastAsiaTheme="minorEastAsia"/>
                <w:lang w:eastAsia="en-AU"/>
              </w:rPr>
              <w:t xml:space="preserve"> Provision of outputs</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 xml:space="preserve"> 16.3</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 xml:space="preserve"> 185.1</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 xml:space="preserve"> 29.3</w:t>
            </w:r>
          </w:p>
        </w:tc>
      </w:tr>
      <w:tr w:rsidR="00B958B1" w:rsidRPr="00476AF0" w:rsidTr="009F3B54">
        <w:trPr>
          <w:cantSplit/>
        </w:trPr>
        <w:tc>
          <w:tcPr>
            <w:tcW w:w="4665" w:type="dxa"/>
            <w:tcBorders>
              <w:top w:val="nil"/>
              <w:left w:val="nil"/>
              <w:bottom w:val="nil"/>
              <w:right w:val="nil"/>
            </w:tcBorders>
            <w:shd w:val="solid" w:color="FFFFFF" w:fill="auto"/>
          </w:tcPr>
          <w:p w:rsidR="00B958B1" w:rsidRPr="00476AF0" w:rsidRDefault="00B958B1" w:rsidP="009F3B54">
            <w:pPr>
              <w:pStyle w:val="Tabletext"/>
              <w:rPr>
                <w:rFonts w:eastAsiaTheme="minorEastAsia"/>
                <w:lang w:eastAsia="en-AU"/>
              </w:rPr>
            </w:pPr>
            <w:r w:rsidRPr="00476AF0">
              <w:rPr>
                <w:rFonts w:eastAsiaTheme="minorEastAsia"/>
                <w:lang w:eastAsia="en-AU"/>
              </w:rPr>
              <w:t xml:space="preserve"> Additions to the net asset base</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 xml:space="preserve"> 4.4</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 xml:space="preserve"> 410.3</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 xml:space="preserve"> 1.0</w:t>
            </w:r>
          </w:p>
        </w:tc>
      </w:tr>
      <w:tr w:rsidR="00B958B1" w:rsidRPr="00476AF0" w:rsidTr="009F3B54">
        <w:trPr>
          <w:cantSplit/>
        </w:trPr>
        <w:tc>
          <w:tcPr>
            <w:tcW w:w="4665" w:type="dxa"/>
            <w:tcBorders>
              <w:top w:val="nil"/>
              <w:left w:val="nil"/>
              <w:bottom w:val="single" w:sz="6" w:space="0" w:color="auto"/>
              <w:right w:val="nil"/>
            </w:tcBorders>
            <w:shd w:val="solid" w:color="FFFFFF" w:fill="auto"/>
          </w:tcPr>
          <w:p w:rsidR="00B958B1" w:rsidRPr="00476AF0" w:rsidRDefault="00B958B1" w:rsidP="009F3B54">
            <w:pPr>
              <w:pStyle w:val="Tabletext"/>
              <w:rPr>
                <w:rFonts w:eastAsiaTheme="minorEastAsia"/>
                <w:lang w:eastAsia="en-AU"/>
              </w:rPr>
            </w:pPr>
            <w:r w:rsidRPr="00476AF0">
              <w:rPr>
                <w:rFonts w:eastAsiaTheme="minorEastAsia"/>
                <w:lang w:eastAsia="en-AU"/>
              </w:rPr>
              <w:t>Accumulated surplus – previously applied appropriation</w:t>
            </w:r>
          </w:p>
        </w:tc>
        <w:tc>
          <w:tcPr>
            <w:tcW w:w="1036" w:type="dxa"/>
            <w:tcBorders>
              <w:top w:val="nil"/>
              <w:left w:val="nil"/>
              <w:bottom w:val="single" w:sz="6" w:space="0" w:color="auto"/>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w:t>
            </w:r>
          </w:p>
        </w:tc>
        <w:tc>
          <w:tcPr>
            <w:tcW w:w="1036" w:type="dxa"/>
            <w:tcBorders>
              <w:top w:val="nil"/>
              <w:left w:val="nil"/>
              <w:bottom w:val="single" w:sz="6" w:space="0" w:color="auto"/>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 xml:space="preserve"> 18.5</w:t>
            </w:r>
          </w:p>
        </w:tc>
        <w:tc>
          <w:tcPr>
            <w:tcW w:w="1036" w:type="dxa"/>
            <w:tcBorders>
              <w:top w:val="nil"/>
              <w:left w:val="nil"/>
              <w:bottom w:val="single" w:sz="6" w:space="0" w:color="auto"/>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 xml:space="preserve"> 3.2</w:t>
            </w:r>
          </w:p>
        </w:tc>
      </w:tr>
      <w:tr w:rsidR="00B958B1" w:rsidRPr="00476AF0" w:rsidTr="009F3B54">
        <w:trPr>
          <w:cantSplit/>
        </w:trPr>
        <w:tc>
          <w:tcPr>
            <w:tcW w:w="4665" w:type="dxa"/>
            <w:tcBorders>
              <w:top w:val="nil"/>
              <w:left w:val="nil"/>
              <w:bottom w:val="nil"/>
              <w:right w:val="nil"/>
            </w:tcBorders>
            <w:shd w:val="solid" w:color="FFFFFF" w:fill="auto"/>
          </w:tcPr>
          <w:p w:rsidR="00B958B1" w:rsidRPr="00476AF0" w:rsidRDefault="00B958B1" w:rsidP="009F3B54">
            <w:pPr>
              <w:pStyle w:val="Tabletext"/>
              <w:rPr>
                <w:rFonts w:eastAsiaTheme="minorEastAsia"/>
                <w:b/>
                <w:bCs/>
                <w:lang w:eastAsia="en-AU"/>
              </w:rPr>
            </w:pPr>
            <w:r w:rsidRPr="00476AF0">
              <w:rPr>
                <w:rFonts w:eastAsiaTheme="minorEastAsia"/>
                <w:b/>
                <w:bCs/>
                <w:lang w:eastAsia="en-AU"/>
              </w:rPr>
              <w:t>Gross annual appropriation</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b/>
                <w:bCs/>
                <w:lang w:eastAsia="en-AU"/>
              </w:rPr>
            </w:pPr>
            <w:r w:rsidRPr="00476AF0">
              <w:rPr>
                <w:rFonts w:eastAsiaTheme="minorEastAsia" w:cs="Calibri"/>
                <w:b/>
                <w:bCs/>
                <w:lang w:eastAsia="en-AU"/>
              </w:rPr>
              <w:t>7 807.4</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b/>
                <w:bCs/>
                <w:lang w:eastAsia="en-AU"/>
              </w:rPr>
            </w:pPr>
            <w:r w:rsidRPr="00476AF0">
              <w:rPr>
                <w:rFonts w:eastAsiaTheme="minorEastAsia" w:cs="Calibri"/>
                <w:b/>
                <w:bCs/>
                <w:lang w:eastAsia="en-AU"/>
              </w:rPr>
              <w:t>7 169.9</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b/>
                <w:bCs/>
                <w:lang w:eastAsia="en-AU"/>
              </w:rPr>
            </w:pPr>
            <w:r w:rsidRPr="00476AF0">
              <w:rPr>
                <w:rFonts w:eastAsiaTheme="minorEastAsia" w:cs="Calibri"/>
                <w:b/>
                <w:bCs/>
                <w:lang w:eastAsia="en-AU"/>
              </w:rPr>
              <w:t>8 191.3</w:t>
            </w:r>
          </w:p>
        </w:tc>
      </w:tr>
      <w:tr w:rsidR="00B958B1" w:rsidRPr="00476AF0" w:rsidTr="009F3B54">
        <w:trPr>
          <w:cantSplit/>
        </w:trPr>
        <w:tc>
          <w:tcPr>
            <w:tcW w:w="4665" w:type="dxa"/>
            <w:tcBorders>
              <w:top w:val="nil"/>
              <w:left w:val="nil"/>
              <w:bottom w:val="nil"/>
              <w:right w:val="nil"/>
            </w:tcBorders>
            <w:shd w:val="solid" w:color="FFFFFF" w:fill="auto"/>
          </w:tcPr>
          <w:p w:rsidR="00B958B1" w:rsidRPr="00476AF0" w:rsidRDefault="00B958B1" w:rsidP="009F3B54">
            <w:pPr>
              <w:pStyle w:val="Tabletext"/>
              <w:rPr>
                <w:rFonts w:eastAsiaTheme="minorEastAsia"/>
                <w:lang w:eastAsia="en-AU"/>
              </w:rPr>
            </w:pPr>
            <w:r w:rsidRPr="00476AF0">
              <w:rPr>
                <w:rFonts w:eastAsiaTheme="minorEastAsia"/>
                <w:lang w:eastAsia="en-AU"/>
              </w:rPr>
              <w:t>Special appropriations</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 xml:space="preserve"> 96.8</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 xml:space="preserve"> 97.6</w:t>
            </w:r>
          </w:p>
        </w:tc>
        <w:tc>
          <w:tcPr>
            <w:tcW w:w="1036" w:type="dxa"/>
            <w:tcBorders>
              <w:top w:val="nil"/>
              <w:left w:val="nil"/>
              <w:bottom w:val="nil"/>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 xml:space="preserve"> 7.0</w:t>
            </w:r>
          </w:p>
        </w:tc>
      </w:tr>
      <w:tr w:rsidR="00B958B1" w:rsidRPr="00476AF0" w:rsidTr="009F3B54">
        <w:trPr>
          <w:cantSplit/>
        </w:trPr>
        <w:tc>
          <w:tcPr>
            <w:tcW w:w="4665" w:type="dxa"/>
            <w:tcBorders>
              <w:top w:val="nil"/>
              <w:left w:val="nil"/>
              <w:bottom w:val="single" w:sz="6" w:space="0" w:color="auto"/>
              <w:right w:val="nil"/>
            </w:tcBorders>
            <w:shd w:val="solid" w:color="FFFFFF" w:fill="auto"/>
          </w:tcPr>
          <w:p w:rsidR="00B958B1" w:rsidRPr="00476AF0" w:rsidRDefault="00B958B1" w:rsidP="009F3B54">
            <w:pPr>
              <w:pStyle w:val="Tabletext"/>
              <w:rPr>
                <w:rFonts w:eastAsiaTheme="minorEastAsia"/>
                <w:lang w:eastAsia="en-AU"/>
              </w:rPr>
            </w:pPr>
            <w:r w:rsidRPr="00476AF0">
              <w:rPr>
                <w:rFonts w:eastAsiaTheme="minorEastAsia"/>
                <w:lang w:eastAsia="en-AU"/>
              </w:rPr>
              <w:t>Trust funds</w:t>
            </w:r>
          </w:p>
        </w:tc>
        <w:tc>
          <w:tcPr>
            <w:tcW w:w="1036" w:type="dxa"/>
            <w:tcBorders>
              <w:top w:val="nil"/>
              <w:left w:val="nil"/>
              <w:bottom w:val="single" w:sz="6" w:space="0" w:color="auto"/>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 xml:space="preserve"> 811.0</w:t>
            </w:r>
          </w:p>
        </w:tc>
        <w:tc>
          <w:tcPr>
            <w:tcW w:w="1036" w:type="dxa"/>
            <w:tcBorders>
              <w:top w:val="nil"/>
              <w:left w:val="nil"/>
              <w:bottom w:val="single" w:sz="6" w:space="0" w:color="auto"/>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 xml:space="preserve"> 837.8</w:t>
            </w:r>
          </w:p>
        </w:tc>
        <w:tc>
          <w:tcPr>
            <w:tcW w:w="1036" w:type="dxa"/>
            <w:tcBorders>
              <w:top w:val="nil"/>
              <w:left w:val="nil"/>
              <w:bottom w:val="single" w:sz="6" w:space="0" w:color="auto"/>
              <w:right w:val="nil"/>
            </w:tcBorders>
            <w:shd w:val="solid" w:color="FFFFFF" w:fill="auto"/>
          </w:tcPr>
          <w:p w:rsidR="00B958B1" w:rsidRPr="00476AF0" w:rsidRDefault="00B958B1" w:rsidP="009F3B54">
            <w:pPr>
              <w:pStyle w:val="TableofFigures"/>
              <w:rPr>
                <w:rFonts w:eastAsiaTheme="minorEastAsia" w:cs="Calibri"/>
                <w:lang w:eastAsia="en-AU"/>
              </w:rPr>
            </w:pPr>
            <w:r w:rsidRPr="00476AF0">
              <w:rPr>
                <w:rFonts w:eastAsiaTheme="minorEastAsia" w:cs="Calibri"/>
                <w:lang w:eastAsia="en-AU"/>
              </w:rPr>
              <w:t>1 456.0</w:t>
            </w:r>
          </w:p>
        </w:tc>
      </w:tr>
      <w:tr w:rsidR="00B958B1" w:rsidRPr="00476AF0" w:rsidTr="009F3B54">
        <w:trPr>
          <w:cantSplit/>
        </w:trPr>
        <w:tc>
          <w:tcPr>
            <w:tcW w:w="4665" w:type="dxa"/>
            <w:tcBorders>
              <w:top w:val="nil"/>
              <w:left w:val="nil"/>
              <w:bottom w:val="single" w:sz="12" w:space="0" w:color="auto"/>
              <w:right w:val="nil"/>
            </w:tcBorders>
            <w:shd w:val="solid" w:color="FFFFFF" w:fill="auto"/>
          </w:tcPr>
          <w:p w:rsidR="00B958B1" w:rsidRPr="00476AF0" w:rsidRDefault="00B958B1" w:rsidP="009F3B54">
            <w:pPr>
              <w:pStyle w:val="Tabletext"/>
              <w:rPr>
                <w:rFonts w:eastAsiaTheme="minorEastAsia"/>
                <w:b/>
                <w:bCs/>
                <w:lang w:eastAsia="en-AU"/>
              </w:rPr>
            </w:pPr>
            <w:r w:rsidRPr="00476AF0">
              <w:rPr>
                <w:rFonts w:eastAsiaTheme="minorEastAsia"/>
                <w:b/>
                <w:bCs/>
                <w:lang w:eastAsia="en-AU"/>
              </w:rPr>
              <w:t>Total parliamentary authority</w:t>
            </w:r>
          </w:p>
        </w:tc>
        <w:tc>
          <w:tcPr>
            <w:tcW w:w="1036" w:type="dxa"/>
            <w:tcBorders>
              <w:top w:val="nil"/>
              <w:left w:val="nil"/>
              <w:bottom w:val="single" w:sz="12" w:space="0" w:color="auto"/>
              <w:right w:val="nil"/>
            </w:tcBorders>
            <w:shd w:val="solid" w:color="FFFFFF" w:fill="auto"/>
          </w:tcPr>
          <w:p w:rsidR="00B958B1" w:rsidRPr="00476AF0" w:rsidRDefault="00B958B1" w:rsidP="009F3B54">
            <w:pPr>
              <w:pStyle w:val="TableofFigures"/>
              <w:rPr>
                <w:rFonts w:eastAsiaTheme="minorEastAsia" w:cs="Calibri"/>
                <w:b/>
                <w:bCs/>
                <w:lang w:eastAsia="en-AU"/>
              </w:rPr>
            </w:pPr>
            <w:r w:rsidRPr="00476AF0">
              <w:rPr>
                <w:rFonts w:eastAsiaTheme="minorEastAsia" w:cs="Calibri"/>
                <w:b/>
                <w:bCs/>
                <w:lang w:eastAsia="en-AU"/>
              </w:rPr>
              <w:t>8 715.2</w:t>
            </w:r>
          </w:p>
        </w:tc>
        <w:tc>
          <w:tcPr>
            <w:tcW w:w="1036" w:type="dxa"/>
            <w:tcBorders>
              <w:top w:val="nil"/>
              <w:left w:val="nil"/>
              <w:bottom w:val="single" w:sz="12" w:space="0" w:color="auto"/>
              <w:right w:val="nil"/>
            </w:tcBorders>
            <w:shd w:val="solid" w:color="FFFFFF" w:fill="auto"/>
          </w:tcPr>
          <w:p w:rsidR="00B958B1" w:rsidRPr="00476AF0" w:rsidRDefault="00B958B1" w:rsidP="009F3B54">
            <w:pPr>
              <w:pStyle w:val="TableofFigures"/>
              <w:rPr>
                <w:rFonts w:eastAsiaTheme="minorEastAsia" w:cs="Calibri"/>
                <w:b/>
                <w:bCs/>
                <w:lang w:eastAsia="en-AU"/>
              </w:rPr>
            </w:pPr>
            <w:r w:rsidRPr="00476AF0">
              <w:rPr>
                <w:rFonts w:eastAsiaTheme="minorEastAsia" w:cs="Calibri"/>
                <w:b/>
                <w:bCs/>
                <w:lang w:eastAsia="en-AU"/>
              </w:rPr>
              <w:t>8 105.3</w:t>
            </w:r>
          </w:p>
        </w:tc>
        <w:tc>
          <w:tcPr>
            <w:tcW w:w="1036" w:type="dxa"/>
            <w:tcBorders>
              <w:top w:val="nil"/>
              <w:left w:val="nil"/>
              <w:bottom w:val="single" w:sz="12" w:space="0" w:color="auto"/>
              <w:right w:val="nil"/>
            </w:tcBorders>
            <w:shd w:val="solid" w:color="FFFFFF" w:fill="auto"/>
          </w:tcPr>
          <w:p w:rsidR="00B958B1" w:rsidRPr="00476AF0" w:rsidRDefault="00B958B1" w:rsidP="009F3B54">
            <w:pPr>
              <w:pStyle w:val="TableofFigures"/>
              <w:rPr>
                <w:rFonts w:eastAsiaTheme="minorEastAsia" w:cs="Calibri"/>
                <w:b/>
                <w:bCs/>
                <w:lang w:eastAsia="en-AU"/>
              </w:rPr>
            </w:pPr>
            <w:r w:rsidRPr="00476AF0">
              <w:rPr>
                <w:rFonts w:eastAsiaTheme="minorEastAsia" w:cs="Calibri"/>
                <w:b/>
                <w:bCs/>
                <w:lang w:eastAsia="en-AU"/>
              </w:rPr>
              <w:t>9 654.3</w:t>
            </w:r>
          </w:p>
        </w:tc>
      </w:tr>
    </w:tbl>
    <w:p w:rsidR="00B958B1" w:rsidRDefault="00B958B1" w:rsidP="00175147">
      <w:pPr>
        <w:pStyle w:val="Source"/>
        <w:rPr>
          <w:lang w:eastAsia="en-AU"/>
        </w:rPr>
      </w:pPr>
      <w:r w:rsidRPr="005322D7">
        <w:rPr>
          <w:lang w:eastAsia="en-AU"/>
        </w:rPr>
        <w:t>Sources: Departments of Transport</w:t>
      </w:r>
      <w:r w:rsidRPr="005322D7">
        <w:t>, Planning and Local Infrastructure</w:t>
      </w:r>
      <w:r w:rsidRPr="005322D7">
        <w:rPr>
          <w:lang w:eastAsia="en-AU"/>
        </w:rPr>
        <w:t xml:space="preserve"> and Treasury and Finance</w:t>
      </w:r>
      <w:r>
        <w:fldChar w:fldCharType="begin"/>
      </w:r>
      <w:r>
        <w:instrText xml:space="preserve"> XE "</w:instrText>
      </w:r>
      <w:r w:rsidRPr="000C26B8">
        <w:instrText>Department of Transport, Planning and Local Infrastructure:</w:instrText>
      </w:r>
      <w:r>
        <w:instrText xml:space="preserve">Parliamentary authority for resources" </w:instrText>
      </w:r>
      <w:r>
        <w:fldChar w:fldCharType="end"/>
      </w:r>
    </w:p>
    <w:p w:rsidR="00B958B1" w:rsidRPr="009B3704" w:rsidRDefault="00B958B1" w:rsidP="009F3B54">
      <w:pPr>
        <w:pStyle w:val="OGHeading1"/>
        <w:rPr>
          <w:lang w:eastAsia="en-AU"/>
        </w:rPr>
      </w:pPr>
      <w:bookmarkStart w:id="138" w:name="BP3DTPLITransSafetyandSecure"/>
      <w:r w:rsidRPr="009B3704">
        <w:rPr>
          <w:lang w:eastAsia="en-AU"/>
        </w:rPr>
        <w:t>Transport Safety and Security</w:t>
      </w:r>
    </w:p>
    <w:p w:rsidR="00B958B1" w:rsidRDefault="00B958B1" w:rsidP="009F3B54">
      <w:pPr>
        <w:pStyle w:val="OGText"/>
        <w:rPr>
          <w:lang w:eastAsia="en-AU"/>
        </w:rPr>
      </w:pPr>
      <w:r w:rsidRPr="009B3704">
        <w:rPr>
          <w:lang w:eastAsia="en-AU"/>
        </w:rPr>
        <w:t>This output group delivers initiatives and regulatory activities that will improve safety on Victoria's roads, public transport and waterways. This output group also includes activities aimed at maintaining the security of critical transport infrastructure and ensuring preparedness to respond to emergency situations within the transport system.</w:t>
      </w:r>
    </w:p>
    <w:tbl>
      <w:tblPr>
        <w:tblW w:w="7782" w:type="dxa"/>
        <w:tblInd w:w="29" w:type="dxa"/>
        <w:tblLayout w:type="fixed"/>
        <w:tblCellMar>
          <w:left w:w="43" w:type="dxa"/>
          <w:right w:w="43" w:type="dxa"/>
        </w:tblCellMar>
        <w:tblLook w:val="04A0" w:firstRow="1" w:lastRow="0" w:firstColumn="1" w:lastColumn="0" w:noHBand="0" w:noVBand="1"/>
      </w:tblPr>
      <w:tblGrid>
        <w:gridCol w:w="3154"/>
        <w:gridCol w:w="121"/>
        <w:gridCol w:w="787"/>
        <w:gridCol w:w="907"/>
        <w:gridCol w:w="994"/>
        <w:gridCol w:w="907"/>
        <w:gridCol w:w="906"/>
        <w:gridCol w:w="6"/>
      </w:tblGrid>
      <w:tr w:rsidR="00B958B1" w:rsidRPr="00773447" w:rsidTr="009F3B54">
        <w:trPr>
          <w:cantSplit/>
          <w:tblHeader/>
        </w:trPr>
        <w:tc>
          <w:tcPr>
            <w:tcW w:w="3154" w:type="dxa"/>
            <w:tcBorders>
              <w:top w:val="single" w:sz="4" w:space="0" w:color="auto"/>
              <w:left w:val="single" w:sz="4" w:space="0" w:color="auto"/>
              <w:bottom w:val="single" w:sz="4" w:space="0" w:color="auto"/>
              <w:right w:val="nil"/>
            </w:tcBorders>
            <w:shd w:val="clear" w:color="auto" w:fill="000000"/>
            <w:vAlign w:val="bottom"/>
          </w:tcPr>
          <w:p w:rsidR="00B958B1" w:rsidRPr="00773447" w:rsidRDefault="00B958B1" w:rsidP="009F3B54">
            <w:pPr>
              <w:spacing w:before="30" w:after="30"/>
              <w:rPr>
                <w:rFonts w:ascii="Calibri" w:hAnsi="Calibri"/>
                <w:b/>
                <w:i/>
                <w:sz w:val="20"/>
                <w:szCs w:val="18"/>
                <w:lang w:eastAsia="en-AU"/>
              </w:rPr>
            </w:pPr>
            <w:r w:rsidRPr="00773447">
              <w:rPr>
                <w:rFonts w:ascii="Calibri" w:hAnsi="Calibri"/>
                <w:b/>
                <w:sz w:val="20"/>
                <w:szCs w:val="18"/>
                <w:lang w:eastAsia="en-AU"/>
              </w:rPr>
              <w:t>Major Outputs/Deliverables</w:t>
            </w:r>
            <w:r w:rsidRPr="00773447">
              <w:rPr>
                <w:rFonts w:ascii="Calibri" w:hAnsi="Calibri"/>
                <w:b/>
                <w:sz w:val="20"/>
                <w:szCs w:val="18"/>
                <w:lang w:eastAsia="en-AU"/>
              </w:rPr>
              <w:br/>
            </w:r>
            <w:r w:rsidRPr="00773447">
              <w:rPr>
                <w:rFonts w:ascii="Calibri" w:hAnsi="Calibri"/>
                <w:i/>
                <w:sz w:val="20"/>
                <w:szCs w:val="18"/>
                <w:lang w:eastAsia="en-AU"/>
              </w:rPr>
              <w:t>Performance measures</w:t>
            </w:r>
          </w:p>
        </w:tc>
        <w:tc>
          <w:tcPr>
            <w:tcW w:w="908" w:type="dxa"/>
            <w:gridSpan w:val="2"/>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center"/>
              <w:rPr>
                <w:rFonts w:ascii="Calibri" w:hAnsi="Calibri"/>
                <w:b/>
                <w:sz w:val="20"/>
                <w:szCs w:val="18"/>
                <w:lang w:eastAsia="en-AU"/>
              </w:rPr>
            </w:pPr>
            <w:r w:rsidRPr="00773447">
              <w:rPr>
                <w:rFonts w:ascii="Calibri" w:hAnsi="Calibri"/>
                <w:b/>
                <w:sz w:val="20"/>
                <w:szCs w:val="18"/>
                <w:lang w:eastAsia="en-AU"/>
              </w:rPr>
              <w:t xml:space="preserve">Unit of </w:t>
            </w:r>
            <w:r w:rsidRPr="00773447">
              <w:rPr>
                <w:rFonts w:ascii="Calibri" w:hAnsi="Calibri"/>
                <w:b/>
                <w:sz w:val="20"/>
                <w:szCs w:val="18"/>
                <w:lang w:eastAsia="en-AU"/>
              </w:rPr>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2013</w:t>
            </w:r>
            <w:r w:rsidR="009F0F49">
              <w:rPr>
                <w:rFonts w:ascii="Calibri" w:hAnsi="Calibri"/>
                <w:b/>
                <w:sz w:val="20"/>
                <w:szCs w:val="18"/>
              </w:rPr>
              <w:noBreakHyphen/>
            </w:r>
            <w:r w:rsidRPr="00773447">
              <w:rPr>
                <w:rFonts w:ascii="Calibri" w:hAnsi="Calibri"/>
                <w:b/>
                <w:sz w:val="20"/>
                <w:szCs w:val="18"/>
              </w:rPr>
              <w:t>14 Target</w:t>
            </w:r>
          </w:p>
        </w:tc>
        <w:tc>
          <w:tcPr>
            <w:tcW w:w="994"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2012</w:t>
            </w:r>
            <w:r w:rsidR="009F0F49">
              <w:rPr>
                <w:rFonts w:ascii="Calibri" w:hAnsi="Calibri"/>
                <w:b/>
                <w:sz w:val="20"/>
                <w:szCs w:val="18"/>
              </w:rPr>
              <w:noBreakHyphen/>
            </w:r>
            <w:r w:rsidRPr="00773447">
              <w:rPr>
                <w:rFonts w:ascii="Calibri" w:hAnsi="Calibri"/>
                <w:b/>
                <w:sz w:val="20"/>
                <w:szCs w:val="18"/>
              </w:rPr>
              <w:t>13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2012</w:t>
            </w:r>
            <w:r w:rsidR="009F0F49">
              <w:rPr>
                <w:rFonts w:ascii="Calibri" w:hAnsi="Calibri"/>
                <w:b/>
                <w:sz w:val="20"/>
                <w:szCs w:val="18"/>
              </w:rPr>
              <w:noBreakHyphen/>
            </w:r>
            <w:r w:rsidRPr="00773447">
              <w:rPr>
                <w:rFonts w:ascii="Calibri" w:hAnsi="Calibri"/>
                <w:b/>
                <w:sz w:val="20"/>
                <w:szCs w:val="18"/>
              </w:rPr>
              <w:t>13 Target</w:t>
            </w:r>
          </w:p>
        </w:tc>
        <w:tc>
          <w:tcPr>
            <w:tcW w:w="912" w:type="dxa"/>
            <w:gridSpan w:val="2"/>
            <w:tcBorders>
              <w:top w:val="single" w:sz="4" w:space="0" w:color="auto"/>
              <w:left w:val="nil"/>
              <w:bottom w:val="single" w:sz="4" w:space="0" w:color="auto"/>
              <w:right w:val="single" w:sz="4" w:space="0" w:color="auto"/>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2011</w:t>
            </w:r>
            <w:r w:rsidR="009F0F49">
              <w:rPr>
                <w:rFonts w:ascii="Calibri" w:hAnsi="Calibri"/>
                <w:b/>
                <w:sz w:val="20"/>
                <w:szCs w:val="18"/>
              </w:rPr>
              <w:noBreakHyphen/>
            </w:r>
            <w:r w:rsidRPr="00773447">
              <w:rPr>
                <w:rFonts w:ascii="Calibri" w:hAnsi="Calibri"/>
                <w:b/>
                <w:sz w:val="20"/>
                <w:szCs w:val="18"/>
              </w:rPr>
              <w:t>12 Actual</w:t>
            </w:r>
          </w:p>
        </w:tc>
      </w:tr>
      <w:tr w:rsidR="00B958B1" w:rsidRPr="00931122" w:rsidTr="009F3B54">
        <w:trPr>
          <w:gridAfter w:val="1"/>
          <w:wAfter w:w="6" w:type="dxa"/>
          <w:cantSplit/>
        </w:trPr>
        <w:tc>
          <w:tcPr>
            <w:tcW w:w="7776" w:type="dxa"/>
            <w:gridSpan w:val="7"/>
            <w:tcBorders>
              <w:top w:val="nil"/>
              <w:left w:val="nil"/>
              <w:right w:val="nil"/>
            </w:tcBorders>
            <w:shd w:val="clear" w:color="auto" w:fill="auto"/>
            <w:vAlign w:val="bottom"/>
            <w:hideMark/>
          </w:tcPr>
          <w:p w:rsidR="00B958B1" w:rsidRPr="00931122" w:rsidRDefault="00B958B1" w:rsidP="009F3B54">
            <w:pPr>
              <w:pStyle w:val="OGHeading2"/>
            </w:pPr>
            <w:r w:rsidRPr="00931122">
              <w:t>Transport Safety Regulation and Investigations</w:t>
            </w:r>
          </w:p>
        </w:tc>
      </w:tr>
      <w:tr w:rsidR="00B958B1" w:rsidRPr="00627E76"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627E76" w:rsidRDefault="00B958B1" w:rsidP="009F3B54">
            <w:pPr>
              <w:pStyle w:val="OGText"/>
            </w:pPr>
            <w:r w:rsidRPr="00627E76">
              <w:t>This output provides the regulatory framework, administration and independent safety investigations for the safe operation of transport services in Victoria. This output supports the Department's objective to provide safer transport services and infrastructure.</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Quantity</w:t>
            </w:r>
          </w:p>
        </w:tc>
        <w:tc>
          <w:tcPr>
            <w:tcW w:w="908" w:type="dxa"/>
            <w:gridSpan w:val="2"/>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Road vehicle and driver regulation: driver licences renewed</w:t>
            </w:r>
          </w:p>
        </w:tc>
        <w:tc>
          <w:tcPr>
            <w:tcW w:w="908" w:type="dxa"/>
            <w:gridSpan w:val="2"/>
            <w:tcBorders>
              <w:top w:val="nil"/>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 (000)</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746</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670</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690</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633</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higher 2013</w:t>
            </w:r>
            <w:r w:rsidR="009F0F49">
              <w:noBreakHyphen/>
            </w:r>
            <w:r w:rsidRPr="009B3704">
              <w:t>14 Target reflects the number of licences due to expire in 2013</w:t>
            </w:r>
            <w:r w:rsidR="009F0F49">
              <w:noBreakHyphen/>
            </w:r>
            <w:r w:rsidRPr="009B3704">
              <w:t>14, adjusting for the estimated non</w:t>
            </w:r>
            <w:r w:rsidR="009F0F49">
              <w:noBreakHyphen/>
            </w:r>
            <w:r w:rsidRPr="009B3704">
              <w:t>renewal rate</w:t>
            </w:r>
            <w:r>
              <w:t>.</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Road vehicle and driver regulation: new driver licences issued</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 (000)</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185</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183</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180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172</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higher 2013</w:t>
            </w:r>
            <w:r w:rsidR="009F0F49">
              <w:noBreakHyphen/>
            </w:r>
            <w:r>
              <w:t xml:space="preserve">14 Target reflects </w:t>
            </w:r>
            <w:r w:rsidRPr="009B3704">
              <w:t>forecast growth in the number of new driver licences issued, based on demographic and economic indicators and historical movements.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Road vehicle and driver regulation: new vehicle registrations issued</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 (000)</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559</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543</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553</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527</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higher 2013</w:t>
            </w:r>
            <w:r w:rsidR="009F0F49">
              <w:noBreakHyphen/>
            </w:r>
            <w:r w:rsidRPr="009B3704">
              <w:t xml:space="preserve">14 Target </w:t>
            </w:r>
            <w:r>
              <w:t>reflects</w:t>
            </w:r>
            <w:r w:rsidRPr="009B3704">
              <w:t xml:space="preserve"> forecast growth in the number of new vehicle registrations issued, based on demographic and economic indicators and historical movements.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Road vehicle and driver regulation: vehicle and driver information requests processed</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 (000)</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4</w:t>
            </w:r>
            <w:r>
              <w:rPr>
                <w:lang w:eastAsia="en-AU"/>
              </w:rPr>
              <w:t> </w:t>
            </w:r>
            <w:r w:rsidRPr="009B3704">
              <w:rPr>
                <w:lang w:eastAsia="en-AU"/>
              </w:rPr>
              <w:t>250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4</w:t>
            </w:r>
            <w:r>
              <w:rPr>
                <w:lang w:eastAsia="en-AU"/>
              </w:rPr>
              <w:t> </w:t>
            </w:r>
            <w:r w:rsidRPr="009B3704">
              <w:rPr>
                <w:lang w:eastAsia="en-AU"/>
              </w:rPr>
              <w:t>168</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w:t>
            </w:r>
            <w:r>
              <w:rPr>
                <w:lang w:eastAsia="en-AU"/>
              </w:rPr>
              <w:t> </w:t>
            </w:r>
            <w:r w:rsidRPr="009B3704">
              <w:rPr>
                <w:lang w:eastAsia="en-AU"/>
              </w:rPr>
              <w:t>790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4</w:t>
            </w:r>
            <w:r>
              <w:rPr>
                <w:lang w:eastAsia="en-AU"/>
              </w:rPr>
              <w:t> </w:t>
            </w:r>
            <w:r w:rsidRPr="009B3704">
              <w:rPr>
                <w:lang w:eastAsia="en-AU"/>
              </w:rPr>
              <w:t>052</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The 2012</w:t>
            </w:r>
            <w:r w:rsidR="009F0F49">
              <w:noBreakHyphen/>
            </w:r>
            <w:r w:rsidRPr="009B3704">
              <w:t>13 Expected Outcome is higher than the 2012</w:t>
            </w:r>
            <w:r w:rsidR="009F0F49">
              <w:noBreakHyphen/>
            </w:r>
            <w:r w:rsidRPr="009B3704">
              <w:t xml:space="preserve">13 Target due to an increasing trend in the number of information requests from toll road operators and councils. </w:t>
            </w:r>
          </w:p>
          <w:p w:rsidR="00B958B1" w:rsidRPr="009B3704" w:rsidRDefault="00B958B1" w:rsidP="009F3B54">
            <w:pPr>
              <w:pStyle w:val="OGNotes"/>
            </w:pPr>
            <w:r w:rsidRPr="009B3704">
              <w:t>The higher 2013</w:t>
            </w:r>
            <w:r w:rsidR="009F0F49">
              <w:noBreakHyphen/>
            </w:r>
            <w:r w:rsidRPr="009B3704">
              <w:t xml:space="preserve">14 Target </w:t>
            </w:r>
            <w:r>
              <w:t>reflects a</w:t>
            </w:r>
            <w:r w:rsidRPr="009B3704">
              <w:t xml:space="preserve"> continued increase in information requests by toll road operators.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Road vehicle and driver regulation: vehicle registration transfers</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 (000)</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849</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838</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827</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807</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higher 2013</w:t>
            </w:r>
            <w:r w:rsidR="009F0F49">
              <w:noBreakHyphen/>
            </w:r>
            <w:r w:rsidRPr="009B3704">
              <w:t xml:space="preserve">14 Target </w:t>
            </w:r>
            <w:r>
              <w:t>reflects</w:t>
            </w:r>
            <w:r w:rsidRPr="009B3704">
              <w:t xml:space="preserve"> forecast growth in the</w:t>
            </w:r>
            <w:r>
              <w:t xml:space="preserve"> number of vehicle registration</w:t>
            </w:r>
            <w:r w:rsidRPr="009B3704">
              <w:t xml:space="preserve"> transfers, based on demographic and economic indicators and historical movements.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Road vehicle and driver regulation: vehicle registrations renewed</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 (000)</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5</w:t>
            </w:r>
            <w:r>
              <w:rPr>
                <w:lang w:eastAsia="en-AU"/>
              </w:rPr>
              <w:t> </w:t>
            </w:r>
            <w:r w:rsidRPr="009B3704">
              <w:rPr>
                <w:lang w:eastAsia="en-AU"/>
              </w:rPr>
              <w:t>207</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5</w:t>
            </w:r>
            <w:r>
              <w:rPr>
                <w:lang w:eastAsia="en-AU"/>
              </w:rPr>
              <w:t> </w:t>
            </w:r>
            <w:r w:rsidRPr="009B3704">
              <w:rPr>
                <w:lang w:eastAsia="en-AU"/>
              </w:rPr>
              <w:t>085</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5</w:t>
            </w:r>
            <w:r>
              <w:rPr>
                <w:lang w:eastAsia="en-AU"/>
              </w:rPr>
              <w:t> </w:t>
            </w:r>
            <w:r w:rsidRPr="009B3704">
              <w:rPr>
                <w:lang w:eastAsia="en-AU"/>
              </w:rPr>
              <w:t>110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4</w:t>
            </w:r>
            <w:r>
              <w:rPr>
                <w:lang w:eastAsia="en-AU"/>
              </w:rPr>
              <w:t> </w:t>
            </w:r>
            <w:r w:rsidRPr="009B3704">
              <w:rPr>
                <w:lang w:eastAsia="en-AU"/>
              </w:rPr>
              <w:t>921</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higher 2013</w:t>
            </w:r>
            <w:r w:rsidR="009F0F49">
              <w:noBreakHyphen/>
            </w:r>
            <w:r w:rsidRPr="009B3704">
              <w:t xml:space="preserve">14 Target </w:t>
            </w:r>
            <w:r>
              <w:t>reflects</w:t>
            </w:r>
            <w:r w:rsidRPr="009B3704">
              <w:t xml:space="preserve"> forecast growth in the </w:t>
            </w:r>
            <w:r>
              <w:t xml:space="preserve">number of vehicle registration </w:t>
            </w:r>
            <w:r w:rsidRPr="009B3704">
              <w:t>renewals, based on demographic and economic indicators and historical movements.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keepNext/>
              <w:rPr>
                <w:lang w:eastAsia="en-AU"/>
              </w:rPr>
            </w:pPr>
            <w:r w:rsidRPr="009B3704">
              <w:rPr>
                <w:lang w:eastAsia="en-AU"/>
              </w:rPr>
              <w:t>Taxi and hire vehicle complaints assessed</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3</w:t>
            </w:r>
            <w:r>
              <w:rPr>
                <w:lang w:eastAsia="en-AU"/>
              </w:rPr>
              <w:t> </w:t>
            </w:r>
            <w:r w:rsidRPr="009B3704">
              <w:rPr>
                <w:lang w:eastAsia="en-AU"/>
              </w:rPr>
              <w:t>250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w:t>
            </w:r>
            <w:r>
              <w:rPr>
                <w:lang w:eastAsia="en-AU"/>
              </w:rPr>
              <w:t> </w:t>
            </w:r>
            <w:r w:rsidRPr="009B3704">
              <w:rPr>
                <w:lang w:eastAsia="en-AU"/>
              </w:rPr>
              <w:t>950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w:t>
            </w:r>
            <w:r>
              <w:rPr>
                <w:lang w:eastAsia="en-AU"/>
              </w:rPr>
              <w:t> </w:t>
            </w:r>
            <w:r w:rsidRPr="009B3704">
              <w:rPr>
                <w:lang w:eastAsia="en-AU"/>
              </w:rPr>
              <w:t>100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w:t>
            </w:r>
            <w:r>
              <w:rPr>
                <w:lang w:eastAsia="en-AU"/>
              </w:rPr>
              <w:t> </w:t>
            </w:r>
            <w:r w:rsidRPr="009B3704">
              <w:rPr>
                <w:lang w:eastAsia="en-AU"/>
              </w:rPr>
              <w:t>834</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has been re</w:t>
            </w:r>
            <w:r w:rsidR="009F0F49">
              <w:noBreakHyphen/>
            </w:r>
            <w:r w:rsidRPr="009B3704">
              <w:t xml:space="preserve">categorised from quality to quantity. </w:t>
            </w:r>
          </w:p>
          <w:p w:rsidR="00B958B1" w:rsidRDefault="00B958B1" w:rsidP="009F3B54">
            <w:pPr>
              <w:pStyle w:val="OGNotes"/>
            </w:pPr>
            <w:r w:rsidRPr="009B3704">
              <w:t>The 2012</w:t>
            </w:r>
            <w:r w:rsidR="009F0F49">
              <w:noBreakHyphen/>
            </w:r>
            <w:r w:rsidRPr="009B3704">
              <w:t>13 Expected Outcome is lower than the 2012</w:t>
            </w:r>
            <w:r w:rsidR="009F0F49">
              <w:noBreakHyphen/>
            </w:r>
            <w:r w:rsidRPr="009B3704">
              <w:t xml:space="preserve">13 Target due to continuing improvements in online information regarding complaints handlings. In addition, network service providers are taking a more proactive approach to complaints management, reducing the number of complaints referred to the Victorian Taxi Directorate. </w:t>
            </w:r>
          </w:p>
          <w:p w:rsidR="00B958B1" w:rsidRPr="009B3704" w:rsidRDefault="00B958B1" w:rsidP="009F3B54">
            <w:pPr>
              <w:pStyle w:val="OGNotes"/>
            </w:pPr>
            <w:r w:rsidRPr="009B3704">
              <w:t xml:space="preserve">The </w:t>
            </w:r>
            <w:r>
              <w:t xml:space="preserve">higher </w:t>
            </w:r>
            <w:r w:rsidRPr="009B3704">
              <w:t>2013</w:t>
            </w:r>
            <w:r w:rsidR="009F0F49">
              <w:noBreakHyphen/>
            </w:r>
            <w:r>
              <w:t>14 Target reflects an</w:t>
            </w:r>
            <w:r w:rsidRPr="009B3704">
              <w:t xml:space="preserve"> expected increase in public awareness of service standards. This higher level of public awareness is expected to result in more complaints being directed to the Government regulator, rather than network service providers.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Taxi and hire vehicle inspections</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15</w:t>
            </w:r>
            <w:r>
              <w:rPr>
                <w:lang w:eastAsia="en-AU"/>
              </w:rPr>
              <w:t> </w:t>
            </w:r>
            <w:r w:rsidRPr="009B3704">
              <w:rPr>
                <w:lang w:eastAsia="en-AU"/>
              </w:rPr>
              <w:t>000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22</w:t>
            </w:r>
            <w:r>
              <w:rPr>
                <w:lang w:eastAsia="en-AU"/>
              </w:rPr>
              <w:t> </w:t>
            </w:r>
            <w:r w:rsidRPr="009B3704">
              <w:rPr>
                <w:lang w:eastAsia="en-AU"/>
              </w:rPr>
              <w:t>000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30</w:t>
            </w:r>
            <w:r>
              <w:rPr>
                <w:lang w:eastAsia="en-AU"/>
              </w:rPr>
              <w:t> </w:t>
            </w:r>
            <w:r w:rsidRPr="009B3704">
              <w:rPr>
                <w:lang w:eastAsia="en-AU"/>
              </w:rPr>
              <w:t>000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34</w:t>
            </w:r>
            <w:r>
              <w:rPr>
                <w:lang w:eastAsia="en-AU"/>
              </w:rPr>
              <w:t> </w:t>
            </w:r>
            <w:r w:rsidRPr="009B3704">
              <w:rPr>
                <w:lang w:eastAsia="en-AU"/>
              </w:rPr>
              <w:t>901</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 xml:space="preserve">The </w:t>
            </w:r>
            <w:r>
              <w:t xml:space="preserve">lower </w:t>
            </w:r>
            <w:r w:rsidRPr="009B3704">
              <w:t>2012</w:t>
            </w:r>
            <w:r w:rsidR="009F0F49">
              <w:noBreakHyphen/>
            </w:r>
            <w:r w:rsidRPr="009B3704">
              <w:t>13 Expected Outcome and 2013</w:t>
            </w:r>
            <w:r w:rsidR="009F0F49">
              <w:noBreakHyphen/>
            </w:r>
            <w:r w:rsidRPr="009B3704">
              <w:t xml:space="preserve">14 Target for vehicle inspections </w:t>
            </w:r>
            <w:r>
              <w:t xml:space="preserve">reflects </w:t>
            </w:r>
            <w:r w:rsidRPr="009B3704">
              <w:t>a reduced number of more targeted inspections being conducted in 2012</w:t>
            </w:r>
            <w:r w:rsidR="009F0F49">
              <w:noBreakHyphen/>
            </w:r>
            <w:r w:rsidRPr="009B3704">
              <w:t>13 and this trend is expected to continue in 2013</w:t>
            </w:r>
            <w:r w:rsidR="009F0F49">
              <w:noBreakHyphen/>
            </w:r>
            <w:r w:rsidRPr="009B3704">
              <w:t>14. Targeted inspections are more effective in detecting non</w:t>
            </w:r>
            <w:r w:rsidR="009F0F49">
              <w:noBreakHyphen/>
            </w:r>
            <w:r w:rsidRPr="009B3704">
              <w:t>compliance with transport safety requirements but require more time and resources.</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Transport and marine safety investigations: proportion of notified accidents with passenger fatalities and/or multiple serious passenger injuries investigated</w:t>
            </w:r>
          </w:p>
        </w:tc>
        <w:tc>
          <w:tcPr>
            <w:tcW w:w="908" w:type="dxa"/>
            <w:gridSpan w:val="2"/>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Transport safety regulation: accredited maritime training organisations and training providers audited in accordance with risk</w:t>
            </w:r>
            <w:r w:rsidR="009F0F49">
              <w:rPr>
                <w:lang w:eastAsia="en-AU"/>
              </w:rPr>
              <w:noBreakHyphen/>
            </w:r>
            <w:r w:rsidRPr="009B3704">
              <w:rPr>
                <w:lang w:eastAsia="en-AU"/>
              </w:rPr>
              <w:t>based audit plan</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proposed to replace the 2012</w:t>
            </w:r>
            <w:r w:rsidR="009F0F49">
              <w:noBreakHyphen/>
            </w:r>
            <w:r w:rsidRPr="009B3704">
              <w:t xml:space="preserve">13 performance measure 'Transport safety regulation: commercial and recreational maritime accredited training organisations and training providers audited'. It has been replaced to more accurately reflect the activities being measured and legislative obligations under the </w:t>
            </w:r>
            <w:r w:rsidRPr="00375C27">
              <w:rPr>
                <w:i w:val="0"/>
              </w:rPr>
              <w:t>Marine Safety Act 2010</w:t>
            </w:r>
            <w:r w:rsidRPr="009B3704">
              <w:t>.</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Transport safety regulation: audit of commercial maritime duty holders other than vessel owners and operators in accordance with risk</w:t>
            </w:r>
            <w:r w:rsidR="009F0F49">
              <w:rPr>
                <w:lang w:eastAsia="en-AU"/>
              </w:rPr>
              <w:noBreakHyphen/>
            </w:r>
            <w:r w:rsidRPr="009B3704">
              <w:rPr>
                <w:lang w:eastAsia="en-AU"/>
              </w:rPr>
              <w:t>based audit plan</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proposed to replace the 2012</w:t>
            </w:r>
            <w:r w:rsidR="009F0F49">
              <w:noBreakHyphen/>
            </w:r>
            <w:r w:rsidRPr="009B3704">
              <w:t xml:space="preserve">13 performance measure 'Transport safety regulation: operational safety audits performed on commercial vessel operators'. It has been replaced to more accurately reflect the activities being measured and legislative obligations under the </w:t>
            </w:r>
            <w:r w:rsidRPr="00375C27">
              <w:rPr>
                <w:i w:val="0"/>
              </w:rPr>
              <w:t>Marine Safety Act 2010</w:t>
            </w:r>
            <w:r w:rsidRPr="009B3704">
              <w:t>.</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 xml:space="preserve">Transport safety regulation: audits conducted to identify gaps between currently deemed accredited bus operators systems and the </w:t>
            </w:r>
            <w:r w:rsidRPr="003A36C5">
              <w:rPr>
                <w:i/>
                <w:lang w:eastAsia="en-AU"/>
              </w:rPr>
              <w:t>Bus Safety Act 2009 (Vic)</w:t>
            </w:r>
            <w:r w:rsidRPr="009B3704">
              <w:rPr>
                <w:lang w:eastAsia="en-AU"/>
              </w:rPr>
              <w:t xml:space="preserve"> requirements</w:t>
            </w:r>
          </w:p>
        </w:tc>
        <w:tc>
          <w:tcPr>
            <w:tcW w:w="908" w:type="dxa"/>
            <w:gridSpan w:val="2"/>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20</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20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20</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26</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Transport safety regulation: commercial vessels surveyed</w:t>
            </w:r>
          </w:p>
        </w:tc>
        <w:tc>
          <w:tcPr>
            <w:tcW w:w="908" w:type="dxa"/>
            <w:gridSpan w:val="2"/>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99</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Transport safety regulation: compliance inspections of vessel operating and zoning rules in designated high</w:t>
            </w:r>
            <w:r w:rsidR="009F0F49">
              <w:rPr>
                <w:lang w:eastAsia="en-AU"/>
              </w:rPr>
              <w:noBreakHyphen/>
            </w:r>
            <w:r w:rsidRPr="009B3704">
              <w:rPr>
                <w:lang w:eastAsia="en-AU"/>
              </w:rPr>
              <w:t>risk segments of Victorian waterways in accordance with risk</w:t>
            </w:r>
            <w:r w:rsidR="009F0F49">
              <w:rPr>
                <w:lang w:eastAsia="en-AU"/>
              </w:rPr>
              <w:noBreakHyphen/>
            </w:r>
            <w:r w:rsidRPr="009B3704">
              <w:rPr>
                <w:lang w:eastAsia="en-AU"/>
              </w:rPr>
              <w:t>based audit plan</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proposed to consolidate the 2012</w:t>
            </w:r>
            <w:r w:rsidR="009F0F49">
              <w:noBreakHyphen/>
            </w:r>
            <w:r w:rsidRPr="009B3704">
              <w:t xml:space="preserve">13 performance measures 'Transport safety regulation: designated waterways audited to determine compliance with vessel operating and zoning rules' and 'Transport safety regulation: waterway inspections undertaken' to more accurately reflect the activities being measured and legislative obligations under the </w:t>
            </w:r>
            <w:r w:rsidRPr="008B2E92">
              <w:rPr>
                <w:i w:val="0"/>
              </w:rPr>
              <w:t>Marine Safety Act 2010</w:t>
            </w:r>
            <w:r w:rsidRPr="009B3704">
              <w:t>.</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Transport safety regulation: rail safety audits/compliance inspections conducted in accordance with legislative requirements</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50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65</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80</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 xml:space="preserve">The </w:t>
            </w:r>
            <w:r>
              <w:t xml:space="preserve">lower </w:t>
            </w:r>
            <w:r w:rsidRPr="009B3704">
              <w:t>2012</w:t>
            </w:r>
            <w:r w:rsidR="009F0F49">
              <w:noBreakHyphen/>
            </w:r>
            <w:r w:rsidRPr="009B3704">
              <w:t>13 Expected Outcome and 2013</w:t>
            </w:r>
            <w:r w:rsidR="009F0F49">
              <w:noBreakHyphen/>
            </w:r>
            <w:r w:rsidRPr="009B3704">
              <w:t xml:space="preserve">14 Target </w:t>
            </w:r>
            <w:r>
              <w:t xml:space="preserve">reflects </w:t>
            </w:r>
            <w:r w:rsidRPr="009B3704">
              <w:t>the re</w:t>
            </w:r>
            <w:r w:rsidR="009F0F49">
              <w:noBreakHyphen/>
            </w:r>
            <w:r w:rsidRPr="009B3704">
              <w:t>prioritisation of resources and activities to support the transition to the National Rail Safety Regulator.</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Transport safety regulation: recreational vessel inspections undertaken in accordance with risk</w:t>
            </w:r>
            <w:r w:rsidR="009F0F49">
              <w:rPr>
                <w:lang w:eastAsia="en-AU"/>
              </w:rPr>
              <w:noBreakHyphen/>
            </w:r>
            <w:r w:rsidRPr="009B3704">
              <w:rPr>
                <w:lang w:eastAsia="en-AU"/>
              </w:rPr>
              <w:t>based audit plan</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proposed to replace the 2012</w:t>
            </w:r>
            <w:r w:rsidR="009F0F49">
              <w:noBreakHyphen/>
            </w:r>
            <w:r w:rsidRPr="009B3704">
              <w:t xml:space="preserve">13 performance measure 'Transport safety regulation: recreational vessel inspections undertaken'. It has been replaced to more accurately reflect the activities being measured and legislative obligations under the </w:t>
            </w:r>
            <w:r w:rsidRPr="008B2E92">
              <w:rPr>
                <w:i w:val="0"/>
              </w:rPr>
              <w:t>Marine Safety Act 2010</w:t>
            </w:r>
            <w:r w:rsidRPr="009B3704">
              <w:t>.</w:t>
            </w:r>
          </w:p>
        </w:tc>
      </w:tr>
      <w:tr w:rsidR="00B958B1" w:rsidRPr="009B3704"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9B3704" w:rsidRDefault="00B958B1" w:rsidP="009F3B54">
            <w:pPr>
              <w:pStyle w:val="OGTabHead"/>
              <w:rPr>
                <w:lang w:eastAsia="en-AU"/>
              </w:rPr>
            </w:pPr>
            <w:r w:rsidRPr="009B3704">
              <w:rPr>
                <w:lang w:eastAsia="en-AU"/>
              </w:rPr>
              <w:t>Quality</w:t>
            </w:r>
          </w:p>
        </w:tc>
        <w:tc>
          <w:tcPr>
            <w:tcW w:w="908" w:type="dxa"/>
            <w:gridSpan w:val="2"/>
            <w:tcBorders>
              <w:top w:val="single" w:sz="6" w:space="0" w:color="auto"/>
              <w:left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Road vehicle and driver regulation: currency of vehicle registration and driver licensing records</w:t>
            </w:r>
          </w:p>
        </w:tc>
        <w:tc>
          <w:tcPr>
            <w:tcW w:w="908" w:type="dxa"/>
            <w:gridSpan w:val="2"/>
            <w:tcBorders>
              <w:top w:val="nil"/>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99</w:t>
            </w:r>
          </w:p>
        </w:tc>
        <w:tc>
          <w:tcPr>
            <w:tcW w:w="994"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99</w:t>
            </w:r>
          </w:p>
        </w:tc>
        <w:tc>
          <w:tcPr>
            <w:tcW w:w="907"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99</w:t>
            </w:r>
          </w:p>
        </w:tc>
        <w:tc>
          <w:tcPr>
            <w:tcW w:w="906"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99</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Road vehicle and driver regulation: user satisfaction with vehicle registration and driver licensing</w:t>
            </w:r>
          </w:p>
        </w:tc>
        <w:tc>
          <w:tcPr>
            <w:tcW w:w="908" w:type="dxa"/>
            <w:gridSpan w:val="2"/>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&gt;85</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88</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&gt;85</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89</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Taxi services customer satisfaction index</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score</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70</w:t>
            </w:r>
            <w:r>
              <w:rPr>
                <w:lang w:eastAsia="en-AU"/>
              </w:rPr>
              <w:t>.0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68</w:t>
            </w:r>
            <w:r>
              <w:rPr>
                <w:lang w:eastAsia="en-AU"/>
              </w:rPr>
              <w:t>.0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69</w:t>
            </w:r>
            <w:r>
              <w:rPr>
                <w:lang w:eastAsia="en-AU"/>
              </w:rPr>
              <w:t>.0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66.6</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higher 2013</w:t>
            </w:r>
            <w:r w:rsidR="009F0F49">
              <w:noBreakHyphen/>
            </w:r>
            <w:r w:rsidRPr="009B3704">
              <w:t>14 Target reflects the anticipated improvement to customer satisfaction as a result of the establishment of the Taxi Services Commission.</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Taxis and hire vehicles conform to quality standards</w:t>
            </w:r>
          </w:p>
        </w:tc>
        <w:tc>
          <w:tcPr>
            <w:tcW w:w="908" w:type="dxa"/>
            <w:gridSpan w:val="2"/>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80</w:t>
            </w:r>
            <w:r>
              <w:rPr>
                <w:lang w:eastAsia="en-AU"/>
              </w:rPr>
              <w:t>.0</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78</w:t>
            </w:r>
            <w:r>
              <w:rPr>
                <w:lang w:eastAsia="en-AU"/>
              </w:rPr>
              <w:t>.0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80</w:t>
            </w:r>
            <w:r>
              <w:rPr>
                <w:lang w:eastAsia="en-AU"/>
              </w:rPr>
              <w:t>.0</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82</w:t>
            </w:r>
            <w:r>
              <w:rPr>
                <w:lang w:eastAsia="en-AU"/>
              </w:rPr>
              <w:t>.0</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Timeliness</w:t>
            </w:r>
          </w:p>
        </w:tc>
        <w:tc>
          <w:tcPr>
            <w:tcW w:w="908" w:type="dxa"/>
            <w:gridSpan w:val="2"/>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Road vehicle and driver regulation: average speed of calls answered in VicRoads call centres</w:t>
            </w:r>
          </w:p>
        </w:tc>
        <w:tc>
          <w:tcPr>
            <w:tcW w:w="908" w:type="dxa"/>
            <w:gridSpan w:val="2"/>
            <w:tcBorders>
              <w:top w:val="nil"/>
              <w:left w:val="nil"/>
              <w:right w:val="nil"/>
            </w:tcBorders>
            <w:shd w:val="clear" w:color="000000" w:fill="FFFFFF"/>
            <w:hideMark/>
          </w:tcPr>
          <w:p w:rsidR="00B958B1" w:rsidRPr="009B3704" w:rsidRDefault="00B958B1" w:rsidP="009F3B54">
            <w:pPr>
              <w:pStyle w:val="OGUoM"/>
              <w:rPr>
                <w:lang w:eastAsia="en-AU"/>
              </w:rPr>
            </w:pPr>
            <w:r w:rsidRPr="009B3704">
              <w:rPr>
                <w:lang w:eastAsia="en-AU"/>
              </w:rPr>
              <w:t>seconds</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240</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proposed to replace the 2012</w:t>
            </w:r>
            <w:r w:rsidR="009F0F49">
              <w:noBreakHyphen/>
            </w:r>
            <w:r w:rsidRPr="009B3704">
              <w:t>13 performance measure 'Road vehicle and driver regulation: calls answered within 30 seconds in VicRoads call centre</w:t>
            </w:r>
            <w:r>
              <w:t>s</w:t>
            </w:r>
            <w:r w:rsidRPr="009B3704">
              <w:t>'. It has been replaced to provide an improved metric that is based on customer research and reflects the service performance required at VicRoads call centres.</w:t>
            </w:r>
          </w:p>
        </w:tc>
      </w:tr>
      <w:tr w:rsidR="00B958B1" w:rsidRPr="009B3704" w:rsidTr="009F3B54">
        <w:trPr>
          <w:gridAfter w:val="1"/>
          <w:wAfter w:w="6" w:type="dxa"/>
          <w:cantSplit/>
        </w:trPr>
        <w:tc>
          <w:tcPr>
            <w:tcW w:w="3275" w:type="dxa"/>
            <w:gridSpan w:val="2"/>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Road vehicle and driver regulation: customers served within 10</w:t>
            </w:r>
            <w:r>
              <w:rPr>
                <w:lang w:eastAsia="en-AU"/>
              </w:rPr>
              <w:t> </w:t>
            </w:r>
            <w:r w:rsidRPr="009B3704">
              <w:rPr>
                <w:lang w:eastAsia="en-AU"/>
              </w:rPr>
              <w:t>minutes in VicRoads Customer Service Centres</w:t>
            </w:r>
          </w:p>
        </w:tc>
        <w:tc>
          <w:tcPr>
            <w:tcW w:w="787"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80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75</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71</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2012</w:t>
            </w:r>
            <w:r w:rsidR="009F0F49">
              <w:noBreakHyphen/>
            </w:r>
            <w:r w:rsidRPr="009B3704">
              <w:t>13 Expected Outcome is lower than the 2012</w:t>
            </w:r>
            <w:r w:rsidR="009F0F49">
              <w:noBreakHyphen/>
            </w:r>
            <w:r w:rsidRPr="009B3704">
              <w:t>13 Target due to growth in demand for complex transactions requiring longer time to complete.</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Road vehicle and driver regulation: new and renewed driving instructor authority applications processed within 14</w:t>
            </w:r>
            <w:r>
              <w:rPr>
                <w:lang w:eastAsia="en-AU"/>
              </w:rPr>
              <w:t> </w:t>
            </w:r>
            <w:r w:rsidRPr="009B3704">
              <w:rPr>
                <w:lang w:eastAsia="en-AU"/>
              </w:rPr>
              <w:t>days</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85</w:t>
            </w:r>
            <w:r>
              <w:rPr>
                <w:lang w:eastAsia="en-AU"/>
              </w:rPr>
              <w:t>.0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98</w:t>
            </w:r>
            <w:r>
              <w:rPr>
                <w:lang w:eastAsia="en-AU"/>
              </w:rPr>
              <w:t>.0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98</w:t>
            </w:r>
            <w:r>
              <w:rPr>
                <w:lang w:eastAsia="en-AU"/>
              </w:rPr>
              <w:t>.0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lower 2013</w:t>
            </w:r>
            <w:r w:rsidR="009F0F49">
              <w:noBreakHyphen/>
            </w:r>
            <w:r w:rsidRPr="009B3704">
              <w:t>14 Target reflects an expected increase in general demand on accreditation and licensing staff following significant changes anticipated in the taxi and hire vehicle industry. The increased general demand on staff is expected to result in fewer applications being able to be processed within 14 days.</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Taxi and hire vehicle complaints investigated and closed within 45</w:t>
            </w:r>
            <w:r>
              <w:rPr>
                <w:lang w:eastAsia="en-AU"/>
              </w:rPr>
              <w:t> </w:t>
            </w:r>
            <w:r w:rsidRPr="009B3704">
              <w:rPr>
                <w:lang w:eastAsia="en-AU"/>
              </w:rPr>
              <w:t>days</w:t>
            </w:r>
          </w:p>
        </w:tc>
        <w:tc>
          <w:tcPr>
            <w:tcW w:w="908" w:type="dxa"/>
            <w:gridSpan w:val="2"/>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85</w:t>
            </w:r>
            <w:r>
              <w:rPr>
                <w:lang w:eastAsia="en-AU"/>
              </w:rPr>
              <w:t>.0</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85</w:t>
            </w:r>
            <w:r>
              <w:rPr>
                <w:lang w:eastAsia="en-AU"/>
              </w:rPr>
              <w:t>.0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85</w:t>
            </w:r>
            <w:r>
              <w:rPr>
                <w:lang w:eastAsia="en-AU"/>
              </w:rPr>
              <w:t>.0</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86</w:t>
            </w:r>
            <w:r>
              <w:rPr>
                <w:lang w:eastAsia="en-AU"/>
              </w:rPr>
              <w:t>.0</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Taxi and hire vehicle driver accreditation applications processed within 14</w:t>
            </w:r>
            <w:r>
              <w:rPr>
                <w:lang w:eastAsia="en-AU"/>
              </w:rPr>
              <w:t> </w:t>
            </w:r>
            <w:r w:rsidRPr="009B3704">
              <w:rPr>
                <w:lang w:eastAsia="en-AU"/>
              </w:rPr>
              <w:t>days</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85</w:t>
            </w:r>
            <w:r>
              <w:rPr>
                <w:lang w:eastAsia="en-AU"/>
              </w:rPr>
              <w:t>.0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98</w:t>
            </w:r>
            <w:r>
              <w:rPr>
                <w:lang w:eastAsia="en-AU"/>
              </w:rPr>
              <w:t>.0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98</w:t>
            </w:r>
            <w:r>
              <w:rPr>
                <w:lang w:eastAsia="en-AU"/>
              </w:rPr>
              <w:t>.0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 xml:space="preserve">The </w:t>
            </w:r>
            <w:r>
              <w:t xml:space="preserve">lower </w:t>
            </w:r>
            <w:r w:rsidRPr="009B3704">
              <w:t>2013</w:t>
            </w:r>
            <w:r w:rsidR="009F0F49">
              <w:noBreakHyphen/>
            </w:r>
            <w:r w:rsidRPr="009B3704">
              <w:t xml:space="preserve">14 Target </w:t>
            </w:r>
            <w:r>
              <w:t>reflects a level of demand</w:t>
            </w:r>
            <w:r w:rsidRPr="009B3704">
              <w:t xml:space="preserve"> on accreditatio</w:t>
            </w:r>
            <w:r>
              <w:t xml:space="preserve">n and licensing staff following </w:t>
            </w:r>
            <w:r w:rsidRPr="009B3704">
              <w:t>changes anticipated in the taxi and hire vehicle industry. The increased general demand on staff is expected to result in fewer applications being able to be processed within 14</w:t>
            </w:r>
            <w:r>
              <w:t> </w:t>
            </w:r>
            <w:r w:rsidRPr="009B3704">
              <w:t>days.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Taxi and hire vehicle: calls to the Victorian Taxi Directorate call centre answered within 20</w:t>
            </w:r>
            <w:r>
              <w:rPr>
                <w:lang w:eastAsia="en-AU"/>
              </w:rPr>
              <w:t> </w:t>
            </w:r>
            <w:r w:rsidRPr="009B3704">
              <w:rPr>
                <w:lang w:eastAsia="en-AU"/>
              </w:rPr>
              <w:t>seconds</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68</w:t>
            </w:r>
            <w:r>
              <w:rPr>
                <w:lang w:eastAsia="en-AU"/>
              </w:rPr>
              <w:t>.0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66</w:t>
            </w:r>
            <w:r>
              <w:rPr>
                <w:lang w:eastAsia="en-AU"/>
              </w:rPr>
              <w:t>.0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80</w:t>
            </w:r>
            <w:r>
              <w:rPr>
                <w:lang w:eastAsia="en-AU"/>
              </w:rPr>
              <w:t>.0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 xml:space="preserve">The </w:t>
            </w:r>
            <w:r>
              <w:t xml:space="preserve">lower </w:t>
            </w:r>
            <w:r w:rsidRPr="009B3704">
              <w:t>2012</w:t>
            </w:r>
            <w:r w:rsidR="009F0F49">
              <w:noBreakHyphen/>
            </w:r>
            <w:r w:rsidRPr="009B3704">
              <w:t xml:space="preserve">13 Expected Outcome </w:t>
            </w:r>
            <w:r>
              <w:t xml:space="preserve">and </w:t>
            </w:r>
            <w:r w:rsidRPr="009B3704">
              <w:t>2013</w:t>
            </w:r>
            <w:r w:rsidR="009F0F49">
              <w:noBreakHyphen/>
            </w:r>
            <w:r>
              <w:t>14 Target are due to</w:t>
            </w:r>
            <w:r w:rsidRPr="009B3704">
              <w:t xml:space="preserve"> an increase in the number of calls received, and in the average length of calls. Increased numbers and length of calls are due to the call centre managing a wider range of enquiries including accreditation and licensing matters, and queries relating to the Government's Taxi Industry Inquiry.</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Transport and marine safety investigations: accidents/incidents assessed within two days of notification to determine need for detailed investigation</w:t>
            </w:r>
          </w:p>
        </w:tc>
        <w:tc>
          <w:tcPr>
            <w:tcW w:w="908" w:type="dxa"/>
            <w:gridSpan w:val="2"/>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Transport and marine safety investigations: average time taken to complete investigations</w:t>
            </w:r>
          </w:p>
        </w:tc>
        <w:tc>
          <w:tcPr>
            <w:tcW w:w="908" w:type="dxa"/>
            <w:gridSpan w:val="2"/>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sidRPr="009B3704">
              <w:rPr>
                <w:lang w:eastAsia="en-AU"/>
              </w:rPr>
              <w:t>months</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12</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12</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12</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Transport safety regulation: applications for bus operators registrations processed on time</w:t>
            </w:r>
          </w:p>
        </w:tc>
        <w:tc>
          <w:tcPr>
            <w:tcW w:w="908" w:type="dxa"/>
            <w:gridSpan w:val="2"/>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Transport safety regulation: applications for bus safety accreditation processed on time</w:t>
            </w:r>
          </w:p>
        </w:tc>
        <w:tc>
          <w:tcPr>
            <w:tcW w:w="908" w:type="dxa"/>
            <w:gridSpan w:val="2"/>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Transport safety regulation: applications for rail accreditation and variations to accreditation processed on time</w:t>
            </w:r>
          </w:p>
        </w:tc>
        <w:tc>
          <w:tcPr>
            <w:tcW w:w="908" w:type="dxa"/>
            <w:gridSpan w:val="2"/>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r>
      <w:tr w:rsidR="00B958B1" w:rsidRPr="009B3704" w:rsidTr="009F3B54">
        <w:trPr>
          <w:gridAfter w:val="1"/>
          <w:wAfter w:w="6" w:type="dxa"/>
          <w:cantSplit/>
          <w:trHeight w:val="1253"/>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Transport safety regulation: bus safety improvement notices addressed within specified timeframes by accredited bus operators</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r>
      <w:tr w:rsidR="00B958B1" w:rsidRPr="009B3704" w:rsidTr="009F3B54">
        <w:trPr>
          <w:gridAfter w:val="1"/>
          <w:wAfter w:w="6" w:type="dxa"/>
          <w:cantSplit/>
        </w:trPr>
        <w:tc>
          <w:tcPr>
            <w:tcW w:w="7776" w:type="dxa"/>
            <w:gridSpan w:val="7"/>
            <w:tcBorders>
              <w:left w:val="nil"/>
              <w:right w:val="nil"/>
            </w:tcBorders>
            <w:shd w:val="clear" w:color="000000" w:fill="FFFFFF"/>
          </w:tcPr>
          <w:p w:rsidR="00B958B1" w:rsidRPr="009B3704" w:rsidRDefault="00B958B1" w:rsidP="009F3B54">
            <w:pPr>
              <w:pStyle w:val="OGNotes"/>
            </w:pPr>
            <w:r w:rsidRPr="00D77038">
              <w:t>This performance measure renames the 2012</w:t>
            </w:r>
            <w:r w:rsidR="009F0F49">
              <w:noBreakHyphen/>
            </w:r>
            <w:r w:rsidRPr="00D77038">
              <w:t xml:space="preserve">13 performance measure ‘Transport safety regulation: bus safety improvement notices addressed within specified timeframes by accredited bus operators’. The </w:t>
            </w:r>
            <w:r>
              <w:t>new</w:t>
            </w:r>
            <w:r w:rsidRPr="00D77038">
              <w:t xml:space="preserve"> measure has been amended to </w:t>
            </w:r>
            <w:r w:rsidRPr="008C3174">
              <w:t>more accurately reflect that the bus safety improvement notices are issued to not only the accredited bus operators but also to the registered bus operators.</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Cost</w:t>
            </w:r>
          </w:p>
        </w:tc>
        <w:tc>
          <w:tcPr>
            <w:tcW w:w="908" w:type="dxa"/>
            <w:gridSpan w:val="2"/>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Total output cost</w:t>
            </w:r>
          </w:p>
        </w:tc>
        <w:tc>
          <w:tcPr>
            <w:tcW w:w="908" w:type="dxa"/>
            <w:gridSpan w:val="2"/>
            <w:tcBorders>
              <w:top w:val="nil"/>
              <w:left w:val="nil"/>
              <w:right w:val="nil"/>
            </w:tcBorders>
            <w:shd w:val="clear" w:color="000000" w:fill="FFFFFF"/>
            <w:hideMark/>
          </w:tcPr>
          <w:p w:rsidR="00B958B1" w:rsidRPr="009B3704" w:rsidRDefault="00B958B1" w:rsidP="009F3B54">
            <w:pPr>
              <w:pStyle w:val="OGUoM"/>
              <w:rPr>
                <w:lang w:eastAsia="en-AU"/>
              </w:rPr>
            </w:pPr>
            <w:r>
              <w:rPr>
                <w:lang w:eastAsia="en-AU"/>
              </w:rPr>
              <w:t>$ million</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Pr>
                <w:lang w:eastAsia="en-AU"/>
              </w:rPr>
              <w:t>211.8</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205.2</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213.9</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207.2</w:t>
            </w:r>
          </w:p>
        </w:tc>
      </w:tr>
      <w:tr w:rsidR="00B958B1" w:rsidRPr="00724D47"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724D47" w:rsidRDefault="00B958B1" w:rsidP="009F3B54">
            <w:pPr>
              <w:pStyle w:val="OGNotes"/>
            </w:pPr>
            <w:r w:rsidRPr="00724D47">
              <w:t>The lower 2012</w:t>
            </w:r>
            <w:r w:rsidR="009F0F49">
              <w:noBreakHyphen/>
            </w:r>
            <w:r w:rsidRPr="00724D47">
              <w:t>13 Expected Outcome and 2013</w:t>
            </w:r>
            <w:r w:rsidR="009F0F49">
              <w:noBreakHyphen/>
            </w:r>
            <w:r w:rsidRPr="00724D47">
              <w:t>14 Target</w:t>
            </w:r>
            <w:r>
              <w:t xml:space="preserve"> primarily</w:t>
            </w:r>
            <w:r w:rsidRPr="00724D47">
              <w:t xml:space="preserve"> reflects the reclassification of some costs to the 'Transport Safety and Security Management Output'.</w:t>
            </w:r>
          </w:p>
        </w:tc>
      </w:tr>
      <w:tr w:rsidR="00B958B1" w:rsidRPr="009B3704" w:rsidTr="009F3B54">
        <w:trPr>
          <w:gridAfter w:val="1"/>
          <w:wAfter w:w="6" w:type="dxa"/>
          <w:cantSplit/>
        </w:trPr>
        <w:tc>
          <w:tcPr>
            <w:tcW w:w="7776" w:type="dxa"/>
            <w:gridSpan w:val="7"/>
            <w:tcBorders>
              <w:top w:val="single" w:sz="6" w:space="0" w:color="auto"/>
              <w:left w:val="nil"/>
              <w:right w:val="nil"/>
            </w:tcBorders>
            <w:shd w:val="clear" w:color="auto" w:fill="auto"/>
            <w:vAlign w:val="bottom"/>
            <w:hideMark/>
          </w:tcPr>
          <w:p w:rsidR="00B958B1" w:rsidRPr="009B3704" w:rsidRDefault="00B958B1" w:rsidP="009F3B54">
            <w:pPr>
              <w:pStyle w:val="OGHeading2"/>
              <w:rPr>
                <w:lang w:eastAsia="en-AU"/>
              </w:rPr>
            </w:pPr>
            <w:r w:rsidRPr="009B3704">
              <w:rPr>
                <w:lang w:eastAsia="en-AU"/>
              </w:rPr>
              <w:t>Transport Safety and Security Management</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Text"/>
              <w:rPr>
                <w:lang w:eastAsia="en-AU"/>
              </w:rPr>
            </w:pPr>
            <w:r w:rsidRPr="009B3704">
              <w:rPr>
                <w:lang w:eastAsia="en-AU"/>
              </w:rPr>
              <w:t>This output provides programs and initiatives that improve the safety characteristics of transport system infrastructure, including the marin</w:t>
            </w:r>
            <w:r>
              <w:rPr>
                <w:lang w:eastAsia="en-AU"/>
              </w:rPr>
              <w:t>e environment, and that promote</w:t>
            </w:r>
            <w:r w:rsidRPr="009B3704">
              <w:rPr>
                <w:lang w:eastAsia="en-AU"/>
              </w:rPr>
              <w:t xml:space="preserve"> safer behaviour by transport users. This output also provides </w:t>
            </w:r>
            <w:r>
              <w:rPr>
                <w:lang w:eastAsia="en-AU"/>
              </w:rPr>
              <w:t xml:space="preserve">for </w:t>
            </w:r>
            <w:r w:rsidRPr="009B3704">
              <w:rPr>
                <w:lang w:eastAsia="en-AU"/>
              </w:rPr>
              <w:t>management of security risks to transport services and the preparedness of the State and transport operators to respond to emergency situations within the transport system. This output supports the Department's objective to provide safer transport services and infrastructure.</w:t>
            </w:r>
          </w:p>
        </w:tc>
      </w:tr>
      <w:tr w:rsidR="00B958B1" w:rsidRPr="009B3704"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Quantity</w:t>
            </w:r>
          </w:p>
        </w:tc>
        <w:tc>
          <w:tcPr>
            <w:tcW w:w="908" w:type="dxa"/>
            <w:gridSpan w:val="2"/>
            <w:tcBorders>
              <w:top w:val="single" w:sz="6" w:space="0" w:color="auto"/>
              <w:left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Annual Boating Safety and Facilities Grant Program funding committed</w:t>
            </w:r>
          </w:p>
        </w:tc>
        <w:tc>
          <w:tcPr>
            <w:tcW w:w="908" w:type="dxa"/>
            <w:gridSpan w:val="2"/>
            <w:tcBorders>
              <w:top w:val="nil"/>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Public railway crossings upgraded</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21</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36</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36</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41</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lower 2013</w:t>
            </w:r>
            <w:r w:rsidR="009F0F49">
              <w:noBreakHyphen/>
            </w:r>
            <w:r w:rsidRPr="009B3704">
              <w:t>14 Target reflects the number of projects that are expected to be delivered under the 2013</w:t>
            </w:r>
            <w:r w:rsidR="009F0F49">
              <w:noBreakHyphen/>
            </w:r>
            <w:r w:rsidRPr="009B3704">
              <w:t>14 program.</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Road safety projects/initiatives completed: safe road users</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17</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7</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17</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38</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2012</w:t>
            </w:r>
            <w:r w:rsidR="009F0F49">
              <w:noBreakHyphen/>
            </w:r>
            <w:r w:rsidRPr="009B3704">
              <w:t>13 Expected Outcome</w:t>
            </w:r>
            <w:r>
              <w:t xml:space="preserve"> is lower than the 2012</w:t>
            </w:r>
            <w:r w:rsidR="009F0F49">
              <w:noBreakHyphen/>
            </w:r>
            <w:r>
              <w:t xml:space="preserve">13 Target primarily due to </w:t>
            </w:r>
            <w:r w:rsidRPr="009B3704">
              <w:t>the rescheduling of motorcycling initiatives pending the outcome of the Parliamentary Road Safety Committee Inquiry into Motorcycle Safety.</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Road safety projects/initiatives completed: safe roads</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164</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112</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144</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The 2012</w:t>
            </w:r>
            <w:r w:rsidR="009F0F49">
              <w:noBreakHyphen/>
            </w:r>
            <w:r w:rsidRPr="009B3704">
              <w:t xml:space="preserve">13 Expected Outcome </w:t>
            </w:r>
            <w:r>
              <w:t>is higher than the 2012</w:t>
            </w:r>
            <w:r w:rsidR="009F0F49">
              <w:noBreakHyphen/>
            </w:r>
            <w:r>
              <w:t>13 Target due to</w:t>
            </w:r>
            <w:r w:rsidRPr="009B3704">
              <w:t xml:space="preserve"> an acceleration of the safer road infrastructure program. </w:t>
            </w:r>
          </w:p>
          <w:p w:rsidR="00B958B1" w:rsidRPr="009B3704" w:rsidRDefault="00B958B1" w:rsidP="009F3B54">
            <w:pPr>
              <w:pStyle w:val="OGNotes"/>
            </w:pPr>
            <w:r w:rsidRPr="009B3704">
              <w:t>The lower 2013</w:t>
            </w:r>
            <w:r w:rsidR="009F0F49">
              <w:noBreakHyphen/>
            </w:r>
            <w:r w:rsidRPr="009B3704">
              <w:t>14 Target reflects the number of projects that are expected to be delivered in 2013</w:t>
            </w:r>
            <w:r w:rsidR="009F0F49">
              <w:noBreakHyphen/>
            </w:r>
            <w:r w:rsidRPr="009B3704">
              <w:t>14.</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keepNext/>
              <w:rPr>
                <w:lang w:eastAsia="en-AU"/>
              </w:rPr>
            </w:pPr>
            <w:r w:rsidRPr="009B3704">
              <w:rPr>
                <w:lang w:eastAsia="en-AU"/>
              </w:rPr>
              <w:t>Road safety projects/initiatives completed: safe vehicles</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7</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5</w:t>
            </w:r>
          </w:p>
        </w:tc>
      </w:tr>
      <w:tr w:rsidR="00B958B1" w:rsidRPr="009B3704" w:rsidTr="009F3B54">
        <w:trPr>
          <w:gridAfter w:val="1"/>
          <w:wAfter w:w="6" w:type="dxa"/>
          <w:cantSplit/>
          <w:trHeight w:val="669"/>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2012</w:t>
            </w:r>
            <w:r w:rsidR="009F0F49">
              <w:noBreakHyphen/>
            </w:r>
            <w:r w:rsidRPr="009B3704">
              <w:t xml:space="preserve">13 Expected Outcome </w:t>
            </w:r>
            <w:r>
              <w:t>is lower than the 2012</w:t>
            </w:r>
            <w:r w:rsidR="009F0F49">
              <w:noBreakHyphen/>
            </w:r>
            <w:r>
              <w:t xml:space="preserve">13 Target due to </w:t>
            </w:r>
            <w:r w:rsidRPr="009B3704">
              <w:t>one project</w:t>
            </w:r>
            <w:r>
              <w:t xml:space="preserve"> that was</w:t>
            </w:r>
            <w:r w:rsidRPr="009B3704">
              <w:t xml:space="preserve"> originally targeted to be completed in 2012</w:t>
            </w:r>
            <w:r w:rsidR="009F0F49">
              <w:noBreakHyphen/>
            </w:r>
            <w:r>
              <w:t>13 being discontinued</w:t>
            </w:r>
            <w:r w:rsidRPr="009B3704">
              <w:t>.</w:t>
            </w:r>
          </w:p>
          <w:p w:rsidR="00B958B1" w:rsidRPr="009B3704" w:rsidRDefault="00B958B1" w:rsidP="009F3B54">
            <w:pPr>
              <w:pStyle w:val="OGNotes"/>
            </w:pPr>
            <w:r w:rsidRPr="009B3704">
              <w:t>The lower 2013</w:t>
            </w:r>
            <w:r w:rsidR="009F0F49">
              <w:noBreakHyphen/>
            </w:r>
            <w:r w:rsidRPr="009B3704">
              <w:t>14 Target reflects the number of projects that are expected to be delivered in 2013</w:t>
            </w:r>
            <w:r w:rsidR="009F0F49">
              <w:noBreakHyphen/>
            </w:r>
            <w:r w:rsidRPr="009B3704">
              <w:t>14.</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Security and emergency management exercises coordinated or contributed to by the Department of Transport</w:t>
            </w:r>
            <w:r>
              <w:rPr>
                <w:lang w:eastAsia="en-AU"/>
              </w:rPr>
              <w:t>, Planning and Local Infrastructure</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8</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proposed to consolidate the 2012</w:t>
            </w:r>
            <w:r w:rsidR="009F0F49">
              <w:noBreakHyphen/>
            </w:r>
            <w:r w:rsidRPr="009B3704">
              <w:t>13 performance measures 'Contribution to multi agency exercise management and coordin</w:t>
            </w:r>
            <w:r>
              <w:t>ate Department of Transport</w:t>
            </w:r>
            <w:r w:rsidRPr="009B3704">
              <w:t xml:space="preserve"> portfolio involvement' and 'Infrastructure security and emergency management exercises coordinated by Department of Transport consistent with the required standard</w:t>
            </w:r>
            <w:r>
              <w:t>s</w:t>
            </w:r>
            <w:r w:rsidRPr="009B3704">
              <w:t>' into this new measure for 2013</w:t>
            </w:r>
            <w:r w:rsidR="009F0F49">
              <w:noBreakHyphen/>
            </w:r>
            <w:r>
              <w:t>14. The</w:t>
            </w:r>
            <w:r w:rsidRPr="009B3704">
              <w:t xml:space="preserve"> </w:t>
            </w:r>
            <w:r>
              <w:t xml:space="preserve">new </w:t>
            </w:r>
            <w:r w:rsidRPr="009B3704">
              <w:t>measure reports on the same activities as the previous measures however they have been consolidated to provide a more succinct description of the activities undertaken.</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Victorian marine pollution response exercises conducted by the Department of Transport</w:t>
            </w:r>
            <w:r>
              <w:rPr>
                <w:lang w:eastAsia="en-AU"/>
              </w:rPr>
              <w:t>, Planning and Local Infrastructure</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2</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renames the 2012</w:t>
            </w:r>
            <w:r w:rsidR="009F0F49">
              <w:noBreakHyphen/>
            </w:r>
            <w:r w:rsidRPr="009B3704">
              <w:t>13 performance measure 'Coordination of Victorian marine pollution response exercises'. The</w:t>
            </w:r>
            <w:r>
              <w:t xml:space="preserve"> new</w:t>
            </w:r>
            <w:r w:rsidRPr="009B3704">
              <w:t xml:space="preserve"> measure reports on the same activ</w:t>
            </w:r>
            <w:r>
              <w:t xml:space="preserve">ity as the previous measure and </w:t>
            </w:r>
            <w:r w:rsidRPr="009B3704">
              <w:t>has been amended to increase its clarity.</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9B3704">
              <w:rPr>
                <w:lang w:eastAsia="en-AU"/>
              </w:rPr>
              <w:t>Quality</w:t>
            </w:r>
          </w:p>
        </w:tc>
        <w:tc>
          <w:tcPr>
            <w:tcW w:w="908" w:type="dxa"/>
            <w:gridSpan w:val="2"/>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 xml:space="preserve">Audited Port Safety and Environment Management Plans compliant with the </w:t>
            </w:r>
            <w:r w:rsidRPr="00AD0CF3">
              <w:rPr>
                <w:i/>
                <w:lang w:eastAsia="en-AU"/>
              </w:rPr>
              <w:t>Port Management Act</w:t>
            </w:r>
          </w:p>
        </w:tc>
        <w:tc>
          <w:tcPr>
            <w:tcW w:w="908" w:type="dxa"/>
            <w:gridSpan w:val="2"/>
            <w:tcBorders>
              <w:top w:val="nil"/>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t>New</w:t>
            </w:r>
            <w:r w:rsidRPr="009B3704">
              <w:t xml:space="preserve"> performance measure for 2013</w:t>
            </w:r>
            <w:r w:rsidR="009F0F49">
              <w:noBreakHyphen/>
            </w:r>
            <w:r w:rsidRPr="009B3704">
              <w:t xml:space="preserve">14 to comply with the </w:t>
            </w:r>
            <w:r w:rsidRPr="0087250A">
              <w:rPr>
                <w:i w:val="0"/>
              </w:rPr>
              <w:t>Port Management Act 2012</w:t>
            </w:r>
            <w:r>
              <w:t>.</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Proportion of reported marine pollution incidents that are reviewed against the Victorian State Marine Pollution Contingency Plan and gazetted directions for regional control authorities</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renames the 2012</w:t>
            </w:r>
            <w:r w:rsidR="009F0F49">
              <w:noBreakHyphen/>
            </w:r>
            <w:r w:rsidRPr="009B3704">
              <w:t xml:space="preserve">13 performance measure 'Monitor reported marine pollution incidents to ensure response functions are in accordance with the Victorian State Marine Pollution Contingency Plan'. The </w:t>
            </w:r>
            <w:r>
              <w:t xml:space="preserve">new </w:t>
            </w:r>
            <w:r w:rsidRPr="009B3704">
              <w:t>measure reports on the same activ</w:t>
            </w:r>
            <w:r>
              <w:t xml:space="preserve">ity as the previous measure and </w:t>
            </w:r>
            <w:r w:rsidRPr="009B3704">
              <w:t>has been amended to increase its clarity.</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keepNext/>
              <w:rPr>
                <w:lang w:eastAsia="en-AU"/>
              </w:rPr>
            </w:pPr>
            <w:r w:rsidRPr="009B3704">
              <w:rPr>
                <w:lang w:eastAsia="en-AU"/>
              </w:rPr>
              <w:t xml:space="preserve">Review of risk management plans of declared essential services and supervision of exercises to test the plans against the prescribed standards in the </w:t>
            </w:r>
            <w:r w:rsidRPr="00AD0CF3">
              <w:rPr>
                <w:i/>
                <w:lang w:eastAsia="en-AU"/>
              </w:rPr>
              <w:t>Terrorism (Community Protection) Act 2003</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keepNext/>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keepNext/>
              <w:rPr>
                <w:lang w:eastAsia="en-AU"/>
              </w:rPr>
            </w:pPr>
            <w:r w:rsidRPr="009B3704">
              <w:rPr>
                <w:lang w:eastAsia="en-AU"/>
              </w:rPr>
              <w:t>100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keepNext/>
              <w:rPr>
                <w:lang w:eastAsia="en-AU"/>
              </w:rPr>
            </w:pPr>
            <w:r>
              <w:rPr>
                <w:lang w:eastAsia="en-AU"/>
              </w:rPr>
              <w:t>100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keepNext/>
              <w:rPr>
                <w:lang w:eastAsia="en-AU"/>
              </w:rPr>
            </w:pPr>
            <w:r>
              <w:rPr>
                <w:lang w:eastAsia="en-AU"/>
              </w:rPr>
              <w:t>100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keepNext/>
              <w:rPr>
                <w:lang w:eastAsia="en-AU"/>
              </w:rPr>
            </w:pPr>
            <w:r>
              <w:rPr>
                <w:lang w:eastAsia="en-AU"/>
              </w:rPr>
              <w:t>100</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proposed to consolidate the 2012</w:t>
            </w:r>
            <w:r w:rsidR="009F0F49">
              <w:noBreakHyphen/>
            </w:r>
            <w:r w:rsidRPr="009B3704">
              <w:t>13 performance measures 'Review of risk management plans of declared essential services for terrorism' and 'Supervision of exercises to test declared essential services risk management plans for terrorism' into a new measure for 2013</w:t>
            </w:r>
            <w:r w:rsidR="009F0F49">
              <w:noBreakHyphen/>
            </w:r>
            <w:r w:rsidRPr="009B3704">
              <w:t>14. The</w:t>
            </w:r>
            <w:r>
              <w:t xml:space="preserve"> new </w:t>
            </w:r>
            <w:r w:rsidRPr="009B3704">
              <w:t>measure reports on the same activities as the previous measures however they have been consolidated to provide a more succinct description of the activities undertaken.</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Road safety projects completed within agreed scope and standards</w:t>
            </w:r>
          </w:p>
        </w:tc>
        <w:tc>
          <w:tcPr>
            <w:tcW w:w="908" w:type="dxa"/>
            <w:gridSpan w:val="2"/>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r>
      <w:tr w:rsidR="00B958B1" w:rsidRPr="009B3704"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Timeliness</w:t>
            </w:r>
          </w:p>
        </w:tc>
        <w:tc>
          <w:tcPr>
            <w:tcW w:w="908" w:type="dxa"/>
            <w:gridSpan w:val="2"/>
            <w:tcBorders>
              <w:top w:val="single" w:sz="6" w:space="0" w:color="auto"/>
              <w:left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Initiate marine pollution response action within 60</w:t>
            </w:r>
            <w:r>
              <w:rPr>
                <w:lang w:eastAsia="en-AU"/>
              </w:rPr>
              <w:t> </w:t>
            </w:r>
            <w:r w:rsidRPr="009B3704">
              <w:rPr>
                <w:lang w:eastAsia="en-AU"/>
              </w:rPr>
              <w:t>minutes of incident notification</w:t>
            </w:r>
          </w:p>
        </w:tc>
        <w:tc>
          <w:tcPr>
            <w:tcW w:w="908" w:type="dxa"/>
            <w:gridSpan w:val="2"/>
            <w:tcBorders>
              <w:top w:val="nil"/>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Portfolio input to government response to infrastructure security and/or emergency management reviews provided within the required timeframes</w:t>
            </w:r>
          </w:p>
        </w:tc>
        <w:tc>
          <w:tcPr>
            <w:tcW w:w="908" w:type="dxa"/>
            <w:gridSpan w:val="2"/>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7"/>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proposed to replace the 2012</w:t>
            </w:r>
            <w:r w:rsidR="009F0F49">
              <w:noBreakHyphen/>
            </w:r>
            <w:r w:rsidRPr="009B3704">
              <w:t>13 performance measure 'Implementation plans developed for agreed recommendations in response to infrastructure security and/or emergency management reviews'. It has been replaced to more accurately reflect the activities undertaken.</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Road safety programmed works completed within agreed timeframes</w:t>
            </w:r>
          </w:p>
        </w:tc>
        <w:tc>
          <w:tcPr>
            <w:tcW w:w="908" w:type="dxa"/>
            <w:gridSpan w:val="2"/>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Cost</w:t>
            </w:r>
          </w:p>
        </w:tc>
        <w:tc>
          <w:tcPr>
            <w:tcW w:w="908" w:type="dxa"/>
            <w:gridSpan w:val="2"/>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Total output cost</w:t>
            </w:r>
          </w:p>
        </w:tc>
        <w:tc>
          <w:tcPr>
            <w:tcW w:w="908" w:type="dxa"/>
            <w:gridSpan w:val="2"/>
            <w:tcBorders>
              <w:top w:val="nil"/>
              <w:left w:val="nil"/>
              <w:right w:val="nil"/>
            </w:tcBorders>
            <w:shd w:val="clear" w:color="000000" w:fill="FFFFFF"/>
            <w:hideMark/>
          </w:tcPr>
          <w:p w:rsidR="00B958B1" w:rsidRPr="009B3704" w:rsidRDefault="00B958B1" w:rsidP="009F3B54">
            <w:pPr>
              <w:pStyle w:val="OGUoM"/>
              <w:rPr>
                <w:lang w:eastAsia="en-AU"/>
              </w:rPr>
            </w:pPr>
            <w:r>
              <w:rPr>
                <w:lang w:eastAsia="en-AU"/>
              </w:rPr>
              <w:t>$ million</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141.9</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121.5</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97.8</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r>
      <w:tr w:rsidR="00B958B1" w:rsidRPr="009B3704" w:rsidTr="009F3B54">
        <w:trPr>
          <w:gridAfter w:val="1"/>
          <w:wAfter w:w="6" w:type="dxa"/>
          <w:cantSplit/>
        </w:trPr>
        <w:tc>
          <w:tcPr>
            <w:tcW w:w="7776" w:type="dxa"/>
            <w:gridSpan w:val="7"/>
            <w:tcBorders>
              <w:top w:val="nil"/>
              <w:left w:val="nil"/>
              <w:bottom w:val="single" w:sz="12" w:space="0" w:color="auto"/>
              <w:right w:val="nil"/>
            </w:tcBorders>
            <w:shd w:val="clear" w:color="auto" w:fill="auto"/>
            <w:vAlign w:val="bottom"/>
            <w:hideMark/>
          </w:tcPr>
          <w:p w:rsidR="00B958B1" w:rsidRPr="009B3704" w:rsidRDefault="00B958B1" w:rsidP="009F3B54">
            <w:pPr>
              <w:pStyle w:val="OGNotes"/>
            </w:pPr>
            <w:r w:rsidRPr="009B3704">
              <w:t>The 2012</w:t>
            </w:r>
            <w:r w:rsidR="009F0F49">
              <w:noBreakHyphen/>
            </w:r>
            <w:r w:rsidRPr="009B3704">
              <w:t xml:space="preserve">13 Expected Outcome </w:t>
            </w:r>
            <w:r>
              <w:t>is higher than the 2012</w:t>
            </w:r>
            <w:r w:rsidR="009F0F49">
              <w:noBreakHyphen/>
            </w:r>
            <w:r>
              <w:t>13 Target due to</w:t>
            </w:r>
            <w:r w:rsidRPr="009B3704">
              <w:t xml:space="preserve"> the rephasing of activities from 2011</w:t>
            </w:r>
            <w:r w:rsidR="009F0F49">
              <w:noBreakHyphen/>
            </w:r>
            <w:r w:rsidRPr="009B3704">
              <w:t>12 to 2012</w:t>
            </w:r>
            <w:r w:rsidR="009F0F49">
              <w:noBreakHyphen/>
            </w:r>
            <w:r w:rsidRPr="009B3704">
              <w:t>13 and the reclassification of some costs from the 'Transport Safety Regulation and Investigations' output.</w:t>
            </w:r>
          </w:p>
          <w:p w:rsidR="00B958B1" w:rsidRPr="009B3704" w:rsidRDefault="00B958B1" w:rsidP="009F3B54">
            <w:pPr>
              <w:pStyle w:val="OGNotes"/>
            </w:pPr>
            <w:r w:rsidRPr="009B3704">
              <w:t>The higher 2013</w:t>
            </w:r>
            <w:r w:rsidR="009F0F49">
              <w:noBreakHyphen/>
            </w:r>
            <w:r w:rsidRPr="009B3704">
              <w:t xml:space="preserve">14 Target </w:t>
            </w:r>
            <w:r>
              <w:t xml:space="preserve">primarily </w:t>
            </w:r>
            <w:r w:rsidRPr="009B3704">
              <w:t xml:space="preserve">reflects additional operating funding provided under </w:t>
            </w:r>
            <w:r>
              <w:t xml:space="preserve">the </w:t>
            </w:r>
            <w:r w:rsidRPr="009B3704">
              <w:t>Road Safety Strategy 2013</w:t>
            </w:r>
            <w:r w:rsidR="009F0F49">
              <w:noBreakHyphen/>
            </w:r>
            <w:r w:rsidRPr="009B3704">
              <w:t>2022.</w:t>
            </w:r>
          </w:p>
        </w:tc>
      </w:tr>
    </w:tbl>
    <w:p w:rsidR="00B958B1" w:rsidRDefault="00B958B1" w:rsidP="009F3B54">
      <w:pPr>
        <w:pStyle w:val="Source"/>
      </w:pPr>
      <w:r>
        <w:t xml:space="preserve">Source: Department of Transport, Planning and Local Infrastructure </w:t>
      </w:r>
    </w:p>
    <w:p w:rsidR="00B958B1" w:rsidRDefault="00B958B1" w:rsidP="009F3B54">
      <w:pPr>
        <w:pStyle w:val="Source"/>
      </w:pPr>
      <w:r>
        <w:fldChar w:fldCharType="begin"/>
      </w:r>
      <w:r>
        <w:instrText xml:space="preserve"> XE "</w:instrText>
      </w:r>
      <w:r w:rsidRPr="009D6CC3">
        <w:instrText>Department of Transport, Planning and Local Infrastructure:Transport Safety and Security</w:instrText>
      </w:r>
      <w:r>
        <w:instrText xml:space="preserve">" \r "BP3DTPLITransSafetyandSecure" </w:instrText>
      </w:r>
      <w:r>
        <w:fldChar w:fldCharType="end"/>
      </w:r>
    </w:p>
    <w:bookmarkEnd w:id="138"/>
    <w:p w:rsidR="00B958B1" w:rsidRDefault="00B958B1" w:rsidP="009F3B54">
      <w:pPr>
        <w:pStyle w:val="OGHeading1"/>
        <w:rPr>
          <w:rFonts w:ascii="Garamond" w:hAnsi="Garamond"/>
          <w:sz w:val="22"/>
          <w:szCs w:val="20"/>
        </w:rPr>
      </w:pPr>
    </w:p>
    <w:p w:rsidR="00B958B1" w:rsidRDefault="00B958B1" w:rsidP="009F3B54">
      <w:pPr>
        <w:pStyle w:val="OGHeading1"/>
        <w:rPr>
          <w:rFonts w:ascii="Garamond" w:hAnsi="Garamond"/>
          <w:sz w:val="22"/>
          <w:szCs w:val="20"/>
        </w:rPr>
      </w:pPr>
      <w:r>
        <w:rPr>
          <w:rFonts w:ascii="Garamond" w:hAnsi="Garamond"/>
          <w:sz w:val="22"/>
          <w:szCs w:val="20"/>
        </w:rPr>
        <w:br w:type="page"/>
      </w:r>
    </w:p>
    <w:p w:rsidR="00B958B1" w:rsidRPr="009B3704" w:rsidRDefault="00B958B1" w:rsidP="009F3B54">
      <w:pPr>
        <w:pStyle w:val="OGHeading1"/>
        <w:rPr>
          <w:lang w:eastAsia="en-AU"/>
        </w:rPr>
      </w:pPr>
      <w:bookmarkStart w:id="139" w:name="BP3DTPLIIntegTransSvces"/>
      <w:r w:rsidRPr="009B3704">
        <w:rPr>
          <w:lang w:eastAsia="en-AU"/>
        </w:rPr>
        <w:t>Integrated Transport Services</w:t>
      </w:r>
    </w:p>
    <w:p w:rsidR="00B958B1" w:rsidRDefault="00B958B1" w:rsidP="009F3B54">
      <w:pPr>
        <w:pStyle w:val="OGText"/>
        <w:rPr>
          <w:lang w:eastAsia="en-AU"/>
        </w:rPr>
      </w:pPr>
      <w:r w:rsidRPr="009B3704">
        <w:rPr>
          <w:lang w:eastAsia="en-AU"/>
        </w:rPr>
        <w:t>This output group delivers reliable and cost effective transport services, and programs to improve the accessibility of the transport system.</w:t>
      </w:r>
    </w:p>
    <w:tbl>
      <w:tblPr>
        <w:tblW w:w="7782" w:type="dxa"/>
        <w:tblInd w:w="29" w:type="dxa"/>
        <w:tblLayout w:type="fixed"/>
        <w:tblCellMar>
          <w:left w:w="43" w:type="dxa"/>
          <w:right w:w="43" w:type="dxa"/>
        </w:tblCellMar>
        <w:tblLook w:val="04A0" w:firstRow="1" w:lastRow="0" w:firstColumn="1" w:lastColumn="0" w:noHBand="0" w:noVBand="1"/>
      </w:tblPr>
      <w:tblGrid>
        <w:gridCol w:w="3154"/>
        <w:gridCol w:w="908"/>
        <w:gridCol w:w="907"/>
        <w:gridCol w:w="994"/>
        <w:gridCol w:w="907"/>
        <w:gridCol w:w="906"/>
        <w:gridCol w:w="6"/>
      </w:tblGrid>
      <w:tr w:rsidR="00B958B1" w:rsidRPr="00773447" w:rsidTr="009F3B54">
        <w:trPr>
          <w:cantSplit/>
          <w:tblHeader/>
        </w:trPr>
        <w:tc>
          <w:tcPr>
            <w:tcW w:w="3154" w:type="dxa"/>
            <w:tcBorders>
              <w:top w:val="single" w:sz="4" w:space="0" w:color="auto"/>
              <w:left w:val="single" w:sz="4" w:space="0" w:color="auto"/>
              <w:bottom w:val="single" w:sz="4" w:space="0" w:color="auto"/>
              <w:right w:val="nil"/>
            </w:tcBorders>
            <w:shd w:val="clear" w:color="auto" w:fill="000000"/>
            <w:vAlign w:val="bottom"/>
          </w:tcPr>
          <w:p w:rsidR="00B958B1" w:rsidRPr="00773447" w:rsidRDefault="00B958B1" w:rsidP="009F3B54">
            <w:pPr>
              <w:spacing w:before="30" w:after="30"/>
              <w:rPr>
                <w:rFonts w:ascii="Calibri" w:hAnsi="Calibri"/>
                <w:b/>
                <w:i/>
                <w:sz w:val="20"/>
                <w:szCs w:val="18"/>
                <w:lang w:eastAsia="en-AU"/>
              </w:rPr>
            </w:pPr>
            <w:r w:rsidRPr="00773447">
              <w:rPr>
                <w:rFonts w:ascii="Calibri" w:hAnsi="Calibri"/>
                <w:b/>
                <w:sz w:val="20"/>
                <w:szCs w:val="18"/>
                <w:lang w:eastAsia="en-AU"/>
              </w:rPr>
              <w:t>Major Outputs/Deliverables</w:t>
            </w:r>
            <w:r w:rsidRPr="00773447">
              <w:rPr>
                <w:rFonts w:ascii="Calibri" w:hAnsi="Calibri"/>
                <w:b/>
                <w:sz w:val="20"/>
                <w:szCs w:val="18"/>
                <w:lang w:eastAsia="en-AU"/>
              </w:rPr>
              <w:br/>
            </w:r>
            <w:r w:rsidRPr="00773447">
              <w:rPr>
                <w:rFonts w:ascii="Calibri" w:hAnsi="Calibri"/>
                <w:i/>
                <w:sz w:val="20"/>
                <w:szCs w:val="18"/>
                <w:lang w:eastAsia="en-AU"/>
              </w:rPr>
              <w:t>Performance measures</w:t>
            </w:r>
          </w:p>
        </w:tc>
        <w:tc>
          <w:tcPr>
            <w:tcW w:w="908"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center"/>
              <w:rPr>
                <w:rFonts w:ascii="Calibri" w:hAnsi="Calibri"/>
                <w:b/>
                <w:sz w:val="20"/>
                <w:szCs w:val="18"/>
                <w:lang w:eastAsia="en-AU"/>
              </w:rPr>
            </w:pPr>
            <w:r w:rsidRPr="00773447">
              <w:rPr>
                <w:rFonts w:ascii="Calibri" w:hAnsi="Calibri"/>
                <w:b/>
                <w:sz w:val="20"/>
                <w:szCs w:val="18"/>
                <w:lang w:eastAsia="en-AU"/>
              </w:rPr>
              <w:t xml:space="preserve">Unit of </w:t>
            </w:r>
            <w:r w:rsidRPr="00773447">
              <w:rPr>
                <w:rFonts w:ascii="Calibri" w:hAnsi="Calibri"/>
                <w:b/>
                <w:sz w:val="20"/>
                <w:szCs w:val="18"/>
                <w:lang w:eastAsia="en-AU"/>
              </w:rPr>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2013</w:t>
            </w:r>
            <w:r w:rsidR="009F0F49">
              <w:rPr>
                <w:rFonts w:ascii="Calibri" w:hAnsi="Calibri"/>
                <w:b/>
                <w:sz w:val="20"/>
                <w:szCs w:val="18"/>
              </w:rPr>
              <w:noBreakHyphen/>
            </w:r>
            <w:r w:rsidRPr="00773447">
              <w:rPr>
                <w:rFonts w:ascii="Calibri" w:hAnsi="Calibri"/>
                <w:b/>
                <w:sz w:val="20"/>
                <w:szCs w:val="18"/>
              </w:rPr>
              <w:t>14 Target</w:t>
            </w:r>
          </w:p>
        </w:tc>
        <w:tc>
          <w:tcPr>
            <w:tcW w:w="994"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2012</w:t>
            </w:r>
            <w:r w:rsidR="009F0F49">
              <w:rPr>
                <w:rFonts w:ascii="Calibri" w:hAnsi="Calibri"/>
                <w:b/>
                <w:sz w:val="20"/>
                <w:szCs w:val="18"/>
              </w:rPr>
              <w:noBreakHyphen/>
            </w:r>
            <w:r w:rsidRPr="00773447">
              <w:rPr>
                <w:rFonts w:ascii="Calibri" w:hAnsi="Calibri"/>
                <w:b/>
                <w:sz w:val="20"/>
                <w:szCs w:val="18"/>
              </w:rPr>
              <w:t>13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2012</w:t>
            </w:r>
            <w:r w:rsidR="009F0F49">
              <w:rPr>
                <w:rFonts w:ascii="Calibri" w:hAnsi="Calibri"/>
                <w:b/>
                <w:sz w:val="20"/>
                <w:szCs w:val="18"/>
              </w:rPr>
              <w:noBreakHyphen/>
            </w:r>
            <w:r w:rsidRPr="00773447">
              <w:rPr>
                <w:rFonts w:ascii="Calibri" w:hAnsi="Calibri"/>
                <w:b/>
                <w:sz w:val="20"/>
                <w:szCs w:val="18"/>
              </w:rPr>
              <w:t>13 Target</w:t>
            </w:r>
          </w:p>
        </w:tc>
        <w:tc>
          <w:tcPr>
            <w:tcW w:w="912" w:type="dxa"/>
            <w:gridSpan w:val="2"/>
            <w:tcBorders>
              <w:top w:val="single" w:sz="4" w:space="0" w:color="auto"/>
              <w:left w:val="nil"/>
              <w:bottom w:val="single" w:sz="4" w:space="0" w:color="auto"/>
              <w:right w:val="single" w:sz="4" w:space="0" w:color="auto"/>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2011</w:t>
            </w:r>
            <w:r w:rsidR="009F0F49">
              <w:rPr>
                <w:rFonts w:ascii="Calibri" w:hAnsi="Calibri"/>
                <w:b/>
                <w:sz w:val="20"/>
                <w:szCs w:val="18"/>
              </w:rPr>
              <w:noBreakHyphen/>
            </w:r>
            <w:r w:rsidRPr="00773447">
              <w:rPr>
                <w:rFonts w:ascii="Calibri" w:hAnsi="Calibri"/>
                <w:b/>
                <w:sz w:val="20"/>
                <w:szCs w:val="18"/>
              </w:rPr>
              <w:t>12 Actual</w:t>
            </w:r>
          </w:p>
        </w:tc>
      </w:tr>
      <w:tr w:rsidR="00B958B1" w:rsidRPr="009B3704" w:rsidTr="009F3B54">
        <w:trPr>
          <w:gridAfter w:val="1"/>
          <w:wAfter w:w="6" w:type="dxa"/>
          <w:cantSplit/>
        </w:trPr>
        <w:tc>
          <w:tcPr>
            <w:tcW w:w="7776" w:type="dxa"/>
            <w:gridSpan w:val="6"/>
            <w:tcBorders>
              <w:top w:val="nil"/>
              <w:left w:val="nil"/>
              <w:right w:val="nil"/>
            </w:tcBorders>
            <w:shd w:val="clear" w:color="auto" w:fill="auto"/>
            <w:vAlign w:val="bottom"/>
            <w:hideMark/>
          </w:tcPr>
          <w:p w:rsidR="00B958B1" w:rsidRPr="009B3704" w:rsidRDefault="00B958B1" w:rsidP="009F3B54">
            <w:pPr>
              <w:pStyle w:val="OGHeading2"/>
              <w:rPr>
                <w:lang w:eastAsia="en-AU"/>
              </w:rPr>
            </w:pPr>
            <w:r w:rsidRPr="009B3704">
              <w:rPr>
                <w:lang w:eastAsia="en-AU"/>
              </w:rPr>
              <w:t>Metropolitan Transport Services</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Text"/>
              <w:rPr>
                <w:lang w:eastAsia="en-AU"/>
              </w:rPr>
            </w:pPr>
            <w:r w:rsidRPr="009B3704">
              <w:rPr>
                <w:lang w:eastAsia="en-AU"/>
              </w:rPr>
              <w:t>This output provides the delivery of reliable and cost effective transport services in metropolitan Melbourne, including public transport services through contractual arrangements with private operators. This output supports the Department's objective to deliver higher</w:t>
            </w:r>
            <w:r w:rsidR="009F0F49">
              <w:rPr>
                <w:lang w:eastAsia="en-AU"/>
              </w:rPr>
              <w:noBreakHyphen/>
            </w:r>
            <w:r w:rsidRPr="009B3704">
              <w:rPr>
                <w:lang w:eastAsia="en-AU"/>
              </w:rPr>
              <w:t>quality transport services.</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Quantity</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Passengers carried: metropolitan bus services</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 (million)</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99.7</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108.6</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130.5</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123.2</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'Integrated Metropolitan Public Transport Services' output. </w:t>
            </w:r>
          </w:p>
          <w:p w:rsidR="00B958B1" w:rsidRDefault="00B958B1" w:rsidP="009F3B54">
            <w:pPr>
              <w:pStyle w:val="OGNotes"/>
            </w:pPr>
            <w:r w:rsidRPr="009B3704">
              <w:t>This performance measure renames the 2012</w:t>
            </w:r>
            <w:r w:rsidR="009F0F49">
              <w:noBreakHyphen/>
            </w:r>
            <w:r w:rsidRPr="009B3704">
              <w:t xml:space="preserve">13 performance measure 'Passengers carried: bus services'. The </w:t>
            </w:r>
            <w:r>
              <w:t xml:space="preserve">new </w:t>
            </w:r>
            <w:r w:rsidRPr="009B3704">
              <w:t>measure reports on the same ac</w:t>
            </w:r>
            <w:r>
              <w:t xml:space="preserve">tivity as the previous measure and </w:t>
            </w:r>
            <w:r w:rsidRPr="009B3704">
              <w:t xml:space="preserve">has been amended to increase its clarity. </w:t>
            </w:r>
          </w:p>
          <w:p w:rsidR="00B958B1" w:rsidRPr="009B3704" w:rsidRDefault="00B958B1" w:rsidP="009F3B54">
            <w:pPr>
              <w:pStyle w:val="OGNotes"/>
            </w:pPr>
            <w:r w:rsidRPr="009B3704">
              <w:t xml:space="preserve">The </w:t>
            </w:r>
            <w:r>
              <w:t xml:space="preserve">lower </w:t>
            </w:r>
            <w:r w:rsidRPr="009B3704">
              <w:t>2012</w:t>
            </w:r>
            <w:r w:rsidR="009F0F49">
              <w:noBreakHyphen/>
            </w:r>
            <w:r w:rsidRPr="009B3704">
              <w:t xml:space="preserve">13 Expected Outcome </w:t>
            </w:r>
            <w:r>
              <w:t>and</w:t>
            </w:r>
            <w:r w:rsidRPr="009B3704">
              <w:t xml:space="preserve"> 2013</w:t>
            </w:r>
            <w:r w:rsidR="009F0F49">
              <w:noBreakHyphen/>
            </w:r>
            <w:r>
              <w:t xml:space="preserve">14 Target reflects the most </w:t>
            </w:r>
            <w:r w:rsidRPr="009B3704">
              <w:t>recent trends and long</w:t>
            </w:r>
            <w:r w:rsidR="009F0F49">
              <w:noBreakHyphen/>
            </w:r>
            <w:r w:rsidRPr="009B3704">
              <w:t>term projections.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3D6963" w:rsidRDefault="00B958B1" w:rsidP="009F3B54">
            <w:pPr>
              <w:pStyle w:val="OGTabText"/>
              <w:rPr>
                <w:lang w:val="fr-FR" w:eastAsia="en-AU"/>
              </w:rPr>
            </w:pPr>
            <w:r w:rsidRPr="003D6963">
              <w:rPr>
                <w:lang w:val="fr-FR" w:eastAsia="en-AU"/>
              </w:rPr>
              <w:t>Passengers carried: metropolitan train services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 (million)</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237.2</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228.3</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226</w:t>
            </w:r>
            <w:r>
              <w:rPr>
                <w:lang w:eastAsia="en-AU"/>
              </w:rPr>
              <w:t>.0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222</w:t>
            </w:r>
            <w:r>
              <w:rPr>
                <w:lang w:eastAsia="en-AU"/>
              </w:rPr>
              <w:t>.0</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'Integrated Metropolitan Public Transport Services' output. </w:t>
            </w:r>
          </w:p>
          <w:p w:rsidR="00B958B1" w:rsidRDefault="00B958B1" w:rsidP="009F3B54">
            <w:pPr>
              <w:pStyle w:val="OGNotes"/>
            </w:pPr>
            <w:r w:rsidRPr="009B3704">
              <w:t>This performance measure renames the 2012</w:t>
            </w:r>
            <w:r w:rsidR="009F0F49">
              <w:noBreakHyphen/>
            </w:r>
            <w:r w:rsidRPr="009B3704">
              <w:t xml:space="preserve">13 performance measure 'Passengers carried: train services'. The </w:t>
            </w:r>
            <w:r>
              <w:t xml:space="preserve">new </w:t>
            </w:r>
            <w:r w:rsidRPr="009B3704">
              <w:t>measure reports on the same ac</w:t>
            </w:r>
            <w:r>
              <w:t xml:space="preserve">tivity as the previous measure and </w:t>
            </w:r>
            <w:r w:rsidRPr="009B3704">
              <w:t xml:space="preserve">has been amended to increase its clarity. </w:t>
            </w:r>
          </w:p>
          <w:p w:rsidR="00B958B1" w:rsidRPr="009B3704" w:rsidRDefault="00B958B1" w:rsidP="009F3B54">
            <w:pPr>
              <w:pStyle w:val="OGNotes"/>
            </w:pPr>
            <w:r w:rsidRPr="009B3704">
              <w:t>The higher 2012</w:t>
            </w:r>
            <w:r w:rsidR="009F0F49">
              <w:noBreakHyphen/>
            </w:r>
            <w:r w:rsidRPr="009B3704">
              <w:t>13 Expected Outcome and 2013</w:t>
            </w:r>
            <w:r w:rsidR="009F0F49">
              <w:noBreakHyphen/>
            </w:r>
            <w:r>
              <w:t xml:space="preserve">14 Target reflect the most </w:t>
            </w:r>
            <w:r w:rsidRPr="009B3704">
              <w:t>recent trends and long</w:t>
            </w:r>
            <w:r w:rsidR="009F0F49">
              <w:noBreakHyphen/>
            </w:r>
            <w:r w:rsidRPr="009B3704">
              <w:t>term projections.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Passengers carried: tram services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 (million)</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176.3</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179</w:t>
            </w:r>
            <w:r>
              <w:rPr>
                <w:lang w:eastAsia="en-AU"/>
              </w:rPr>
              <w:t>.0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200.9</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191.6</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'Integrated Metropolitan Public Transport Services' output. </w:t>
            </w:r>
          </w:p>
          <w:p w:rsidR="00B958B1" w:rsidRPr="009B3704" w:rsidRDefault="00B958B1" w:rsidP="009F3B54">
            <w:pPr>
              <w:pStyle w:val="OGNotes"/>
            </w:pPr>
            <w:r w:rsidRPr="009B3704">
              <w:t>The lower 2012</w:t>
            </w:r>
            <w:r w:rsidR="009F0F49">
              <w:noBreakHyphen/>
            </w:r>
            <w:r w:rsidRPr="009B3704">
              <w:t>13 Expected Outcome and 2013</w:t>
            </w:r>
            <w:r w:rsidR="009F0F49">
              <w:noBreakHyphen/>
            </w:r>
            <w:r>
              <w:t xml:space="preserve">14 Target reflect the most </w:t>
            </w:r>
            <w:r w:rsidRPr="009B3704">
              <w:t>recent trends and long</w:t>
            </w:r>
            <w:r w:rsidR="009F0F49">
              <w:noBreakHyphen/>
            </w:r>
            <w:r w:rsidRPr="009B3704">
              <w:t>term projections.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Payments made for: metropolitan bus services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 million</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628</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600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600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575</w:t>
            </w:r>
          </w:p>
        </w:tc>
      </w:tr>
      <w:tr w:rsidR="00B958B1" w:rsidRPr="009B3704" w:rsidTr="009F3B54">
        <w:trPr>
          <w:gridAfter w:val="1"/>
          <w:wAfter w:w="6" w:type="dxa"/>
          <w:cantSplit/>
          <w:trHeight w:val="1096"/>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transferred directly from the 2012</w:t>
            </w:r>
            <w:r w:rsidR="009F0F49">
              <w:noBreakHyphen/>
            </w:r>
            <w:r w:rsidRPr="009B3704">
              <w:t>13 'Integrated Metropolitan Public Transport Services' output.</w:t>
            </w:r>
          </w:p>
          <w:p w:rsidR="00B958B1" w:rsidRPr="009B3704" w:rsidRDefault="00B958B1" w:rsidP="009F3B54">
            <w:pPr>
              <w:pStyle w:val="OGNotes"/>
            </w:pPr>
            <w:r w:rsidRPr="009B3704">
              <w:t>This performance measure renames the 2012</w:t>
            </w:r>
            <w:r w:rsidR="009F0F49">
              <w:noBreakHyphen/>
            </w:r>
            <w:r w:rsidRPr="009B3704">
              <w:t xml:space="preserve">13 performance measure 'Payments made for: bus services'. The </w:t>
            </w:r>
            <w:r>
              <w:t xml:space="preserve">new </w:t>
            </w:r>
            <w:r w:rsidRPr="009B3704">
              <w:t>measure reports on the same act</w:t>
            </w:r>
            <w:r>
              <w:t>ivity as the previous measure and</w:t>
            </w:r>
            <w:r w:rsidRPr="009B3704">
              <w:t xml:space="preserve"> has been amended to increase its clarity.</w:t>
            </w:r>
          </w:p>
          <w:p w:rsidR="00B958B1" w:rsidRPr="009B3704" w:rsidRDefault="00B958B1" w:rsidP="009F3B54">
            <w:pPr>
              <w:pStyle w:val="OGNotes"/>
            </w:pPr>
            <w:r w:rsidRPr="009B3704">
              <w:t>The higher 2013</w:t>
            </w:r>
            <w:r w:rsidR="009F0F49">
              <w:noBreakHyphen/>
            </w:r>
            <w:r w:rsidRPr="009B3704">
              <w:t xml:space="preserve">14 Target </w:t>
            </w:r>
            <w:r>
              <w:t xml:space="preserve">is due to </w:t>
            </w:r>
            <w:r w:rsidRPr="009B3704">
              <w:t>the indexation of contract payments and additional new services.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keepNext/>
              <w:rPr>
                <w:lang w:eastAsia="en-AU"/>
              </w:rPr>
            </w:pPr>
            <w:r w:rsidRPr="009B3704">
              <w:rPr>
                <w:lang w:eastAsia="en-AU"/>
              </w:rPr>
              <w:t>Payments made for: metropolitan train services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keepNext/>
              <w:rPr>
                <w:lang w:eastAsia="en-AU"/>
              </w:rPr>
            </w:pPr>
            <w:r>
              <w:rPr>
                <w:lang w:eastAsia="en-AU"/>
              </w:rPr>
              <w:t>$ million</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keepNext/>
              <w:rPr>
                <w:lang w:eastAsia="en-AU"/>
              </w:rPr>
            </w:pPr>
            <w:r w:rsidRPr="009B3704">
              <w:rPr>
                <w:lang w:eastAsia="en-AU"/>
              </w:rPr>
              <w:t>1</w:t>
            </w:r>
            <w:r>
              <w:rPr>
                <w:lang w:eastAsia="en-AU"/>
              </w:rPr>
              <w:t> </w:t>
            </w:r>
            <w:r w:rsidRPr="009B3704">
              <w:rPr>
                <w:lang w:eastAsia="en-AU"/>
              </w:rPr>
              <w:t>005</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958</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945</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886</w:t>
            </w:r>
          </w:p>
        </w:tc>
      </w:tr>
      <w:tr w:rsidR="00B958B1" w:rsidRPr="009B3704" w:rsidTr="009F3B54">
        <w:trPr>
          <w:gridAfter w:val="1"/>
          <w:wAfter w:w="6" w:type="dxa"/>
          <w:cantSplit/>
          <w:trHeight w:val="1096"/>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transferred directly from the 2012</w:t>
            </w:r>
            <w:r w:rsidR="009F0F49">
              <w:noBreakHyphen/>
            </w:r>
            <w:r w:rsidRPr="009B3704">
              <w:t>13 'Integrated Metropolitan Public Transport Services' output.</w:t>
            </w:r>
          </w:p>
          <w:p w:rsidR="00B958B1" w:rsidRPr="009B3704" w:rsidRDefault="00B958B1" w:rsidP="009F3B54">
            <w:pPr>
              <w:pStyle w:val="OGNotes"/>
            </w:pPr>
            <w:r w:rsidRPr="009B3704">
              <w:t>This performance measure renames the 2012</w:t>
            </w:r>
            <w:r w:rsidR="009F0F49">
              <w:noBreakHyphen/>
            </w:r>
            <w:r w:rsidRPr="009B3704">
              <w:t xml:space="preserve">13 performance measure 'Payments made for: train services'. The </w:t>
            </w:r>
            <w:r>
              <w:t xml:space="preserve">new </w:t>
            </w:r>
            <w:r w:rsidRPr="009B3704">
              <w:t>measure reports on the same activity as the previous measure</w:t>
            </w:r>
            <w:r>
              <w:t xml:space="preserve"> and has </w:t>
            </w:r>
            <w:r w:rsidRPr="009B3704">
              <w:t>been amended to increase its clarity.</w:t>
            </w:r>
          </w:p>
          <w:p w:rsidR="00B958B1" w:rsidRPr="009B3704" w:rsidRDefault="00B958B1" w:rsidP="009F3B54">
            <w:pPr>
              <w:pStyle w:val="OGNotes"/>
            </w:pPr>
            <w:r w:rsidRPr="009B3704">
              <w:t>The higher 2013</w:t>
            </w:r>
            <w:r w:rsidR="009F0F49">
              <w:noBreakHyphen/>
            </w:r>
            <w:r w:rsidRPr="009B3704">
              <w:t>14 Target reflects the impact of new services and the indexation of contract payments.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keepNext/>
              <w:rPr>
                <w:lang w:eastAsia="en-AU"/>
              </w:rPr>
            </w:pPr>
            <w:r w:rsidRPr="009B3704">
              <w:rPr>
                <w:lang w:eastAsia="en-AU"/>
              </w:rPr>
              <w:t>Payments made for: tram services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 million</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388</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375</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375</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367</w:t>
            </w:r>
          </w:p>
        </w:tc>
      </w:tr>
      <w:tr w:rsidR="00B958B1" w:rsidRPr="009B3704" w:rsidTr="009F3B54">
        <w:trPr>
          <w:gridAfter w:val="1"/>
          <w:wAfter w:w="6" w:type="dxa"/>
          <w:cantSplit/>
          <w:trHeight w:val="669"/>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transferred directly from the 2012</w:t>
            </w:r>
            <w:r w:rsidR="009F0F49">
              <w:noBreakHyphen/>
            </w:r>
            <w:r w:rsidRPr="009B3704">
              <w:t>13 'Integrated Metropolitan Public Transport Services' output.</w:t>
            </w:r>
          </w:p>
          <w:p w:rsidR="00B958B1" w:rsidRPr="009B3704" w:rsidRDefault="00B958B1" w:rsidP="009F3B54">
            <w:pPr>
              <w:pStyle w:val="OGNotes"/>
            </w:pPr>
            <w:r w:rsidRPr="009B3704">
              <w:t>The higher 2013</w:t>
            </w:r>
            <w:r w:rsidR="009F0F49">
              <w:noBreakHyphen/>
            </w:r>
            <w:r w:rsidRPr="009B3704">
              <w:t xml:space="preserve">14 Target </w:t>
            </w:r>
            <w:r>
              <w:t xml:space="preserve">reflects </w:t>
            </w:r>
            <w:r w:rsidRPr="009B3704">
              <w:t>the indexation of contract payments.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Scheduled services delivered: metropolitan bus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99.9</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99.9</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99.9</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99.9</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'Integrated Metropolitan Public Transport Services' output. </w:t>
            </w:r>
          </w:p>
          <w:p w:rsidR="00B958B1" w:rsidRPr="009B3704" w:rsidRDefault="00B958B1" w:rsidP="009F3B54">
            <w:pPr>
              <w:pStyle w:val="OGNotes"/>
            </w:pPr>
            <w:r w:rsidRPr="009B3704">
              <w:t>This performance measure renames the 2012</w:t>
            </w:r>
            <w:r w:rsidR="009F0F49">
              <w:noBreakHyphen/>
            </w:r>
            <w:r w:rsidRPr="009B3704">
              <w:t xml:space="preserve">13 performance measure 'Scheduled services delivered: bus'. The </w:t>
            </w:r>
            <w:r>
              <w:t xml:space="preserve">new </w:t>
            </w:r>
            <w:r w:rsidRPr="009B3704">
              <w:t xml:space="preserve">measure reports on the same activity as the </w:t>
            </w:r>
            <w:r>
              <w:t xml:space="preserve">previous measure and </w:t>
            </w:r>
            <w:r w:rsidRPr="009B3704">
              <w:t>has been amended to increase its clarity.</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Scheduled services delivered: metropolitan train</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98.7</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98.3</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98.7</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98.5</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'Integrated Metropolitan Public Transport Services' output. </w:t>
            </w:r>
          </w:p>
          <w:p w:rsidR="00B958B1" w:rsidRPr="009B3704" w:rsidRDefault="00B958B1" w:rsidP="009F3B54">
            <w:pPr>
              <w:pStyle w:val="OGNotes"/>
            </w:pPr>
            <w:r w:rsidRPr="009B3704">
              <w:t>This performance measure renames the 2012</w:t>
            </w:r>
            <w:r w:rsidR="009F0F49">
              <w:noBreakHyphen/>
            </w:r>
            <w:r w:rsidRPr="009B3704">
              <w:t xml:space="preserve">13 performance measure 'Scheduled services delivered: train'. The </w:t>
            </w:r>
            <w:r>
              <w:t xml:space="preserve">new </w:t>
            </w:r>
            <w:r w:rsidRPr="009B3704">
              <w:t>measure reports on the same ac</w:t>
            </w:r>
            <w:r>
              <w:t xml:space="preserve">tivity as the previous measure and </w:t>
            </w:r>
            <w:r w:rsidRPr="009B3704">
              <w:t>has been amended to increase its clarity.</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Scheduled services delivered: tram</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99.3</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99.1</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99.2</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99.1</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'Integrated Metropolitan Public Transport Services' output. </w:t>
            </w:r>
          </w:p>
          <w:p w:rsidR="00B958B1" w:rsidRPr="009B3704" w:rsidRDefault="00B958B1" w:rsidP="009F3B54">
            <w:pPr>
              <w:pStyle w:val="OGNotes"/>
            </w:pPr>
            <w:r w:rsidRPr="009B3704">
              <w:t>The higher 2013</w:t>
            </w:r>
            <w:r w:rsidR="009F0F49">
              <w:noBreakHyphen/>
            </w:r>
            <w:r w:rsidRPr="009B3704">
              <w:t>14 Target reflects an expected increase in tram operator performance.</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Total kilometres scheduled: metropolitan bus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km (million)</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Pr>
                <w:lang w:eastAsia="en-AU"/>
              </w:rPr>
              <w:t>114.8</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113.8</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114.4</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113.7</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'Integrated Metropolitan Public Transport Services' output. </w:t>
            </w:r>
          </w:p>
          <w:p w:rsidR="00B958B1" w:rsidRDefault="00B958B1" w:rsidP="009F3B54">
            <w:pPr>
              <w:pStyle w:val="OGNotes"/>
            </w:pPr>
            <w:r w:rsidRPr="009B3704">
              <w:t>This performance measure renames the 2012</w:t>
            </w:r>
            <w:r w:rsidR="009F0F49">
              <w:noBreakHyphen/>
            </w:r>
            <w:r w:rsidRPr="009B3704">
              <w:t xml:space="preserve">13 performance measure 'Total kilometres scheduled: bus'. The </w:t>
            </w:r>
            <w:r>
              <w:t xml:space="preserve">new </w:t>
            </w:r>
            <w:r w:rsidRPr="009B3704">
              <w:t>measure reports on the same activ</w:t>
            </w:r>
            <w:r>
              <w:t xml:space="preserve">ity as the previous measure and has </w:t>
            </w:r>
            <w:r w:rsidRPr="009B3704">
              <w:t>been amended to increase the clarity of the measure.</w:t>
            </w:r>
          </w:p>
          <w:p w:rsidR="00B958B1" w:rsidRPr="009B3704" w:rsidRDefault="00B958B1" w:rsidP="009F3B54">
            <w:pPr>
              <w:pStyle w:val="OGNotes"/>
            </w:pPr>
            <w:r>
              <w:t>The higher</w:t>
            </w:r>
            <w:r w:rsidRPr="009B3704">
              <w:t xml:space="preserve"> 2013</w:t>
            </w:r>
            <w:r w:rsidR="009F0F49">
              <w:noBreakHyphen/>
            </w:r>
            <w:r w:rsidRPr="009B3704">
              <w:t>14 Target reflects planned scheduled kilometres for metropolitan bus services for 2013</w:t>
            </w:r>
            <w:r w:rsidR="009F0F49">
              <w:noBreakHyphen/>
            </w:r>
            <w:r w:rsidRPr="009B3704">
              <w:t>14.</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Total kilometres scheduled: metropolitan train</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km (million)</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Pr>
                <w:lang w:eastAsia="en-AU"/>
              </w:rPr>
              <w:t>22.0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21.9</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21.7</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21.4</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'Integrated Metropolitan Public Transport Services' output. </w:t>
            </w:r>
          </w:p>
          <w:p w:rsidR="00B958B1" w:rsidRDefault="00B958B1" w:rsidP="009F3B54">
            <w:pPr>
              <w:pStyle w:val="OGNotes"/>
            </w:pPr>
            <w:r w:rsidRPr="009B3704">
              <w:t>This performance measure renames the 2012</w:t>
            </w:r>
            <w:r w:rsidR="009F0F49">
              <w:noBreakHyphen/>
            </w:r>
            <w:r w:rsidRPr="009B3704">
              <w:t xml:space="preserve">13 performance measure 'Total kilometres scheduled: train'. The </w:t>
            </w:r>
            <w:r>
              <w:t xml:space="preserve">new </w:t>
            </w:r>
            <w:r w:rsidRPr="009B3704">
              <w:t>measure reports on the same activ</w:t>
            </w:r>
            <w:r>
              <w:t xml:space="preserve">ity as the previous measure and has </w:t>
            </w:r>
            <w:r w:rsidRPr="009B3704">
              <w:t xml:space="preserve">been amended to increase its clarity. </w:t>
            </w:r>
          </w:p>
          <w:p w:rsidR="00B958B1" w:rsidRPr="009B3704" w:rsidRDefault="00B958B1" w:rsidP="009F3B54">
            <w:pPr>
              <w:pStyle w:val="OGNotes"/>
            </w:pPr>
            <w:r w:rsidRPr="009B3704">
              <w:t>The higher 2013</w:t>
            </w:r>
            <w:r w:rsidR="009F0F49">
              <w:noBreakHyphen/>
            </w:r>
            <w:r w:rsidRPr="009B3704">
              <w:t>14 Target reflects planned scheduled kilometres for metropolitan train services for 2013</w:t>
            </w:r>
            <w:r w:rsidR="009F0F49">
              <w:noBreakHyphen/>
            </w:r>
            <w:r w:rsidRPr="009B3704">
              <w:t>14.</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Total kilometres scheduled: tram</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km (million)</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23.6</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23.6</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23.6</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23.6</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transferred directly from the 2012</w:t>
            </w:r>
            <w:r w:rsidR="009F0F49">
              <w:noBreakHyphen/>
            </w:r>
            <w:r w:rsidRPr="009B3704">
              <w:t>13 'Integrated Metropolitan Public Transport Services' output.</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9B3704">
              <w:rPr>
                <w:lang w:eastAsia="en-AU"/>
              </w:rPr>
              <w:t>Quality</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Availability of rolling stock: metropolitan trains</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94</w:t>
            </w:r>
            <w:r>
              <w:rPr>
                <w:lang w:eastAsia="en-AU"/>
              </w:rPr>
              <w:t>.0</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89.5</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94</w:t>
            </w:r>
            <w:r>
              <w:rPr>
                <w:lang w:eastAsia="en-AU"/>
              </w:rPr>
              <w:t>.0</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'Integrated Metropolitan Public Transport Services' output. </w:t>
            </w:r>
          </w:p>
          <w:p w:rsidR="00B958B1" w:rsidRPr="009B3704" w:rsidRDefault="00B958B1" w:rsidP="009F3B54">
            <w:pPr>
              <w:pStyle w:val="OGNotes"/>
            </w:pPr>
            <w:r w:rsidRPr="009B3704">
              <w:t>This performance measure renames the 2012</w:t>
            </w:r>
            <w:r w:rsidR="009F0F49">
              <w:noBreakHyphen/>
            </w:r>
            <w:r w:rsidRPr="009B3704">
              <w:t xml:space="preserve">13 performance measure 'Availability of rolling stock: trains'. The </w:t>
            </w:r>
            <w:r>
              <w:t xml:space="preserve">new </w:t>
            </w:r>
            <w:r w:rsidRPr="009B3704">
              <w:t>measure reports on the same acti</w:t>
            </w:r>
            <w:r>
              <w:t>vity as the previous measure and</w:t>
            </w:r>
            <w:r w:rsidRPr="009B3704">
              <w:t xml:space="preserve"> has been amended to increase its clarity.</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Availability of rolling stock: trams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94</w:t>
            </w:r>
            <w:r>
              <w:rPr>
                <w:lang w:eastAsia="en-AU"/>
              </w:rPr>
              <w:t>.0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94</w:t>
            </w:r>
            <w:r>
              <w:rPr>
                <w:lang w:eastAsia="en-AU"/>
              </w:rPr>
              <w:t>.0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92</w:t>
            </w:r>
            <w:r>
              <w:rPr>
                <w:lang w:eastAsia="en-AU"/>
              </w:rPr>
              <w:t>.0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'Integrated Metropolitan Public Transport Services' output. </w:t>
            </w:r>
          </w:p>
          <w:p w:rsidR="00B958B1" w:rsidRPr="009B3704" w:rsidRDefault="00B958B1" w:rsidP="009F3B54">
            <w:pPr>
              <w:pStyle w:val="OGNotes"/>
            </w:pPr>
            <w:r w:rsidRPr="009B3704">
              <w:t>The higher 2013</w:t>
            </w:r>
            <w:r w:rsidR="009F0F49">
              <w:noBreakHyphen/>
            </w:r>
            <w:r w:rsidRPr="009B3704">
              <w:t>14 Target reflects expected improvements in operator performance.</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keepNext/>
              <w:rPr>
                <w:lang w:eastAsia="en-AU"/>
              </w:rPr>
            </w:pPr>
            <w:r w:rsidRPr="009B3704">
              <w:rPr>
                <w:lang w:eastAsia="en-AU"/>
              </w:rPr>
              <w:t>Customer satisfaction index: metropolitan bus services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score</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75</w:t>
            </w:r>
            <w:r>
              <w:rPr>
                <w:lang w:eastAsia="en-AU"/>
              </w:rPr>
              <w:t>.0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75</w:t>
            </w:r>
            <w:r>
              <w:rPr>
                <w:lang w:eastAsia="en-AU"/>
              </w:rPr>
              <w:t>.0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77</w:t>
            </w:r>
            <w:r>
              <w:rPr>
                <w:lang w:eastAsia="en-AU"/>
              </w:rPr>
              <w:t>.0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75.3</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'Integrated Metropolitan Public Transport Services' output. </w:t>
            </w:r>
          </w:p>
          <w:p w:rsidR="00B958B1" w:rsidRDefault="00B958B1" w:rsidP="009F3B54">
            <w:pPr>
              <w:pStyle w:val="OGNotes"/>
            </w:pPr>
            <w:r w:rsidRPr="009B3704">
              <w:t>This performance measure renames the 2012</w:t>
            </w:r>
            <w:r w:rsidR="009F0F49">
              <w:noBreakHyphen/>
            </w:r>
            <w:r w:rsidRPr="009B3704">
              <w:t xml:space="preserve">13 performance measure 'Customer satisfaction index: bus services'. The </w:t>
            </w:r>
            <w:r>
              <w:t xml:space="preserve">new </w:t>
            </w:r>
            <w:r w:rsidRPr="009B3704">
              <w:t>measure reports on the same acti</w:t>
            </w:r>
            <w:r>
              <w:t>vity as the previous measure and</w:t>
            </w:r>
            <w:r w:rsidRPr="009B3704">
              <w:t xml:space="preserve"> has been amended to increase its clarity. </w:t>
            </w:r>
          </w:p>
          <w:p w:rsidR="00B958B1" w:rsidRPr="009B3704" w:rsidRDefault="00B958B1" w:rsidP="009F3B54">
            <w:pPr>
              <w:pStyle w:val="OGNotes"/>
            </w:pPr>
            <w:r w:rsidRPr="009B3704">
              <w:t>The lower 2013</w:t>
            </w:r>
            <w:r w:rsidR="009F0F49">
              <w:noBreakHyphen/>
            </w:r>
            <w:r w:rsidRPr="009B3704">
              <w:t>14 Target reflects an anticipated stabilisation in satisfaction with metropolitan bus services.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Customer satisfaction index: metropolitan train services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score</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69</w:t>
            </w:r>
            <w:r>
              <w:rPr>
                <w:lang w:eastAsia="en-AU"/>
              </w:rPr>
              <w:t>.0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68</w:t>
            </w:r>
            <w:r>
              <w:rPr>
                <w:lang w:eastAsia="en-AU"/>
              </w:rPr>
              <w:t>.0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68</w:t>
            </w:r>
            <w:r>
              <w:rPr>
                <w:lang w:eastAsia="en-AU"/>
              </w:rPr>
              <w:t>.0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66.8</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'Integrated Metropolitan Public Transport Services' output. </w:t>
            </w:r>
          </w:p>
          <w:p w:rsidR="00B958B1" w:rsidRDefault="00B958B1" w:rsidP="009F3B54">
            <w:pPr>
              <w:pStyle w:val="OGNotes"/>
            </w:pPr>
            <w:r w:rsidRPr="009B3704">
              <w:t>This performance measure renames the 2012</w:t>
            </w:r>
            <w:r w:rsidR="009F0F49">
              <w:noBreakHyphen/>
            </w:r>
            <w:r w:rsidRPr="009B3704">
              <w:t xml:space="preserve">13 performance measure 'Customer satisfaction index: train services'. The </w:t>
            </w:r>
            <w:r>
              <w:t xml:space="preserve">new </w:t>
            </w:r>
            <w:r w:rsidRPr="009B3704">
              <w:t>measure reports on the same acti</w:t>
            </w:r>
            <w:r>
              <w:t>vity as the previous measure and</w:t>
            </w:r>
            <w:r w:rsidRPr="009B3704">
              <w:t xml:space="preserve"> has been amended to increase its clarity. </w:t>
            </w:r>
          </w:p>
          <w:p w:rsidR="00B958B1" w:rsidRPr="009B3704" w:rsidRDefault="00B958B1" w:rsidP="009F3B54">
            <w:pPr>
              <w:pStyle w:val="OGNotes"/>
            </w:pPr>
            <w:r w:rsidRPr="009B3704">
              <w:t>The higher 2013</w:t>
            </w:r>
            <w:r w:rsidR="009F0F49">
              <w:noBreakHyphen/>
            </w:r>
            <w:r w:rsidRPr="009B3704">
              <w:t>14 Target reflects an expected increase in customer satisfaction due to increased performance of the metropolitan train network.</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Customer satisfaction index: tram services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score</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73</w:t>
            </w:r>
            <w:r>
              <w:rPr>
                <w:lang w:eastAsia="en-AU"/>
              </w:rPr>
              <w:t>.0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73</w:t>
            </w:r>
            <w:r>
              <w:rPr>
                <w:lang w:eastAsia="en-AU"/>
              </w:rPr>
              <w:t>.0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72</w:t>
            </w:r>
            <w:r>
              <w:rPr>
                <w:lang w:eastAsia="en-AU"/>
              </w:rPr>
              <w:t>.0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72.8</w:t>
            </w:r>
          </w:p>
        </w:tc>
      </w:tr>
      <w:tr w:rsidR="00B958B1" w:rsidRPr="00724D47"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724D47">
              <w:t>This performance measure is transferred directly from the 2012</w:t>
            </w:r>
            <w:r w:rsidR="009F0F49">
              <w:noBreakHyphen/>
            </w:r>
            <w:r w:rsidRPr="00724D47">
              <w:t xml:space="preserve">13 'Integrated Metropolitan Public Transport Services' output. </w:t>
            </w:r>
          </w:p>
          <w:p w:rsidR="00B958B1" w:rsidRPr="00724D47" w:rsidRDefault="00B958B1" w:rsidP="009F3B54">
            <w:pPr>
              <w:pStyle w:val="OGNotes"/>
            </w:pPr>
            <w:r w:rsidRPr="00724D47">
              <w:t>The higher 2013</w:t>
            </w:r>
            <w:r w:rsidR="009F0F49">
              <w:noBreakHyphen/>
            </w:r>
            <w:r w:rsidRPr="00724D47">
              <w:t>14 Target reflects an expected increase in customer satisfaction due to increased performance on the tram network.</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Timeliness</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Service punctuality for: metropolitan bus services</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95</w:t>
            </w:r>
            <w:r>
              <w:rPr>
                <w:lang w:eastAsia="en-AU"/>
              </w:rPr>
              <w:t>.0</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94.5</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95</w:t>
            </w:r>
            <w:r>
              <w:rPr>
                <w:lang w:eastAsia="en-AU"/>
              </w:rPr>
              <w:t>.0</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94.2</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'Integrated Metropolitan Public Transport Services' output. </w:t>
            </w:r>
          </w:p>
          <w:p w:rsidR="00B958B1" w:rsidRPr="009B3704" w:rsidRDefault="00B958B1" w:rsidP="009F3B54">
            <w:pPr>
              <w:pStyle w:val="OGNotes"/>
            </w:pPr>
            <w:r w:rsidRPr="009B3704">
              <w:t>This performance measure renames the 2012</w:t>
            </w:r>
            <w:r w:rsidR="009F0F49">
              <w:noBreakHyphen/>
            </w:r>
            <w:r w:rsidRPr="009B3704">
              <w:t xml:space="preserve">13 performance measure 'Service punctuality for: bus services'. The </w:t>
            </w:r>
            <w:r>
              <w:t xml:space="preserve">new </w:t>
            </w:r>
            <w:r w:rsidRPr="009B3704">
              <w:t>measure reports on the same activ</w:t>
            </w:r>
            <w:r>
              <w:t xml:space="preserve">ity as the previous measure and </w:t>
            </w:r>
            <w:r w:rsidRPr="009B3704">
              <w:t>has been amended to increase its clarity.</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Service punctuality for: metropolitan train services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91.5</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91.6</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89</w:t>
            </w:r>
            <w:r>
              <w:rPr>
                <w:lang w:eastAsia="en-AU"/>
              </w:rPr>
              <w:t>.0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89.9</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'Integrated Metropolitan Public Transport Services' output. </w:t>
            </w:r>
          </w:p>
          <w:p w:rsidR="00B958B1" w:rsidRDefault="00B958B1" w:rsidP="009F3B54">
            <w:pPr>
              <w:pStyle w:val="OGNotes"/>
            </w:pPr>
            <w:r w:rsidRPr="009B3704">
              <w:t>This performance measure renames the 2012</w:t>
            </w:r>
            <w:r w:rsidR="009F0F49">
              <w:noBreakHyphen/>
            </w:r>
            <w:r w:rsidRPr="009B3704">
              <w:t>13 performance measure 'Service punctuality for: train services'. The</w:t>
            </w:r>
            <w:r>
              <w:t xml:space="preserve"> new</w:t>
            </w:r>
            <w:r w:rsidRPr="009B3704">
              <w:t xml:space="preserve"> measure reports on the same act</w:t>
            </w:r>
            <w:r>
              <w:t>ivity as the previous measure and</w:t>
            </w:r>
            <w:r w:rsidRPr="009B3704">
              <w:t xml:space="preserve"> has been amended to increase its clarity. </w:t>
            </w:r>
          </w:p>
          <w:p w:rsidR="00B958B1" w:rsidRPr="009B3704" w:rsidRDefault="00B958B1" w:rsidP="009F3B54">
            <w:pPr>
              <w:pStyle w:val="OGNotes"/>
            </w:pPr>
            <w:r w:rsidRPr="009B3704">
              <w:t>The higher 2013</w:t>
            </w:r>
            <w:r w:rsidR="009F0F49">
              <w:noBreakHyphen/>
            </w:r>
            <w:r w:rsidRPr="009B3704">
              <w:t>14 Target reflects expected improvements in metropolitan train operator performance.</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Service punctuality for: tram services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82.5</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81.6</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82</w:t>
            </w:r>
            <w:r>
              <w:rPr>
                <w:lang w:eastAsia="en-AU"/>
              </w:rPr>
              <w:t>.0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81.7</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'Integrated Metropolitan Public Transport Services' output. </w:t>
            </w:r>
          </w:p>
          <w:p w:rsidR="00B958B1" w:rsidRPr="009B3704" w:rsidRDefault="00B958B1" w:rsidP="009F3B54">
            <w:pPr>
              <w:pStyle w:val="OGNotes"/>
            </w:pPr>
            <w:r w:rsidRPr="009B3704">
              <w:t>The higher 2013</w:t>
            </w:r>
            <w:r w:rsidR="009F0F49">
              <w:noBreakHyphen/>
            </w:r>
            <w:r w:rsidRPr="009B3704">
              <w:t>14 Target reflects expected improvements in tram operator performance.</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Cost</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Total output cost</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Pr>
                <w:lang w:eastAsia="en-AU"/>
              </w:rPr>
              <w:t>$ million</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Pr>
                <w:lang w:eastAsia="en-AU"/>
              </w:rPr>
              <w:t>3 189.0</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w:t>
            </w:r>
            <w:r>
              <w:rPr>
                <w:lang w:eastAsia="en-AU"/>
              </w:rPr>
              <w:t> </w:t>
            </w:r>
            <w:r w:rsidRPr="009B3704">
              <w:rPr>
                <w:lang w:eastAsia="en-AU"/>
              </w:rPr>
              <w:t>070.5</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w:t>
            </w:r>
            <w:r>
              <w:rPr>
                <w:lang w:eastAsia="en-AU"/>
              </w:rPr>
              <w:t> </w:t>
            </w:r>
            <w:r w:rsidRPr="009B3704">
              <w:rPr>
                <w:lang w:eastAsia="en-AU"/>
              </w:rPr>
              <w:t>016</w:t>
            </w:r>
            <w:r>
              <w:rPr>
                <w:lang w:eastAsia="en-AU"/>
              </w:rPr>
              <w:t>.0</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w:t>
            </w:r>
            <w:r>
              <w:rPr>
                <w:lang w:eastAsia="en-AU"/>
              </w:rPr>
              <w:t> </w:t>
            </w:r>
            <w:r w:rsidRPr="009B3704">
              <w:rPr>
                <w:lang w:eastAsia="en-AU"/>
              </w:rPr>
              <w:t>875.7</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higher 2013</w:t>
            </w:r>
            <w:r w:rsidR="009F0F49">
              <w:noBreakHyphen/>
            </w:r>
            <w:r w:rsidRPr="009B3704">
              <w:t>14 Target reflects the impact of new services, indexation of contract payments and the increase in the capital asset charge as a result of the investment in infrastructure projects. This has been partly offset by the achievement of government corporate savings.</w:t>
            </w:r>
          </w:p>
        </w:tc>
      </w:tr>
      <w:tr w:rsidR="00B958B1" w:rsidRPr="009B3704" w:rsidTr="009F3B54">
        <w:trPr>
          <w:gridAfter w:val="1"/>
          <w:wAfter w:w="6" w:type="dxa"/>
          <w:cantSplit/>
        </w:trPr>
        <w:tc>
          <w:tcPr>
            <w:tcW w:w="7776" w:type="dxa"/>
            <w:gridSpan w:val="6"/>
            <w:tcBorders>
              <w:top w:val="nil"/>
              <w:left w:val="nil"/>
              <w:right w:val="nil"/>
            </w:tcBorders>
            <w:shd w:val="clear" w:color="auto" w:fill="auto"/>
            <w:vAlign w:val="bottom"/>
            <w:hideMark/>
          </w:tcPr>
          <w:p w:rsidR="00B958B1" w:rsidRPr="009B3704" w:rsidRDefault="00B958B1" w:rsidP="009F3B54">
            <w:pPr>
              <w:pStyle w:val="OGHeading2"/>
              <w:rPr>
                <w:lang w:eastAsia="en-AU"/>
              </w:rPr>
            </w:pPr>
            <w:r w:rsidRPr="009B3704">
              <w:rPr>
                <w:lang w:eastAsia="en-AU"/>
              </w:rPr>
              <w:t>Regional Transport Services</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Text"/>
              <w:rPr>
                <w:lang w:eastAsia="en-AU"/>
              </w:rPr>
            </w:pPr>
            <w:r w:rsidRPr="009B3704">
              <w:rPr>
                <w:lang w:eastAsia="en-AU"/>
              </w:rPr>
              <w:t>This output provides the delivery of reliable and cost effective transport services in regional Victoria, including public transport services through contractual arrangements with private operators. This output supports the Department's objective to deliver higher</w:t>
            </w:r>
            <w:r w:rsidR="009F0F49">
              <w:rPr>
                <w:lang w:eastAsia="en-AU"/>
              </w:rPr>
              <w:noBreakHyphen/>
            </w:r>
            <w:r w:rsidRPr="009B3704">
              <w:rPr>
                <w:lang w:eastAsia="en-AU"/>
              </w:rPr>
              <w:t>quality transport services.</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Quantity</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Passengers carried: regional bus services</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 (million)</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15</w:t>
            </w:r>
            <w:r>
              <w:rPr>
                <w:lang w:eastAsia="en-AU"/>
              </w:rPr>
              <w:t>.0</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14.7</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13.9</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14.3</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'Rural and Regional Public Transport Services' output. </w:t>
            </w:r>
          </w:p>
          <w:p w:rsidR="00B958B1" w:rsidRPr="009B3704" w:rsidRDefault="00B958B1" w:rsidP="009F3B54">
            <w:pPr>
              <w:pStyle w:val="OGNotes"/>
            </w:pPr>
            <w:r w:rsidRPr="009B3704">
              <w:t>The higher 2012</w:t>
            </w:r>
            <w:r w:rsidR="009F0F49">
              <w:noBreakHyphen/>
            </w:r>
            <w:r w:rsidRPr="009B3704">
              <w:t>13 Expected Outcome and 2013</w:t>
            </w:r>
            <w:r w:rsidR="009F0F49">
              <w:noBreakHyphen/>
            </w:r>
            <w:r>
              <w:t xml:space="preserve">14 Target reflects the most </w:t>
            </w:r>
            <w:r w:rsidRPr="009B3704">
              <w:t>recent trends and long</w:t>
            </w:r>
            <w:r w:rsidR="009F0F49">
              <w:noBreakHyphen/>
            </w:r>
            <w:r w:rsidRPr="009B3704">
              <w:t>term projections.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Passengers carried: regional train and coach services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 (million)</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14.4</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15.6</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16</w:t>
            </w:r>
            <w:r>
              <w:rPr>
                <w:lang w:eastAsia="en-AU"/>
              </w:rPr>
              <w:t>.0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15.6</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'Rural and Regional Public Transport Services' output. </w:t>
            </w:r>
          </w:p>
          <w:p w:rsidR="00B958B1" w:rsidRPr="009B3704" w:rsidRDefault="00B958B1" w:rsidP="009F3B54">
            <w:pPr>
              <w:pStyle w:val="OGNotes"/>
            </w:pPr>
            <w:r w:rsidRPr="009B3704">
              <w:t>The lower 2012</w:t>
            </w:r>
            <w:r w:rsidR="009F0F49">
              <w:noBreakHyphen/>
            </w:r>
            <w:r w:rsidRPr="009B3704">
              <w:t>13 Expected Outcome and 2013</w:t>
            </w:r>
            <w:r w:rsidR="009F0F49">
              <w:noBreakHyphen/>
            </w:r>
            <w:r>
              <w:t xml:space="preserve">14 Target reflect the most </w:t>
            </w:r>
            <w:r w:rsidRPr="009B3704">
              <w:t>recent trends and long</w:t>
            </w:r>
            <w:r w:rsidR="009F0F49">
              <w:noBreakHyphen/>
            </w:r>
            <w:r w:rsidRPr="009B3704">
              <w:t>term projections.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Payments made for: regional bus services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 million</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103</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129</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128</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124</w:t>
            </w:r>
          </w:p>
        </w:tc>
      </w:tr>
      <w:tr w:rsidR="00B958B1" w:rsidRPr="009B3704" w:rsidTr="009F3B54">
        <w:trPr>
          <w:gridAfter w:val="1"/>
          <w:wAfter w:w="6" w:type="dxa"/>
          <w:cantSplit/>
          <w:trHeight w:val="852"/>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transferred directly from the 2012</w:t>
            </w:r>
            <w:r w:rsidR="009F0F49">
              <w:noBreakHyphen/>
            </w:r>
            <w:r w:rsidRPr="009B3704">
              <w:t>13 'Rural and Regional Public Transport Services' output.</w:t>
            </w:r>
          </w:p>
          <w:p w:rsidR="00B958B1" w:rsidRPr="009B3704" w:rsidRDefault="00B958B1" w:rsidP="009F3B54">
            <w:pPr>
              <w:pStyle w:val="OGNotes"/>
            </w:pPr>
            <w:r w:rsidRPr="009B3704">
              <w:t>The lower 2013</w:t>
            </w:r>
            <w:r w:rsidR="009F0F49">
              <w:noBreakHyphen/>
            </w:r>
            <w:r w:rsidRPr="009B3704">
              <w:t>14 Target reflects the transfer of coach payments from the performance measure 'Payments made for: regional bus services' to the 2013</w:t>
            </w:r>
            <w:r w:rsidR="009F0F49">
              <w:noBreakHyphen/>
            </w:r>
            <w:r w:rsidRPr="009B3704">
              <w:t>14 performance measure 'Payments made for: regional train and coach services'.</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000000" w:fill="FFFFFF"/>
            <w:hideMark/>
          </w:tcPr>
          <w:p w:rsidR="00B958B1" w:rsidRPr="009B3704" w:rsidRDefault="00B958B1" w:rsidP="009F3B54">
            <w:pPr>
              <w:pStyle w:val="OGTabText"/>
              <w:rPr>
                <w:lang w:eastAsia="en-AU"/>
              </w:rPr>
            </w:pPr>
            <w:r w:rsidRPr="009B3704">
              <w:rPr>
                <w:lang w:eastAsia="en-AU"/>
              </w:rPr>
              <w:t>Payments made for: regional train and coach services</w:t>
            </w:r>
          </w:p>
        </w:tc>
        <w:tc>
          <w:tcPr>
            <w:tcW w:w="908" w:type="dxa"/>
            <w:tcBorders>
              <w:top w:val="single" w:sz="6" w:space="0" w:color="auto"/>
              <w:left w:val="nil"/>
              <w:bottom w:val="nil"/>
              <w:right w:val="nil"/>
            </w:tcBorders>
            <w:shd w:val="clear" w:color="000000" w:fill="FFFFFF"/>
            <w:hideMark/>
          </w:tcPr>
          <w:p w:rsidR="00B958B1" w:rsidRPr="009B3704" w:rsidRDefault="00B958B1" w:rsidP="009F3B54">
            <w:pPr>
              <w:pStyle w:val="OGUoM"/>
              <w:rPr>
                <w:lang w:eastAsia="en-AU"/>
              </w:rPr>
            </w:pPr>
            <w:r>
              <w:rPr>
                <w:lang w:eastAsia="en-AU"/>
              </w:rPr>
              <w:t>$ million</w:t>
            </w:r>
          </w:p>
        </w:tc>
        <w:tc>
          <w:tcPr>
            <w:tcW w:w="907" w:type="dxa"/>
            <w:tcBorders>
              <w:top w:val="single" w:sz="6" w:space="0" w:color="auto"/>
              <w:left w:val="nil"/>
              <w:bottom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392</w:t>
            </w:r>
          </w:p>
        </w:tc>
        <w:tc>
          <w:tcPr>
            <w:tcW w:w="994" w:type="dxa"/>
            <w:tcBorders>
              <w:top w:val="single" w:sz="6" w:space="0" w:color="auto"/>
              <w:left w:val="nil"/>
              <w:bottom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352</w:t>
            </w:r>
          </w:p>
        </w:tc>
        <w:tc>
          <w:tcPr>
            <w:tcW w:w="907" w:type="dxa"/>
            <w:tcBorders>
              <w:top w:val="single" w:sz="6" w:space="0" w:color="auto"/>
              <w:left w:val="nil"/>
              <w:bottom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343</w:t>
            </w:r>
          </w:p>
        </w:tc>
        <w:tc>
          <w:tcPr>
            <w:tcW w:w="906" w:type="dxa"/>
            <w:tcBorders>
              <w:top w:val="single" w:sz="6" w:space="0" w:color="auto"/>
              <w:left w:val="nil"/>
              <w:bottom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342</w:t>
            </w:r>
          </w:p>
        </w:tc>
      </w:tr>
      <w:tr w:rsidR="00B958B1" w:rsidRPr="009B3704" w:rsidTr="009F3B54">
        <w:trPr>
          <w:gridAfter w:val="1"/>
          <w:wAfter w:w="6" w:type="dxa"/>
          <w:cantSplit/>
          <w:trHeight w:val="1036"/>
        </w:trPr>
        <w:tc>
          <w:tcPr>
            <w:tcW w:w="7776" w:type="dxa"/>
            <w:gridSpan w:val="6"/>
            <w:tcBorders>
              <w:top w:val="nil"/>
              <w:left w:val="nil"/>
              <w:right w:val="nil"/>
            </w:tcBorders>
            <w:shd w:val="clear" w:color="auto" w:fill="auto"/>
            <w:vAlign w:val="bottom"/>
            <w:hideMark/>
          </w:tcPr>
          <w:p w:rsidR="00B958B1" w:rsidRPr="009B3704" w:rsidRDefault="00B958B1" w:rsidP="009F3B54">
            <w:pPr>
              <w:pStyle w:val="OGNotes"/>
            </w:pPr>
            <w:r w:rsidRPr="009B3704">
              <w:t>This performance measure is transferred directly from the 2012</w:t>
            </w:r>
            <w:r w:rsidR="009F0F49">
              <w:noBreakHyphen/>
            </w:r>
            <w:r w:rsidRPr="009B3704">
              <w:t>13 'Rural and Regional Public Transport Services' output.</w:t>
            </w:r>
          </w:p>
          <w:p w:rsidR="00B958B1" w:rsidRDefault="00B958B1" w:rsidP="009F3B54">
            <w:pPr>
              <w:pStyle w:val="OGNotes"/>
            </w:pPr>
            <w:r w:rsidRPr="009B3704">
              <w:t>This performance measure renames the 2012</w:t>
            </w:r>
            <w:r w:rsidR="009F0F49">
              <w:noBreakHyphen/>
            </w:r>
            <w:r w:rsidRPr="009B3704">
              <w:t>13 performance measure 'Payments made for: regional train service'</w:t>
            </w:r>
            <w:r>
              <w:t xml:space="preserve">. </w:t>
            </w:r>
          </w:p>
          <w:p w:rsidR="00B958B1" w:rsidRPr="009B3704" w:rsidRDefault="00B958B1" w:rsidP="009F3B54">
            <w:pPr>
              <w:pStyle w:val="OGNotes"/>
            </w:pPr>
            <w:r w:rsidRPr="009B3704">
              <w:t xml:space="preserve">The </w:t>
            </w:r>
            <w:r>
              <w:t>higher 2013</w:t>
            </w:r>
            <w:r w:rsidR="009F0F49">
              <w:noBreakHyphen/>
            </w:r>
            <w:r>
              <w:t>14 Target primarily reflects the transfer of coach payments from the performance measure ‘Payments made for: regional bus services’ to the 2013</w:t>
            </w:r>
            <w:r w:rsidR="009F0F49">
              <w:noBreakHyphen/>
            </w:r>
            <w:r>
              <w:t>14 performance measure ‘Payments made for: regional train and coach services’</w:t>
            </w:r>
            <w:r w:rsidRPr="009B3704">
              <w:t>.</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Scheduled services delivered: regional bus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99</w:t>
            </w:r>
            <w:r>
              <w:rPr>
                <w:lang w:eastAsia="en-AU"/>
              </w:rPr>
              <w:t>.0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99</w:t>
            </w:r>
            <w:r>
              <w:rPr>
                <w:lang w:eastAsia="en-AU"/>
              </w:rPr>
              <w:t>.0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99</w:t>
            </w:r>
            <w:r>
              <w:rPr>
                <w:lang w:eastAsia="en-AU"/>
              </w:rPr>
              <w:t>.0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99.5</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transferred directly from the 2012</w:t>
            </w:r>
            <w:r w:rsidR="009F0F49">
              <w:noBreakHyphen/>
            </w:r>
            <w:r w:rsidRPr="009B3704">
              <w:t>13 'Rural and Regional Public Transport Services' output.</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Scheduled services delivered: regional train</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98.5</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97.4</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98.5</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97.8</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transferred directly from the 2012</w:t>
            </w:r>
            <w:r w:rsidR="009F0F49">
              <w:noBreakHyphen/>
            </w:r>
            <w:r w:rsidRPr="009B3704">
              <w:t>13 'Rural and Regional Public Transport Services' output.</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Total kilometres scheduled: regional bus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km (million)</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Pr>
                <w:lang w:eastAsia="en-AU"/>
              </w:rPr>
              <w:t>23.0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22.8</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20.9</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21.9</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'Rural and Regional Public Transport Services' output. </w:t>
            </w:r>
          </w:p>
          <w:p w:rsidR="00B958B1" w:rsidRDefault="00B958B1" w:rsidP="009F3B54">
            <w:pPr>
              <w:pStyle w:val="OGNotes"/>
            </w:pPr>
            <w:r w:rsidRPr="009B3704">
              <w:t>The 2012</w:t>
            </w:r>
            <w:r w:rsidR="009F0F49">
              <w:noBreakHyphen/>
            </w:r>
            <w:r w:rsidRPr="009B3704">
              <w:t xml:space="preserve">13 Expected Outcome </w:t>
            </w:r>
            <w:r>
              <w:t>is higher than the 2012</w:t>
            </w:r>
            <w:r w:rsidR="009F0F49">
              <w:noBreakHyphen/>
            </w:r>
            <w:r>
              <w:t>13 Target due to the inclusion of some kilometres which were omitted from the 2012</w:t>
            </w:r>
            <w:r w:rsidR="009F0F49">
              <w:noBreakHyphen/>
            </w:r>
            <w:r>
              <w:t xml:space="preserve">13 Target. </w:t>
            </w:r>
          </w:p>
          <w:p w:rsidR="00B958B1" w:rsidRPr="009B3704" w:rsidRDefault="00B958B1" w:rsidP="009F3B54">
            <w:pPr>
              <w:pStyle w:val="OGNotes"/>
            </w:pPr>
            <w:r>
              <w:t>The higher 2013</w:t>
            </w:r>
            <w:r w:rsidR="009F0F49">
              <w:noBreakHyphen/>
            </w:r>
            <w:r>
              <w:t>14 Target reflects</w:t>
            </w:r>
            <w:r w:rsidRPr="009B3704">
              <w:t xml:space="preserve"> </w:t>
            </w:r>
            <w:r>
              <w:t>planned scheduled kilometres for regional bus services for 2013</w:t>
            </w:r>
            <w:r w:rsidR="009F0F49">
              <w:noBreakHyphen/>
            </w:r>
            <w:r>
              <w:t>14.</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keepNext/>
              <w:rPr>
                <w:lang w:eastAsia="en-AU"/>
              </w:rPr>
            </w:pPr>
            <w:r w:rsidRPr="009B3704">
              <w:rPr>
                <w:lang w:eastAsia="en-AU"/>
              </w:rPr>
              <w:t>Total kilometres scheduled: regional train and coach</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km (million)</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22.1</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22.1</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21.8</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22</w:t>
            </w:r>
            <w:r>
              <w:rPr>
                <w:lang w:eastAsia="en-AU"/>
              </w:rPr>
              <w:t>.0</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'Rural and Regional Public Transport Services' output. </w:t>
            </w:r>
          </w:p>
          <w:p w:rsidR="00B958B1" w:rsidRPr="009B3704" w:rsidRDefault="00B958B1" w:rsidP="009F3B54">
            <w:pPr>
              <w:pStyle w:val="OGNotes"/>
            </w:pPr>
            <w:r w:rsidRPr="009B3704">
              <w:t>The higher 2013</w:t>
            </w:r>
            <w:r w:rsidR="009F0F49">
              <w:noBreakHyphen/>
            </w:r>
            <w:r w:rsidRPr="009B3704">
              <w:t>14 Target reflects an increase in timetabled services for regional train and coach.</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9B3704">
              <w:rPr>
                <w:lang w:eastAsia="en-AU"/>
              </w:rPr>
              <w:t>Quality</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Availability of rolling stock: VLocity fleet</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92.5</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89.5</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92.3</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'Rural and Regional Public Transport Services' output. </w:t>
            </w:r>
          </w:p>
          <w:p w:rsidR="00B958B1" w:rsidRPr="009B3704" w:rsidRDefault="00B958B1" w:rsidP="009F3B54">
            <w:pPr>
              <w:pStyle w:val="OGNotes"/>
            </w:pPr>
            <w:r w:rsidRPr="009B3704">
              <w:t>The higher 2013</w:t>
            </w:r>
            <w:r w:rsidR="009F0F49">
              <w:noBreakHyphen/>
            </w:r>
            <w:r w:rsidRPr="009B3704">
              <w:t>14 Target reflects an expected improvement in the performance of the regional train operator.</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Customer satisfaction index: regional coach services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score</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81</w:t>
            </w:r>
            <w:r>
              <w:rPr>
                <w:lang w:eastAsia="en-AU"/>
              </w:rPr>
              <w:t>.0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82</w:t>
            </w:r>
            <w:r>
              <w:rPr>
                <w:lang w:eastAsia="en-AU"/>
              </w:rPr>
              <w:t>.0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80</w:t>
            </w:r>
            <w:r>
              <w:rPr>
                <w:lang w:eastAsia="en-AU"/>
              </w:rPr>
              <w:t>.0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81.6</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13 'Rural and Regional Public Transport Services' output.</w:t>
            </w:r>
          </w:p>
          <w:p w:rsidR="00B958B1" w:rsidRPr="009B3704" w:rsidRDefault="00B958B1" w:rsidP="009F3B54">
            <w:pPr>
              <w:pStyle w:val="OGNotes"/>
            </w:pPr>
            <w:r w:rsidRPr="009B3704">
              <w:t>The higher 2013</w:t>
            </w:r>
            <w:r w:rsidR="009F0F49">
              <w:noBreakHyphen/>
            </w:r>
            <w:r w:rsidRPr="009B3704">
              <w:t>14 Target reflects an expected increase in customer satisfaction in line with increased performance on the regional coach network.</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Customer satisfaction index: regional train services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score</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76</w:t>
            </w:r>
            <w:r>
              <w:rPr>
                <w:lang w:eastAsia="en-AU"/>
              </w:rPr>
              <w:t>.0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76</w:t>
            </w:r>
            <w:r>
              <w:rPr>
                <w:lang w:eastAsia="en-AU"/>
              </w:rPr>
              <w:t>.0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77</w:t>
            </w:r>
            <w:r>
              <w:rPr>
                <w:lang w:eastAsia="en-AU"/>
              </w:rPr>
              <w:t>.0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76.4</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'Rural and Regional Public Transport Services' output. </w:t>
            </w:r>
          </w:p>
          <w:p w:rsidR="00B958B1" w:rsidRPr="009B3704" w:rsidRDefault="00B958B1" w:rsidP="009F3B54">
            <w:pPr>
              <w:pStyle w:val="OGNotes"/>
            </w:pPr>
            <w:r w:rsidRPr="009B3704">
              <w:t>The lower 2013</w:t>
            </w:r>
            <w:r w:rsidR="009F0F49">
              <w:noBreakHyphen/>
            </w:r>
            <w:r w:rsidRPr="009B3704">
              <w:t>14 Target reflects an anticipated stabilisation in satisfaction of regional train services.</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Timeliness</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Service punctuality for: regional bus services</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94</w:t>
            </w:r>
            <w:r>
              <w:rPr>
                <w:lang w:eastAsia="en-AU"/>
              </w:rPr>
              <w:t>.0</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94</w:t>
            </w:r>
            <w:r>
              <w:rPr>
                <w:lang w:eastAsia="en-AU"/>
              </w:rPr>
              <w:t>.0</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99</w:t>
            </w:r>
            <w:r>
              <w:rPr>
                <w:lang w:eastAsia="en-AU"/>
              </w:rPr>
              <w:t>.0</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99</w:t>
            </w:r>
            <w:r>
              <w:rPr>
                <w:lang w:eastAsia="en-AU"/>
              </w:rPr>
              <w:t>.0</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'Rural and Regional Public Transport Services' output. </w:t>
            </w:r>
          </w:p>
          <w:p w:rsidR="00B958B1" w:rsidRPr="009B3704" w:rsidRDefault="00B958B1" w:rsidP="009F3B54">
            <w:pPr>
              <w:pStyle w:val="OGNotes"/>
            </w:pPr>
            <w:r w:rsidRPr="009B3704">
              <w:t xml:space="preserve">The </w:t>
            </w:r>
            <w:r>
              <w:t>lower 2013</w:t>
            </w:r>
            <w:r w:rsidR="009F0F49">
              <w:noBreakHyphen/>
            </w:r>
            <w:r>
              <w:t>14 Target and 2012</w:t>
            </w:r>
            <w:r w:rsidR="009F0F49">
              <w:noBreakHyphen/>
            </w:r>
            <w:r>
              <w:t xml:space="preserve">13 Expected Outcome reflects </w:t>
            </w:r>
            <w:r w:rsidRPr="009B3704">
              <w:t>the application of a more comprehensive methodology to operator performance self</w:t>
            </w:r>
            <w:r w:rsidR="009F0F49">
              <w:noBreakHyphen/>
            </w:r>
            <w:r w:rsidRPr="009B3704">
              <w:t>reporting rather than an expected fall in performance.</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keepNext/>
              <w:rPr>
                <w:lang w:eastAsia="en-AU"/>
              </w:rPr>
            </w:pPr>
            <w:r w:rsidRPr="009B3704">
              <w:rPr>
                <w:lang w:eastAsia="en-AU"/>
              </w:rPr>
              <w:t>Service punctuality for: regional train services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keepNext/>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keepNext/>
              <w:rPr>
                <w:lang w:eastAsia="en-AU"/>
              </w:rPr>
            </w:pPr>
            <w:r w:rsidRPr="009B3704">
              <w:rPr>
                <w:lang w:eastAsia="en-AU"/>
              </w:rPr>
              <w:t>92</w:t>
            </w:r>
            <w:r>
              <w:rPr>
                <w:lang w:eastAsia="en-AU"/>
              </w:rPr>
              <w:t>.0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84.1</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92</w:t>
            </w:r>
            <w:r>
              <w:rPr>
                <w:lang w:eastAsia="en-AU"/>
              </w:rPr>
              <w:t>.0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86.3</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'Rural and Regional Public Transport Services' output. </w:t>
            </w:r>
          </w:p>
          <w:p w:rsidR="00B958B1" w:rsidRPr="009B3704" w:rsidRDefault="00B958B1" w:rsidP="009F3B54">
            <w:pPr>
              <w:pStyle w:val="OGNotes"/>
            </w:pPr>
            <w:r w:rsidRPr="009B3704">
              <w:t>The 2012</w:t>
            </w:r>
            <w:r w:rsidR="009F0F49">
              <w:noBreakHyphen/>
            </w:r>
            <w:r>
              <w:t>13 Expected Outcome is lower than the 2012</w:t>
            </w:r>
            <w:r w:rsidR="009F0F49">
              <w:noBreakHyphen/>
            </w:r>
            <w:r>
              <w:t>13 Target due to</w:t>
            </w:r>
            <w:r w:rsidRPr="009B3704">
              <w:t xml:space="preserve"> a combination of infrastructure and train faults, congestion on the metropolitan train network and disruptions on the northern line due to track condition.</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Cost</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keepNext/>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keepNext/>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keepNext/>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keepNext/>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keepNext/>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keepNext/>
              <w:rPr>
                <w:lang w:eastAsia="en-AU"/>
              </w:rPr>
            </w:pPr>
            <w:r w:rsidRPr="009B3704">
              <w:rPr>
                <w:lang w:eastAsia="en-AU"/>
              </w:rPr>
              <w:t>Total output cost</w:t>
            </w:r>
          </w:p>
        </w:tc>
        <w:tc>
          <w:tcPr>
            <w:tcW w:w="908" w:type="dxa"/>
            <w:tcBorders>
              <w:top w:val="nil"/>
              <w:left w:val="nil"/>
              <w:right w:val="nil"/>
            </w:tcBorders>
            <w:shd w:val="clear" w:color="000000" w:fill="FFFFFF"/>
            <w:hideMark/>
          </w:tcPr>
          <w:p w:rsidR="00B958B1" w:rsidRPr="009B3704" w:rsidRDefault="00B958B1" w:rsidP="009F3B54">
            <w:pPr>
              <w:pStyle w:val="OGUoM"/>
              <w:keepNext/>
              <w:rPr>
                <w:lang w:eastAsia="en-AU"/>
              </w:rPr>
            </w:pPr>
            <w:r>
              <w:rPr>
                <w:lang w:eastAsia="en-AU"/>
              </w:rPr>
              <w:t>$ million</w:t>
            </w:r>
          </w:p>
        </w:tc>
        <w:tc>
          <w:tcPr>
            <w:tcW w:w="907" w:type="dxa"/>
            <w:tcBorders>
              <w:top w:val="nil"/>
              <w:left w:val="nil"/>
              <w:right w:val="nil"/>
            </w:tcBorders>
            <w:shd w:val="clear" w:color="auto" w:fill="D9D9D9"/>
            <w:hideMark/>
          </w:tcPr>
          <w:p w:rsidR="00B958B1" w:rsidRPr="009B3704" w:rsidRDefault="00B958B1" w:rsidP="009F3B54">
            <w:pPr>
              <w:pStyle w:val="OGTableofFigures"/>
              <w:keepNext/>
              <w:rPr>
                <w:lang w:eastAsia="en-AU"/>
              </w:rPr>
            </w:pPr>
            <w:r>
              <w:rPr>
                <w:lang w:eastAsia="en-AU"/>
              </w:rPr>
              <w:t>869</w:t>
            </w:r>
            <w:r w:rsidRPr="009B3704">
              <w:rPr>
                <w:lang w:eastAsia="en-AU"/>
              </w:rPr>
              <w:t>.8</w:t>
            </w:r>
          </w:p>
        </w:tc>
        <w:tc>
          <w:tcPr>
            <w:tcW w:w="994" w:type="dxa"/>
            <w:tcBorders>
              <w:top w:val="nil"/>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844.2</w:t>
            </w:r>
          </w:p>
        </w:tc>
        <w:tc>
          <w:tcPr>
            <w:tcW w:w="907" w:type="dxa"/>
            <w:tcBorders>
              <w:top w:val="nil"/>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839.7</w:t>
            </w:r>
          </w:p>
        </w:tc>
        <w:tc>
          <w:tcPr>
            <w:tcW w:w="906" w:type="dxa"/>
            <w:tcBorders>
              <w:top w:val="nil"/>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794.7</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higher 2013</w:t>
            </w:r>
            <w:r w:rsidR="009F0F49">
              <w:noBreakHyphen/>
            </w:r>
            <w:r w:rsidRPr="009B3704">
              <w:t>14 Target reflects the impact of new services, indexation of contract payments and the increase in the capital asset charge as a result of the investment in infrastructure projects. This has been partly offset by the achievement of government corporate savings.</w:t>
            </w:r>
          </w:p>
        </w:tc>
      </w:tr>
      <w:tr w:rsidR="00B958B1" w:rsidRPr="009B3704" w:rsidTr="009F3B54">
        <w:trPr>
          <w:gridAfter w:val="1"/>
          <w:wAfter w:w="6" w:type="dxa"/>
          <w:cantSplit/>
        </w:trPr>
        <w:tc>
          <w:tcPr>
            <w:tcW w:w="7776" w:type="dxa"/>
            <w:gridSpan w:val="6"/>
            <w:tcBorders>
              <w:top w:val="nil"/>
              <w:left w:val="nil"/>
              <w:right w:val="nil"/>
            </w:tcBorders>
            <w:shd w:val="clear" w:color="auto" w:fill="auto"/>
            <w:vAlign w:val="bottom"/>
            <w:hideMark/>
          </w:tcPr>
          <w:p w:rsidR="00B958B1" w:rsidRPr="009B3704" w:rsidRDefault="00B958B1" w:rsidP="009F3B54">
            <w:pPr>
              <w:pStyle w:val="OGHeading2"/>
              <w:rPr>
                <w:lang w:eastAsia="en-AU"/>
              </w:rPr>
            </w:pPr>
            <w:r w:rsidRPr="009B3704">
              <w:rPr>
                <w:lang w:eastAsia="en-AU"/>
              </w:rPr>
              <w:t>Statewide Transport Services</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Text"/>
            </w:pPr>
            <w:r w:rsidRPr="009B3704">
              <w:t>This output provides the delivery of transport services, and programs to improve accessibility to the transport system delivered across Victoria. This output supports the Department's objective to deliver higher</w:t>
            </w:r>
            <w:r w:rsidR="009F0F49">
              <w:noBreakHyphen/>
            </w:r>
            <w:r w:rsidRPr="009B3704">
              <w:t>quality transport services.</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Quantity</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keepNext/>
              <w:rPr>
                <w:lang w:eastAsia="en-AU"/>
              </w:rPr>
            </w:pPr>
            <w:r w:rsidRPr="009B3704">
              <w:rPr>
                <w:lang w:eastAsia="en-AU"/>
              </w:rPr>
              <w:t>Multi Purpose Taxi Program: passenger only trips</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 (000)</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3</w:t>
            </w:r>
            <w:r>
              <w:rPr>
                <w:lang w:eastAsia="en-AU"/>
              </w:rPr>
              <w:t> </w:t>
            </w:r>
            <w:r w:rsidRPr="009B3704">
              <w:rPr>
                <w:lang w:eastAsia="en-AU"/>
              </w:rPr>
              <w:t>700</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w:t>
            </w:r>
            <w:r>
              <w:rPr>
                <w:lang w:eastAsia="en-AU"/>
              </w:rPr>
              <w:t> </w:t>
            </w:r>
            <w:r w:rsidRPr="009B3704">
              <w:rPr>
                <w:lang w:eastAsia="en-AU"/>
              </w:rPr>
              <w:t>700</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w:t>
            </w:r>
            <w:r>
              <w:rPr>
                <w:lang w:eastAsia="en-AU"/>
              </w:rPr>
              <w:t> </w:t>
            </w:r>
            <w:r w:rsidRPr="009B3704">
              <w:rPr>
                <w:lang w:eastAsia="en-AU"/>
              </w:rPr>
              <w:t>700</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w:t>
            </w:r>
            <w:r>
              <w:rPr>
                <w:lang w:eastAsia="en-AU"/>
              </w:rPr>
              <w:t> </w:t>
            </w:r>
            <w:r w:rsidRPr="009B3704">
              <w:rPr>
                <w:lang w:eastAsia="en-AU"/>
              </w:rPr>
              <w:t>575</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transferred directly from the 2012</w:t>
            </w:r>
            <w:r w:rsidR="009F0F49">
              <w:noBreakHyphen/>
            </w:r>
            <w:r w:rsidRPr="009B3704">
              <w:t>13 'Specialist Transport Services' output.</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Multi Purpose Taxi Program: with wheelchair trips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 (000)</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w:t>
            </w:r>
            <w:r>
              <w:rPr>
                <w:lang w:eastAsia="en-AU"/>
              </w:rPr>
              <w:t> </w:t>
            </w:r>
            <w:r w:rsidRPr="009B3704">
              <w:rPr>
                <w:lang w:eastAsia="en-AU"/>
              </w:rPr>
              <w:t>000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w:t>
            </w:r>
            <w:r>
              <w:rPr>
                <w:lang w:eastAsia="en-AU"/>
              </w:rPr>
              <w:t> </w:t>
            </w:r>
            <w:r w:rsidRPr="009B3704">
              <w:rPr>
                <w:lang w:eastAsia="en-AU"/>
              </w:rPr>
              <w:t>000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800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847</w:t>
            </w:r>
          </w:p>
        </w:tc>
      </w:tr>
      <w:tr w:rsidR="00B958B1" w:rsidRPr="009B3704" w:rsidTr="009F3B54">
        <w:trPr>
          <w:gridAfter w:val="1"/>
          <w:wAfter w:w="6" w:type="dxa"/>
          <w:cantSplit/>
          <w:trHeight w:val="852"/>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transferred directly from the 2012</w:t>
            </w:r>
            <w:r w:rsidR="009F0F49">
              <w:noBreakHyphen/>
            </w:r>
            <w:r w:rsidRPr="009B3704">
              <w:t>13 'Specialist Transport Services' output.</w:t>
            </w:r>
          </w:p>
          <w:p w:rsidR="00B958B1" w:rsidRPr="009B3704" w:rsidRDefault="00B958B1" w:rsidP="009F3B54">
            <w:pPr>
              <w:pStyle w:val="OGNotes"/>
            </w:pPr>
            <w:r w:rsidRPr="009B3704">
              <w:t xml:space="preserve">The </w:t>
            </w:r>
            <w:r>
              <w:t xml:space="preserve">higher </w:t>
            </w:r>
            <w:r w:rsidRPr="009B3704">
              <w:t>2012</w:t>
            </w:r>
            <w:r w:rsidR="009F0F49">
              <w:noBreakHyphen/>
            </w:r>
            <w:r w:rsidRPr="009B3704">
              <w:t>13 Expected Outcome and 2013</w:t>
            </w:r>
            <w:r w:rsidR="009F0F49">
              <w:noBreakHyphen/>
            </w:r>
            <w:r w:rsidRPr="009B3704">
              <w:t xml:space="preserve">14 Target </w:t>
            </w:r>
            <w:r>
              <w:t xml:space="preserve">reflects </w:t>
            </w:r>
            <w:r w:rsidRPr="009B3704">
              <w:t>the ag</w:t>
            </w:r>
            <w:r>
              <w:t>e</w:t>
            </w:r>
            <w:r w:rsidRPr="009B3704">
              <w:t>ing membership profile, successful communications by Victorian Taxi Dire</w:t>
            </w:r>
            <w:r>
              <w:t>ctorate to encourage eligible me</w:t>
            </w:r>
            <w:r w:rsidRPr="009B3704">
              <w:t>mbers to register for wheelchair trips, and the additional wheelchairs licences released for Greater Melbourne in 2010.</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Scheduled services delivered: school bus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99</w:t>
            </w:r>
            <w:r>
              <w:rPr>
                <w:lang w:eastAsia="en-AU"/>
              </w:rPr>
              <w:t>.0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99</w:t>
            </w:r>
            <w:r>
              <w:rPr>
                <w:lang w:eastAsia="en-AU"/>
              </w:rPr>
              <w:t>.0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99</w:t>
            </w:r>
            <w:r>
              <w:rPr>
                <w:lang w:eastAsia="en-AU"/>
              </w:rPr>
              <w:t>.0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r>
              <w:rPr>
                <w:lang w:eastAsia="en-AU"/>
              </w:rPr>
              <w:t>.0</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13 'Specialist Transport Services' output. This performance measure renames the 2012</w:t>
            </w:r>
            <w:r w:rsidR="009F0F49">
              <w:noBreakHyphen/>
            </w:r>
            <w:r w:rsidRPr="009B3704">
              <w:t xml:space="preserve">13 performance measure 'Scheduled school bus services delivered'. </w:t>
            </w:r>
          </w:p>
          <w:p w:rsidR="00B958B1" w:rsidRPr="009B3704" w:rsidRDefault="00B958B1" w:rsidP="009F3B54">
            <w:pPr>
              <w:pStyle w:val="OGNotes"/>
            </w:pPr>
            <w:r w:rsidRPr="009B3704">
              <w:t>The new measure reports on the same activity as the previous measure however has been amended to make its title consistent with other public transport punctuality measures.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Total kilometres scheduled: school bus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km (million)</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31.1</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31.1</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31.5</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31.5</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'Specialist Transport Services' output. </w:t>
            </w:r>
          </w:p>
          <w:p w:rsidR="00B958B1" w:rsidRPr="009B3704" w:rsidRDefault="00B958B1" w:rsidP="009F3B54">
            <w:pPr>
              <w:pStyle w:val="OGNotes"/>
            </w:pPr>
            <w:r w:rsidRPr="009B3704">
              <w:t>The lower 2013</w:t>
            </w:r>
            <w:r w:rsidR="009F0F49">
              <w:noBreakHyphen/>
            </w:r>
            <w:r w:rsidRPr="009B3704">
              <w:t>14 Target reflects increased efficiency in the design of school bus routes.</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Timeliness</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Multi Purpose Taxi Program: applications assessed and completed within 14 days</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96</w:t>
            </w:r>
            <w:r>
              <w:rPr>
                <w:lang w:eastAsia="en-AU"/>
              </w:rPr>
              <w:t>.0</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95</w:t>
            </w:r>
            <w:r>
              <w:rPr>
                <w:lang w:eastAsia="en-AU"/>
              </w:rPr>
              <w:t>.0</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95</w:t>
            </w:r>
            <w:r>
              <w:rPr>
                <w:lang w:eastAsia="en-AU"/>
              </w:rPr>
              <w:t>.0</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96.5</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13 'Specialist Transport Services' output.</w:t>
            </w:r>
          </w:p>
          <w:p w:rsidR="00B958B1" w:rsidRPr="009B3704" w:rsidRDefault="00B958B1" w:rsidP="009F3B54">
            <w:pPr>
              <w:pStyle w:val="OGNotes"/>
            </w:pPr>
            <w:r>
              <w:t>The higher 2013</w:t>
            </w:r>
            <w:r w:rsidR="009F0F49">
              <w:noBreakHyphen/>
            </w:r>
            <w:r>
              <w:t>14 Target reflects increased efficiency in processing applications.</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keepLines w:val="0"/>
              <w:rPr>
                <w:lang w:eastAsia="en-AU"/>
              </w:rPr>
            </w:pPr>
            <w:r w:rsidRPr="00627E76">
              <w:rPr>
                <w:iCs/>
                <w:lang w:eastAsia="en-AU"/>
              </w:rPr>
              <w:t>Cost</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keepNext/>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keepNext/>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keepNext/>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keepNext/>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keepNext/>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keepNext/>
              <w:rPr>
                <w:lang w:eastAsia="en-AU"/>
              </w:rPr>
            </w:pPr>
            <w:r w:rsidRPr="009B3704">
              <w:rPr>
                <w:lang w:eastAsia="en-AU"/>
              </w:rPr>
              <w:t>Total output cost</w:t>
            </w:r>
          </w:p>
        </w:tc>
        <w:tc>
          <w:tcPr>
            <w:tcW w:w="908" w:type="dxa"/>
            <w:tcBorders>
              <w:top w:val="nil"/>
              <w:left w:val="nil"/>
              <w:right w:val="nil"/>
            </w:tcBorders>
            <w:shd w:val="clear" w:color="000000" w:fill="FFFFFF"/>
            <w:hideMark/>
          </w:tcPr>
          <w:p w:rsidR="00B958B1" w:rsidRPr="009B3704" w:rsidRDefault="00B958B1" w:rsidP="009F3B54">
            <w:pPr>
              <w:pStyle w:val="OGUoM"/>
              <w:keepNext/>
              <w:rPr>
                <w:lang w:eastAsia="en-AU"/>
              </w:rPr>
            </w:pPr>
            <w:r>
              <w:rPr>
                <w:lang w:eastAsia="en-AU"/>
              </w:rPr>
              <w:t>$ million</w:t>
            </w:r>
          </w:p>
        </w:tc>
        <w:tc>
          <w:tcPr>
            <w:tcW w:w="907" w:type="dxa"/>
            <w:tcBorders>
              <w:top w:val="nil"/>
              <w:left w:val="nil"/>
              <w:right w:val="nil"/>
            </w:tcBorders>
            <w:shd w:val="clear" w:color="auto" w:fill="D9D9D9"/>
            <w:hideMark/>
          </w:tcPr>
          <w:p w:rsidR="00B958B1" w:rsidRPr="009B3704" w:rsidRDefault="00B958B1" w:rsidP="009F3B54">
            <w:pPr>
              <w:pStyle w:val="OGTableofFigures"/>
              <w:keepNext/>
              <w:rPr>
                <w:lang w:eastAsia="en-AU"/>
              </w:rPr>
            </w:pPr>
            <w:r>
              <w:rPr>
                <w:lang w:eastAsia="en-AU"/>
              </w:rPr>
              <w:t>372</w:t>
            </w:r>
            <w:r w:rsidRPr="009B3704">
              <w:rPr>
                <w:lang w:eastAsia="en-AU"/>
              </w:rPr>
              <w:t>.5</w:t>
            </w:r>
          </w:p>
        </w:tc>
        <w:tc>
          <w:tcPr>
            <w:tcW w:w="994" w:type="dxa"/>
            <w:tcBorders>
              <w:top w:val="nil"/>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346</w:t>
            </w:r>
            <w:r>
              <w:rPr>
                <w:lang w:eastAsia="en-AU"/>
              </w:rPr>
              <w:t>.0</w:t>
            </w:r>
          </w:p>
        </w:tc>
        <w:tc>
          <w:tcPr>
            <w:tcW w:w="907" w:type="dxa"/>
            <w:tcBorders>
              <w:top w:val="nil"/>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348.8</w:t>
            </w:r>
          </w:p>
        </w:tc>
        <w:tc>
          <w:tcPr>
            <w:tcW w:w="906" w:type="dxa"/>
            <w:tcBorders>
              <w:top w:val="nil"/>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337.5</w:t>
            </w:r>
          </w:p>
        </w:tc>
      </w:tr>
      <w:tr w:rsidR="00B958B1" w:rsidRPr="009B3704" w:rsidTr="009F3B54">
        <w:trPr>
          <w:gridAfter w:val="1"/>
          <w:wAfter w:w="6" w:type="dxa"/>
          <w:cantSplit/>
        </w:trPr>
        <w:tc>
          <w:tcPr>
            <w:tcW w:w="7776" w:type="dxa"/>
            <w:gridSpan w:val="6"/>
            <w:tcBorders>
              <w:top w:val="nil"/>
              <w:left w:val="nil"/>
              <w:bottom w:val="single" w:sz="12" w:space="0" w:color="auto"/>
              <w:right w:val="nil"/>
            </w:tcBorders>
            <w:shd w:val="clear" w:color="auto" w:fill="auto"/>
            <w:vAlign w:val="bottom"/>
            <w:hideMark/>
          </w:tcPr>
          <w:p w:rsidR="00B958B1" w:rsidRPr="009B3704" w:rsidRDefault="00B958B1" w:rsidP="009F3B54">
            <w:pPr>
              <w:pStyle w:val="OGNotes"/>
            </w:pPr>
            <w:r w:rsidRPr="009B3704">
              <w:t>The higher 2013</w:t>
            </w:r>
            <w:r w:rsidR="009F0F49">
              <w:noBreakHyphen/>
            </w:r>
            <w:r w:rsidRPr="009B3704">
              <w:t xml:space="preserve">14 Target reflects the indexation of school bus and Multi Purpose Taxi Program payment and </w:t>
            </w:r>
            <w:r w:rsidRPr="003D6963">
              <w:rPr>
                <w:i w:val="0"/>
              </w:rPr>
              <w:t>myki</w:t>
            </w:r>
            <w:r w:rsidRPr="009B3704">
              <w:t xml:space="preserve"> ticketing service operations.</w:t>
            </w:r>
          </w:p>
        </w:tc>
      </w:tr>
    </w:tbl>
    <w:p w:rsidR="00B958B1" w:rsidRDefault="00B958B1" w:rsidP="009F3B54">
      <w:pPr>
        <w:pStyle w:val="Source"/>
      </w:pPr>
      <w:r>
        <w:t xml:space="preserve">Source: Department of Transport, Planning and Local Infrastructure </w:t>
      </w:r>
    </w:p>
    <w:p w:rsidR="00B958B1" w:rsidRDefault="00B958B1" w:rsidP="009F3B54">
      <w:pPr>
        <w:pStyle w:val="Source"/>
        <w:rPr>
          <w:b/>
        </w:rPr>
      </w:pPr>
      <w:r>
        <w:fldChar w:fldCharType="begin"/>
      </w:r>
      <w:r>
        <w:instrText xml:space="preserve"> XE "</w:instrText>
      </w:r>
      <w:r w:rsidRPr="00F26562">
        <w:instrText>Department of Transport, Planning and Local Infrastructure:Integrated Transport Services</w:instrText>
      </w:r>
      <w:r>
        <w:instrText xml:space="preserve">" \r "BP3DTPLIIntegTransSvces" </w:instrText>
      </w:r>
      <w:r>
        <w:fldChar w:fldCharType="end"/>
      </w:r>
      <w:r>
        <w:t xml:space="preserve"> </w:t>
      </w:r>
      <w:bookmarkEnd w:id="139"/>
      <w:r>
        <w:br w:type="page"/>
      </w:r>
    </w:p>
    <w:p w:rsidR="00B958B1" w:rsidRPr="009B3704" w:rsidRDefault="00B958B1" w:rsidP="009F3B54">
      <w:pPr>
        <w:pStyle w:val="OGHeading1"/>
        <w:rPr>
          <w:lang w:eastAsia="en-AU"/>
        </w:rPr>
      </w:pPr>
      <w:bookmarkStart w:id="140" w:name="BP3DTPLITransSystDevelopandMain"/>
      <w:r w:rsidRPr="009B3704">
        <w:rPr>
          <w:lang w:eastAsia="en-AU"/>
        </w:rPr>
        <w:t>Transport System Development and Maintenance</w:t>
      </w:r>
    </w:p>
    <w:p w:rsidR="00B958B1" w:rsidRPr="009B3704" w:rsidRDefault="00B958B1" w:rsidP="009F3B54">
      <w:pPr>
        <w:pStyle w:val="OGText"/>
        <w:rPr>
          <w:lang w:eastAsia="en-AU"/>
        </w:rPr>
      </w:pPr>
      <w:r w:rsidRPr="009B3704">
        <w:rPr>
          <w:lang w:eastAsia="en-AU"/>
        </w:rPr>
        <w:t>This output group delivers strategic transport infrastructure planning to improve the transport system, capital initiatives to increase the capacity, efficiency and safety of the transport system, and maintenance programs to maintain the quality of the transport system.</w:t>
      </w:r>
    </w:p>
    <w:tbl>
      <w:tblPr>
        <w:tblW w:w="7782" w:type="dxa"/>
        <w:tblInd w:w="29" w:type="dxa"/>
        <w:tblLayout w:type="fixed"/>
        <w:tblCellMar>
          <w:left w:w="43" w:type="dxa"/>
          <w:right w:w="43" w:type="dxa"/>
        </w:tblCellMar>
        <w:tblLook w:val="04A0" w:firstRow="1" w:lastRow="0" w:firstColumn="1" w:lastColumn="0" w:noHBand="0" w:noVBand="1"/>
      </w:tblPr>
      <w:tblGrid>
        <w:gridCol w:w="3154"/>
        <w:gridCol w:w="908"/>
        <w:gridCol w:w="907"/>
        <w:gridCol w:w="994"/>
        <w:gridCol w:w="907"/>
        <w:gridCol w:w="906"/>
        <w:gridCol w:w="6"/>
      </w:tblGrid>
      <w:tr w:rsidR="00B958B1" w:rsidRPr="00773447" w:rsidTr="009F3B54">
        <w:trPr>
          <w:cantSplit/>
          <w:tblHeader/>
        </w:trPr>
        <w:tc>
          <w:tcPr>
            <w:tcW w:w="3154" w:type="dxa"/>
            <w:tcBorders>
              <w:top w:val="single" w:sz="4" w:space="0" w:color="auto"/>
              <w:left w:val="single" w:sz="4" w:space="0" w:color="auto"/>
              <w:bottom w:val="single" w:sz="4" w:space="0" w:color="auto"/>
              <w:right w:val="nil"/>
            </w:tcBorders>
            <w:shd w:val="clear" w:color="auto" w:fill="000000"/>
            <w:vAlign w:val="bottom"/>
          </w:tcPr>
          <w:p w:rsidR="00B958B1" w:rsidRPr="00773447" w:rsidRDefault="00B958B1" w:rsidP="009F3B54">
            <w:pPr>
              <w:spacing w:before="30" w:after="30"/>
              <w:rPr>
                <w:rFonts w:ascii="Calibri" w:hAnsi="Calibri"/>
                <w:b/>
                <w:i/>
                <w:sz w:val="20"/>
                <w:szCs w:val="18"/>
                <w:lang w:eastAsia="en-AU"/>
              </w:rPr>
            </w:pPr>
            <w:r w:rsidRPr="00773447">
              <w:rPr>
                <w:rFonts w:ascii="Calibri" w:hAnsi="Calibri"/>
                <w:b/>
                <w:sz w:val="20"/>
                <w:szCs w:val="18"/>
                <w:lang w:eastAsia="en-AU"/>
              </w:rPr>
              <w:t>Major Outputs/Deliverables</w:t>
            </w:r>
            <w:r w:rsidRPr="00773447">
              <w:rPr>
                <w:rFonts w:ascii="Calibri" w:hAnsi="Calibri"/>
                <w:b/>
                <w:sz w:val="20"/>
                <w:szCs w:val="18"/>
                <w:lang w:eastAsia="en-AU"/>
              </w:rPr>
              <w:br/>
            </w:r>
            <w:r w:rsidRPr="00773447">
              <w:rPr>
                <w:rFonts w:ascii="Calibri" w:hAnsi="Calibri"/>
                <w:i/>
                <w:sz w:val="20"/>
                <w:szCs w:val="18"/>
                <w:lang w:eastAsia="en-AU"/>
              </w:rPr>
              <w:t>Performance measures</w:t>
            </w:r>
          </w:p>
        </w:tc>
        <w:tc>
          <w:tcPr>
            <w:tcW w:w="908"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center"/>
              <w:rPr>
                <w:rFonts w:ascii="Calibri" w:hAnsi="Calibri"/>
                <w:b/>
                <w:sz w:val="20"/>
                <w:szCs w:val="18"/>
                <w:lang w:eastAsia="en-AU"/>
              </w:rPr>
            </w:pPr>
            <w:r w:rsidRPr="00773447">
              <w:rPr>
                <w:rFonts w:ascii="Calibri" w:hAnsi="Calibri"/>
                <w:b/>
                <w:sz w:val="20"/>
                <w:szCs w:val="18"/>
                <w:lang w:eastAsia="en-AU"/>
              </w:rPr>
              <w:t xml:space="preserve">Unit of </w:t>
            </w:r>
            <w:r w:rsidRPr="00773447">
              <w:rPr>
                <w:rFonts w:ascii="Calibri" w:hAnsi="Calibri"/>
                <w:b/>
                <w:sz w:val="20"/>
                <w:szCs w:val="18"/>
                <w:lang w:eastAsia="en-AU"/>
              </w:rPr>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2013</w:t>
            </w:r>
            <w:r w:rsidR="009F0F49">
              <w:rPr>
                <w:rFonts w:ascii="Calibri" w:hAnsi="Calibri"/>
                <w:b/>
                <w:sz w:val="20"/>
                <w:szCs w:val="18"/>
              </w:rPr>
              <w:noBreakHyphen/>
            </w:r>
            <w:r w:rsidRPr="00773447">
              <w:rPr>
                <w:rFonts w:ascii="Calibri" w:hAnsi="Calibri"/>
                <w:b/>
                <w:sz w:val="20"/>
                <w:szCs w:val="18"/>
              </w:rPr>
              <w:t>14 Target</w:t>
            </w:r>
          </w:p>
        </w:tc>
        <w:tc>
          <w:tcPr>
            <w:tcW w:w="994"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2012</w:t>
            </w:r>
            <w:r w:rsidR="009F0F49">
              <w:rPr>
                <w:rFonts w:ascii="Calibri" w:hAnsi="Calibri"/>
                <w:b/>
                <w:sz w:val="20"/>
                <w:szCs w:val="18"/>
              </w:rPr>
              <w:noBreakHyphen/>
            </w:r>
            <w:r w:rsidRPr="00773447">
              <w:rPr>
                <w:rFonts w:ascii="Calibri" w:hAnsi="Calibri"/>
                <w:b/>
                <w:sz w:val="20"/>
                <w:szCs w:val="18"/>
              </w:rPr>
              <w:t>13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2012</w:t>
            </w:r>
            <w:r w:rsidR="009F0F49">
              <w:rPr>
                <w:rFonts w:ascii="Calibri" w:hAnsi="Calibri"/>
                <w:b/>
                <w:sz w:val="20"/>
                <w:szCs w:val="18"/>
              </w:rPr>
              <w:noBreakHyphen/>
            </w:r>
            <w:r w:rsidRPr="00773447">
              <w:rPr>
                <w:rFonts w:ascii="Calibri" w:hAnsi="Calibri"/>
                <w:b/>
                <w:sz w:val="20"/>
                <w:szCs w:val="18"/>
              </w:rPr>
              <w:t>13 Target</w:t>
            </w:r>
          </w:p>
        </w:tc>
        <w:tc>
          <w:tcPr>
            <w:tcW w:w="912" w:type="dxa"/>
            <w:gridSpan w:val="2"/>
            <w:tcBorders>
              <w:top w:val="single" w:sz="4" w:space="0" w:color="auto"/>
              <w:left w:val="nil"/>
              <w:bottom w:val="single" w:sz="4" w:space="0" w:color="auto"/>
              <w:right w:val="single" w:sz="4" w:space="0" w:color="auto"/>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2011</w:t>
            </w:r>
            <w:r w:rsidR="009F0F49">
              <w:rPr>
                <w:rFonts w:ascii="Calibri" w:hAnsi="Calibri"/>
                <w:b/>
                <w:sz w:val="20"/>
                <w:szCs w:val="18"/>
              </w:rPr>
              <w:noBreakHyphen/>
            </w:r>
            <w:r w:rsidRPr="00773447">
              <w:rPr>
                <w:rFonts w:ascii="Calibri" w:hAnsi="Calibri"/>
                <w:b/>
                <w:sz w:val="20"/>
                <w:szCs w:val="18"/>
              </w:rPr>
              <w:t>12 Actual</w:t>
            </w:r>
          </w:p>
        </w:tc>
      </w:tr>
      <w:tr w:rsidR="00B958B1" w:rsidRPr="009B3704" w:rsidTr="009F3B54">
        <w:trPr>
          <w:gridAfter w:val="1"/>
          <w:wAfter w:w="6" w:type="dxa"/>
          <w:cantSplit/>
        </w:trPr>
        <w:tc>
          <w:tcPr>
            <w:tcW w:w="7776" w:type="dxa"/>
            <w:gridSpan w:val="6"/>
            <w:tcBorders>
              <w:top w:val="nil"/>
              <w:left w:val="nil"/>
              <w:right w:val="nil"/>
            </w:tcBorders>
            <w:shd w:val="clear" w:color="auto" w:fill="auto"/>
            <w:vAlign w:val="bottom"/>
            <w:hideMark/>
          </w:tcPr>
          <w:p w:rsidR="00B958B1" w:rsidRPr="009B3704" w:rsidRDefault="00B958B1" w:rsidP="009F3B54">
            <w:pPr>
              <w:pStyle w:val="OGHeading2"/>
              <w:rPr>
                <w:lang w:eastAsia="en-AU"/>
              </w:rPr>
            </w:pPr>
            <w:r w:rsidRPr="009B3704">
              <w:rPr>
                <w:lang w:eastAsia="en-AU"/>
              </w:rPr>
              <w:t>Integrated Transport System Planning</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Text"/>
              <w:rPr>
                <w:lang w:eastAsia="en-AU"/>
              </w:rPr>
            </w:pPr>
            <w:r w:rsidRPr="009B3704">
              <w:rPr>
                <w:lang w:eastAsia="en-AU"/>
              </w:rPr>
              <w:t>This output delivers activities to plan improvements to the transport system. This output supports the Department's objective to deliver well</w:t>
            </w:r>
            <w:r w:rsidR="009F0F49">
              <w:rPr>
                <w:lang w:eastAsia="en-AU"/>
              </w:rPr>
              <w:noBreakHyphen/>
            </w:r>
            <w:r w:rsidRPr="009B3704">
              <w:rPr>
                <w:lang w:eastAsia="en-AU"/>
              </w:rPr>
              <w:t>targeted improvements and maintenance to transport system assets.</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Quantity</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Integrated transport planning to support urban renewal projects</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6</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transferred directly from the 2012</w:t>
            </w:r>
            <w:r w:rsidR="009F0F49">
              <w:noBreakHyphen/>
            </w:r>
            <w:r w:rsidRPr="009B3704">
              <w:t>13 'Integrated Transport Planning and Sustainable Transport Development' output.</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Planning projects for major transport infrastructure requiring Commonwealth funding</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6</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proposed to consolidate the 2012</w:t>
            </w:r>
            <w:r w:rsidR="009F0F49">
              <w:noBreakHyphen/>
            </w:r>
            <w:r w:rsidRPr="009B3704">
              <w:t>13 performance measures 'East West Link: planning and development progressed', 'Port of Hastings: planning and development progressed' and 'Transport policy advice regarding the Council of Australian Government's (COAG) National Reform Agenda provided within agreed timelines'. These measures have been consolidated to provide a more integrated representation of planning activities undertaken by the department together with the Commonwealth. The major transport infrastructure projects planning that will require Commonwealth funding in 2013</w:t>
            </w:r>
            <w:r w:rsidR="009F0F49">
              <w:noBreakHyphen/>
            </w:r>
            <w:r w:rsidRPr="009B3704">
              <w:t>14 are 'East West Link', 'Melbourne Metro', 'Port of Hastings Development', 'Dandenong Rail Capacity Program', 'Western Interstate Freight Terminal' and 'M80 Upgrade'.</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Timeliness</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Avalon Airport rail link: select a preferred rail corridor</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sidRPr="009B3704">
              <w:rPr>
                <w:lang w:eastAsia="en-AU"/>
              </w:rPr>
              <w:t>date</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Pr>
                <w:lang w:eastAsia="en-AU"/>
              </w:rPr>
              <w:t>q</w:t>
            </w:r>
            <w:r w:rsidRPr="009B3704">
              <w:rPr>
                <w:lang w:eastAsia="en-AU"/>
              </w:rPr>
              <w:t>tr 1</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na</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qtr 3</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'Integrated Transport Planning and Sustainable Transport Development' output. </w:t>
            </w:r>
          </w:p>
          <w:p w:rsidR="00B958B1" w:rsidRPr="009B3704" w:rsidRDefault="00B958B1" w:rsidP="009F3B54">
            <w:pPr>
              <w:pStyle w:val="OGNotes"/>
            </w:pPr>
            <w:r w:rsidRPr="009B3704">
              <w:t>The 2013</w:t>
            </w:r>
            <w:r w:rsidR="009F0F49">
              <w:noBreakHyphen/>
            </w:r>
            <w:r w:rsidRPr="009B3704">
              <w:t>14 Target is based on a revised schedule that has been adjusted to accommodate extensive public consultation.</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Port of Hastings: pre</w:t>
            </w:r>
            <w:r w:rsidR="009F0F49">
              <w:rPr>
                <w:lang w:eastAsia="en-AU"/>
              </w:rPr>
              <w:noBreakHyphen/>
            </w:r>
            <w:r w:rsidRPr="009B3704">
              <w:rPr>
                <w:lang w:eastAsia="en-AU"/>
              </w:rPr>
              <w:t>feasibility study completed</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50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t>New performance measure for 2013</w:t>
            </w:r>
            <w:r w:rsidR="009F0F49">
              <w:noBreakHyphen/>
            </w:r>
            <w:r>
              <w:t>14 to</w:t>
            </w:r>
            <w:r w:rsidRPr="009B3704">
              <w:t xml:space="preserve"> reflect progress of </w:t>
            </w:r>
            <w:r>
              <w:t xml:space="preserve">the </w:t>
            </w:r>
            <w:r w:rsidRPr="009B3704">
              <w:t>pre</w:t>
            </w:r>
            <w:r w:rsidR="009F0F49">
              <w:noBreakHyphen/>
            </w:r>
            <w:r>
              <w:t xml:space="preserve">feasibility study for </w:t>
            </w:r>
            <w:r w:rsidRPr="009B3704">
              <w:t>Port of Hastings</w:t>
            </w:r>
            <w:r>
              <w:t xml:space="preserve"> development</w:t>
            </w:r>
            <w:r w:rsidRPr="009B3704">
              <w:t>.</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Cost</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Total output cost</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Pr>
                <w:lang w:eastAsia="en-AU"/>
              </w:rPr>
              <w:t>$ million</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26.7</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51.8</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41</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53.4</w:t>
            </w:r>
          </w:p>
        </w:tc>
      </w:tr>
      <w:tr w:rsidR="00B958B1" w:rsidRPr="009B3704" w:rsidTr="009F3B54">
        <w:trPr>
          <w:gridAfter w:val="1"/>
          <w:wAfter w:w="6" w:type="dxa"/>
          <w:cantSplit/>
          <w:trHeight w:val="669"/>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2012</w:t>
            </w:r>
            <w:r w:rsidR="009F0F49">
              <w:noBreakHyphen/>
            </w:r>
            <w:r>
              <w:t>13 Expected Outcome is higher than the 2012</w:t>
            </w:r>
            <w:r w:rsidR="009F0F49">
              <w:noBreakHyphen/>
            </w:r>
            <w:r>
              <w:t>13 Target due to the East West Link p</w:t>
            </w:r>
            <w:r w:rsidRPr="009B3704">
              <w:t>lanning funding approved post the 2012</w:t>
            </w:r>
            <w:r w:rsidR="009F0F49">
              <w:noBreakHyphen/>
            </w:r>
            <w:r w:rsidRPr="009B3704">
              <w:t>13 State Budget.</w:t>
            </w:r>
          </w:p>
          <w:p w:rsidR="00B958B1" w:rsidRPr="009B3704" w:rsidRDefault="00B958B1" w:rsidP="009F3B54">
            <w:pPr>
              <w:pStyle w:val="OGNotes"/>
            </w:pPr>
            <w:r w:rsidRPr="009B3704">
              <w:t>The lower 2013</w:t>
            </w:r>
            <w:r w:rsidR="009F0F49">
              <w:noBreakHyphen/>
            </w:r>
            <w:r w:rsidRPr="009B3704">
              <w:t>14 Target reflects the completion of projects in 2012</w:t>
            </w:r>
            <w:r w:rsidR="009F0F49">
              <w:noBreakHyphen/>
            </w:r>
            <w:r w:rsidRPr="009B3704">
              <w:t>13 and the winding</w:t>
            </w:r>
            <w:r w:rsidR="009F0F49">
              <w:noBreakHyphen/>
            </w:r>
            <w:r w:rsidRPr="009B3704">
              <w:t>down of projects in 2013</w:t>
            </w:r>
            <w:r w:rsidR="009F0F49">
              <w:noBreakHyphen/>
            </w:r>
            <w:r w:rsidRPr="009B3704">
              <w:t>14.</w:t>
            </w:r>
          </w:p>
        </w:tc>
      </w:tr>
      <w:tr w:rsidR="00B958B1" w:rsidRPr="009B3704" w:rsidTr="009F3B54">
        <w:trPr>
          <w:gridAfter w:val="1"/>
          <w:wAfter w:w="6" w:type="dxa"/>
          <w:cantSplit/>
        </w:trPr>
        <w:tc>
          <w:tcPr>
            <w:tcW w:w="7776" w:type="dxa"/>
            <w:gridSpan w:val="6"/>
            <w:tcBorders>
              <w:top w:val="nil"/>
              <w:left w:val="nil"/>
              <w:right w:val="nil"/>
            </w:tcBorders>
            <w:shd w:val="clear" w:color="auto" w:fill="auto"/>
            <w:vAlign w:val="bottom"/>
            <w:hideMark/>
          </w:tcPr>
          <w:p w:rsidR="00B958B1" w:rsidRPr="009B3704" w:rsidRDefault="00B958B1" w:rsidP="009F3B54">
            <w:pPr>
              <w:pStyle w:val="OGHeading2"/>
              <w:rPr>
                <w:lang w:eastAsia="en-AU"/>
              </w:rPr>
            </w:pPr>
            <w:r w:rsidRPr="009B3704">
              <w:rPr>
                <w:lang w:eastAsia="en-AU"/>
              </w:rPr>
              <w:t>Public Transport Network Improvements and Maintenance</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Text"/>
              <w:rPr>
                <w:lang w:eastAsia="en-AU"/>
              </w:rPr>
            </w:pPr>
            <w:r w:rsidRPr="009B3704">
              <w:rPr>
                <w:lang w:eastAsia="en-AU"/>
              </w:rPr>
              <w:t>This output delivers capital initiatives to increase the capacity, efficiency, safety and accessibility of the public transport network, and programs to maintain the quality of public transport network infrastructure. This output supports the Department's objective to deliver well</w:t>
            </w:r>
            <w:r w:rsidR="009F0F49">
              <w:rPr>
                <w:lang w:eastAsia="en-AU"/>
              </w:rPr>
              <w:noBreakHyphen/>
            </w:r>
            <w:r w:rsidRPr="009B3704">
              <w:rPr>
                <w:lang w:eastAsia="en-AU"/>
              </w:rPr>
              <w:t>targeted improvements and maintenance to transport system assets.</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Quantity</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5359CC">
              <w:rPr>
                <w:i/>
                <w:lang w:eastAsia="en-AU"/>
              </w:rPr>
              <w:t>Disability Discrimination Act</w:t>
            </w:r>
            <w:r w:rsidRPr="009B3704">
              <w:rPr>
                <w:lang w:eastAsia="en-AU"/>
              </w:rPr>
              <w:t xml:space="preserve"> access to public transport: bus stops upgraded</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415</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t>New</w:t>
            </w:r>
            <w:r w:rsidRPr="009B3704">
              <w:t xml:space="preserve"> performance measure for 2013</w:t>
            </w:r>
            <w:r w:rsidR="009F0F49">
              <w:noBreakHyphen/>
            </w:r>
            <w:r w:rsidRPr="009B3704">
              <w:t>14 to reflect the program that will be undertaken in 2013</w:t>
            </w:r>
            <w:r w:rsidR="009F0F49">
              <w:noBreakHyphen/>
            </w:r>
            <w:r w:rsidRPr="009B3704">
              <w:t>14.</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5359CC">
              <w:rPr>
                <w:i/>
                <w:lang w:eastAsia="en-AU"/>
              </w:rPr>
              <w:t>Disability Discrimination Act</w:t>
            </w:r>
            <w:r w:rsidRPr="009B3704">
              <w:rPr>
                <w:lang w:eastAsia="en-AU"/>
              </w:rPr>
              <w:t xml:space="preserve"> access to public transport: metropolitan railway stations improved</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77</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23</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23</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'Specialist Transport Services' output. </w:t>
            </w:r>
          </w:p>
          <w:p w:rsidR="00B958B1" w:rsidRPr="009B3704" w:rsidRDefault="00B958B1" w:rsidP="009F3B54">
            <w:pPr>
              <w:pStyle w:val="OGNotes"/>
            </w:pPr>
            <w:r w:rsidRPr="009B3704">
              <w:t>The higher 2013</w:t>
            </w:r>
            <w:r w:rsidR="009F0F49">
              <w:noBreakHyphen/>
            </w:r>
            <w:r w:rsidRPr="009B3704">
              <w:t>14 Target reflects the number of projects that are expected to be delivered under the 2013</w:t>
            </w:r>
            <w:r w:rsidR="009F0F49">
              <w:noBreakHyphen/>
            </w:r>
            <w:r w:rsidRPr="009B3704">
              <w:t>14 program.</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5359CC">
              <w:rPr>
                <w:i/>
                <w:lang w:eastAsia="en-AU"/>
              </w:rPr>
              <w:t>Disability Discrimination Act</w:t>
            </w:r>
            <w:r w:rsidRPr="009B3704">
              <w:rPr>
                <w:lang w:eastAsia="en-AU"/>
              </w:rPr>
              <w:t xml:space="preserve"> access to public transport: regional railway stations improved</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14</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14</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13 'Specialist Transport Services' output.</w:t>
            </w:r>
          </w:p>
          <w:p w:rsidR="00B958B1" w:rsidRPr="009B3704" w:rsidRDefault="00B958B1" w:rsidP="009F3B54">
            <w:pPr>
              <w:pStyle w:val="OGNotes"/>
            </w:pPr>
            <w:r w:rsidRPr="009B3704">
              <w:t>The lower 2013</w:t>
            </w:r>
            <w:r w:rsidR="009F0F49">
              <w:noBreakHyphen/>
            </w:r>
            <w:r w:rsidRPr="009B3704">
              <w:t>14 Target reflects the number of projects that are expected to be delivered under the 2013</w:t>
            </w:r>
            <w:r w:rsidR="009F0F49">
              <w:noBreakHyphen/>
            </w:r>
            <w:r w:rsidRPr="009B3704">
              <w:t>14 program.</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Level access tram stop upgraded</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5</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16</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12</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24</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'Public Transport Infrastructure Development' output. </w:t>
            </w:r>
          </w:p>
          <w:p w:rsidR="00B958B1" w:rsidRDefault="00B958B1" w:rsidP="009F3B54">
            <w:pPr>
              <w:pStyle w:val="OGNotes"/>
            </w:pPr>
            <w:r w:rsidRPr="009B3704">
              <w:t>The 2012</w:t>
            </w:r>
            <w:r w:rsidR="009F0F49">
              <w:noBreakHyphen/>
            </w:r>
            <w:r w:rsidRPr="009B3704">
              <w:t xml:space="preserve">13 Expected Outcome </w:t>
            </w:r>
            <w:r>
              <w:t>is higher than the 2012</w:t>
            </w:r>
            <w:r w:rsidR="009F0F49">
              <w:noBreakHyphen/>
            </w:r>
            <w:r>
              <w:t>13 Target due to the</w:t>
            </w:r>
            <w:r w:rsidRPr="009B3704">
              <w:t xml:space="preserve"> upgrade of the Domain Interchange being brought forward into 2012</w:t>
            </w:r>
            <w:r w:rsidR="009F0F49">
              <w:noBreakHyphen/>
            </w:r>
            <w:r w:rsidRPr="009B3704">
              <w:t xml:space="preserve">13. </w:t>
            </w:r>
          </w:p>
          <w:p w:rsidR="00B958B1" w:rsidRPr="009B3704" w:rsidRDefault="00B958B1" w:rsidP="009F3B54">
            <w:pPr>
              <w:pStyle w:val="OGNotes"/>
            </w:pPr>
            <w:r w:rsidRPr="009B3704">
              <w:t>The lower 2013</w:t>
            </w:r>
            <w:r w:rsidR="009F0F49">
              <w:noBreakHyphen/>
            </w:r>
            <w:r w:rsidRPr="009B3704">
              <w:t>14 Target reflects the number of projects that are expected to be delivered under the 2013</w:t>
            </w:r>
            <w:r w:rsidR="009F0F49">
              <w:noBreakHyphen/>
            </w:r>
            <w:r w:rsidRPr="009B3704">
              <w:t>14 program.</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Progress of Regional Rail Link</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67</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41</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Pr>
                <w:lang w:eastAsia="en-AU"/>
              </w:rPr>
              <w:t>na</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na</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transferred directly from the 2012</w:t>
            </w:r>
            <w:r w:rsidR="009F0F49">
              <w:noBreakHyphen/>
            </w:r>
            <w:r w:rsidRPr="009B3704">
              <w:t>13 'Public Transport Infrastructure Development' output.</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Public transport network improvement: minor projects completed</w:t>
            </w:r>
            <w:r>
              <w:rPr>
                <w:lang w:eastAsia="en-AU"/>
              </w:rPr>
              <w:t xml:space="preserve"> – </w:t>
            </w:r>
            <w:r w:rsidRPr="009B3704">
              <w:rPr>
                <w:lang w:eastAsia="en-AU"/>
              </w:rPr>
              <w:t>bus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2</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t>New</w:t>
            </w:r>
            <w:r w:rsidRPr="009B3704">
              <w:t xml:space="preserve"> performance measure for 2013</w:t>
            </w:r>
            <w:r w:rsidR="009F0F49">
              <w:noBreakHyphen/>
            </w:r>
            <w:r w:rsidRPr="009B3704">
              <w:t>14 to reflect the number of minor bus network improvements projects to be completed in 2013</w:t>
            </w:r>
            <w:r w:rsidR="009F0F49">
              <w:noBreakHyphen/>
            </w:r>
            <w:r w:rsidRPr="009B3704">
              <w:t>14.</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Public transport network improvement: minor projects completed</w:t>
            </w:r>
            <w:r>
              <w:rPr>
                <w:lang w:eastAsia="en-AU"/>
              </w:rPr>
              <w:t xml:space="preserve"> – </w:t>
            </w:r>
            <w:r w:rsidRPr="009B3704">
              <w:rPr>
                <w:lang w:eastAsia="en-AU"/>
              </w:rPr>
              <w:t>train</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7</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t>N</w:t>
            </w:r>
            <w:r w:rsidRPr="009B3704">
              <w:t>ew performance measure for 2013</w:t>
            </w:r>
            <w:r w:rsidR="009F0F49">
              <w:noBreakHyphen/>
            </w:r>
            <w:r w:rsidRPr="009B3704">
              <w:t>14 to reflect the number of minor train network improvements projects to be completed in 2013</w:t>
            </w:r>
            <w:r w:rsidR="009F0F49">
              <w:noBreakHyphen/>
            </w:r>
            <w:r w:rsidRPr="009B3704">
              <w:t>14.</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Public transport network improvement: minor projects completed</w:t>
            </w:r>
            <w:r>
              <w:rPr>
                <w:lang w:eastAsia="en-AU"/>
              </w:rPr>
              <w:t xml:space="preserve"> – </w:t>
            </w:r>
            <w:r w:rsidRPr="009B3704">
              <w:rPr>
                <w:lang w:eastAsia="en-AU"/>
              </w:rPr>
              <w:t>tram</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t>N</w:t>
            </w:r>
            <w:r w:rsidRPr="009B3704">
              <w:t>ew performance measure for 2013</w:t>
            </w:r>
            <w:r w:rsidR="009F0F49">
              <w:noBreakHyphen/>
            </w:r>
            <w:r w:rsidRPr="009B3704">
              <w:t>14 to reflect the number of minor tram network improvements projects to be completed in 2013</w:t>
            </w:r>
            <w:r w:rsidR="009F0F49">
              <w:noBreakHyphen/>
            </w:r>
            <w:r w:rsidRPr="009B3704">
              <w:t>14.</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Public transport network improvement: multimodal projects completed</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t>N</w:t>
            </w:r>
            <w:r w:rsidRPr="009B3704">
              <w:t>ew performance measure for 2013</w:t>
            </w:r>
            <w:r w:rsidR="009F0F49">
              <w:noBreakHyphen/>
            </w:r>
            <w:r w:rsidRPr="009B3704">
              <w:t>14 to reflect the number of multimodal public transport projects to be completed in 2013</w:t>
            </w:r>
            <w:r w:rsidR="009F0F49">
              <w:noBreakHyphen/>
            </w:r>
            <w:r w:rsidRPr="009B3704">
              <w:t>14.</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Tram</w:t>
            </w:r>
            <w:r>
              <w:rPr>
                <w:lang w:eastAsia="en-AU"/>
              </w:rPr>
              <w:t xml:space="preserve"> – </w:t>
            </w:r>
            <w:r w:rsidRPr="009B3704">
              <w:rPr>
                <w:lang w:eastAsia="en-AU"/>
              </w:rPr>
              <w:t>procurement of new rolling stock</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36</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36</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10</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13 'Public Transport Infrastructure Development' output.</w:t>
            </w:r>
          </w:p>
          <w:p w:rsidR="00B958B1" w:rsidRPr="009B3704" w:rsidRDefault="00B958B1" w:rsidP="009F3B54">
            <w:pPr>
              <w:pStyle w:val="OGNotes"/>
            </w:pPr>
            <w:r w:rsidRPr="009B3704">
              <w:t>The 2012</w:t>
            </w:r>
            <w:r w:rsidR="009F0F49">
              <w:noBreakHyphen/>
            </w:r>
            <w:r w:rsidRPr="009B3704">
              <w:t xml:space="preserve">13 Expected Outcome </w:t>
            </w:r>
            <w:r>
              <w:t>is lower than the 2012</w:t>
            </w:r>
            <w:r w:rsidR="009F0F49">
              <w:noBreakHyphen/>
            </w:r>
            <w:r>
              <w:t>13 Target due to</w:t>
            </w:r>
            <w:r w:rsidRPr="009B3704">
              <w:t xml:space="preserve"> technical challenges with tram prototype construction. This delay is not expected to impact the final delivery date.</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W</w:t>
            </w:r>
            <w:r w:rsidR="009F0F49">
              <w:rPr>
                <w:lang w:eastAsia="en-AU"/>
              </w:rPr>
              <w:noBreakHyphen/>
            </w:r>
            <w:r w:rsidRPr="009B3704">
              <w:rPr>
                <w:lang w:eastAsia="en-AU"/>
              </w:rPr>
              <w:t>Class Trams fully restored</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2</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0</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'Integrated Metropolitan Public Transport Services' output. </w:t>
            </w:r>
          </w:p>
          <w:p w:rsidR="00B958B1" w:rsidRDefault="00B958B1" w:rsidP="009F3B54">
            <w:pPr>
              <w:pStyle w:val="OGNotes"/>
            </w:pPr>
            <w:r w:rsidRPr="009B3704">
              <w:t xml:space="preserve">The </w:t>
            </w:r>
            <w:r>
              <w:t>2012</w:t>
            </w:r>
            <w:r w:rsidR="009F0F49">
              <w:noBreakHyphen/>
            </w:r>
            <w:r>
              <w:t>13 Expected Outcome is lower than the 2012</w:t>
            </w:r>
            <w:r w:rsidR="009F0F49">
              <w:noBreakHyphen/>
            </w:r>
            <w:r>
              <w:t>13 Target due to technical challenges with tram prototype construction.</w:t>
            </w:r>
            <w:r w:rsidRPr="009B3704">
              <w:t xml:space="preserve"> </w:t>
            </w:r>
          </w:p>
          <w:p w:rsidR="00B958B1" w:rsidRPr="009B3704" w:rsidRDefault="00B958B1" w:rsidP="009F3B54">
            <w:pPr>
              <w:pStyle w:val="OGNotes"/>
            </w:pPr>
            <w:r>
              <w:t xml:space="preserve">The higher </w:t>
            </w:r>
            <w:r w:rsidRPr="009B3704">
              <w:t>2013</w:t>
            </w:r>
            <w:r w:rsidR="009F0F49">
              <w:noBreakHyphen/>
            </w:r>
            <w:r w:rsidRPr="009B3704">
              <w:t>14 Target reflects the number of W</w:t>
            </w:r>
            <w:r w:rsidR="009F0F49">
              <w:noBreakHyphen/>
            </w:r>
            <w:r w:rsidRPr="009B3704">
              <w:t>Class trams expected to be delivered under the 2013</w:t>
            </w:r>
            <w:r w:rsidR="009F0F49">
              <w:noBreakHyphen/>
            </w:r>
            <w:r w:rsidRPr="009B3704">
              <w:t>14 restoration program.</w:t>
            </w:r>
          </w:p>
        </w:tc>
      </w:tr>
      <w:tr w:rsidR="00B958B1" w:rsidRPr="009B3704"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9B3704" w:rsidRDefault="00B958B1" w:rsidP="009F3B54">
            <w:pPr>
              <w:pStyle w:val="OGTabHead"/>
              <w:rPr>
                <w:lang w:eastAsia="en-AU"/>
              </w:rPr>
            </w:pPr>
            <w:r w:rsidRPr="00CD657F">
              <w:rPr>
                <w:iCs/>
                <w:lang w:eastAsia="en-AU"/>
              </w:rPr>
              <w:t>Quality</w:t>
            </w:r>
          </w:p>
        </w:tc>
        <w:tc>
          <w:tcPr>
            <w:tcW w:w="908" w:type="dxa"/>
            <w:tcBorders>
              <w:top w:val="single" w:sz="6" w:space="0" w:color="auto"/>
              <w:left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Public transport network improvement: performance against master project schedule</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90</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replaces the 2012</w:t>
            </w:r>
            <w:r w:rsidR="009F0F49">
              <w:noBreakHyphen/>
            </w:r>
            <w:r w:rsidRPr="009B3704">
              <w:t>13 performance measure 'Projects progressed to agreed plans and timeframes'. It has been replaced to more accurately reflect all activities on the master public transport project schedule.</w:t>
            </w:r>
          </w:p>
        </w:tc>
      </w:tr>
      <w:tr w:rsidR="00B958B1" w:rsidRPr="009B3704"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Timeliness</w:t>
            </w:r>
          </w:p>
        </w:tc>
        <w:tc>
          <w:tcPr>
            <w:tcW w:w="908" w:type="dxa"/>
            <w:tcBorders>
              <w:top w:val="single" w:sz="6" w:space="0" w:color="auto"/>
              <w:left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Doncaster Area Rapid Transit (DART): construction works completed for all on</w:t>
            </w:r>
            <w:r w:rsidR="009F0F49">
              <w:rPr>
                <w:lang w:eastAsia="en-AU"/>
              </w:rPr>
              <w:noBreakHyphen/>
            </w:r>
            <w:r w:rsidRPr="009B3704">
              <w:rPr>
                <w:lang w:eastAsia="en-AU"/>
              </w:rPr>
              <w:t>road bus priority treatments</w:t>
            </w:r>
          </w:p>
        </w:tc>
        <w:tc>
          <w:tcPr>
            <w:tcW w:w="908" w:type="dxa"/>
            <w:tcBorders>
              <w:left w:val="nil"/>
              <w:right w:val="nil"/>
            </w:tcBorders>
            <w:shd w:val="clear" w:color="000000" w:fill="FFFFFF"/>
            <w:hideMark/>
          </w:tcPr>
          <w:p w:rsidR="00B958B1" w:rsidRPr="009B3704" w:rsidRDefault="00B958B1" w:rsidP="009F3B54">
            <w:pPr>
              <w:pStyle w:val="OGUoM"/>
              <w:rPr>
                <w:lang w:eastAsia="en-AU"/>
              </w:rPr>
            </w:pPr>
            <w:r w:rsidRPr="009B3704">
              <w:rPr>
                <w:lang w:eastAsia="en-AU"/>
              </w:rPr>
              <w:t>date</w:t>
            </w:r>
          </w:p>
        </w:tc>
        <w:tc>
          <w:tcPr>
            <w:tcW w:w="907" w:type="dxa"/>
            <w:tcBorders>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qtr 2</w:t>
            </w:r>
          </w:p>
        </w:tc>
        <w:tc>
          <w:tcPr>
            <w:tcW w:w="994" w:type="dxa"/>
            <w:tcBorders>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na</w:t>
            </w:r>
          </w:p>
        </w:tc>
        <w:tc>
          <w:tcPr>
            <w:tcW w:w="907" w:type="dxa"/>
            <w:tcBorders>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qtr 2</w:t>
            </w:r>
          </w:p>
        </w:tc>
        <w:tc>
          <w:tcPr>
            <w:tcW w:w="906" w:type="dxa"/>
            <w:tcBorders>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na</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'Public Transport Infrastructure Development' output. </w:t>
            </w:r>
          </w:p>
          <w:p w:rsidR="00B958B1" w:rsidRDefault="00B958B1" w:rsidP="009F3B54">
            <w:pPr>
              <w:pStyle w:val="OGNotes"/>
            </w:pPr>
            <w:r w:rsidRPr="009B3704">
              <w:t>The 2012</w:t>
            </w:r>
            <w:r w:rsidR="009F0F49">
              <w:noBreakHyphen/>
            </w:r>
            <w:r w:rsidRPr="009B3704">
              <w:t xml:space="preserve">13 Expected Outcome </w:t>
            </w:r>
            <w:r>
              <w:t>is later than the 2012</w:t>
            </w:r>
            <w:r w:rsidR="009F0F49">
              <w:noBreakHyphen/>
            </w:r>
            <w:r>
              <w:t>13 Target due to</w:t>
            </w:r>
            <w:r w:rsidRPr="009B3704">
              <w:t xml:space="preserve"> a </w:t>
            </w:r>
            <w:r>
              <w:t>revised timeline</w:t>
            </w:r>
            <w:r w:rsidRPr="009B3704">
              <w:t xml:space="preserve"> in gaining stakeholder approvals for bus priority treatment. </w:t>
            </w:r>
          </w:p>
          <w:p w:rsidR="00B958B1" w:rsidRPr="009B3704" w:rsidRDefault="00B958B1" w:rsidP="009F3B54">
            <w:pPr>
              <w:pStyle w:val="OGNotes"/>
            </w:pPr>
            <w:r w:rsidRPr="009B3704">
              <w:t xml:space="preserve">The </w:t>
            </w:r>
            <w:r>
              <w:t xml:space="preserve">later </w:t>
            </w:r>
            <w:r w:rsidRPr="009B3704">
              <w:t>2013</w:t>
            </w:r>
            <w:r w:rsidR="009F0F49">
              <w:noBreakHyphen/>
            </w:r>
            <w:r>
              <w:t xml:space="preserve">14 </w:t>
            </w:r>
            <w:r w:rsidRPr="009B3704">
              <w:t>Target reflects the revised works schedule.</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Major periodic maintenance works completed against plan: metropolitan train network</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96</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transferred directly from the 2012</w:t>
            </w:r>
            <w:r w:rsidR="009F0F49">
              <w:noBreakHyphen/>
            </w:r>
            <w:r w:rsidRPr="009B3704">
              <w:t>13 'Public Transport Infrastructure Development' output.</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keepNext/>
              <w:rPr>
                <w:lang w:eastAsia="en-AU"/>
              </w:rPr>
            </w:pPr>
            <w:r w:rsidRPr="009B3704">
              <w:rPr>
                <w:lang w:eastAsia="en-AU"/>
              </w:rPr>
              <w:t>Major periodic maintenance works completed against plan: regional train network</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keepNext/>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keepNext/>
              <w:rPr>
                <w:lang w:eastAsia="en-AU"/>
              </w:rPr>
            </w:pPr>
            <w:r w:rsidRPr="009B3704">
              <w:rPr>
                <w:lang w:eastAsia="en-AU"/>
              </w:rPr>
              <w:t>100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100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100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96</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transferred directly from the 2012</w:t>
            </w:r>
            <w:r w:rsidR="009F0F49">
              <w:noBreakHyphen/>
            </w:r>
            <w:r w:rsidRPr="009B3704">
              <w:t>13 'Public Transport Infrastructure Development' output.</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Major periodic maintenance works completed against plan: tram network</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93</w:t>
            </w:r>
          </w:p>
        </w:tc>
      </w:tr>
      <w:tr w:rsidR="00B958B1" w:rsidRPr="00724D47"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724D47" w:rsidRDefault="00B958B1" w:rsidP="009F3B54">
            <w:pPr>
              <w:pStyle w:val="OGNotes"/>
            </w:pPr>
            <w:r w:rsidRPr="00724D47">
              <w:t>This performance measure is transferred directly from the 2012</w:t>
            </w:r>
            <w:r w:rsidR="009F0F49">
              <w:noBreakHyphen/>
            </w:r>
            <w:r w:rsidRPr="00724D47">
              <w:t>13 'Public Transport Infrastructure Development' output.</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Metropolitan Train Safety Communications System replacement: 50</w:t>
            </w:r>
            <w:r>
              <w:rPr>
                <w:lang w:eastAsia="en-AU"/>
              </w:rPr>
              <w:t> per cent</w:t>
            </w:r>
            <w:r w:rsidRPr="009B3704">
              <w:rPr>
                <w:lang w:eastAsia="en-AU"/>
              </w:rPr>
              <w:t xml:space="preserve"> of on</w:t>
            </w:r>
            <w:r w:rsidR="009F0F49">
              <w:rPr>
                <w:lang w:eastAsia="en-AU"/>
              </w:rPr>
              <w:noBreakHyphen/>
            </w:r>
            <w:r w:rsidRPr="009B3704">
              <w:rPr>
                <w:lang w:eastAsia="en-AU"/>
              </w:rPr>
              <w:t>train equipment installed</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date</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qtr 2</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na</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qtr 4</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na</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'Public Transport Infrastructure Development' output. </w:t>
            </w:r>
          </w:p>
          <w:p w:rsidR="00B958B1" w:rsidRPr="009B3704" w:rsidRDefault="00B958B1" w:rsidP="009F3B54">
            <w:pPr>
              <w:pStyle w:val="OGNotes"/>
            </w:pPr>
            <w:r w:rsidRPr="009B3704">
              <w:t>The 2012</w:t>
            </w:r>
            <w:r w:rsidR="009F0F49">
              <w:noBreakHyphen/>
            </w:r>
            <w:r w:rsidRPr="009B3704">
              <w:t>13 Expected Outcome is later than the 2012</w:t>
            </w:r>
            <w:r w:rsidR="009F0F49">
              <w:noBreakHyphen/>
            </w:r>
            <w:r w:rsidRPr="009B3704">
              <w:t>13 Target due to a revised testing regime and train installation process.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Metropolitan Train Safety Communications System replacement: provisional system acceptance</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date</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qtr 2</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na</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na</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na</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transferred directly from the 2012</w:t>
            </w:r>
            <w:r w:rsidR="009F0F49">
              <w:noBreakHyphen/>
            </w:r>
            <w:r w:rsidRPr="009B3704">
              <w:t>13 'Public Transport Infrastructure Development' output.</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SmartBus: Yellow Orbital Stage</w:t>
            </w:r>
            <w:r>
              <w:rPr>
                <w:lang w:eastAsia="en-AU"/>
              </w:rPr>
              <w:t> </w:t>
            </w:r>
            <w:r w:rsidRPr="009B3704">
              <w:rPr>
                <w:lang w:eastAsia="en-AU"/>
              </w:rPr>
              <w:t>2</w:t>
            </w:r>
            <w:r>
              <w:rPr>
                <w:lang w:eastAsia="en-AU"/>
              </w:rPr>
              <w:t xml:space="preserve"> – </w:t>
            </w:r>
            <w:r w:rsidRPr="009B3704">
              <w:rPr>
                <w:lang w:eastAsia="en-AU"/>
              </w:rPr>
              <w:t>Ringwood to Melbourne Airport: completion of on</w:t>
            </w:r>
            <w:r w:rsidR="009F0F49">
              <w:rPr>
                <w:lang w:eastAsia="en-AU"/>
              </w:rPr>
              <w:noBreakHyphen/>
            </w:r>
            <w:r w:rsidRPr="009B3704">
              <w:rPr>
                <w:lang w:eastAsia="en-AU"/>
              </w:rPr>
              <w:t>road bus priority treatments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date</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qtr 2</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na</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qtr 3</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na</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'Public Transport Infrastructure Development' output. </w:t>
            </w:r>
          </w:p>
          <w:p w:rsidR="00B958B1" w:rsidRPr="009B3704" w:rsidRDefault="00B958B1" w:rsidP="009F3B54">
            <w:pPr>
              <w:pStyle w:val="OGNotes"/>
            </w:pPr>
            <w:r w:rsidRPr="009B3704">
              <w:t>The 2013</w:t>
            </w:r>
            <w:r w:rsidR="009F0F49">
              <w:noBreakHyphen/>
            </w:r>
            <w:r>
              <w:t>14 Target</w:t>
            </w:r>
            <w:r w:rsidRPr="009B3704">
              <w:t xml:space="preserve"> reflects the revised works schedule.</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Cost</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Total output cost</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Pr>
                <w:lang w:eastAsia="en-AU"/>
              </w:rPr>
              <w:t>$ million</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73.3</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169</w:t>
            </w:r>
            <w:r>
              <w:rPr>
                <w:lang w:eastAsia="en-AU"/>
              </w:rPr>
              <w:t>.0</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118.8</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158.9</w:t>
            </w:r>
          </w:p>
        </w:tc>
      </w:tr>
      <w:tr w:rsidR="00B958B1" w:rsidRPr="003A5C27"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3A5C27" w:rsidRDefault="00B958B1" w:rsidP="009F3B54">
            <w:pPr>
              <w:pStyle w:val="OGNotes"/>
            </w:pPr>
            <w:r w:rsidRPr="003A5C27">
              <w:t>The 2012</w:t>
            </w:r>
            <w:r w:rsidR="009F0F49">
              <w:noBreakHyphen/>
            </w:r>
            <w:r w:rsidRPr="003A5C27">
              <w:t xml:space="preserve">13 Expected Outcome </w:t>
            </w:r>
            <w:r>
              <w:t>is higher than the 2012</w:t>
            </w:r>
            <w:r w:rsidR="009F0F49">
              <w:noBreakHyphen/>
            </w:r>
            <w:r>
              <w:t>13 Target primarily due to</w:t>
            </w:r>
            <w:r w:rsidRPr="003A5C27">
              <w:t xml:space="preserve"> works undertaken by Regional Rail Link on behalf of third parties.</w:t>
            </w:r>
          </w:p>
          <w:p w:rsidR="00B958B1" w:rsidRPr="003A5C27" w:rsidRDefault="00B958B1" w:rsidP="009F3B54">
            <w:pPr>
              <w:pStyle w:val="OGNotes"/>
            </w:pPr>
            <w:r w:rsidRPr="003A5C27">
              <w:t>The lower 2013</w:t>
            </w:r>
            <w:r w:rsidR="009F0F49">
              <w:noBreakHyphen/>
            </w:r>
            <w:r w:rsidRPr="003A5C27">
              <w:t>14 Target reflects the transition of myki from project delivery to ticketing service operations.</w:t>
            </w:r>
          </w:p>
        </w:tc>
      </w:tr>
      <w:tr w:rsidR="00B958B1" w:rsidRPr="00627E76" w:rsidTr="009F3B54">
        <w:trPr>
          <w:gridAfter w:val="1"/>
          <w:wAfter w:w="6" w:type="dxa"/>
          <w:cantSplit/>
        </w:trPr>
        <w:tc>
          <w:tcPr>
            <w:tcW w:w="7776" w:type="dxa"/>
            <w:gridSpan w:val="6"/>
            <w:tcBorders>
              <w:top w:val="nil"/>
              <w:left w:val="nil"/>
              <w:right w:val="nil"/>
            </w:tcBorders>
            <w:shd w:val="clear" w:color="auto" w:fill="auto"/>
            <w:vAlign w:val="bottom"/>
            <w:hideMark/>
          </w:tcPr>
          <w:p w:rsidR="00B958B1" w:rsidRPr="00627E76" w:rsidRDefault="00B958B1" w:rsidP="009F3B54">
            <w:pPr>
              <w:pStyle w:val="OGHeading2"/>
              <w:rPr>
                <w:lang w:eastAsia="en-AU"/>
              </w:rPr>
            </w:pPr>
            <w:r w:rsidRPr="00627E76">
              <w:rPr>
                <w:lang w:eastAsia="en-AU"/>
              </w:rPr>
              <w:t>Road Network Improvements</w:t>
            </w:r>
          </w:p>
        </w:tc>
      </w:tr>
      <w:tr w:rsidR="00B958B1" w:rsidRPr="00627E76"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27E76" w:rsidRDefault="00B958B1" w:rsidP="009F3B54">
            <w:pPr>
              <w:pStyle w:val="OGText"/>
            </w:pPr>
            <w:r w:rsidRPr="00627E76">
              <w:t>This output delivers capital initiatives to develop new links in Victoria's arterial road network and to upgrade the safety of roads, as well as projects to reduce congestion and improve reliability and travel times. This output supports the Department's objective to deliver well</w:t>
            </w:r>
            <w:r w:rsidR="009F0F49">
              <w:noBreakHyphen/>
            </w:r>
            <w:r w:rsidRPr="00627E76">
              <w:t>targeted improvements and maintenance to transport system assets.</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Quantity</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Bridge strengthening and replacement projects completed: metropolitan</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2012</w:t>
            </w:r>
            <w:r w:rsidR="009F0F49">
              <w:noBreakHyphen/>
            </w:r>
            <w:r w:rsidRPr="009B3704">
              <w:t>13 Expected Outcome</w:t>
            </w:r>
            <w:r>
              <w:t xml:space="preserve"> is higher than the 2012</w:t>
            </w:r>
            <w:r w:rsidR="009F0F49">
              <w:noBreakHyphen/>
            </w:r>
            <w:r>
              <w:t>13 Target due to</w:t>
            </w:r>
            <w:r w:rsidRPr="009B3704">
              <w:t xml:space="preserve"> one project not originally targeted to be completed in 2012</w:t>
            </w:r>
            <w:r w:rsidR="009F0F49">
              <w:noBreakHyphen/>
            </w:r>
            <w:r w:rsidRPr="009B3704">
              <w:t>13, now scheduled to be completed in 2012</w:t>
            </w:r>
            <w:r w:rsidR="009F0F49">
              <w:noBreakHyphen/>
            </w:r>
            <w:r w:rsidRPr="009B3704">
              <w:t>13.</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Bridge strengthening and replacement projects completed: regional</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6</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4</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18</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The 2012</w:t>
            </w:r>
            <w:r w:rsidR="009F0F49">
              <w:noBreakHyphen/>
            </w:r>
            <w:r w:rsidRPr="009B3704">
              <w:t xml:space="preserve">13 Expected Outcome </w:t>
            </w:r>
            <w:r>
              <w:t>is higher than the 2012</w:t>
            </w:r>
            <w:r w:rsidR="009F0F49">
              <w:noBreakHyphen/>
            </w:r>
            <w:r>
              <w:t>13 Target due to</w:t>
            </w:r>
            <w:r w:rsidRPr="009B3704">
              <w:t xml:space="preserve"> two projects not originally targeted for completion in 2012</w:t>
            </w:r>
            <w:r w:rsidR="009F0F49">
              <w:noBreakHyphen/>
            </w:r>
            <w:r w:rsidRPr="009B3704">
              <w:t>13, now scheduled to be completed in 2012</w:t>
            </w:r>
            <w:r w:rsidR="009F0F49">
              <w:noBreakHyphen/>
            </w:r>
            <w:r w:rsidRPr="009B3704">
              <w:t xml:space="preserve">13. </w:t>
            </w:r>
          </w:p>
          <w:p w:rsidR="00B958B1" w:rsidRPr="009B3704" w:rsidRDefault="00B958B1" w:rsidP="009F3B54">
            <w:pPr>
              <w:pStyle w:val="OGNotes"/>
            </w:pPr>
            <w:r w:rsidRPr="009B3704">
              <w:t xml:space="preserve">The </w:t>
            </w:r>
            <w:r>
              <w:t xml:space="preserve">higher </w:t>
            </w:r>
            <w:r w:rsidRPr="009B3704">
              <w:t>2013</w:t>
            </w:r>
            <w:r w:rsidR="009F0F49">
              <w:noBreakHyphen/>
            </w:r>
            <w:r>
              <w:t xml:space="preserve">14 Target reflects </w:t>
            </w:r>
            <w:r w:rsidRPr="009B3704">
              <w:t>the number of projects that are expected to be delivered in 2013</w:t>
            </w:r>
            <w:r w:rsidR="009F0F49">
              <w:noBreakHyphen/>
            </w:r>
            <w:r w:rsidRPr="009B3704">
              <w:t>14.</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Bus/tram route and other high occupancy vehicle improvements completed</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12</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The 2012</w:t>
            </w:r>
            <w:r w:rsidR="009F0F49">
              <w:noBreakHyphen/>
            </w:r>
            <w:r w:rsidRPr="009B3704">
              <w:t xml:space="preserve">13 Expected Outcome </w:t>
            </w:r>
            <w:r>
              <w:t>is higher than the 2012</w:t>
            </w:r>
            <w:r w:rsidR="009F0F49">
              <w:noBreakHyphen/>
            </w:r>
            <w:r>
              <w:t>13 Target due to</w:t>
            </w:r>
            <w:r w:rsidRPr="009B3704">
              <w:t xml:space="preserve"> one project not originally targeted to be completed in 2012</w:t>
            </w:r>
            <w:r w:rsidR="009F0F49">
              <w:noBreakHyphen/>
            </w:r>
            <w:r w:rsidRPr="009B3704">
              <w:t>13, now scheduled to be completed in 2012</w:t>
            </w:r>
            <w:r w:rsidR="009F0F49">
              <w:noBreakHyphen/>
            </w:r>
            <w:r w:rsidRPr="009B3704">
              <w:t xml:space="preserve">13. </w:t>
            </w:r>
          </w:p>
          <w:p w:rsidR="00B958B1" w:rsidRPr="009B3704" w:rsidRDefault="00B958B1" w:rsidP="009F3B54">
            <w:pPr>
              <w:pStyle w:val="OGNotes"/>
            </w:pPr>
            <w:r w:rsidRPr="009B3704">
              <w:t>The lower 2013</w:t>
            </w:r>
            <w:r w:rsidR="009F0F49">
              <w:noBreakHyphen/>
            </w:r>
            <w:r w:rsidRPr="009B3704">
              <w:t>14 Target reflects the number of projects that are expected to be delivered under the existing program in 2013</w:t>
            </w:r>
            <w:r w:rsidR="009F0F49">
              <w:noBreakHyphen/>
            </w:r>
            <w:r w:rsidRPr="009B3704">
              <w:t>14.</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Congestion projects completed</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2</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4</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The 2012</w:t>
            </w:r>
            <w:r w:rsidR="009F0F49">
              <w:noBreakHyphen/>
            </w:r>
            <w:r w:rsidRPr="009B3704">
              <w:t xml:space="preserve">13 Expected Outcome </w:t>
            </w:r>
            <w:r>
              <w:t>is higher than the 2012</w:t>
            </w:r>
            <w:r w:rsidR="009F0F49">
              <w:noBreakHyphen/>
            </w:r>
            <w:r>
              <w:t>13 Target due to</w:t>
            </w:r>
            <w:r w:rsidRPr="009B3704">
              <w:t xml:space="preserve"> seven projects not originally targeted to be completed in 2012</w:t>
            </w:r>
            <w:r w:rsidR="009F0F49">
              <w:noBreakHyphen/>
            </w:r>
            <w:r w:rsidRPr="009B3704">
              <w:t xml:space="preserve">13, </w:t>
            </w:r>
            <w:r>
              <w:t xml:space="preserve">either </w:t>
            </w:r>
            <w:r w:rsidRPr="009B3704">
              <w:t>completed or scheduled to be completed in 2012</w:t>
            </w:r>
            <w:r w:rsidR="009F0F49">
              <w:noBreakHyphen/>
            </w:r>
            <w:r w:rsidRPr="009B3704">
              <w:t xml:space="preserve">13. </w:t>
            </w:r>
          </w:p>
          <w:p w:rsidR="00B958B1" w:rsidRPr="009B3704" w:rsidRDefault="00B958B1" w:rsidP="009F3B54">
            <w:pPr>
              <w:pStyle w:val="OGNotes"/>
            </w:pPr>
            <w:r w:rsidRPr="009B3704">
              <w:t>The lower 2013</w:t>
            </w:r>
            <w:r w:rsidR="009F0F49">
              <w:noBreakHyphen/>
            </w:r>
            <w:r w:rsidRPr="009B3704">
              <w:t>14 Target reflects the number of projects that are expected to be delivered under the existing program in 2013</w:t>
            </w:r>
            <w:r w:rsidR="009F0F49">
              <w:noBreakHyphen/>
            </w:r>
            <w:r w:rsidRPr="009B3704">
              <w:t>14.</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Cycling projects completed</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4</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5</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4</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18</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'Integrated Transport Planning and Sustainable Transport Development' output. </w:t>
            </w:r>
          </w:p>
          <w:p w:rsidR="00B958B1" w:rsidRPr="009B3704" w:rsidRDefault="00B958B1" w:rsidP="009F3B54">
            <w:pPr>
              <w:pStyle w:val="OGNotes"/>
            </w:pPr>
            <w:r w:rsidRPr="009B3704">
              <w:t>The 2012</w:t>
            </w:r>
            <w:r w:rsidR="009F0F49">
              <w:noBreakHyphen/>
            </w:r>
            <w:r w:rsidRPr="009B3704">
              <w:t xml:space="preserve">13 Expected Outcome </w:t>
            </w:r>
            <w:r>
              <w:t>is higher than the 2012</w:t>
            </w:r>
            <w:r w:rsidR="009F0F49">
              <w:noBreakHyphen/>
            </w:r>
            <w:r>
              <w:t>13 Target due to</w:t>
            </w:r>
            <w:r w:rsidRPr="009B3704">
              <w:t xml:space="preserve"> one project not originally targeted to be completed in 2012</w:t>
            </w:r>
            <w:r w:rsidR="009F0F49">
              <w:noBreakHyphen/>
            </w:r>
            <w:r w:rsidRPr="009B3704">
              <w:t>13, now scheduled to be completed in 2012</w:t>
            </w:r>
            <w:r w:rsidR="009F0F49">
              <w:noBreakHyphen/>
            </w:r>
            <w:r w:rsidRPr="009B3704">
              <w:t>13.</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Local road projects completed: regional</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3</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5</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11</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The 2012</w:t>
            </w:r>
            <w:r w:rsidR="009F0F49">
              <w:noBreakHyphen/>
            </w:r>
            <w:r w:rsidRPr="009B3704">
              <w:t xml:space="preserve">13 Expected Outcome </w:t>
            </w:r>
            <w:r>
              <w:t>is higher than the 2012</w:t>
            </w:r>
            <w:r w:rsidR="009F0F49">
              <w:noBreakHyphen/>
            </w:r>
            <w:r>
              <w:t>13 Target due to</w:t>
            </w:r>
            <w:r w:rsidRPr="009B3704">
              <w:t xml:space="preserve"> four new projects not originally targeted to be completed in 2012</w:t>
            </w:r>
            <w:r w:rsidR="009F0F49">
              <w:noBreakHyphen/>
            </w:r>
            <w:r w:rsidRPr="009B3704">
              <w:t xml:space="preserve">13, </w:t>
            </w:r>
            <w:r>
              <w:t xml:space="preserve">were </w:t>
            </w:r>
            <w:r w:rsidRPr="009B3704">
              <w:t xml:space="preserve">either completed or scheduled to </w:t>
            </w:r>
            <w:r>
              <w:t xml:space="preserve">be </w:t>
            </w:r>
            <w:r w:rsidRPr="009B3704">
              <w:t>completed in 2012</w:t>
            </w:r>
            <w:r w:rsidR="009F0F49">
              <w:noBreakHyphen/>
            </w:r>
            <w:r w:rsidRPr="009B3704">
              <w:t xml:space="preserve">13. </w:t>
            </w:r>
          </w:p>
          <w:p w:rsidR="00B958B1" w:rsidRPr="009B3704" w:rsidRDefault="00B958B1" w:rsidP="009F3B54">
            <w:pPr>
              <w:pStyle w:val="OGNotes"/>
            </w:pPr>
            <w:r w:rsidRPr="009B3704">
              <w:t xml:space="preserve">The </w:t>
            </w:r>
            <w:r>
              <w:t xml:space="preserve">higher </w:t>
            </w:r>
            <w:r w:rsidRPr="009B3704">
              <w:t>2013</w:t>
            </w:r>
            <w:r w:rsidR="009F0F49">
              <w:noBreakHyphen/>
            </w:r>
            <w:r w:rsidRPr="009B3704">
              <w:t>14 Target reflects the number of projects that are expected to be delivered under the existing program in 2013</w:t>
            </w:r>
            <w:r w:rsidR="009F0F49">
              <w:noBreakHyphen/>
            </w:r>
            <w:r w:rsidRPr="009B3704">
              <w:t>14.</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keepNext/>
              <w:rPr>
                <w:lang w:eastAsia="en-AU"/>
              </w:rPr>
            </w:pPr>
            <w:r w:rsidRPr="009B3704">
              <w:rPr>
                <w:lang w:eastAsia="en-AU"/>
              </w:rPr>
              <w:t>Major road improvement projects completed: metropolitan</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keepNext/>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keepNext/>
              <w:rPr>
                <w:lang w:eastAsia="en-AU"/>
              </w:rPr>
            </w:pPr>
            <w:r w:rsidRPr="009B3704">
              <w:rPr>
                <w:lang w:eastAsia="en-AU"/>
              </w:rPr>
              <w:t>2</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3</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3</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0</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Major road improvement projects refer to projects with a Total Estimated Investment greater than or equal to $50</w:t>
            </w:r>
            <w:r>
              <w:t> million</w:t>
            </w:r>
            <w:r w:rsidRPr="009B3704">
              <w:t>.</w:t>
            </w:r>
          </w:p>
          <w:p w:rsidR="00B958B1" w:rsidRPr="009B3704" w:rsidRDefault="00B958B1" w:rsidP="009F3B54">
            <w:pPr>
              <w:pStyle w:val="OGNotes"/>
            </w:pPr>
            <w:r w:rsidRPr="009B3704">
              <w:t>The lower 2013</w:t>
            </w:r>
            <w:r w:rsidR="009F0F49">
              <w:noBreakHyphen/>
            </w:r>
            <w:r w:rsidRPr="009B3704">
              <w:t>14 Target reflects the number of projects that are expected to be delivered under the existing program in 2013</w:t>
            </w:r>
            <w:r w:rsidR="009F0F49">
              <w:noBreakHyphen/>
            </w:r>
            <w:r w:rsidRPr="009B3704">
              <w:t>14.</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Major road improvement projects completed: regional</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2</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4</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5</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Major road improvement projects refer to projects with a Total Estimated Investment greater than or equal to $50</w:t>
            </w:r>
            <w:r>
              <w:t> million</w:t>
            </w:r>
            <w:r w:rsidRPr="009B3704">
              <w:t xml:space="preserve">. </w:t>
            </w:r>
          </w:p>
          <w:p w:rsidR="00B958B1" w:rsidRDefault="00B958B1" w:rsidP="009F3B54">
            <w:pPr>
              <w:pStyle w:val="OGNotes"/>
            </w:pPr>
            <w:r w:rsidRPr="009B3704">
              <w:t>The</w:t>
            </w:r>
            <w:r>
              <w:t xml:space="preserve"> </w:t>
            </w:r>
            <w:r w:rsidRPr="009B3704">
              <w:t>2012</w:t>
            </w:r>
            <w:r w:rsidR="009F0F49">
              <w:noBreakHyphen/>
            </w:r>
            <w:r w:rsidRPr="009B3704">
              <w:t xml:space="preserve">13 Expected Outcome </w:t>
            </w:r>
            <w:r>
              <w:t>is lower than the 2012</w:t>
            </w:r>
            <w:r w:rsidR="009F0F49">
              <w:noBreakHyphen/>
            </w:r>
            <w:r>
              <w:t>13 Target due to</w:t>
            </w:r>
            <w:r w:rsidRPr="009B3704">
              <w:t xml:space="preserve"> one project originally targeted for completion in 2012</w:t>
            </w:r>
            <w:r w:rsidR="009F0F49">
              <w:noBreakHyphen/>
            </w:r>
            <w:r w:rsidRPr="009B3704">
              <w:t xml:space="preserve">13 </w:t>
            </w:r>
            <w:r>
              <w:t>being</w:t>
            </w:r>
            <w:r w:rsidRPr="009B3704">
              <w:t xml:space="preserve"> actually completed in 2011</w:t>
            </w:r>
            <w:r w:rsidR="009F0F49">
              <w:noBreakHyphen/>
            </w:r>
            <w:r w:rsidRPr="009B3704">
              <w:t xml:space="preserve">12. </w:t>
            </w:r>
          </w:p>
          <w:p w:rsidR="00B958B1" w:rsidRPr="009B3704" w:rsidRDefault="00B958B1" w:rsidP="009F3B54">
            <w:pPr>
              <w:pStyle w:val="OGNotes"/>
            </w:pPr>
            <w:r w:rsidRPr="009B3704">
              <w:t>The lower 2013</w:t>
            </w:r>
            <w:r w:rsidR="009F0F49">
              <w:noBreakHyphen/>
            </w:r>
            <w:r w:rsidRPr="009B3704">
              <w:t>14 Target reflects the number of projects that are expected to be delivered under the existing program in 2013</w:t>
            </w:r>
            <w:r w:rsidR="009F0F49">
              <w:noBreakHyphen/>
            </w:r>
            <w:r w:rsidRPr="009B3704">
              <w:t>14.</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Other road improvement projects completed: metropolitan</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5</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Other road improvement projects refer to projects with a Total Estimated Investment less than $50</w:t>
            </w:r>
            <w:r>
              <w:t> million</w:t>
            </w:r>
            <w:r w:rsidRPr="009B3704">
              <w:t xml:space="preserve">. </w:t>
            </w:r>
          </w:p>
          <w:p w:rsidR="00B958B1" w:rsidRPr="009B3704" w:rsidRDefault="00B958B1" w:rsidP="009F3B54">
            <w:pPr>
              <w:pStyle w:val="OGNotes"/>
            </w:pPr>
            <w:r w:rsidRPr="009B3704">
              <w:t>The lower 2013</w:t>
            </w:r>
            <w:r w:rsidR="009F0F49">
              <w:noBreakHyphen/>
            </w:r>
            <w:r w:rsidRPr="009B3704">
              <w:t>14 Target reflects the number of projects that are expected to be delivered under the existing program in 2013</w:t>
            </w:r>
            <w:r w:rsidR="009F0F49">
              <w:noBreakHyphen/>
            </w:r>
            <w:r w:rsidRPr="009B3704">
              <w:t>14.</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Other road improvement projects completed: regional</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7</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7</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5</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Other road improvement projects refer to projects with a Total Estimated Investment less than $50</w:t>
            </w:r>
            <w:r>
              <w:t> million</w:t>
            </w:r>
            <w:r w:rsidRPr="009B3704">
              <w:t xml:space="preserve">. </w:t>
            </w:r>
          </w:p>
          <w:p w:rsidR="00B958B1" w:rsidRPr="009B3704" w:rsidRDefault="00B958B1" w:rsidP="009F3B54">
            <w:pPr>
              <w:pStyle w:val="OGNotes"/>
            </w:pPr>
            <w:r w:rsidRPr="009B3704">
              <w:t>The higher 2013</w:t>
            </w:r>
            <w:r w:rsidR="009F0F49">
              <w:noBreakHyphen/>
            </w:r>
            <w:r w:rsidRPr="009B3704">
              <w:t>14 Target reflects the number of projects that are expected to be delivered in 2013</w:t>
            </w:r>
            <w:r w:rsidR="009F0F49">
              <w:noBreakHyphen/>
            </w:r>
            <w:r w:rsidRPr="009B3704">
              <w:t>14.</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Pedestrian projects completed</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5</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19</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The 2012</w:t>
            </w:r>
            <w:r w:rsidR="009F0F49">
              <w:noBreakHyphen/>
            </w:r>
            <w:r w:rsidRPr="009B3704">
              <w:t xml:space="preserve">13 Expected Outcome </w:t>
            </w:r>
            <w:r>
              <w:t>is higher than the 2012</w:t>
            </w:r>
            <w:r w:rsidR="009F0F49">
              <w:noBreakHyphen/>
            </w:r>
            <w:r>
              <w:t>13 Target due to</w:t>
            </w:r>
            <w:r w:rsidRPr="009B3704">
              <w:t xml:space="preserve"> two projects not originally targeted for completion in 2012</w:t>
            </w:r>
            <w:r w:rsidR="009F0F49">
              <w:noBreakHyphen/>
            </w:r>
            <w:r w:rsidRPr="009B3704">
              <w:t>13, now scheduled to be completed in 2012</w:t>
            </w:r>
            <w:r w:rsidR="009F0F49">
              <w:noBreakHyphen/>
            </w:r>
            <w:r w:rsidRPr="009B3704">
              <w:t xml:space="preserve">13. </w:t>
            </w:r>
          </w:p>
          <w:p w:rsidR="00B958B1" w:rsidRPr="009B3704" w:rsidRDefault="00B958B1" w:rsidP="009F3B54">
            <w:pPr>
              <w:pStyle w:val="OGNotes"/>
            </w:pPr>
            <w:r w:rsidRPr="009B3704">
              <w:t xml:space="preserve">The </w:t>
            </w:r>
            <w:r>
              <w:t xml:space="preserve">lower </w:t>
            </w:r>
            <w:r w:rsidRPr="009B3704">
              <w:t>2013</w:t>
            </w:r>
            <w:r w:rsidR="009F0F49">
              <w:noBreakHyphen/>
            </w:r>
            <w:r w:rsidRPr="009B3704">
              <w:t>14 Target reflects the number of projects expected to be delivered in 2013</w:t>
            </w:r>
            <w:r w:rsidR="009F0F49">
              <w:noBreakHyphen/>
            </w:r>
            <w:r w:rsidRPr="009B3704">
              <w:t>14.</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 xml:space="preserve">Transport access site treatments completed in compliance with the </w:t>
            </w:r>
            <w:r w:rsidRPr="00DB2A49">
              <w:rPr>
                <w:i/>
                <w:lang w:eastAsia="en-AU"/>
              </w:rPr>
              <w:t>Disability Discrimination Act</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8</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40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32</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44</w:t>
            </w:r>
          </w:p>
        </w:tc>
      </w:tr>
      <w:tr w:rsidR="00B958B1" w:rsidRPr="009B3704" w:rsidTr="009F3B54">
        <w:trPr>
          <w:gridAfter w:val="1"/>
          <w:wAfter w:w="6" w:type="dxa"/>
          <w:cantSplit/>
          <w:trHeight w:val="669"/>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2012</w:t>
            </w:r>
            <w:r w:rsidR="009F0F49">
              <w:noBreakHyphen/>
            </w:r>
            <w:r w:rsidRPr="009B3704">
              <w:t xml:space="preserve">13 Expected Outcome </w:t>
            </w:r>
            <w:r>
              <w:t>is higher than the 2012</w:t>
            </w:r>
            <w:r w:rsidR="009F0F49">
              <w:noBreakHyphen/>
            </w:r>
            <w:r>
              <w:t xml:space="preserve">13 Target due to </w:t>
            </w:r>
            <w:r w:rsidRPr="009B3704">
              <w:t xml:space="preserve">new sites being added to the </w:t>
            </w:r>
            <w:r>
              <w:rPr>
                <w:i w:val="0"/>
              </w:rPr>
              <w:t xml:space="preserve">Disability Discrimination </w:t>
            </w:r>
            <w:r w:rsidRPr="00DB2A49">
              <w:rPr>
                <w:i w:val="0"/>
              </w:rPr>
              <w:t>Act</w:t>
            </w:r>
            <w:r w:rsidRPr="009B3704">
              <w:t xml:space="preserve"> Program for 2012</w:t>
            </w:r>
            <w:r w:rsidR="009F0F49">
              <w:noBreakHyphen/>
            </w:r>
            <w:r w:rsidRPr="009B3704">
              <w:t>13.</w:t>
            </w:r>
          </w:p>
          <w:p w:rsidR="00B958B1" w:rsidRPr="009B3704" w:rsidRDefault="00B958B1" w:rsidP="009F3B54">
            <w:pPr>
              <w:pStyle w:val="OGNotes"/>
            </w:pPr>
            <w:r w:rsidRPr="009B3704">
              <w:t>The lower 2013</w:t>
            </w:r>
            <w:r w:rsidR="009F0F49">
              <w:noBreakHyphen/>
            </w:r>
            <w:r w:rsidRPr="009B3704">
              <w:t>14 Target reflects the number of projects that are expected to be delivered in 2013</w:t>
            </w:r>
            <w:r w:rsidR="009F0F49">
              <w:noBreakHyphen/>
            </w:r>
            <w:r w:rsidRPr="009B3704">
              <w:t>14.</w:t>
            </w:r>
          </w:p>
        </w:tc>
      </w:tr>
      <w:tr w:rsidR="00B958B1" w:rsidRPr="009B3704"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9B3704" w:rsidRDefault="00B958B1" w:rsidP="009F3B54">
            <w:pPr>
              <w:pStyle w:val="OGTabHead"/>
              <w:rPr>
                <w:lang w:eastAsia="en-AU"/>
              </w:rPr>
            </w:pPr>
            <w:r w:rsidRPr="009B3704">
              <w:rPr>
                <w:lang w:eastAsia="en-AU"/>
              </w:rPr>
              <w:t>Quality</w:t>
            </w:r>
          </w:p>
        </w:tc>
        <w:tc>
          <w:tcPr>
            <w:tcW w:w="908" w:type="dxa"/>
            <w:tcBorders>
              <w:top w:val="single" w:sz="6" w:space="0" w:color="auto"/>
              <w:left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Road projects completed within agreed scope and standards: metropolitan</w:t>
            </w:r>
          </w:p>
        </w:tc>
        <w:tc>
          <w:tcPr>
            <w:tcW w:w="908" w:type="dxa"/>
            <w:tcBorders>
              <w:top w:val="nil"/>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98</w:t>
            </w:r>
          </w:p>
        </w:tc>
        <w:tc>
          <w:tcPr>
            <w:tcW w:w="994"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98</w:t>
            </w:r>
          </w:p>
        </w:tc>
        <w:tc>
          <w:tcPr>
            <w:tcW w:w="907"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98</w:t>
            </w:r>
          </w:p>
        </w:tc>
        <w:tc>
          <w:tcPr>
            <w:tcW w:w="906"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98</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Road projects completed within agreed scope and standards: regional</w:t>
            </w:r>
          </w:p>
        </w:tc>
        <w:tc>
          <w:tcPr>
            <w:tcW w:w="908"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98</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98</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98</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98</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keepNext/>
              <w:rPr>
                <w:lang w:eastAsia="en-AU"/>
              </w:rPr>
            </w:pPr>
            <w:r w:rsidRPr="009B3704">
              <w:rPr>
                <w:lang w:eastAsia="en-AU"/>
              </w:rPr>
              <w:t xml:space="preserve">Transport access site treatments completed within agreed scope and standards in compliance with the </w:t>
            </w:r>
            <w:r w:rsidRPr="00DB2A49">
              <w:rPr>
                <w:i/>
                <w:lang w:eastAsia="en-AU"/>
              </w:rPr>
              <w:t>Disability Discrimination Act</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keepNext/>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keepNext/>
              <w:rPr>
                <w:lang w:eastAsia="en-AU"/>
              </w:rPr>
            </w:pPr>
            <w:r w:rsidRPr="009B3704">
              <w:rPr>
                <w:lang w:eastAsia="en-AU"/>
              </w:rPr>
              <w:t>100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100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100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100</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renames the 2012</w:t>
            </w:r>
            <w:r w:rsidR="009F0F49">
              <w:noBreakHyphen/>
            </w:r>
            <w:r w:rsidRPr="009B3704">
              <w:t xml:space="preserve">13 performance measure 'Transport access site treatments completed within agreed scope or standards in compliance with the </w:t>
            </w:r>
            <w:r w:rsidRPr="00375C27">
              <w:rPr>
                <w:i w:val="0"/>
              </w:rPr>
              <w:t>Disability Discrimination Act</w:t>
            </w:r>
            <w:r w:rsidRPr="009B3704">
              <w:t xml:space="preserve">'. </w:t>
            </w:r>
          </w:p>
          <w:p w:rsidR="00B958B1" w:rsidRPr="009B3704" w:rsidRDefault="00B958B1" w:rsidP="009F3B54">
            <w:pPr>
              <w:pStyle w:val="OGNotes"/>
            </w:pPr>
            <w:r w:rsidRPr="009B3704">
              <w:t xml:space="preserve">The </w:t>
            </w:r>
            <w:r>
              <w:t xml:space="preserve">new </w:t>
            </w:r>
            <w:r w:rsidRPr="009B3704">
              <w:t>measure reports on the same activity as the previous measur</w:t>
            </w:r>
            <w:r>
              <w:t>e and</w:t>
            </w:r>
            <w:r w:rsidRPr="009B3704">
              <w:t xml:space="preserve"> has been amended to make its title consistent with other performance measures.</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Timeliness</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East West Link</w:t>
            </w:r>
            <w:r>
              <w:rPr>
                <w:lang w:eastAsia="en-AU"/>
              </w:rPr>
              <w:t xml:space="preserve"> – </w:t>
            </w:r>
            <w:r w:rsidRPr="009B3704">
              <w:rPr>
                <w:lang w:eastAsia="en-AU"/>
              </w:rPr>
              <w:t>Eastern Section: Request for proposal released</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sidRPr="009B3704">
              <w:rPr>
                <w:lang w:eastAsia="en-AU"/>
              </w:rPr>
              <w:t>date</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qtr 2</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t>New</w:t>
            </w:r>
            <w:r w:rsidRPr="009B3704">
              <w:t xml:space="preserve"> performance measure for 2013</w:t>
            </w:r>
            <w:r w:rsidR="009F0F49">
              <w:noBreakHyphen/>
            </w:r>
            <w:r w:rsidRPr="009B3704">
              <w:t>14 to reflect the progress of East West Link.</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 xml:space="preserve">Programmed transport access works completed within agreed timeframes in compliance with the </w:t>
            </w:r>
            <w:r w:rsidRPr="00DB2A49">
              <w:rPr>
                <w:i/>
                <w:lang w:eastAsia="en-AU"/>
              </w:rPr>
              <w:t>Disability Discrimination Act</w:t>
            </w:r>
          </w:p>
        </w:tc>
        <w:tc>
          <w:tcPr>
            <w:tcW w:w="908"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Programmed works completed within agreed timeframes: metropolitan</w:t>
            </w:r>
          </w:p>
        </w:tc>
        <w:tc>
          <w:tcPr>
            <w:tcW w:w="908"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95</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95</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95</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95</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Programmed works completed within agreed timeframes: regional</w:t>
            </w:r>
          </w:p>
        </w:tc>
        <w:tc>
          <w:tcPr>
            <w:tcW w:w="908"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95</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95</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95</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95</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Cost</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Total output cost</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Pr>
                <w:lang w:eastAsia="en-AU"/>
              </w:rPr>
              <w:t>$ million</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Pr>
                <w:lang w:eastAsia="en-AU"/>
              </w:rPr>
              <w:t>870</w:t>
            </w:r>
            <w:r w:rsidRPr="009B3704">
              <w:rPr>
                <w:lang w:eastAsia="en-AU"/>
              </w:rPr>
              <w:t>.1</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867.6</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836.6</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765.3</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higher 2013</w:t>
            </w:r>
            <w:r w:rsidR="009F0F49">
              <w:noBreakHyphen/>
            </w:r>
            <w:r w:rsidRPr="009B3704">
              <w:t>14 Target reflects the full</w:t>
            </w:r>
            <w:r w:rsidR="009F0F49">
              <w:noBreakHyphen/>
            </w:r>
            <w:r w:rsidRPr="009B3704">
              <w:t>year impact of payments for Peninsula Link.</w:t>
            </w:r>
          </w:p>
        </w:tc>
      </w:tr>
      <w:tr w:rsidR="00B958B1" w:rsidRPr="009B3704" w:rsidTr="009F3B54">
        <w:trPr>
          <w:gridAfter w:val="1"/>
          <w:wAfter w:w="6" w:type="dxa"/>
          <w:cantSplit/>
        </w:trPr>
        <w:tc>
          <w:tcPr>
            <w:tcW w:w="7776" w:type="dxa"/>
            <w:gridSpan w:val="6"/>
            <w:tcBorders>
              <w:top w:val="nil"/>
              <w:left w:val="nil"/>
              <w:right w:val="nil"/>
            </w:tcBorders>
            <w:shd w:val="clear" w:color="auto" w:fill="auto"/>
            <w:vAlign w:val="bottom"/>
            <w:hideMark/>
          </w:tcPr>
          <w:p w:rsidR="00B958B1" w:rsidRPr="009B3704" w:rsidRDefault="00B958B1" w:rsidP="009F3B54">
            <w:pPr>
              <w:pStyle w:val="OGHeading2"/>
              <w:rPr>
                <w:lang w:eastAsia="en-AU"/>
              </w:rPr>
            </w:pPr>
            <w:r w:rsidRPr="009B3704">
              <w:rPr>
                <w:lang w:eastAsia="en-AU"/>
              </w:rPr>
              <w:t>Road Asset Management</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Text"/>
              <w:rPr>
                <w:lang w:eastAsia="en-AU"/>
              </w:rPr>
            </w:pPr>
            <w:r w:rsidRPr="009B3704">
              <w:rPr>
                <w:lang w:eastAsia="en-AU"/>
              </w:rPr>
              <w:t>This output provides programs to maintain the quality of Victoria's arterial road network. This output supports the Department's objective to deliver well</w:t>
            </w:r>
            <w:r w:rsidR="009F0F49">
              <w:rPr>
                <w:lang w:eastAsia="en-AU"/>
              </w:rPr>
              <w:noBreakHyphen/>
            </w:r>
            <w:r w:rsidRPr="009B3704">
              <w:rPr>
                <w:lang w:eastAsia="en-AU"/>
              </w:rPr>
              <w:t>targeted improvements and maintenance to transport system assets.</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Quantity</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Bridges maintained: metropolitan</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925</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925</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920</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909</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higher 2013</w:t>
            </w:r>
            <w:r w:rsidR="009F0F49">
              <w:noBreakHyphen/>
            </w:r>
            <w:r w:rsidRPr="009B3704">
              <w:t>14 Target reflects a net increase in the asset base.</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Bridges maintained: regional</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2</w:t>
            </w:r>
            <w:r>
              <w:rPr>
                <w:lang w:eastAsia="en-AU"/>
              </w:rPr>
              <w:t> </w:t>
            </w:r>
            <w:r w:rsidRPr="009B3704">
              <w:rPr>
                <w:lang w:eastAsia="en-AU"/>
              </w:rPr>
              <w:t>255</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w:t>
            </w:r>
            <w:r>
              <w:rPr>
                <w:lang w:eastAsia="en-AU"/>
              </w:rPr>
              <w:t> </w:t>
            </w:r>
            <w:r w:rsidRPr="009B3704">
              <w:rPr>
                <w:lang w:eastAsia="en-AU"/>
              </w:rPr>
              <w:t>255</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w:t>
            </w:r>
            <w:r>
              <w:rPr>
                <w:lang w:eastAsia="en-AU"/>
              </w:rPr>
              <w:t> </w:t>
            </w:r>
            <w:r w:rsidRPr="009B3704">
              <w:rPr>
                <w:lang w:eastAsia="en-AU"/>
              </w:rPr>
              <w:t>260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w:t>
            </w:r>
            <w:r>
              <w:rPr>
                <w:lang w:eastAsia="en-AU"/>
              </w:rPr>
              <w:t> </w:t>
            </w:r>
            <w:r w:rsidRPr="009B3704">
              <w:rPr>
                <w:lang w:eastAsia="en-AU"/>
              </w:rPr>
              <w:t>249</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lower 2013</w:t>
            </w:r>
            <w:r w:rsidR="009F0F49">
              <w:noBreakHyphen/>
            </w:r>
            <w:r w:rsidRPr="009B3704">
              <w:t>14 Target reflects a net reduction in the asset base.</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Country Roads and Bridges initiative: number of rural municipal applications funded</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40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40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40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left w:val="nil"/>
              <w:bottom w:val="single" w:sz="6" w:space="0" w:color="auto"/>
              <w:right w:val="nil"/>
            </w:tcBorders>
            <w:shd w:val="clear" w:color="000000" w:fill="FFFFFF"/>
          </w:tcPr>
          <w:p w:rsidR="00B958B1" w:rsidRPr="009B3704" w:rsidRDefault="00B958B1" w:rsidP="009F3B54">
            <w:pPr>
              <w:pStyle w:val="OGNotes"/>
            </w:pPr>
            <w:r>
              <w:t>This performance measure is transferred directly from the ‘Road Network Improvements’ output.</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keepNext/>
              <w:rPr>
                <w:lang w:eastAsia="en-AU"/>
              </w:rPr>
            </w:pPr>
            <w:r w:rsidRPr="009B3704">
              <w:rPr>
                <w:lang w:eastAsia="en-AU"/>
              </w:rPr>
              <w:t>Pavement resurfaced: metropolitan</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keepNext/>
              <w:rPr>
                <w:lang w:eastAsia="en-AU"/>
              </w:rPr>
            </w:pPr>
            <w:r w:rsidRPr="009B3704">
              <w:rPr>
                <w:lang w:eastAsia="en-AU"/>
              </w:rPr>
              <w:t>m</w:t>
            </w:r>
            <w:r w:rsidRPr="00BC751A">
              <w:rPr>
                <w:vertAlign w:val="superscript"/>
                <w:lang w:eastAsia="en-AU"/>
              </w:rPr>
              <w:t>2</w:t>
            </w:r>
            <w:r w:rsidRPr="009B3704">
              <w:rPr>
                <w:lang w:eastAsia="en-AU"/>
              </w:rPr>
              <w:t xml:space="preserve"> (</w:t>
            </w:r>
            <w:r>
              <w:rPr>
                <w:lang w:eastAsia="en-AU"/>
              </w:rPr>
              <w:t>‘</w:t>
            </w:r>
            <w:r w:rsidRPr="009B3704">
              <w:rPr>
                <w:lang w:eastAsia="en-AU"/>
              </w:rPr>
              <w:t>000)</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keepNext/>
              <w:rPr>
                <w:lang w:eastAsia="en-AU"/>
              </w:rPr>
            </w:pPr>
            <w:r w:rsidRPr="009B3704">
              <w:rPr>
                <w:lang w:eastAsia="en-AU"/>
              </w:rPr>
              <w:t>1</w:t>
            </w:r>
            <w:r>
              <w:rPr>
                <w:lang w:eastAsia="en-AU"/>
              </w:rPr>
              <w:t> </w:t>
            </w:r>
            <w:r w:rsidRPr="009B3704">
              <w:rPr>
                <w:lang w:eastAsia="en-AU"/>
              </w:rPr>
              <w:t>200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1</w:t>
            </w:r>
            <w:r>
              <w:rPr>
                <w:lang w:eastAsia="en-AU"/>
              </w:rPr>
              <w:t> </w:t>
            </w:r>
            <w:r w:rsidRPr="009B3704">
              <w:rPr>
                <w:lang w:eastAsia="en-AU"/>
              </w:rPr>
              <w:t>030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810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1</w:t>
            </w:r>
            <w:r>
              <w:rPr>
                <w:lang w:eastAsia="en-AU"/>
              </w:rPr>
              <w:t> </w:t>
            </w:r>
            <w:r w:rsidRPr="009B3704">
              <w:rPr>
                <w:lang w:eastAsia="en-AU"/>
              </w:rPr>
              <w:t>662</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The 2012</w:t>
            </w:r>
            <w:r w:rsidR="009F0F49">
              <w:noBreakHyphen/>
            </w:r>
            <w:r w:rsidRPr="009B3704">
              <w:t xml:space="preserve">13 Expected Outcome </w:t>
            </w:r>
            <w:r>
              <w:t>is higher than the 2012</w:t>
            </w:r>
            <w:r w:rsidR="009F0F49">
              <w:noBreakHyphen/>
            </w:r>
            <w:r>
              <w:t xml:space="preserve">13 Target due to </w:t>
            </w:r>
            <w:r w:rsidRPr="009B3704">
              <w:t xml:space="preserve">additional pavement funding provided in October 2012. </w:t>
            </w:r>
          </w:p>
          <w:p w:rsidR="00B958B1" w:rsidRPr="009B3704" w:rsidRDefault="00B958B1" w:rsidP="009F3B54">
            <w:pPr>
              <w:pStyle w:val="OGNotes"/>
            </w:pPr>
            <w:r w:rsidRPr="009B3704">
              <w:t>The higher 2013</w:t>
            </w:r>
            <w:r w:rsidR="009F0F49">
              <w:noBreakHyphen/>
            </w:r>
            <w:r w:rsidRPr="009B3704">
              <w:t>14 Target reflects the additional pavement resurfacing funding provided in the 2013</w:t>
            </w:r>
            <w:r w:rsidR="009F0F49">
              <w:noBreakHyphen/>
            </w:r>
            <w:r w:rsidRPr="009B3704">
              <w:t>14 budget.</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ind w:left="0"/>
              <w:rPr>
                <w:lang w:eastAsia="en-AU"/>
              </w:rPr>
            </w:pPr>
            <w:r w:rsidRPr="009B3704">
              <w:rPr>
                <w:lang w:eastAsia="en-AU"/>
              </w:rPr>
              <w:t>Pavement resurfaced: regional</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m</w:t>
            </w:r>
            <w:r w:rsidRPr="00BC751A">
              <w:rPr>
                <w:vertAlign w:val="superscript"/>
                <w:lang w:eastAsia="en-AU"/>
              </w:rPr>
              <w:t>2</w:t>
            </w:r>
            <w:r w:rsidRPr="009B3704">
              <w:rPr>
                <w:lang w:eastAsia="en-AU"/>
              </w:rPr>
              <w:t xml:space="preserve"> (</w:t>
            </w:r>
            <w:r>
              <w:rPr>
                <w:lang w:eastAsia="en-AU"/>
              </w:rPr>
              <w:t>‘</w:t>
            </w:r>
            <w:r w:rsidRPr="009B3704">
              <w:rPr>
                <w:lang w:eastAsia="en-AU"/>
              </w:rPr>
              <w:t>000)</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6</w:t>
            </w:r>
            <w:r>
              <w:rPr>
                <w:lang w:eastAsia="en-AU"/>
              </w:rPr>
              <w:t> </w:t>
            </w:r>
            <w:r w:rsidRPr="009B3704">
              <w:rPr>
                <w:lang w:eastAsia="en-AU"/>
              </w:rPr>
              <w:t>900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w:t>
            </w:r>
            <w:r>
              <w:rPr>
                <w:lang w:eastAsia="en-AU"/>
              </w:rPr>
              <w:t> </w:t>
            </w:r>
            <w:r w:rsidRPr="009B3704">
              <w:rPr>
                <w:lang w:eastAsia="en-AU"/>
              </w:rPr>
              <w:t>100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4</w:t>
            </w:r>
            <w:r>
              <w:rPr>
                <w:lang w:eastAsia="en-AU"/>
              </w:rPr>
              <w:t> </w:t>
            </w:r>
            <w:r w:rsidRPr="009B3704">
              <w:rPr>
                <w:lang w:eastAsia="en-AU"/>
              </w:rPr>
              <w:t>300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11</w:t>
            </w:r>
            <w:r>
              <w:rPr>
                <w:lang w:eastAsia="en-AU"/>
              </w:rPr>
              <w:t> </w:t>
            </w:r>
            <w:r w:rsidRPr="009B3704">
              <w:rPr>
                <w:lang w:eastAsia="en-AU"/>
              </w:rPr>
              <w:t>038</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The 2012</w:t>
            </w:r>
            <w:r w:rsidR="009F0F49">
              <w:noBreakHyphen/>
            </w:r>
            <w:r w:rsidRPr="009B3704">
              <w:t xml:space="preserve">13 Expected Outcome </w:t>
            </w:r>
            <w:r>
              <w:t>is higher than the 2012</w:t>
            </w:r>
            <w:r w:rsidR="009F0F49">
              <w:noBreakHyphen/>
            </w:r>
            <w:r>
              <w:t>13 Target due to</w:t>
            </w:r>
            <w:r w:rsidRPr="009B3704">
              <w:t xml:space="preserve"> additional pavement funding provided in October 2012. </w:t>
            </w:r>
          </w:p>
          <w:p w:rsidR="00B958B1" w:rsidRPr="009B3704" w:rsidRDefault="00B958B1" w:rsidP="009F3B54">
            <w:pPr>
              <w:pStyle w:val="OGNotes"/>
            </w:pPr>
            <w:r w:rsidRPr="009B3704">
              <w:t>The higher 2013</w:t>
            </w:r>
            <w:r w:rsidR="009F0F49">
              <w:noBreakHyphen/>
            </w:r>
            <w:r w:rsidRPr="009B3704">
              <w:t>14 Target reflects the additional pavement resurfacing funding provided in the 2013</w:t>
            </w:r>
            <w:r w:rsidR="009F0F49">
              <w:noBreakHyphen/>
            </w:r>
            <w:r w:rsidRPr="009B3704">
              <w:t>14 budget.</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Road network maintained: metropolitan</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lane</w:t>
            </w:r>
            <w:r w:rsidR="009F0F49">
              <w:rPr>
                <w:lang w:eastAsia="en-AU"/>
              </w:rPr>
              <w:noBreakHyphen/>
            </w:r>
            <w:r w:rsidRPr="009B3704">
              <w:rPr>
                <w:lang w:eastAsia="en-AU"/>
              </w:rPr>
              <w:t xml:space="preserve"> km</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12</w:t>
            </w:r>
            <w:r>
              <w:rPr>
                <w:lang w:eastAsia="en-AU"/>
              </w:rPr>
              <w:t> </w:t>
            </w:r>
            <w:r w:rsidRPr="009B3704">
              <w:rPr>
                <w:lang w:eastAsia="en-AU"/>
              </w:rPr>
              <w:t>225</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12</w:t>
            </w:r>
            <w:r>
              <w:rPr>
                <w:lang w:eastAsia="en-AU"/>
              </w:rPr>
              <w:t> </w:t>
            </w:r>
            <w:r w:rsidRPr="009B3704">
              <w:rPr>
                <w:lang w:eastAsia="en-AU"/>
              </w:rPr>
              <w:t>069</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11</w:t>
            </w:r>
            <w:r>
              <w:rPr>
                <w:lang w:eastAsia="en-AU"/>
              </w:rPr>
              <w:t> </w:t>
            </w:r>
            <w:r w:rsidRPr="009B3704">
              <w:rPr>
                <w:lang w:eastAsia="en-AU"/>
              </w:rPr>
              <w:t>852</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11</w:t>
            </w:r>
            <w:r>
              <w:rPr>
                <w:lang w:eastAsia="en-AU"/>
              </w:rPr>
              <w:t> </w:t>
            </w:r>
            <w:r w:rsidRPr="009B3704">
              <w:rPr>
                <w:lang w:eastAsia="en-AU"/>
              </w:rPr>
              <w:t>714</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higher 2013</w:t>
            </w:r>
            <w:r w:rsidR="009F0F49">
              <w:noBreakHyphen/>
            </w:r>
            <w:r w:rsidRPr="009B3704">
              <w:t>14 Target reflects a net increase in the asset base.</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Road network maintained: regional</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lane</w:t>
            </w:r>
            <w:r w:rsidR="009F0F49">
              <w:rPr>
                <w:lang w:eastAsia="en-AU"/>
              </w:rPr>
              <w:noBreakHyphen/>
            </w:r>
            <w:r w:rsidRPr="009B3704">
              <w:rPr>
                <w:lang w:eastAsia="en-AU"/>
              </w:rPr>
              <w:t xml:space="preserve"> km</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41</w:t>
            </w:r>
            <w:r>
              <w:rPr>
                <w:lang w:eastAsia="en-AU"/>
              </w:rPr>
              <w:t> </w:t>
            </w:r>
            <w:r w:rsidRPr="009B3704">
              <w:rPr>
                <w:lang w:eastAsia="en-AU"/>
              </w:rPr>
              <w:t>415</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41</w:t>
            </w:r>
            <w:r>
              <w:rPr>
                <w:lang w:eastAsia="en-AU"/>
              </w:rPr>
              <w:t> </w:t>
            </w:r>
            <w:r w:rsidRPr="009B3704">
              <w:rPr>
                <w:lang w:eastAsia="en-AU"/>
              </w:rPr>
              <w:t>659</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41</w:t>
            </w:r>
            <w:r>
              <w:rPr>
                <w:lang w:eastAsia="en-AU"/>
              </w:rPr>
              <w:t> </w:t>
            </w:r>
            <w:r w:rsidRPr="009B3704">
              <w:rPr>
                <w:lang w:eastAsia="en-AU"/>
              </w:rPr>
              <w:t>659</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41</w:t>
            </w:r>
            <w:r>
              <w:rPr>
                <w:lang w:eastAsia="en-AU"/>
              </w:rPr>
              <w:t> </w:t>
            </w:r>
            <w:r w:rsidRPr="009B3704">
              <w:rPr>
                <w:lang w:eastAsia="en-AU"/>
              </w:rPr>
              <w:t>549</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lower 2013</w:t>
            </w:r>
            <w:r w:rsidR="009F0F49">
              <w:noBreakHyphen/>
            </w:r>
            <w:r w:rsidRPr="009B3704">
              <w:t>14 Target reflects a reduction in the asset base.</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9B3704">
              <w:rPr>
                <w:lang w:eastAsia="en-AU"/>
              </w:rPr>
              <w:t>Quality</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Bridges that are acceptable for legal load vehicles: metropolitan</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99.2</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99.3</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99.3</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99.6</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lower 2013</w:t>
            </w:r>
            <w:r w:rsidR="009F0F49">
              <w:noBreakHyphen/>
            </w:r>
            <w:r w:rsidRPr="009B3704">
              <w:t>14 Target reflects a small increase in the number of bridges with load restrictions.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Bridges that are acceptable for legal load vehicles: regional</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99.3</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99.5</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99.6</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99.6</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lower 2013</w:t>
            </w:r>
            <w:r w:rsidR="009F0F49">
              <w:noBreakHyphen/>
            </w:r>
            <w:r w:rsidRPr="009B3704">
              <w:t>14 Target reflects a small increase in the number of bridges with load restrictions.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Proportion of distressed road pavements: metropolitan</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9.9</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8.7</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7.2</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w:t>
            </w:r>
            <w:r>
              <w:rPr>
                <w:lang w:eastAsia="en-AU"/>
              </w:rPr>
              <w:t>.0</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 xml:space="preserve">The </w:t>
            </w:r>
            <w:r>
              <w:t xml:space="preserve">higher </w:t>
            </w:r>
            <w:r w:rsidRPr="009B3704">
              <w:t>2013</w:t>
            </w:r>
            <w:r w:rsidR="009F0F49">
              <w:noBreakHyphen/>
            </w:r>
            <w:r>
              <w:t>14 Target and 2012</w:t>
            </w:r>
            <w:r w:rsidR="009F0F49">
              <w:noBreakHyphen/>
            </w:r>
            <w:r>
              <w:t>13</w:t>
            </w:r>
            <w:r w:rsidRPr="009B3704">
              <w:t xml:space="preserve"> Expected Outcome </w:t>
            </w:r>
            <w:r>
              <w:t xml:space="preserve">are </w:t>
            </w:r>
            <w:r w:rsidRPr="009B3704">
              <w:t>due to the increasing rates of deterioration of pavement condition and prioritisation of funding towards routine maintenance activities.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Proportion of distressed road pavements: regional</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9.2</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8.2</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8.2</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7.5</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higher 2013</w:t>
            </w:r>
            <w:r w:rsidR="009F0F49">
              <w:noBreakHyphen/>
            </w:r>
            <w:r w:rsidRPr="009B3704">
              <w:t>14 Target reflects the increasing rates of deterioration of pavement condition and prioritisation of funding towards routine maintenance activities.</w:t>
            </w:r>
          </w:p>
        </w:tc>
      </w:tr>
      <w:tr w:rsidR="00B958B1" w:rsidRPr="009B3704"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Timeliness</w:t>
            </w:r>
          </w:p>
        </w:tc>
        <w:tc>
          <w:tcPr>
            <w:tcW w:w="908" w:type="dxa"/>
            <w:tcBorders>
              <w:top w:val="single" w:sz="6" w:space="0" w:color="auto"/>
              <w:left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Annual road maintenance program completed within agreed timeframes: metropolitan</w:t>
            </w:r>
          </w:p>
        </w:tc>
        <w:tc>
          <w:tcPr>
            <w:tcW w:w="908" w:type="dxa"/>
            <w:tcBorders>
              <w:top w:val="nil"/>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Annual road maintenance program completed within agreed timeframes: regional</w:t>
            </w:r>
          </w:p>
        </w:tc>
        <w:tc>
          <w:tcPr>
            <w:tcW w:w="908"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Cost</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Total output cost</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Pr>
                <w:lang w:eastAsia="en-AU"/>
              </w:rPr>
              <w:t>$ million</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Pr>
                <w:lang w:eastAsia="en-AU"/>
              </w:rPr>
              <w:t>436.2</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441.9</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387.9</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493.9</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w:t>
            </w:r>
            <w:r>
              <w:t xml:space="preserve"> </w:t>
            </w:r>
            <w:r w:rsidRPr="009B3704">
              <w:t>2012</w:t>
            </w:r>
            <w:r w:rsidR="009F0F49">
              <w:noBreakHyphen/>
            </w:r>
            <w:r w:rsidRPr="009B3704">
              <w:t>13 Expected Outcome</w:t>
            </w:r>
            <w:r>
              <w:t xml:space="preserve"> is higher than the 2012</w:t>
            </w:r>
            <w:r w:rsidR="009F0F49">
              <w:noBreakHyphen/>
            </w:r>
            <w:r>
              <w:t xml:space="preserve">13 Target due to </w:t>
            </w:r>
            <w:r w:rsidRPr="009B3704">
              <w:t xml:space="preserve">additional road maintenance funding approved post the </w:t>
            </w:r>
            <w:r w:rsidRPr="00DB2A49">
              <w:rPr>
                <w:i w:val="0"/>
              </w:rPr>
              <w:t>2012</w:t>
            </w:r>
            <w:r w:rsidR="009F0F49">
              <w:rPr>
                <w:i w:val="0"/>
              </w:rPr>
              <w:noBreakHyphen/>
            </w:r>
            <w:r w:rsidRPr="00DB2A49">
              <w:rPr>
                <w:i w:val="0"/>
              </w:rPr>
              <w:t>13 Budget</w:t>
            </w:r>
            <w:r w:rsidRPr="009B3704">
              <w:t xml:space="preserve"> and flood damage restoration works.</w:t>
            </w:r>
          </w:p>
          <w:p w:rsidR="00B958B1" w:rsidRPr="009B3704" w:rsidRDefault="00B958B1" w:rsidP="009F3B54">
            <w:pPr>
              <w:pStyle w:val="OGNotes"/>
            </w:pPr>
            <w:r w:rsidRPr="009B3704">
              <w:t>The higher 2013</w:t>
            </w:r>
            <w:r w:rsidR="009F0F49">
              <w:noBreakHyphen/>
            </w:r>
            <w:r>
              <w:t>14 Target reflects</w:t>
            </w:r>
            <w:r w:rsidRPr="009B3704">
              <w:t xml:space="preserve"> additional road maintenance funding approved in the 2013</w:t>
            </w:r>
            <w:r w:rsidR="009F0F49">
              <w:noBreakHyphen/>
            </w:r>
            <w:r w:rsidRPr="009B3704">
              <w:t xml:space="preserve">14 </w:t>
            </w:r>
            <w:r>
              <w:t>b</w:t>
            </w:r>
            <w:r w:rsidRPr="009B3704">
              <w:t>udget.</w:t>
            </w:r>
          </w:p>
        </w:tc>
      </w:tr>
      <w:tr w:rsidR="00B958B1" w:rsidRPr="009B3704" w:rsidTr="009F3B54">
        <w:trPr>
          <w:gridAfter w:val="1"/>
          <w:wAfter w:w="6" w:type="dxa"/>
          <w:cantSplit/>
        </w:trPr>
        <w:tc>
          <w:tcPr>
            <w:tcW w:w="7776" w:type="dxa"/>
            <w:gridSpan w:val="6"/>
            <w:tcBorders>
              <w:top w:val="nil"/>
              <w:left w:val="nil"/>
              <w:right w:val="nil"/>
            </w:tcBorders>
            <w:shd w:val="clear" w:color="auto" w:fill="auto"/>
            <w:vAlign w:val="bottom"/>
            <w:hideMark/>
          </w:tcPr>
          <w:p w:rsidR="00B958B1" w:rsidRPr="009B3704" w:rsidRDefault="00B958B1" w:rsidP="009F3B54">
            <w:pPr>
              <w:pStyle w:val="OGHeading2"/>
              <w:rPr>
                <w:lang w:eastAsia="en-AU"/>
              </w:rPr>
            </w:pPr>
            <w:r w:rsidRPr="009B3704">
              <w:rPr>
                <w:lang w:eastAsia="en-AU"/>
              </w:rPr>
              <w:t>Ports and Freight Network Improvements and Maintenance</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Text"/>
              <w:rPr>
                <w:lang w:eastAsia="en-AU"/>
              </w:rPr>
            </w:pPr>
            <w:r w:rsidRPr="009B3704">
              <w:rPr>
                <w:lang w:eastAsia="en-AU"/>
              </w:rPr>
              <w:t>This output delivers capital initiatives to increase the capacity, efficiency and safety of the freight and logistics sector, and programs to maintain the quality of ports and freight network assets. This output supports the Department's objective to deliver well</w:t>
            </w:r>
            <w:r w:rsidR="009F0F49">
              <w:rPr>
                <w:lang w:eastAsia="en-AU"/>
              </w:rPr>
              <w:noBreakHyphen/>
            </w:r>
            <w:r w:rsidRPr="009B3704">
              <w:rPr>
                <w:lang w:eastAsia="en-AU"/>
              </w:rPr>
              <w:t>targeted improvements and maintenance to transport system assets.</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Quantity</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Containers transported by rail under the Mode Shift Incentive Scheme program</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49</w:t>
            </w:r>
            <w:r>
              <w:rPr>
                <w:lang w:eastAsia="en-AU"/>
              </w:rPr>
              <w:t> </w:t>
            </w:r>
            <w:r w:rsidRPr="009B3704">
              <w:rPr>
                <w:lang w:eastAsia="en-AU"/>
              </w:rPr>
              <w:t>000</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37</w:t>
            </w:r>
            <w:r>
              <w:rPr>
                <w:lang w:eastAsia="en-AU"/>
              </w:rPr>
              <w:t> </w:t>
            </w:r>
            <w:r w:rsidRPr="009B3704">
              <w:rPr>
                <w:lang w:eastAsia="en-AU"/>
              </w:rPr>
              <w:t>000</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33</w:t>
            </w:r>
            <w:r>
              <w:rPr>
                <w:lang w:eastAsia="en-AU"/>
              </w:rPr>
              <w:t> </w:t>
            </w:r>
            <w:r w:rsidRPr="009B3704">
              <w:rPr>
                <w:lang w:eastAsia="en-AU"/>
              </w:rPr>
              <w:t>500</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'Freight, Logistics, Ports and Marine Development' output. </w:t>
            </w:r>
          </w:p>
          <w:p w:rsidR="00B958B1" w:rsidRPr="009B3704" w:rsidRDefault="00B958B1" w:rsidP="009F3B54">
            <w:pPr>
              <w:pStyle w:val="OGNotes"/>
            </w:pPr>
            <w:r w:rsidRPr="009B3704">
              <w:t xml:space="preserve">The </w:t>
            </w:r>
            <w:r>
              <w:t xml:space="preserve">higher </w:t>
            </w:r>
            <w:r w:rsidRPr="009B3704">
              <w:t>2012</w:t>
            </w:r>
            <w:r w:rsidR="009F0F49">
              <w:noBreakHyphen/>
            </w:r>
            <w:r w:rsidRPr="009B3704">
              <w:t>13 Expected Outcome and 2013</w:t>
            </w:r>
            <w:r w:rsidR="009F0F49">
              <w:noBreakHyphen/>
            </w:r>
            <w:r w:rsidRPr="009B3704">
              <w:t>14</w:t>
            </w:r>
            <w:r>
              <w:t xml:space="preserve"> Target reflects</w:t>
            </w:r>
            <w:r w:rsidRPr="009B3704">
              <w:t xml:space="preserve"> the outcome achieved from the targeted incentive provided under the Mode Shift Incentive Scheme program.</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Road</w:t>
            </w:r>
            <w:r w:rsidR="009F0F49">
              <w:rPr>
                <w:lang w:eastAsia="en-AU"/>
              </w:rPr>
              <w:noBreakHyphen/>
            </w:r>
            <w:r w:rsidRPr="009B3704">
              <w:rPr>
                <w:lang w:eastAsia="en-AU"/>
              </w:rPr>
              <w:t>based freight accessibility and reliability improvement projects completed</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9</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4</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0</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'Freight, Logistics, Ports and Marine Development' output. </w:t>
            </w:r>
          </w:p>
          <w:p w:rsidR="00B958B1" w:rsidRDefault="00B958B1" w:rsidP="009F3B54">
            <w:pPr>
              <w:pStyle w:val="OGNotes"/>
            </w:pPr>
            <w:r w:rsidRPr="009B3704">
              <w:t>The 2012</w:t>
            </w:r>
            <w:r w:rsidR="009F0F49">
              <w:noBreakHyphen/>
            </w:r>
            <w:r>
              <w:t>13 Expected Outcome is higher than the 2012</w:t>
            </w:r>
            <w:r w:rsidR="009F0F49">
              <w:noBreakHyphen/>
            </w:r>
            <w:r>
              <w:t>13 Target due to</w:t>
            </w:r>
            <w:r w:rsidRPr="009B3704">
              <w:t xml:space="preserve"> four projects not originally targeted for completion in 2012</w:t>
            </w:r>
            <w:r w:rsidR="009F0F49">
              <w:noBreakHyphen/>
            </w:r>
            <w:r w:rsidRPr="009B3704">
              <w:t>13, now scheduled to be completed in 2012</w:t>
            </w:r>
            <w:r w:rsidR="009F0F49">
              <w:noBreakHyphen/>
            </w:r>
            <w:r w:rsidRPr="009B3704">
              <w:t xml:space="preserve">13. </w:t>
            </w:r>
          </w:p>
          <w:p w:rsidR="00B958B1" w:rsidRPr="009B3704" w:rsidRDefault="00B958B1" w:rsidP="009F3B54">
            <w:pPr>
              <w:pStyle w:val="OGNotes"/>
            </w:pPr>
            <w:r w:rsidRPr="009B3704">
              <w:t xml:space="preserve">The </w:t>
            </w:r>
            <w:r>
              <w:t xml:space="preserve">higher </w:t>
            </w:r>
            <w:r w:rsidRPr="009B3704">
              <w:t>2013</w:t>
            </w:r>
            <w:r w:rsidR="009F0F49">
              <w:noBreakHyphen/>
            </w:r>
            <w:r w:rsidRPr="009B3704">
              <w:t>14 Target reflects the number of projects that are expected to be delivered in 2013</w:t>
            </w:r>
            <w:r w:rsidR="009F0F49">
              <w:noBreakHyphen/>
            </w:r>
            <w:r w:rsidRPr="009B3704">
              <w:t>14.</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South West Passing Loop works completed</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This performance measure is transferred directly from the 2012</w:t>
            </w:r>
            <w:r w:rsidR="009F0F49">
              <w:noBreakHyphen/>
            </w:r>
            <w:r w:rsidRPr="009B3704">
              <w:t xml:space="preserve">13 'Freight, Logistics, Ports and Marine Development' output. </w:t>
            </w:r>
          </w:p>
          <w:p w:rsidR="00B958B1" w:rsidRPr="009B3704" w:rsidRDefault="00B958B1" w:rsidP="009F3B54">
            <w:pPr>
              <w:pStyle w:val="OGNotes"/>
            </w:pPr>
            <w:r w:rsidRPr="009B3704">
              <w:t>The 2012</w:t>
            </w:r>
            <w:r w:rsidR="009F0F49">
              <w:noBreakHyphen/>
            </w:r>
            <w:r w:rsidRPr="009B3704">
              <w:t xml:space="preserve">13 Expected Outcome </w:t>
            </w:r>
            <w:r>
              <w:t>is lower than the 2012</w:t>
            </w:r>
            <w:r w:rsidR="009F0F49">
              <w:noBreakHyphen/>
            </w:r>
            <w:r>
              <w:t>13 Target due to</w:t>
            </w:r>
            <w:r w:rsidRPr="009B3704">
              <w:t xml:space="preserve"> a change in project timing.</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tcPr>
          <w:p w:rsidR="00B958B1" w:rsidRPr="009B3704" w:rsidRDefault="00B958B1" w:rsidP="009F3B54">
            <w:pPr>
              <w:pStyle w:val="OGTabHead"/>
              <w:rPr>
                <w:lang w:eastAsia="en-AU"/>
              </w:rPr>
            </w:pPr>
            <w:r>
              <w:rPr>
                <w:lang w:eastAsia="en-AU"/>
              </w:rPr>
              <w:t>Quality</w:t>
            </w:r>
          </w:p>
        </w:tc>
        <w:tc>
          <w:tcPr>
            <w:tcW w:w="908" w:type="dxa"/>
            <w:tcBorders>
              <w:top w:val="single" w:sz="6" w:space="0" w:color="auto"/>
              <w:left w:val="nil"/>
              <w:right w:val="nil"/>
            </w:tcBorders>
            <w:shd w:val="clear" w:color="000000" w:fill="FFFFFF"/>
          </w:tcPr>
          <w:p w:rsidR="00B958B1" w:rsidRPr="009B3704" w:rsidRDefault="00B958B1" w:rsidP="009F3B54">
            <w:pPr>
              <w:pStyle w:val="OGUoM"/>
              <w:rPr>
                <w:lang w:eastAsia="en-AU"/>
              </w:rPr>
            </w:pPr>
          </w:p>
        </w:tc>
        <w:tc>
          <w:tcPr>
            <w:tcW w:w="907" w:type="dxa"/>
            <w:tcBorders>
              <w:top w:val="single" w:sz="6" w:space="0" w:color="auto"/>
              <w:left w:val="nil"/>
              <w:right w:val="nil"/>
            </w:tcBorders>
            <w:shd w:val="clear" w:color="auto" w:fill="D9D9D9"/>
          </w:tcPr>
          <w:p w:rsidR="00B958B1" w:rsidRPr="009B3704" w:rsidRDefault="00B958B1" w:rsidP="009F3B54">
            <w:pPr>
              <w:pStyle w:val="OGTableofFigures"/>
              <w:rPr>
                <w:lang w:eastAsia="en-AU"/>
              </w:rPr>
            </w:pPr>
          </w:p>
        </w:tc>
        <w:tc>
          <w:tcPr>
            <w:tcW w:w="994" w:type="dxa"/>
            <w:tcBorders>
              <w:top w:val="single" w:sz="6" w:space="0" w:color="auto"/>
              <w:left w:val="nil"/>
              <w:right w:val="nil"/>
            </w:tcBorders>
            <w:shd w:val="clear" w:color="000000" w:fill="FFFFFF"/>
          </w:tcPr>
          <w:p w:rsidR="00B958B1" w:rsidRPr="009B3704" w:rsidRDefault="00B958B1" w:rsidP="009F3B54">
            <w:pPr>
              <w:pStyle w:val="OGTableofFigures"/>
              <w:rPr>
                <w:lang w:eastAsia="en-AU"/>
              </w:rPr>
            </w:pPr>
          </w:p>
        </w:tc>
        <w:tc>
          <w:tcPr>
            <w:tcW w:w="907" w:type="dxa"/>
            <w:tcBorders>
              <w:top w:val="single" w:sz="6" w:space="0" w:color="auto"/>
              <w:left w:val="nil"/>
              <w:right w:val="nil"/>
            </w:tcBorders>
            <w:shd w:val="clear" w:color="000000" w:fill="FFFFFF"/>
          </w:tcPr>
          <w:p w:rsidR="00B958B1" w:rsidRPr="009B3704" w:rsidRDefault="00B958B1" w:rsidP="009F3B54">
            <w:pPr>
              <w:pStyle w:val="OGTableofFigures"/>
              <w:rPr>
                <w:lang w:eastAsia="en-AU"/>
              </w:rPr>
            </w:pPr>
          </w:p>
        </w:tc>
        <w:tc>
          <w:tcPr>
            <w:tcW w:w="906" w:type="dxa"/>
            <w:tcBorders>
              <w:top w:val="single" w:sz="6" w:space="0" w:color="auto"/>
              <w:left w:val="nil"/>
              <w:right w:val="nil"/>
            </w:tcBorders>
            <w:shd w:val="clear" w:color="000000" w:fill="FFFFFF"/>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left w:val="nil"/>
              <w:right w:val="nil"/>
            </w:tcBorders>
            <w:shd w:val="clear" w:color="000000" w:fill="FFFFFF"/>
          </w:tcPr>
          <w:p w:rsidR="00B958B1" w:rsidRDefault="00B958B1" w:rsidP="009F3B54">
            <w:pPr>
              <w:pStyle w:val="OGTabText"/>
              <w:rPr>
                <w:lang w:eastAsia="en-AU"/>
              </w:rPr>
            </w:pPr>
            <w:r w:rsidRPr="009B3704">
              <w:rPr>
                <w:lang w:eastAsia="en-AU"/>
              </w:rPr>
              <w:t>Number of accessible local ports</w:t>
            </w:r>
          </w:p>
        </w:tc>
        <w:tc>
          <w:tcPr>
            <w:tcW w:w="908" w:type="dxa"/>
            <w:tcBorders>
              <w:left w:val="nil"/>
              <w:right w:val="nil"/>
            </w:tcBorders>
            <w:shd w:val="clear" w:color="000000" w:fill="FFFFFF"/>
          </w:tcPr>
          <w:p w:rsidR="00B958B1" w:rsidRPr="009B3704" w:rsidRDefault="00B958B1" w:rsidP="009F3B54">
            <w:pPr>
              <w:pStyle w:val="OGUoM"/>
              <w:rPr>
                <w:lang w:eastAsia="en-AU"/>
              </w:rPr>
            </w:pPr>
            <w:r>
              <w:rPr>
                <w:lang w:eastAsia="en-AU"/>
              </w:rPr>
              <w:t>n</w:t>
            </w:r>
            <w:r w:rsidRPr="009B3704">
              <w:rPr>
                <w:lang w:eastAsia="en-AU"/>
              </w:rPr>
              <w:t>umber</w:t>
            </w:r>
          </w:p>
        </w:tc>
        <w:tc>
          <w:tcPr>
            <w:tcW w:w="907" w:type="dxa"/>
            <w:tcBorders>
              <w:left w:val="nil"/>
              <w:right w:val="nil"/>
            </w:tcBorders>
            <w:shd w:val="clear" w:color="auto" w:fill="D9D9D9"/>
          </w:tcPr>
          <w:p w:rsidR="00B958B1" w:rsidRPr="009B3704" w:rsidRDefault="00B958B1" w:rsidP="009F3B54">
            <w:pPr>
              <w:pStyle w:val="OGTableofFigures"/>
              <w:rPr>
                <w:lang w:eastAsia="en-AU"/>
              </w:rPr>
            </w:pPr>
            <w:r w:rsidRPr="009B3704">
              <w:rPr>
                <w:lang w:eastAsia="en-AU"/>
              </w:rPr>
              <w:t>14</w:t>
            </w:r>
          </w:p>
        </w:tc>
        <w:tc>
          <w:tcPr>
            <w:tcW w:w="994" w:type="dxa"/>
            <w:tcBorders>
              <w:left w:val="nil"/>
              <w:right w:val="nil"/>
            </w:tcBorders>
            <w:shd w:val="clear" w:color="000000" w:fill="FFFFFF"/>
          </w:tcPr>
          <w:p w:rsidR="00B958B1" w:rsidRPr="009B3704" w:rsidRDefault="00B958B1" w:rsidP="009F3B54">
            <w:pPr>
              <w:pStyle w:val="OGTableofFigures"/>
              <w:rPr>
                <w:lang w:eastAsia="en-AU"/>
              </w:rPr>
            </w:pPr>
            <w:r w:rsidRPr="009B3704">
              <w:rPr>
                <w:lang w:eastAsia="en-AU"/>
              </w:rPr>
              <w:t>14</w:t>
            </w:r>
          </w:p>
        </w:tc>
        <w:tc>
          <w:tcPr>
            <w:tcW w:w="907" w:type="dxa"/>
            <w:tcBorders>
              <w:left w:val="nil"/>
              <w:right w:val="nil"/>
            </w:tcBorders>
            <w:shd w:val="clear" w:color="000000" w:fill="FFFFFF"/>
          </w:tcPr>
          <w:p w:rsidR="00B958B1" w:rsidRPr="009B3704" w:rsidRDefault="00B958B1" w:rsidP="009F3B54">
            <w:pPr>
              <w:pStyle w:val="OGTableofFigures"/>
              <w:rPr>
                <w:lang w:eastAsia="en-AU"/>
              </w:rPr>
            </w:pPr>
            <w:r w:rsidRPr="009B3704">
              <w:rPr>
                <w:lang w:eastAsia="en-AU"/>
              </w:rPr>
              <w:t>14</w:t>
            </w:r>
          </w:p>
        </w:tc>
        <w:tc>
          <w:tcPr>
            <w:tcW w:w="906" w:type="dxa"/>
            <w:tcBorders>
              <w:left w:val="nil"/>
              <w:right w:val="nil"/>
            </w:tcBorders>
            <w:shd w:val="clear" w:color="000000" w:fill="FFFFFF"/>
          </w:tcPr>
          <w:p w:rsidR="00B958B1" w:rsidRPr="009B3704" w:rsidRDefault="00B958B1" w:rsidP="009F3B54">
            <w:pPr>
              <w:pStyle w:val="OGTableofFigures"/>
              <w:rPr>
                <w:lang w:eastAsia="en-AU"/>
              </w:rPr>
            </w:pPr>
            <w:r w:rsidRPr="009B3704">
              <w:rPr>
                <w:lang w:eastAsia="en-AU"/>
              </w:rPr>
              <w:t>14</w:t>
            </w:r>
          </w:p>
        </w:tc>
      </w:tr>
      <w:tr w:rsidR="00B958B1" w:rsidRPr="009B3704" w:rsidTr="009F3B54">
        <w:trPr>
          <w:gridAfter w:val="1"/>
          <w:wAfter w:w="6" w:type="dxa"/>
          <w:cantSplit/>
        </w:trPr>
        <w:tc>
          <w:tcPr>
            <w:tcW w:w="7776" w:type="dxa"/>
            <w:gridSpan w:val="6"/>
            <w:tcBorders>
              <w:left w:val="nil"/>
              <w:right w:val="nil"/>
            </w:tcBorders>
            <w:shd w:val="clear" w:color="000000" w:fill="FFFFFF"/>
          </w:tcPr>
          <w:p w:rsidR="00B958B1" w:rsidRPr="009B3704" w:rsidRDefault="00B958B1" w:rsidP="009F3B54">
            <w:pPr>
              <w:pStyle w:val="OGNotes"/>
            </w:pPr>
            <w:r>
              <w:t>This performance measure is transferred directly from the 2012</w:t>
            </w:r>
            <w:r w:rsidR="009F0F49">
              <w:noBreakHyphen/>
            </w:r>
            <w:r>
              <w:t>13 ‘Freight, Logistics, Ports and Marine Development’ output and has been re</w:t>
            </w:r>
            <w:r w:rsidR="009F0F49">
              <w:noBreakHyphen/>
            </w:r>
            <w:r>
              <w:t>categorised from quantity to quality.</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Road</w:t>
            </w:r>
            <w:r w:rsidR="009F0F49">
              <w:rPr>
                <w:lang w:eastAsia="en-AU"/>
              </w:rPr>
              <w:noBreakHyphen/>
            </w:r>
            <w:r w:rsidRPr="009B3704">
              <w:rPr>
                <w:lang w:eastAsia="en-AU"/>
              </w:rPr>
              <w:t>based freight accessibility and reliability projects completed within specified scope and standards</w:t>
            </w:r>
          </w:p>
        </w:tc>
        <w:tc>
          <w:tcPr>
            <w:tcW w:w="908" w:type="dxa"/>
            <w:tcBorders>
              <w:top w:val="single" w:sz="6" w:space="0" w:color="auto"/>
              <w:left w:val="nil"/>
              <w:right w:val="nil"/>
            </w:tcBorders>
            <w:shd w:val="clear" w:color="000000" w:fill="FFFFFF"/>
            <w:hideMark/>
          </w:tcPr>
          <w:p w:rsidR="00B958B1" w:rsidRDefault="00B958B1" w:rsidP="009F3B54">
            <w:pPr>
              <w:pStyle w:val="OGUoM"/>
              <w:rPr>
                <w:lang w:eastAsia="en-AU"/>
              </w:rPr>
            </w:pPr>
          </w:p>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Default="00B958B1" w:rsidP="009F3B54">
            <w:pPr>
              <w:pStyle w:val="OGTableofFigures"/>
              <w:rPr>
                <w:lang w:eastAsia="en-AU"/>
              </w:rPr>
            </w:pPr>
          </w:p>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right w:val="nil"/>
            </w:tcBorders>
            <w:shd w:val="clear" w:color="000000" w:fill="FFFFFF"/>
            <w:hideMark/>
          </w:tcPr>
          <w:p w:rsidR="00B958B1" w:rsidRDefault="00B958B1" w:rsidP="009F3B54">
            <w:pPr>
              <w:pStyle w:val="OGTableofFigures"/>
              <w:rPr>
                <w:lang w:eastAsia="en-AU"/>
              </w:rPr>
            </w:pPr>
          </w:p>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right w:val="nil"/>
            </w:tcBorders>
            <w:shd w:val="clear" w:color="000000" w:fill="FFFFFF"/>
            <w:hideMark/>
          </w:tcPr>
          <w:p w:rsidR="00B958B1" w:rsidRDefault="00B958B1" w:rsidP="009F3B54">
            <w:pPr>
              <w:pStyle w:val="OGTableofFigures"/>
              <w:rPr>
                <w:lang w:eastAsia="en-AU"/>
              </w:rPr>
            </w:pPr>
          </w:p>
          <w:p w:rsidR="00B958B1" w:rsidRPr="009B3704" w:rsidRDefault="00B958B1" w:rsidP="009F3B54">
            <w:pPr>
              <w:pStyle w:val="OGTableofFigures"/>
              <w:rPr>
                <w:lang w:eastAsia="en-AU"/>
              </w:rPr>
            </w:pPr>
            <w:r w:rsidRPr="009B3704">
              <w:rPr>
                <w:lang w:eastAsia="en-AU"/>
              </w:rPr>
              <w:t>na</w:t>
            </w:r>
          </w:p>
        </w:tc>
        <w:tc>
          <w:tcPr>
            <w:tcW w:w="906" w:type="dxa"/>
            <w:tcBorders>
              <w:top w:val="single" w:sz="6" w:space="0" w:color="auto"/>
              <w:left w:val="nil"/>
              <w:right w:val="nil"/>
            </w:tcBorders>
            <w:shd w:val="clear" w:color="000000" w:fill="FFFFFF"/>
            <w:hideMark/>
          </w:tcPr>
          <w:p w:rsidR="00B958B1" w:rsidRDefault="00B958B1" w:rsidP="009F3B54">
            <w:pPr>
              <w:pStyle w:val="OGTableofFigures"/>
              <w:rPr>
                <w:lang w:eastAsia="en-AU"/>
              </w:rPr>
            </w:pPr>
          </w:p>
          <w:p w:rsidR="00B958B1" w:rsidRPr="009B3704" w:rsidRDefault="00B958B1" w:rsidP="009F3B54">
            <w:pPr>
              <w:pStyle w:val="OGTableofFigures"/>
              <w:rPr>
                <w:lang w:eastAsia="en-AU"/>
              </w:rPr>
            </w:pPr>
            <w:r w:rsidRPr="009B3704">
              <w:rPr>
                <w:lang w:eastAsia="en-AU"/>
              </w:rPr>
              <w:t>100</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transferred directly from the 2012</w:t>
            </w:r>
            <w:r w:rsidR="009F0F49">
              <w:noBreakHyphen/>
            </w:r>
            <w:r w:rsidRPr="009B3704">
              <w:t>13 'Freight, Logistics, Ports and Marine Development' output.</w:t>
            </w:r>
            <w:r>
              <w:t xml:space="preserve"> The 2012</w:t>
            </w:r>
            <w:r w:rsidR="009F0F49">
              <w:noBreakHyphen/>
            </w:r>
            <w:r>
              <w:t xml:space="preserve">13 Target was </w:t>
            </w:r>
            <w:r w:rsidRPr="00EE373E">
              <w:t>not app</w:t>
            </w:r>
            <w:r>
              <w:t>licable due to four projects not originally targeted for completion in 2012</w:t>
            </w:r>
            <w:r w:rsidR="009F0F49">
              <w:noBreakHyphen/>
            </w:r>
            <w:r>
              <w:t>13, now scheduled to be completed in 2012</w:t>
            </w:r>
            <w:r w:rsidR="009F0F49">
              <w:noBreakHyphen/>
            </w:r>
            <w:r>
              <w:t xml:space="preserve">13. </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Timeliness</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keepNext/>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keepNext/>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keepNext/>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keepNext/>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keepNext/>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keepNext/>
              <w:rPr>
                <w:lang w:eastAsia="en-AU"/>
              </w:rPr>
            </w:pPr>
            <w:r w:rsidRPr="009B3704">
              <w:rPr>
                <w:lang w:eastAsia="en-AU"/>
              </w:rPr>
              <w:t>Road</w:t>
            </w:r>
            <w:r w:rsidR="009F0F49">
              <w:rPr>
                <w:lang w:eastAsia="en-AU"/>
              </w:rPr>
              <w:noBreakHyphen/>
            </w:r>
            <w:r w:rsidRPr="009B3704">
              <w:rPr>
                <w:lang w:eastAsia="en-AU"/>
              </w:rPr>
              <w:t>based freight accessibility and reliability projects completed within agreed timeframes</w:t>
            </w:r>
          </w:p>
        </w:tc>
        <w:tc>
          <w:tcPr>
            <w:tcW w:w="908" w:type="dxa"/>
            <w:tcBorders>
              <w:top w:val="nil"/>
              <w:left w:val="nil"/>
              <w:right w:val="nil"/>
            </w:tcBorders>
            <w:shd w:val="clear" w:color="000000" w:fill="FFFFFF"/>
            <w:hideMark/>
          </w:tcPr>
          <w:p w:rsidR="00B958B1" w:rsidRPr="009B3704" w:rsidRDefault="00B958B1" w:rsidP="009F3B54">
            <w:pPr>
              <w:pStyle w:val="OGUoM"/>
              <w:keepNext/>
              <w:rPr>
                <w:lang w:eastAsia="en-AU"/>
              </w:rPr>
            </w:pPr>
            <w:r>
              <w:rPr>
                <w:lang w:eastAsia="en-AU"/>
              </w:rPr>
              <w:t>per cent</w:t>
            </w:r>
          </w:p>
        </w:tc>
        <w:tc>
          <w:tcPr>
            <w:tcW w:w="907" w:type="dxa"/>
            <w:tcBorders>
              <w:top w:val="nil"/>
              <w:left w:val="nil"/>
              <w:right w:val="nil"/>
            </w:tcBorders>
            <w:shd w:val="clear" w:color="auto" w:fill="D9D9D9"/>
            <w:hideMark/>
          </w:tcPr>
          <w:p w:rsidR="00B958B1" w:rsidRPr="009B3704" w:rsidRDefault="00B958B1" w:rsidP="009F3B54">
            <w:pPr>
              <w:pStyle w:val="OGTableofFigures"/>
              <w:keepNext/>
              <w:rPr>
                <w:lang w:eastAsia="en-AU"/>
              </w:rPr>
            </w:pPr>
            <w:r w:rsidRPr="009B3704">
              <w:rPr>
                <w:lang w:eastAsia="en-AU"/>
              </w:rPr>
              <w:t>100</w:t>
            </w:r>
          </w:p>
        </w:tc>
        <w:tc>
          <w:tcPr>
            <w:tcW w:w="994" w:type="dxa"/>
            <w:tcBorders>
              <w:top w:val="nil"/>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100</w:t>
            </w:r>
          </w:p>
        </w:tc>
        <w:tc>
          <w:tcPr>
            <w:tcW w:w="907" w:type="dxa"/>
            <w:tcBorders>
              <w:top w:val="nil"/>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na</w:t>
            </w:r>
          </w:p>
        </w:tc>
        <w:tc>
          <w:tcPr>
            <w:tcW w:w="906" w:type="dxa"/>
            <w:tcBorders>
              <w:top w:val="nil"/>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100</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transferred directly from the 2012</w:t>
            </w:r>
            <w:r w:rsidR="009F0F49">
              <w:noBreakHyphen/>
            </w:r>
            <w:r w:rsidRPr="009B3704">
              <w:t>13 'Freight, Logistics, Ports and Marine Development' output.</w:t>
            </w:r>
            <w:r>
              <w:t xml:space="preserve"> The 2012</w:t>
            </w:r>
            <w:r w:rsidR="009F0F49">
              <w:noBreakHyphen/>
            </w:r>
            <w:r>
              <w:t xml:space="preserve">13 Target was </w:t>
            </w:r>
            <w:r w:rsidRPr="00EE373E">
              <w:t>not app</w:t>
            </w:r>
            <w:r>
              <w:t>licable due to four projects not originally targeted for completion in 2012</w:t>
            </w:r>
            <w:r w:rsidR="009F0F49">
              <w:noBreakHyphen/>
            </w:r>
            <w:r>
              <w:t>13, now scheduled to be completed in 2012</w:t>
            </w:r>
            <w:r w:rsidR="009F0F49">
              <w:noBreakHyphen/>
            </w:r>
            <w:r>
              <w:t>13.</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Cost</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Total output cost</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Pr>
                <w:lang w:eastAsia="en-AU"/>
              </w:rPr>
              <w:t>$ million</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60</w:t>
            </w:r>
            <w:r>
              <w:rPr>
                <w:lang w:eastAsia="en-AU"/>
              </w:rPr>
              <w:t>.0</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72.3</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60.7</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85.6</w:t>
            </w:r>
          </w:p>
        </w:tc>
      </w:tr>
      <w:tr w:rsidR="00B958B1" w:rsidRPr="009B3704" w:rsidTr="009F3B54">
        <w:trPr>
          <w:gridAfter w:val="1"/>
          <w:wAfter w:w="6" w:type="dxa"/>
          <w:cantSplit/>
          <w:trHeight w:val="852"/>
        </w:trPr>
        <w:tc>
          <w:tcPr>
            <w:tcW w:w="7776" w:type="dxa"/>
            <w:gridSpan w:val="6"/>
            <w:tcBorders>
              <w:top w:val="nil"/>
              <w:left w:val="nil"/>
              <w:bottom w:val="single" w:sz="12" w:space="0" w:color="auto"/>
              <w:right w:val="nil"/>
            </w:tcBorders>
            <w:shd w:val="clear" w:color="auto" w:fill="auto"/>
            <w:vAlign w:val="bottom"/>
            <w:hideMark/>
          </w:tcPr>
          <w:p w:rsidR="00B958B1" w:rsidRPr="009B3704" w:rsidRDefault="00B958B1" w:rsidP="009F3B54">
            <w:pPr>
              <w:pStyle w:val="OGNotes"/>
            </w:pPr>
            <w:r w:rsidRPr="009B3704">
              <w:t>The</w:t>
            </w:r>
            <w:r>
              <w:t xml:space="preserve"> </w:t>
            </w:r>
            <w:r w:rsidRPr="009B3704">
              <w:t>2012</w:t>
            </w:r>
            <w:r w:rsidR="009F0F49">
              <w:noBreakHyphen/>
            </w:r>
            <w:r w:rsidRPr="009B3704">
              <w:t xml:space="preserve">13 Expected Outcome </w:t>
            </w:r>
            <w:r>
              <w:t>is higher than the 2012</w:t>
            </w:r>
            <w:r w:rsidR="009F0F49">
              <w:noBreakHyphen/>
            </w:r>
            <w:r>
              <w:t>13 Target primarily due to</w:t>
            </w:r>
            <w:r w:rsidRPr="009B3704">
              <w:t xml:space="preserve"> the rephasing of activities from 2011</w:t>
            </w:r>
            <w:r w:rsidR="009F0F49">
              <w:noBreakHyphen/>
            </w:r>
            <w:r w:rsidRPr="009B3704">
              <w:t>12 to 2012</w:t>
            </w:r>
            <w:r w:rsidR="009F0F49">
              <w:noBreakHyphen/>
            </w:r>
            <w:r w:rsidRPr="009B3704">
              <w:t>13 and projects approved post the 2012</w:t>
            </w:r>
            <w:r w:rsidR="009F0F49">
              <w:noBreakHyphen/>
            </w:r>
            <w:r>
              <w:t>13</w:t>
            </w:r>
            <w:r w:rsidRPr="009B3704">
              <w:t xml:space="preserve"> Budget.</w:t>
            </w:r>
          </w:p>
          <w:p w:rsidR="00B958B1" w:rsidRPr="009B3704" w:rsidRDefault="00B958B1" w:rsidP="009F3B54">
            <w:pPr>
              <w:pStyle w:val="OGNotes"/>
            </w:pPr>
            <w:r w:rsidRPr="00724D47">
              <w:t>The lower 2013</w:t>
            </w:r>
            <w:r w:rsidR="009F0F49">
              <w:noBreakHyphen/>
            </w:r>
            <w:r w:rsidRPr="00724D47">
              <w:t>14 Target reflects the completion of projects in 2012</w:t>
            </w:r>
            <w:r w:rsidR="009F0F49">
              <w:noBreakHyphen/>
            </w:r>
            <w:r w:rsidRPr="00724D47">
              <w:t>13 and the winding down of programs in 2013</w:t>
            </w:r>
            <w:r w:rsidR="009F0F49">
              <w:noBreakHyphen/>
            </w:r>
            <w:r w:rsidRPr="00724D47">
              <w:t>14.</w:t>
            </w:r>
          </w:p>
        </w:tc>
      </w:tr>
    </w:tbl>
    <w:p w:rsidR="00B958B1" w:rsidRDefault="00B958B1" w:rsidP="009F3B54">
      <w:pPr>
        <w:pStyle w:val="Source"/>
      </w:pPr>
      <w:r>
        <w:t xml:space="preserve">Source: Department of Transport, Planning and Local Infrastructure </w:t>
      </w:r>
    </w:p>
    <w:p w:rsidR="00B958B1" w:rsidRDefault="00B958B1" w:rsidP="009F3B54">
      <w:pPr>
        <w:pStyle w:val="Source"/>
      </w:pPr>
      <w:r>
        <w:fldChar w:fldCharType="begin"/>
      </w:r>
      <w:r>
        <w:instrText xml:space="preserve"> XE "</w:instrText>
      </w:r>
      <w:r w:rsidRPr="0004688D">
        <w:instrText>Department of Transport, Planning and Local Infrastructure:Transport System Development and Maintenance</w:instrText>
      </w:r>
      <w:r>
        <w:instrText xml:space="preserve">" \r "BP3DTPLITransSystDevelopandMain" </w:instrText>
      </w:r>
      <w:r>
        <w:fldChar w:fldCharType="end"/>
      </w:r>
      <w:r>
        <w:t xml:space="preserve"> </w:t>
      </w:r>
    </w:p>
    <w:bookmarkEnd w:id="140"/>
    <w:p w:rsidR="00B958B1" w:rsidRDefault="00B958B1" w:rsidP="009F3B54">
      <w:pPr>
        <w:pStyle w:val="OGHeading1"/>
        <w:rPr>
          <w:lang w:eastAsia="en-AU"/>
        </w:rPr>
      </w:pPr>
      <w:r>
        <w:rPr>
          <w:rFonts w:ascii="Garamond" w:hAnsi="Garamond"/>
          <w:sz w:val="22"/>
          <w:szCs w:val="20"/>
        </w:rPr>
        <w:br w:type="page"/>
      </w:r>
    </w:p>
    <w:p w:rsidR="00B958B1" w:rsidRPr="009B3704" w:rsidRDefault="00B958B1" w:rsidP="009F3B54">
      <w:pPr>
        <w:pStyle w:val="OGHeading1"/>
        <w:rPr>
          <w:lang w:eastAsia="en-AU"/>
        </w:rPr>
      </w:pPr>
      <w:bookmarkStart w:id="141" w:name="BP3DTPLIMetroandRegPlanandDvlp"/>
      <w:r w:rsidRPr="009B3704">
        <w:rPr>
          <w:lang w:eastAsia="en-AU"/>
        </w:rPr>
        <w:t>Metropolitan and Regional Planning and Development</w:t>
      </w:r>
    </w:p>
    <w:p w:rsidR="00B958B1" w:rsidRPr="009B3704" w:rsidRDefault="00B958B1" w:rsidP="009F3B54">
      <w:pPr>
        <w:pStyle w:val="OGText"/>
        <w:rPr>
          <w:lang w:eastAsia="en-AU"/>
        </w:rPr>
      </w:pPr>
      <w:r w:rsidRPr="009B3704">
        <w:rPr>
          <w:lang w:eastAsia="en-AU"/>
        </w:rPr>
        <w:t>This output group addresses future growth and change and creates new prosperity, more opportunity and a better quality of life in metropolitan, regional and rural Victoria by:</w:t>
      </w:r>
    </w:p>
    <w:p w:rsidR="00B958B1" w:rsidRPr="009B3704" w:rsidRDefault="00B958B1" w:rsidP="009F3B54">
      <w:pPr>
        <w:pStyle w:val="OGBullet"/>
        <w:rPr>
          <w:lang w:eastAsia="en-AU"/>
        </w:rPr>
      </w:pPr>
      <w:r>
        <w:rPr>
          <w:lang w:eastAsia="en-AU"/>
        </w:rPr>
        <w:t>i</w:t>
      </w:r>
      <w:r w:rsidRPr="009B3704">
        <w:rPr>
          <w:lang w:eastAsia="en-AU"/>
        </w:rPr>
        <w:t>ncreasing productivity to ensure Victorian businesses will be more competitive, resulting in higher incomes and living standards;</w:t>
      </w:r>
    </w:p>
    <w:p w:rsidR="00B958B1" w:rsidRPr="009B3704" w:rsidRDefault="00B958B1" w:rsidP="009F3B54">
      <w:pPr>
        <w:pStyle w:val="OGBullet"/>
        <w:rPr>
          <w:lang w:eastAsia="en-AU"/>
        </w:rPr>
      </w:pPr>
      <w:r>
        <w:rPr>
          <w:lang w:eastAsia="en-AU"/>
        </w:rPr>
        <w:t>f</w:t>
      </w:r>
      <w:r w:rsidRPr="009B3704">
        <w:rPr>
          <w:lang w:eastAsia="en-AU"/>
        </w:rPr>
        <w:t>acilitating land supply in growth areas whilst preserving open space and agricultural needs;</w:t>
      </w:r>
    </w:p>
    <w:p w:rsidR="00B958B1" w:rsidRPr="009B3704" w:rsidRDefault="00B958B1" w:rsidP="009F3B54">
      <w:pPr>
        <w:pStyle w:val="OGBullet"/>
        <w:rPr>
          <w:lang w:eastAsia="en-AU"/>
        </w:rPr>
      </w:pPr>
      <w:r>
        <w:rPr>
          <w:lang w:eastAsia="en-AU"/>
        </w:rPr>
        <w:t>p</w:t>
      </w:r>
      <w:r w:rsidRPr="009B3704">
        <w:rPr>
          <w:lang w:eastAsia="en-AU"/>
        </w:rPr>
        <w:t>roviding better infrastructure, facilities and services in regional, rural and metropolitan Victoria;</w:t>
      </w:r>
    </w:p>
    <w:p w:rsidR="00B958B1" w:rsidRPr="009B3704" w:rsidRDefault="00B958B1" w:rsidP="009F3B54">
      <w:pPr>
        <w:pStyle w:val="OGBullet"/>
        <w:rPr>
          <w:lang w:eastAsia="en-AU"/>
        </w:rPr>
      </w:pPr>
      <w:r>
        <w:rPr>
          <w:lang w:eastAsia="en-AU"/>
        </w:rPr>
        <w:t>d</w:t>
      </w:r>
      <w:r w:rsidRPr="009B3704">
        <w:rPr>
          <w:lang w:eastAsia="en-AU"/>
        </w:rPr>
        <w:t>elivering urban renewal with quality design and architecture;</w:t>
      </w:r>
    </w:p>
    <w:p w:rsidR="00B958B1" w:rsidRPr="009B3704" w:rsidRDefault="00B958B1" w:rsidP="009F3B54">
      <w:pPr>
        <w:pStyle w:val="OGBullet"/>
        <w:rPr>
          <w:lang w:eastAsia="en-AU"/>
        </w:rPr>
      </w:pPr>
      <w:r>
        <w:rPr>
          <w:lang w:eastAsia="en-AU"/>
        </w:rPr>
        <w:t>s</w:t>
      </w:r>
      <w:r w:rsidRPr="009B3704">
        <w:rPr>
          <w:lang w:eastAsia="en-AU"/>
        </w:rPr>
        <w:t>treamlining planning regulation and systems;</w:t>
      </w:r>
    </w:p>
    <w:p w:rsidR="00B958B1" w:rsidRPr="009B3704" w:rsidRDefault="00B958B1" w:rsidP="009F3B54">
      <w:pPr>
        <w:pStyle w:val="OGBullet"/>
        <w:rPr>
          <w:lang w:eastAsia="en-AU"/>
        </w:rPr>
      </w:pPr>
      <w:r>
        <w:rPr>
          <w:lang w:eastAsia="en-AU"/>
        </w:rPr>
        <w:t>a</w:t>
      </w:r>
      <w:r w:rsidRPr="009B3704">
        <w:rPr>
          <w:lang w:eastAsia="en-AU"/>
        </w:rPr>
        <w:t>dministering the planning system and statutory responsibilities of the Minister for Planning;</w:t>
      </w:r>
    </w:p>
    <w:p w:rsidR="00B958B1" w:rsidRPr="009B3704" w:rsidRDefault="00B958B1" w:rsidP="009F3B54">
      <w:pPr>
        <w:pStyle w:val="OGBullet"/>
        <w:rPr>
          <w:lang w:eastAsia="en-AU"/>
        </w:rPr>
      </w:pPr>
      <w:r>
        <w:rPr>
          <w:lang w:eastAsia="en-AU"/>
        </w:rPr>
        <w:t>p</w:t>
      </w:r>
      <w:r w:rsidRPr="009B3704">
        <w:rPr>
          <w:lang w:eastAsia="en-AU"/>
        </w:rPr>
        <w:t>rotecting and managing Victoria's historic, cultural and natural heritage;</w:t>
      </w:r>
    </w:p>
    <w:p w:rsidR="00B958B1" w:rsidRPr="009B3704" w:rsidRDefault="00B958B1" w:rsidP="009F3B54">
      <w:pPr>
        <w:pStyle w:val="OGBullet"/>
        <w:rPr>
          <w:lang w:eastAsia="en-AU"/>
        </w:rPr>
      </w:pPr>
      <w:r>
        <w:rPr>
          <w:lang w:eastAsia="en-AU"/>
        </w:rPr>
        <w:t>g</w:t>
      </w:r>
      <w:r w:rsidRPr="009B3704">
        <w:rPr>
          <w:lang w:eastAsia="en-AU"/>
        </w:rPr>
        <w:t>uiding the development and implementation of strategic land use and transport plans for metropolitan and regional Victoria; and</w:t>
      </w:r>
    </w:p>
    <w:p w:rsidR="00B958B1" w:rsidRDefault="00B958B1" w:rsidP="009F3B54">
      <w:pPr>
        <w:pStyle w:val="OGBullet"/>
        <w:rPr>
          <w:lang w:eastAsia="en-AU"/>
        </w:rPr>
      </w:pPr>
      <w:r>
        <w:rPr>
          <w:lang w:eastAsia="en-AU"/>
        </w:rPr>
        <w:t>w</w:t>
      </w:r>
      <w:r w:rsidRPr="009B3704">
        <w:rPr>
          <w:lang w:eastAsia="en-AU"/>
        </w:rPr>
        <w:t>orking across government and with key stakeholders to encourage and support the</w:t>
      </w:r>
      <w:r>
        <w:rPr>
          <w:lang w:eastAsia="en-AU"/>
        </w:rPr>
        <w:t xml:space="preserve"> design and procurement of high</w:t>
      </w:r>
      <w:r w:rsidR="009F0F49">
        <w:rPr>
          <w:lang w:eastAsia="en-AU"/>
        </w:rPr>
        <w:noBreakHyphen/>
      </w:r>
      <w:r w:rsidRPr="009B3704">
        <w:rPr>
          <w:lang w:eastAsia="en-AU"/>
        </w:rPr>
        <w:t>quality buildings, public infrastructure and public spaces.</w:t>
      </w:r>
    </w:p>
    <w:tbl>
      <w:tblPr>
        <w:tblW w:w="7782" w:type="dxa"/>
        <w:tblInd w:w="29" w:type="dxa"/>
        <w:tblLayout w:type="fixed"/>
        <w:tblCellMar>
          <w:left w:w="43" w:type="dxa"/>
          <w:right w:w="43" w:type="dxa"/>
        </w:tblCellMar>
        <w:tblLook w:val="04A0" w:firstRow="1" w:lastRow="0" w:firstColumn="1" w:lastColumn="0" w:noHBand="0" w:noVBand="1"/>
      </w:tblPr>
      <w:tblGrid>
        <w:gridCol w:w="3154"/>
        <w:gridCol w:w="908"/>
        <w:gridCol w:w="907"/>
        <w:gridCol w:w="994"/>
        <w:gridCol w:w="907"/>
        <w:gridCol w:w="906"/>
        <w:gridCol w:w="6"/>
      </w:tblGrid>
      <w:tr w:rsidR="00B958B1" w:rsidRPr="00773447" w:rsidTr="009F3B54">
        <w:trPr>
          <w:cantSplit/>
          <w:tblHeader/>
        </w:trPr>
        <w:tc>
          <w:tcPr>
            <w:tcW w:w="3154" w:type="dxa"/>
            <w:tcBorders>
              <w:top w:val="single" w:sz="4" w:space="0" w:color="auto"/>
              <w:left w:val="single" w:sz="4" w:space="0" w:color="auto"/>
              <w:bottom w:val="single" w:sz="4" w:space="0" w:color="auto"/>
              <w:right w:val="nil"/>
            </w:tcBorders>
            <w:shd w:val="clear" w:color="auto" w:fill="000000"/>
            <w:vAlign w:val="bottom"/>
          </w:tcPr>
          <w:p w:rsidR="00B958B1" w:rsidRPr="00773447" w:rsidRDefault="00B958B1" w:rsidP="009F3B54">
            <w:pPr>
              <w:spacing w:before="30" w:after="30"/>
              <w:rPr>
                <w:rFonts w:ascii="Calibri" w:hAnsi="Calibri"/>
                <w:b/>
                <w:i/>
                <w:sz w:val="20"/>
                <w:szCs w:val="18"/>
                <w:lang w:eastAsia="en-AU"/>
              </w:rPr>
            </w:pPr>
            <w:r w:rsidRPr="00773447">
              <w:rPr>
                <w:rFonts w:ascii="Calibri" w:hAnsi="Calibri"/>
                <w:b/>
                <w:sz w:val="20"/>
                <w:szCs w:val="18"/>
                <w:lang w:eastAsia="en-AU"/>
              </w:rPr>
              <w:t>Major Outputs/Deliverables</w:t>
            </w:r>
            <w:r w:rsidRPr="00773447">
              <w:rPr>
                <w:rFonts w:ascii="Calibri" w:hAnsi="Calibri"/>
                <w:b/>
                <w:sz w:val="20"/>
                <w:szCs w:val="18"/>
                <w:lang w:eastAsia="en-AU"/>
              </w:rPr>
              <w:br/>
            </w:r>
            <w:r w:rsidRPr="00773447">
              <w:rPr>
                <w:rFonts w:ascii="Calibri" w:hAnsi="Calibri"/>
                <w:i/>
                <w:sz w:val="20"/>
                <w:szCs w:val="18"/>
                <w:lang w:eastAsia="en-AU"/>
              </w:rPr>
              <w:t>Performance measures</w:t>
            </w:r>
          </w:p>
        </w:tc>
        <w:tc>
          <w:tcPr>
            <w:tcW w:w="908"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center"/>
              <w:rPr>
                <w:rFonts w:ascii="Calibri" w:hAnsi="Calibri"/>
                <w:b/>
                <w:sz w:val="20"/>
                <w:szCs w:val="18"/>
                <w:lang w:eastAsia="en-AU"/>
              </w:rPr>
            </w:pPr>
            <w:r w:rsidRPr="00773447">
              <w:rPr>
                <w:rFonts w:ascii="Calibri" w:hAnsi="Calibri"/>
                <w:b/>
                <w:sz w:val="20"/>
                <w:szCs w:val="18"/>
                <w:lang w:eastAsia="en-AU"/>
              </w:rPr>
              <w:t xml:space="preserve">Unit of </w:t>
            </w:r>
            <w:r w:rsidRPr="00773447">
              <w:rPr>
                <w:rFonts w:ascii="Calibri" w:hAnsi="Calibri"/>
                <w:b/>
                <w:sz w:val="20"/>
                <w:szCs w:val="18"/>
                <w:lang w:eastAsia="en-AU"/>
              </w:rPr>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2013</w:t>
            </w:r>
            <w:r w:rsidR="009F0F49">
              <w:rPr>
                <w:rFonts w:ascii="Calibri" w:hAnsi="Calibri"/>
                <w:b/>
                <w:sz w:val="20"/>
                <w:szCs w:val="18"/>
              </w:rPr>
              <w:noBreakHyphen/>
            </w:r>
            <w:r w:rsidRPr="00773447">
              <w:rPr>
                <w:rFonts w:ascii="Calibri" w:hAnsi="Calibri"/>
                <w:b/>
                <w:sz w:val="20"/>
                <w:szCs w:val="18"/>
              </w:rPr>
              <w:t>14 Target</w:t>
            </w:r>
          </w:p>
        </w:tc>
        <w:tc>
          <w:tcPr>
            <w:tcW w:w="994"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2012</w:t>
            </w:r>
            <w:r w:rsidR="009F0F49">
              <w:rPr>
                <w:rFonts w:ascii="Calibri" w:hAnsi="Calibri"/>
                <w:b/>
                <w:sz w:val="20"/>
                <w:szCs w:val="18"/>
              </w:rPr>
              <w:noBreakHyphen/>
            </w:r>
            <w:r w:rsidRPr="00773447">
              <w:rPr>
                <w:rFonts w:ascii="Calibri" w:hAnsi="Calibri"/>
                <w:b/>
                <w:sz w:val="20"/>
                <w:szCs w:val="18"/>
              </w:rPr>
              <w:t>13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2012</w:t>
            </w:r>
            <w:r w:rsidR="009F0F49">
              <w:rPr>
                <w:rFonts w:ascii="Calibri" w:hAnsi="Calibri"/>
                <w:b/>
                <w:sz w:val="20"/>
                <w:szCs w:val="18"/>
              </w:rPr>
              <w:noBreakHyphen/>
            </w:r>
            <w:r w:rsidRPr="00773447">
              <w:rPr>
                <w:rFonts w:ascii="Calibri" w:hAnsi="Calibri"/>
                <w:b/>
                <w:sz w:val="20"/>
                <w:szCs w:val="18"/>
              </w:rPr>
              <w:t>13 Target</w:t>
            </w:r>
          </w:p>
        </w:tc>
        <w:tc>
          <w:tcPr>
            <w:tcW w:w="912" w:type="dxa"/>
            <w:gridSpan w:val="2"/>
            <w:tcBorders>
              <w:top w:val="single" w:sz="4" w:space="0" w:color="auto"/>
              <w:left w:val="nil"/>
              <w:bottom w:val="single" w:sz="4" w:space="0" w:color="auto"/>
              <w:right w:val="single" w:sz="4" w:space="0" w:color="auto"/>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2011</w:t>
            </w:r>
            <w:r w:rsidR="009F0F49">
              <w:rPr>
                <w:rFonts w:ascii="Calibri" w:hAnsi="Calibri"/>
                <w:b/>
                <w:sz w:val="20"/>
                <w:szCs w:val="18"/>
              </w:rPr>
              <w:noBreakHyphen/>
            </w:r>
            <w:r w:rsidRPr="00773447">
              <w:rPr>
                <w:rFonts w:ascii="Calibri" w:hAnsi="Calibri"/>
                <w:b/>
                <w:sz w:val="20"/>
                <w:szCs w:val="18"/>
              </w:rPr>
              <w:t>12 Actual</w:t>
            </w:r>
          </w:p>
        </w:tc>
      </w:tr>
      <w:tr w:rsidR="00B958B1" w:rsidRPr="009B3704" w:rsidTr="009F3B54">
        <w:trPr>
          <w:gridAfter w:val="1"/>
          <w:wAfter w:w="6" w:type="dxa"/>
          <w:cantSplit/>
        </w:trPr>
        <w:tc>
          <w:tcPr>
            <w:tcW w:w="7776" w:type="dxa"/>
            <w:gridSpan w:val="6"/>
            <w:tcBorders>
              <w:top w:val="nil"/>
              <w:left w:val="nil"/>
              <w:right w:val="nil"/>
            </w:tcBorders>
            <w:shd w:val="clear" w:color="auto" w:fill="auto"/>
            <w:vAlign w:val="bottom"/>
            <w:hideMark/>
          </w:tcPr>
          <w:p w:rsidR="00B958B1" w:rsidRPr="009B3704" w:rsidRDefault="00B958B1" w:rsidP="009F3B54">
            <w:pPr>
              <w:pStyle w:val="OGHeading2"/>
              <w:rPr>
                <w:lang w:eastAsia="en-AU"/>
              </w:rPr>
            </w:pPr>
            <w:r w:rsidRPr="009B3704">
              <w:rPr>
                <w:lang w:eastAsia="en-AU"/>
              </w:rPr>
              <w:t>Planning</w:t>
            </w:r>
            <w:r>
              <w:rPr>
                <w:lang w:eastAsia="en-AU"/>
              </w:rPr>
              <w:t>,</w:t>
            </w:r>
            <w:r w:rsidRPr="009B3704">
              <w:rPr>
                <w:lang w:eastAsia="en-AU"/>
              </w:rPr>
              <w:t xml:space="preserve"> Building and Heritage</w:t>
            </w:r>
          </w:p>
        </w:tc>
      </w:tr>
      <w:tr w:rsidR="00B958B1" w:rsidRPr="009B3704" w:rsidTr="009F3B54">
        <w:trPr>
          <w:gridAfter w:val="1"/>
          <w:wAfter w:w="6" w:type="dxa"/>
          <w:cantSplit/>
          <w:trHeight w:val="2517"/>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Text"/>
              <w:rPr>
                <w:lang w:eastAsia="en-AU"/>
              </w:rPr>
            </w:pPr>
            <w:r w:rsidRPr="009B3704">
              <w:rPr>
                <w:lang w:eastAsia="en-AU"/>
              </w:rPr>
              <w:t>This output provides programs to address the future growth and change in metropolitan and regional Victoria through: strategic land use planning for metropolitan and regional Victoria; delivering urban development, design and renewal; facilitating land supply in growth areas; streamlining Victoria's regulatory framework for planning, building and heritage; supporting heritage conservation and management; administering the statutory responsibilities of the Minister for Planning; and providing a fair and transparent planning, building and heritage system.</w:t>
            </w:r>
          </w:p>
          <w:p w:rsidR="00B958B1" w:rsidRPr="009B3704" w:rsidRDefault="00B958B1" w:rsidP="009F3B54">
            <w:pPr>
              <w:pStyle w:val="OGText"/>
              <w:rPr>
                <w:lang w:eastAsia="en-AU"/>
              </w:rPr>
            </w:pPr>
            <w:r w:rsidRPr="009B3704">
              <w:rPr>
                <w:lang w:eastAsia="en-AU"/>
              </w:rPr>
              <w:t>This output contributes to the Department's objective of planning for the future growth and transformation of cities and regions.</w:t>
            </w:r>
          </w:p>
        </w:tc>
      </w:tr>
      <w:tr w:rsidR="00B958B1" w:rsidRPr="009B3704"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Quantity</w:t>
            </w:r>
          </w:p>
        </w:tc>
        <w:tc>
          <w:tcPr>
            <w:tcW w:w="908" w:type="dxa"/>
            <w:tcBorders>
              <w:top w:val="single" w:sz="6" w:space="0" w:color="auto"/>
              <w:left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Number of local governments undertaking work to support strategic planning for coastal settlements and areas</w:t>
            </w:r>
          </w:p>
        </w:tc>
        <w:tc>
          <w:tcPr>
            <w:tcW w:w="908" w:type="dxa"/>
            <w:tcBorders>
              <w:top w:val="nil"/>
              <w:left w:val="nil"/>
              <w:bottom w:val="single" w:sz="6" w:space="0" w:color="auto"/>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nil"/>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9</w:t>
            </w:r>
          </w:p>
        </w:tc>
        <w:tc>
          <w:tcPr>
            <w:tcW w:w="994"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w:t>
            </w:r>
          </w:p>
        </w:tc>
        <w:tc>
          <w:tcPr>
            <w:tcW w:w="907"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w:t>
            </w:r>
          </w:p>
        </w:tc>
        <w:tc>
          <w:tcPr>
            <w:tcW w:w="906"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keepNext/>
              <w:keepLines/>
              <w:pageBreakBefore/>
              <w:ind w:left="0"/>
              <w:rPr>
                <w:lang w:eastAsia="en-AU"/>
              </w:rPr>
            </w:pPr>
            <w:r w:rsidRPr="009B3704">
              <w:rPr>
                <w:lang w:eastAsia="en-AU"/>
              </w:rPr>
              <w:t>Places or objects assessed for the Victorian Heritage Register</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50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60</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 xml:space="preserve">The </w:t>
            </w:r>
            <w:r>
              <w:t xml:space="preserve">lower </w:t>
            </w:r>
            <w:r w:rsidRPr="009B3704">
              <w:t>2013</w:t>
            </w:r>
            <w:r w:rsidR="009F0F49">
              <w:noBreakHyphen/>
            </w:r>
            <w:r w:rsidRPr="009B3704">
              <w:t>14 Target reflects the downward trend of new nominations to the Victorian Heritage Register over the past five years as well as a reduction in the backlog of unassessed nominations.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Report annually on analysis of supply, consumption and adequacy of residential and industrial land</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proposed to consolidate the 2012</w:t>
            </w:r>
            <w:r w:rsidR="009F0F49">
              <w:noBreakHyphen/>
            </w:r>
            <w:r w:rsidRPr="009B3704">
              <w:t>13 performance measures 'Complete annual Urban Development Program analysis of supply, demand and adequacy of residential and industrial land' and 'Report annually on housing development activity across metropolitan Melbourne to inform planning strategies'.</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Research published: Demographic trends and residential land</w:t>
            </w:r>
          </w:p>
        </w:tc>
        <w:tc>
          <w:tcPr>
            <w:tcW w:w="908"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5</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5</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5</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5</w:t>
            </w:r>
          </w:p>
        </w:tc>
      </w:tr>
      <w:tr w:rsidR="00B958B1" w:rsidRPr="009B3704"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9B3704" w:rsidRDefault="00B958B1" w:rsidP="009F3B54">
            <w:pPr>
              <w:pStyle w:val="OGTabHead"/>
              <w:rPr>
                <w:lang w:eastAsia="en-AU"/>
              </w:rPr>
            </w:pPr>
            <w:r w:rsidRPr="009B3704">
              <w:rPr>
                <w:lang w:eastAsia="en-AU"/>
              </w:rPr>
              <w:t>Quality</w:t>
            </w:r>
          </w:p>
        </w:tc>
        <w:tc>
          <w:tcPr>
            <w:tcW w:w="908" w:type="dxa"/>
            <w:tcBorders>
              <w:top w:val="single" w:sz="6" w:space="0" w:color="auto"/>
              <w:left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Activities Area projects delivered against agreed project implementation documents, as set for the financial year</w:t>
            </w:r>
          </w:p>
        </w:tc>
        <w:tc>
          <w:tcPr>
            <w:tcW w:w="908" w:type="dxa"/>
            <w:tcBorders>
              <w:top w:val="nil"/>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80</w:t>
            </w:r>
          </w:p>
        </w:tc>
        <w:tc>
          <w:tcPr>
            <w:tcW w:w="994"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80</w:t>
            </w:r>
          </w:p>
        </w:tc>
        <w:tc>
          <w:tcPr>
            <w:tcW w:w="907"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80</w:t>
            </w:r>
          </w:p>
        </w:tc>
        <w:tc>
          <w:tcPr>
            <w:tcW w:w="906"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75.43</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Available funding committed to eligible projects: Community Works Program</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re</w:t>
            </w:r>
            <w:r>
              <w:t>names</w:t>
            </w:r>
            <w:r w:rsidRPr="009B3704">
              <w:t xml:space="preserve"> the 2012</w:t>
            </w:r>
            <w:r w:rsidR="009F0F49">
              <w:noBreakHyphen/>
            </w:r>
            <w:r w:rsidRPr="009B3704">
              <w:t>13 performance measure 'Funding committed to eligible projects: Community Works Program'. The 2013</w:t>
            </w:r>
            <w:r w:rsidR="009F0F49">
              <w:noBreakHyphen/>
            </w:r>
            <w:r w:rsidRPr="009B3704">
              <w:t xml:space="preserve">14 performance measure </w:t>
            </w:r>
            <w:r>
              <w:t xml:space="preserve">reports on </w:t>
            </w:r>
            <w:r w:rsidRPr="009B3704">
              <w:t xml:space="preserve">the same </w:t>
            </w:r>
            <w:r>
              <w:t xml:space="preserve">activity </w:t>
            </w:r>
            <w:r w:rsidRPr="009B3704">
              <w:t>as the 2012</w:t>
            </w:r>
            <w:r w:rsidR="009F0F49">
              <w:noBreakHyphen/>
            </w:r>
            <w:r w:rsidRPr="009B3704">
              <w:t>13 measure and has been reworded to clarify that funding will only be committed to eligible projects within the funding available from the Budget allocation.</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Community Support Grant projects completed meet agreed project objectives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95</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95</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95</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90</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transferred directly from the 2012</w:t>
            </w:r>
            <w:r w:rsidR="009F0F49">
              <w:noBreakHyphen/>
            </w:r>
            <w:r w:rsidRPr="009B3704">
              <w:t>13 'Community Development' output of the former Department of Planning and Community Development as a result of machinery</w:t>
            </w:r>
            <w:r>
              <w:t xml:space="preserve"> of </w:t>
            </w:r>
            <w:r w:rsidRPr="009B3704">
              <w:t>government changes.</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Critical stakeholders effectively engaged in the metropolitan planning strategy</w:t>
            </w:r>
          </w:p>
        </w:tc>
        <w:tc>
          <w:tcPr>
            <w:tcW w:w="908"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Environmental effects statements, referrals and assessments completed in accordance with Ministerial Guidelines</w:t>
            </w:r>
          </w:p>
        </w:tc>
        <w:tc>
          <w:tcPr>
            <w:tcW w:w="908"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keepNext/>
              <w:rPr>
                <w:lang w:eastAsia="en-AU"/>
              </w:rPr>
            </w:pPr>
            <w:r w:rsidRPr="009B3704">
              <w:rPr>
                <w:lang w:eastAsia="en-AU"/>
              </w:rPr>
              <w:t>Funded Community Support Grants projects contribute to planning and delivery of community infrastructure, or improving economic development and productivity</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Height w:val="1219"/>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proposed to replace the 2012</w:t>
            </w:r>
            <w:r w:rsidR="009F0F49">
              <w:noBreakHyphen/>
            </w:r>
            <w:r w:rsidRPr="009B3704">
              <w:t>13 performance measure 'Community support Grant projects funded through the Community Support and Recreational Sport Package'. It has been amended to more accurately reflect revised program logic with greater emphasis on strategic grants.</w:t>
            </w:r>
          </w:p>
          <w:p w:rsidR="00B958B1" w:rsidRPr="009B3704" w:rsidRDefault="00B958B1" w:rsidP="009F3B54">
            <w:pPr>
              <w:pStyle w:val="OGNotes"/>
            </w:pPr>
            <w:r w:rsidRPr="009B3704">
              <w:t>The 2012</w:t>
            </w:r>
            <w:r w:rsidR="009F0F49">
              <w:noBreakHyphen/>
            </w:r>
            <w:r w:rsidRPr="009B3704">
              <w:t>13 performance measure 'Community support Grant projects funded through the Community Support and Recreational Sport Package' is transferred directly from the 2012</w:t>
            </w:r>
            <w:r w:rsidR="009F0F49">
              <w:noBreakHyphen/>
            </w:r>
            <w:r w:rsidRPr="009B3704">
              <w:t>13 'Community Development' output of the former Department of Planning and Community Development as a result of machinery</w:t>
            </w:r>
            <w:r>
              <w:t xml:space="preserve"> of </w:t>
            </w:r>
            <w:r w:rsidRPr="009B3704">
              <w:t>government changes.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Heritage certificates issued accurately</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replaces the 2012</w:t>
            </w:r>
            <w:r w:rsidR="009F0F49">
              <w:noBreakHyphen/>
            </w:r>
            <w:r w:rsidRPr="009B3704">
              <w:t>13 performance measure 'Heritage certificates issued accurately and satisfactorily' to better describe the statutory process.</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Regional stakeholders effectively engaged in informing and shaping contents of Regional Growth Plans</w:t>
            </w:r>
          </w:p>
        </w:tc>
        <w:tc>
          <w:tcPr>
            <w:tcW w:w="908"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Timeliness</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Archaeological consents issued within 30 business days</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New performance measure for 2013</w:t>
            </w:r>
            <w:r w:rsidR="009F0F49">
              <w:noBreakHyphen/>
            </w:r>
            <w:r w:rsidRPr="009B3704">
              <w:t>14 to reflect a key part of Heritage Victoria's statutory operations.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Average number of days to process a planning scheme amendment</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days</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40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proposed to replace the 2012</w:t>
            </w:r>
            <w:r w:rsidR="009F0F49">
              <w:noBreakHyphen/>
            </w:r>
            <w:r w:rsidRPr="009B3704">
              <w:t>13 performance measure 'Planning scheme amendments completed in 30 days'. Ministerial Direction No.15 (Timelines for Planning Scheme Amendments) took</w:t>
            </w:r>
            <w:r>
              <w:t xml:space="preserve"> effect from 25 October 2012 and introduced </w:t>
            </w:r>
            <w:r w:rsidRPr="009B3704">
              <w:t>a 40 day timeline for the completion of planning scheme amendments.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Average number of days to process a planning scheme authorisation</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days</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proposed to replace the 2012</w:t>
            </w:r>
            <w:r w:rsidR="009F0F49">
              <w:noBreakHyphen/>
            </w:r>
            <w:r w:rsidRPr="009B3704">
              <w:t>13 performance measure 'Authorisations to prepare planning scheme amendments completed in 7 days' to</w:t>
            </w:r>
            <w:r>
              <w:t xml:space="preserve"> reflect a change to the </w:t>
            </w:r>
            <w:r w:rsidRPr="001006E3">
              <w:rPr>
                <w:i w:val="0"/>
              </w:rPr>
              <w:t xml:space="preserve">Planning and Environment Act 1987 </w:t>
            </w:r>
            <w:r>
              <w:t xml:space="preserve">introduced by the </w:t>
            </w:r>
            <w:r w:rsidRPr="001006E3">
              <w:rPr>
                <w:i w:val="0"/>
              </w:rPr>
              <w:t>Planning and Environment Amendment (General) Bill 2012</w:t>
            </w:r>
            <w:r w:rsidRPr="009B3704">
              <w:t>.</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Community Support Grant payments made within 21</w:t>
            </w:r>
            <w:r>
              <w:rPr>
                <w:lang w:eastAsia="en-AU"/>
              </w:rPr>
              <w:t> </w:t>
            </w:r>
            <w:r w:rsidRPr="009B3704">
              <w:rPr>
                <w:lang w:eastAsia="en-AU"/>
              </w:rPr>
              <w:t>days of completion of milestones in funding agreement</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95</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95</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95</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is transferred directly from the 2012</w:t>
            </w:r>
            <w:r w:rsidR="009F0F49">
              <w:noBreakHyphen/>
            </w:r>
            <w:r w:rsidRPr="009B3704">
              <w:t>13 'Community Development' output of the former Department of Planning and Community Development as a result of machinery</w:t>
            </w:r>
            <w:r>
              <w:t xml:space="preserve"> of </w:t>
            </w:r>
            <w:r w:rsidRPr="009B3704">
              <w:t>government changes.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keepNext/>
              <w:rPr>
                <w:lang w:eastAsia="en-AU"/>
              </w:rPr>
            </w:pPr>
            <w:r w:rsidRPr="009B3704">
              <w:rPr>
                <w:lang w:eastAsia="en-AU"/>
              </w:rPr>
              <w:t>Community Support Grants completed within agreed timeframes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&gt;90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95</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&gt;90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&gt;90</w:t>
            </w:r>
          </w:p>
        </w:tc>
      </w:tr>
      <w:tr w:rsidR="00B958B1" w:rsidRPr="009B3704" w:rsidTr="009F3B54">
        <w:trPr>
          <w:gridAfter w:val="1"/>
          <w:wAfter w:w="6" w:type="dxa"/>
          <w:cantSplit/>
          <w:trHeight w:val="1036"/>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renames the 2012</w:t>
            </w:r>
            <w:r w:rsidR="009F0F49">
              <w:noBreakHyphen/>
            </w:r>
            <w:r w:rsidRPr="009B3704">
              <w:t>13 performance measure 'Community Support Grants acquitted within the timeframe specified in the terms and conditions of the funding agreement'. The new measure reports on the same activity and has been reworded for clarity.</w:t>
            </w:r>
          </w:p>
          <w:p w:rsidR="00B958B1" w:rsidRPr="009B3704" w:rsidRDefault="00B958B1" w:rsidP="009F3B54">
            <w:pPr>
              <w:pStyle w:val="OGNotes"/>
            </w:pPr>
            <w:r w:rsidRPr="009B3704">
              <w:t>This performance measure is transferred directly from the 2012</w:t>
            </w:r>
            <w:r w:rsidR="009F0F49">
              <w:noBreakHyphen/>
            </w:r>
            <w:r w:rsidRPr="009B3704">
              <w:t>13 'Community Development' output of the former Department of Planning and Community Development as a result of machinery</w:t>
            </w:r>
            <w:r>
              <w:t xml:space="preserve"> of </w:t>
            </w:r>
            <w:r w:rsidRPr="009B3704">
              <w:t>government changes.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Heritage permits issued within statutory timeframes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New performance measure for 2013</w:t>
            </w:r>
            <w:r w:rsidR="009F0F49">
              <w:noBreakHyphen/>
            </w:r>
            <w:r w:rsidRPr="009B3704">
              <w:t xml:space="preserve">14 to capture the timeliness of permits being issued against the timeframes set out by the </w:t>
            </w:r>
            <w:r w:rsidRPr="00375C27">
              <w:rPr>
                <w:i w:val="0"/>
              </w:rPr>
              <w:t>Heritage Act</w:t>
            </w:r>
            <w:r>
              <w:rPr>
                <w:i w:val="0"/>
              </w:rPr>
              <w:t xml:space="preserve"> 1995</w:t>
            </w:r>
            <w:r w:rsidRPr="009B3704">
              <w:t>.</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Owners notified of accepted nominations to the Victorian Heritage Register within 14 days</w:t>
            </w:r>
          </w:p>
        </w:tc>
        <w:tc>
          <w:tcPr>
            <w:tcW w:w="908"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99.4</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State population projections reviewed and updated</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date</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Jun</w:t>
            </w:r>
            <w:r w:rsidR="009F0F49">
              <w:rPr>
                <w:lang w:eastAsia="en-AU"/>
              </w:rPr>
              <w:noBreakHyphen/>
            </w:r>
            <w:r>
              <w:rPr>
                <w:lang w:eastAsia="en-AU"/>
              </w:rPr>
              <w:t>20</w:t>
            </w:r>
            <w:r w:rsidRPr="009B3704">
              <w:rPr>
                <w:lang w:eastAsia="en-AU"/>
              </w:rPr>
              <w:t>14</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Jun</w:t>
            </w:r>
            <w:r w:rsidR="009F0F49">
              <w:rPr>
                <w:lang w:eastAsia="en-AU"/>
              </w:rPr>
              <w:noBreakHyphen/>
            </w:r>
            <w:r>
              <w:rPr>
                <w:lang w:eastAsia="en-AU"/>
              </w:rPr>
              <w:t>20</w:t>
            </w:r>
            <w:r w:rsidRPr="009B3704">
              <w:rPr>
                <w:lang w:eastAsia="en-AU"/>
              </w:rPr>
              <w:t>13</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Mar</w:t>
            </w:r>
            <w:r w:rsidR="009F0F49">
              <w:rPr>
                <w:lang w:eastAsia="en-AU"/>
              </w:rPr>
              <w:noBreakHyphen/>
            </w:r>
            <w:r>
              <w:rPr>
                <w:lang w:eastAsia="en-AU"/>
              </w:rPr>
              <w:t>20</w:t>
            </w:r>
            <w:r w:rsidRPr="009B3704">
              <w:rPr>
                <w:lang w:eastAsia="en-AU"/>
              </w:rPr>
              <w:t>13</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Apr</w:t>
            </w:r>
            <w:r w:rsidR="009F0F49">
              <w:rPr>
                <w:lang w:eastAsia="en-AU"/>
              </w:rPr>
              <w:noBreakHyphen/>
            </w:r>
            <w:r>
              <w:rPr>
                <w:lang w:eastAsia="en-AU"/>
              </w:rPr>
              <w:t>20</w:t>
            </w:r>
            <w:r w:rsidRPr="009B3704">
              <w:rPr>
                <w:lang w:eastAsia="en-AU"/>
              </w:rPr>
              <w:t>12</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9B3704">
              <w:t>The 2013</w:t>
            </w:r>
            <w:r w:rsidR="009F0F49">
              <w:noBreakHyphen/>
            </w:r>
            <w:r w:rsidRPr="009B3704">
              <w:t>14 Target is set later in the year than the 2012</w:t>
            </w:r>
            <w:r w:rsidR="009F0F49">
              <w:noBreakHyphen/>
            </w:r>
            <w:r w:rsidRPr="009B3704">
              <w:t>13 Target as it is dependent on the timing of the release of relevant data by the Australian Bureau of Statistics (ABS). </w:t>
            </w:r>
          </w:p>
          <w:p w:rsidR="00B958B1" w:rsidRPr="009B3704" w:rsidRDefault="00B958B1" w:rsidP="009F3B54">
            <w:pPr>
              <w:pStyle w:val="OGNotes"/>
            </w:pPr>
            <w:r w:rsidRPr="009B3704">
              <w:t>The 2012</w:t>
            </w:r>
            <w:r w:rsidR="009F0F49">
              <w:noBreakHyphen/>
            </w:r>
            <w:r w:rsidRPr="009B3704">
              <w:t>13 Expected Outcome is set later in the year than the 2012</w:t>
            </w:r>
            <w:r w:rsidR="009F0F49">
              <w:noBreakHyphen/>
            </w:r>
            <w:r w:rsidRPr="009B3704">
              <w:t>13 Target as it is dependent on the timing of the release of relevant data by the ABS.</w:t>
            </w:r>
          </w:p>
        </w:tc>
      </w:tr>
      <w:tr w:rsidR="00B958B1" w:rsidRPr="009B3704"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Cost</w:t>
            </w:r>
          </w:p>
        </w:tc>
        <w:tc>
          <w:tcPr>
            <w:tcW w:w="908" w:type="dxa"/>
            <w:tcBorders>
              <w:top w:val="single" w:sz="6" w:space="0" w:color="auto"/>
              <w:left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Total output cost</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Pr>
                <w:lang w:eastAsia="en-AU"/>
              </w:rPr>
              <w:t>$ million</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Pr>
                <w:lang w:eastAsia="en-AU"/>
              </w:rPr>
              <w:t>105.9</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Pr>
                <w:lang w:eastAsia="en-AU"/>
              </w:rPr>
              <w:t>87.5</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104.7</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128.8</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000000" w:fill="FFFFFF"/>
          </w:tcPr>
          <w:p w:rsidR="00B958B1" w:rsidRDefault="00B958B1" w:rsidP="009F3B54">
            <w:pPr>
              <w:pStyle w:val="OGNotes"/>
            </w:pPr>
            <w:r>
              <w:t>The 2012</w:t>
            </w:r>
            <w:r w:rsidR="009F0F49">
              <w:noBreakHyphen/>
            </w:r>
            <w:r>
              <w:t>13 Expected Outcome is lower than the 2012</w:t>
            </w:r>
            <w:r w:rsidR="009F0F49">
              <w:noBreakHyphen/>
            </w:r>
            <w:r>
              <w:t>13 Target due to the rephasing of some program expenditures.</w:t>
            </w:r>
          </w:p>
          <w:p w:rsidR="00B958B1" w:rsidRPr="009B3704" w:rsidRDefault="00B958B1" w:rsidP="009F3B54">
            <w:pPr>
              <w:pStyle w:val="OGNotes"/>
            </w:pPr>
            <w:r>
              <w:t>The 2013</w:t>
            </w:r>
            <w:r w:rsidR="009F0F49">
              <w:noBreakHyphen/>
            </w:r>
            <w:r>
              <w:t>14 Target is greater than the 2012</w:t>
            </w:r>
            <w:r w:rsidR="009F0F49">
              <w:noBreakHyphen/>
            </w:r>
            <w:r>
              <w:t>13 Target principally due to the inclusion of some items from the former Department of Community and Development, Community Development output.</w:t>
            </w:r>
          </w:p>
        </w:tc>
      </w:tr>
      <w:tr w:rsidR="00B958B1" w:rsidRPr="009B3704" w:rsidTr="009F3B54">
        <w:trPr>
          <w:gridAfter w:val="1"/>
          <w:wAfter w:w="6" w:type="dxa"/>
          <w:cantSplit/>
        </w:trPr>
        <w:tc>
          <w:tcPr>
            <w:tcW w:w="7776" w:type="dxa"/>
            <w:gridSpan w:val="6"/>
            <w:tcBorders>
              <w:top w:val="single" w:sz="6" w:space="0" w:color="auto"/>
              <w:left w:val="nil"/>
              <w:right w:val="nil"/>
            </w:tcBorders>
            <w:shd w:val="clear" w:color="auto" w:fill="auto"/>
            <w:vAlign w:val="bottom"/>
            <w:hideMark/>
          </w:tcPr>
          <w:p w:rsidR="00B958B1" w:rsidRPr="009B3704" w:rsidRDefault="00B958B1" w:rsidP="009F3B54">
            <w:pPr>
              <w:pStyle w:val="OGHeading2"/>
              <w:rPr>
                <w:lang w:eastAsia="en-AU"/>
              </w:rPr>
            </w:pPr>
            <w:r w:rsidRPr="009B3704">
              <w:rPr>
                <w:lang w:eastAsia="en-AU"/>
              </w:rPr>
              <w:t>Office of the Victorian Government Architect</w:t>
            </w:r>
          </w:p>
        </w:tc>
      </w:tr>
      <w:tr w:rsidR="00B958B1" w:rsidRPr="009B3704" w:rsidTr="009F3B54">
        <w:trPr>
          <w:gridAfter w:val="1"/>
          <w:wAfter w:w="6" w:type="dxa"/>
          <w:cantSplit/>
          <w:trHeight w:val="1297"/>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Text"/>
            </w:pPr>
            <w:r w:rsidRPr="009B3704">
              <w:t>This output provides strategic leadership and advice to government and key stakeholders on architecture and the built environment.</w:t>
            </w:r>
          </w:p>
          <w:p w:rsidR="00B958B1" w:rsidRPr="009B3704" w:rsidRDefault="00B958B1" w:rsidP="009F3B54">
            <w:pPr>
              <w:pStyle w:val="OGText"/>
            </w:pPr>
            <w:r w:rsidRPr="009B3704">
              <w:t>This output contributes to the Department's objective of leadership, advocacy and advice on the quality of architecture and the built environment.</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keepLines w:val="0"/>
              <w:rPr>
                <w:lang w:eastAsia="en-AU"/>
              </w:rPr>
            </w:pPr>
            <w:r w:rsidRPr="00627E76">
              <w:rPr>
                <w:iCs/>
                <w:lang w:eastAsia="en-AU"/>
              </w:rPr>
              <w:t>Quantity</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keepNext/>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keepNext/>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keepNext/>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keepNext/>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keepNext/>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keepNext/>
              <w:rPr>
                <w:lang w:eastAsia="en-AU"/>
              </w:rPr>
            </w:pPr>
            <w:r w:rsidRPr="009B3704">
              <w:rPr>
                <w:lang w:eastAsia="en-AU"/>
              </w:rPr>
              <w:t>Design reviews of public and private sector projects of strategic significance and impact on the public realm</w:t>
            </w:r>
          </w:p>
        </w:tc>
        <w:tc>
          <w:tcPr>
            <w:tcW w:w="908" w:type="dxa"/>
            <w:tcBorders>
              <w:top w:val="nil"/>
              <w:left w:val="nil"/>
              <w:right w:val="nil"/>
            </w:tcBorders>
            <w:shd w:val="clear" w:color="000000" w:fill="FFFFFF"/>
            <w:hideMark/>
          </w:tcPr>
          <w:p w:rsidR="00B958B1" w:rsidRPr="009B3704" w:rsidRDefault="00B958B1" w:rsidP="009F3B54">
            <w:pPr>
              <w:pStyle w:val="OGUoM"/>
              <w:keepNext/>
              <w:rPr>
                <w:lang w:eastAsia="en-AU"/>
              </w:rPr>
            </w:pPr>
            <w:r w:rsidRPr="009B3704">
              <w:rPr>
                <w:lang w:eastAsia="en-AU"/>
              </w:rPr>
              <w:t>number</w:t>
            </w:r>
          </w:p>
        </w:tc>
        <w:tc>
          <w:tcPr>
            <w:tcW w:w="907" w:type="dxa"/>
            <w:tcBorders>
              <w:top w:val="nil"/>
              <w:left w:val="nil"/>
              <w:right w:val="nil"/>
            </w:tcBorders>
            <w:shd w:val="clear" w:color="auto" w:fill="D9D9D9"/>
            <w:hideMark/>
          </w:tcPr>
          <w:p w:rsidR="00B958B1" w:rsidRPr="009B3704" w:rsidRDefault="00B958B1" w:rsidP="009F3B54">
            <w:pPr>
              <w:pStyle w:val="OGTableofFigures"/>
              <w:keepNext/>
              <w:rPr>
                <w:lang w:eastAsia="en-AU"/>
              </w:rPr>
            </w:pPr>
            <w:r w:rsidRPr="009B3704">
              <w:rPr>
                <w:lang w:eastAsia="en-AU"/>
              </w:rPr>
              <w:t>60</w:t>
            </w:r>
          </w:p>
        </w:tc>
        <w:tc>
          <w:tcPr>
            <w:tcW w:w="994" w:type="dxa"/>
            <w:tcBorders>
              <w:top w:val="nil"/>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55</w:t>
            </w:r>
          </w:p>
        </w:tc>
        <w:tc>
          <w:tcPr>
            <w:tcW w:w="907" w:type="dxa"/>
            <w:tcBorders>
              <w:top w:val="nil"/>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40</w:t>
            </w:r>
          </w:p>
        </w:tc>
        <w:tc>
          <w:tcPr>
            <w:tcW w:w="906" w:type="dxa"/>
            <w:tcBorders>
              <w:top w:val="nil"/>
              <w:left w:val="nil"/>
              <w:right w:val="nil"/>
            </w:tcBorders>
            <w:shd w:val="clear" w:color="000000" w:fill="FFFFFF"/>
            <w:hideMark/>
          </w:tcPr>
          <w:p w:rsidR="00B958B1" w:rsidRPr="009B3704" w:rsidRDefault="00B958B1" w:rsidP="009F3B54">
            <w:pPr>
              <w:pStyle w:val="OGTableofFigures"/>
              <w:keepNext/>
              <w:rPr>
                <w:lang w:eastAsia="en-AU"/>
              </w:rPr>
            </w:pPr>
            <w:r w:rsidRPr="009B3704">
              <w:rPr>
                <w:lang w:eastAsia="en-AU"/>
              </w:rPr>
              <w:t>nm</w:t>
            </w:r>
          </w:p>
        </w:tc>
      </w:tr>
      <w:tr w:rsidR="00B958B1" w:rsidRPr="009B3704" w:rsidTr="009F3B54">
        <w:trPr>
          <w:gridAfter w:val="1"/>
          <w:wAfter w:w="6" w:type="dxa"/>
          <w:cantSplit/>
          <w:trHeight w:val="1828"/>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renames the 2012</w:t>
            </w:r>
            <w:r w:rsidR="009F0F49">
              <w:noBreakHyphen/>
            </w:r>
            <w:r w:rsidRPr="009B3704">
              <w:t>13 measure 'Design reviews of government funded infrastructure projects of strategic and architectural significance'</w:t>
            </w:r>
            <w:r>
              <w:t xml:space="preserve">. </w:t>
            </w:r>
            <w:r w:rsidRPr="009B3704">
              <w:t>The new measure reports on the same activity as the previous measure however has been amended to also include reviews of private sector projects.</w:t>
            </w:r>
          </w:p>
          <w:p w:rsidR="00B958B1" w:rsidRPr="009B3704" w:rsidRDefault="00B958B1" w:rsidP="009F3B54">
            <w:pPr>
              <w:pStyle w:val="OGNotes"/>
            </w:pPr>
            <w:r w:rsidRPr="009B3704">
              <w:t>The higher 2013</w:t>
            </w:r>
            <w:r w:rsidR="009F0F49">
              <w:noBreakHyphen/>
            </w:r>
            <w:r w:rsidRPr="009B3704">
              <w:t>14 Target reflects the inclusion of private sector projects.</w:t>
            </w:r>
          </w:p>
          <w:p w:rsidR="00B958B1" w:rsidRPr="009B3704" w:rsidRDefault="00B958B1" w:rsidP="009F3B54">
            <w:pPr>
              <w:pStyle w:val="OGNotes"/>
            </w:pPr>
            <w:r w:rsidRPr="009B3704">
              <w:t>The 2012</w:t>
            </w:r>
            <w:r w:rsidR="009F0F49">
              <w:noBreakHyphen/>
            </w:r>
            <w:r w:rsidRPr="009B3704">
              <w:t>13 Expected Outcome is higher than the 2012</w:t>
            </w:r>
            <w:r w:rsidR="009F0F49">
              <w:noBreakHyphen/>
            </w:r>
            <w:r w:rsidRPr="009B3704">
              <w:t>13 Target as formalisation of design review processes (for example, establishment of the Victorian Design Review Panel and Design Quality Teams) for Government funded projects has increased the capacity of the O</w:t>
            </w:r>
            <w:r>
              <w:t xml:space="preserve">ffice of the </w:t>
            </w:r>
            <w:r w:rsidRPr="009B3704">
              <w:t>V</w:t>
            </w:r>
            <w:r>
              <w:t xml:space="preserve">ictorian </w:t>
            </w:r>
            <w:r w:rsidRPr="009B3704">
              <w:t>G</w:t>
            </w:r>
            <w:r>
              <w:t xml:space="preserve">overnment </w:t>
            </w:r>
            <w:r w:rsidRPr="009B3704">
              <w:t>A</w:t>
            </w:r>
            <w:r>
              <w:t>rchitect</w:t>
            </w:r>
            <w:r w:rsidRPr="009B3704">
              <w:t xml:space="preserve"> to undertake design review</w:t>
            </w:r>
            <w:r>
              <w:t>s</w:t>
            </w:r>
            <w:r w:rsidRPr="009B3704">
              <w:t>. Initial feedback has been positive with high uptake across Government departments and agencies. The 2012</w:t>
            </w:r>
            <w:r w:rsidR="009F0F49">
              <w:noBreakHyphen/>
            </w:r>
            <w:r w:rsidRPr="009B3704">
              <w:t xml:space="preserve">13 Expected Outcome includes projects that </w:t>
            </w:r>
            <w:r>
              <w:t xml:space="preserve">return for further </w:t>
            </w:r>
            <w:r w:rsidRPr="009B3704">
              <w:t>design review.</w:t>
            </w:r>
          </w:p>
        </w:tc>
      </w:tr>
      <w:tr w:rsidR="00B958B1" w:rsidRPr="009B3704"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9B3704" w:rsidRDefault="00B958B1" w:rsidP="009F3B54">
            <w:pPr>
              <w:pStyle w:val="OGTabHead"/>
              <w:rPr>
                <w:lang w:eastAsia="en-AU"/>
              </w:rPr>
            </w:pPr>
            <w:r w:rsidRPr="00CD657F">
              <w:rPr>
                <w:iCs/>
                <w:lang w:eastAsia="en-AU"/>
              </w:rPr>
              <w:t>Quality</w:t>
            </w:r>
          </w:p>
        </w:tc>
        <w:tc>
          <w:tcPr>
            <w:tcW w:w="908" w:type="dxa"/>
            <w:tcBorders>
              <w:top w:val="single" w:sz="6" w:space="0" w:color="auto"/>
              <w:left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Stakeholder satisfaction with design and procurement advice and advocacy</w:t>
            </w:r>
          </w:p>
        </w:tc>
        <w:tc>
          <w:tcPr>
            <w:tcW w:w="908" w:type="dxa"/>
            <w:tcBorders>
              <w:top w:val="nil"/>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80</w:t>
            </w:r>
          </w:p>
        </w:tc>
        <w:tc>
          <w:tcPr>
            <w:tcW w:w="994"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80</w:t>
            </w:r>
          </w:p>
        </w:tc>
        <w:tc>
          <w:tcPr>
            <w:tcW w:w="907"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80</w:t>
            </w:r>
          </w:p>
        </w:tc>
        <w:tc>
          <w:tcPr>
            <w:tcW w:w="906"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Timeliness</w:t>
            </w:r>
          </w:p>
        </w:tc>
        <w:tc>
          <w:tcPr>
            <w:tcW w:w="908" w:type="dxa"/>
            <w:tcBorders>
              <w:top w:val="single" w:sz="6" w:space="0" w:color="auto"/>
              <w:left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Formal letters of advice issued within the required timeframe following the Victorian Design Review Panel session</w:t>
            </w:r>
          </w:p>
        </w:tc>
        <w:tc>
          <w:tcPr>
            <w:tcW w:w="908" w:type="dxa"/>
            <w:tcBorders>
              <w:top w:val="nil"/>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75</w:t>
            </w:r>
          </w:p>
        </w:tc>
        <w:tc>
          <w:tcPr>
            <w:tcW w:w="994"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75</w:t>
            </w:r>
          </w:p>
        </w:tc>
        <w:tc>
          <w:tcPr>
            <w:tcW w:w="907"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75</w:t>
            </w:r>
          </w:p>
        </w:tc>
        <w:tc>
          <w:tcPr>
            <w:tcW w:w="906"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Cost</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Total output cost</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Pr>
                <w:lang w:eastAsia="en-AU"/>
              </w:rPr>
              <w:t>$ million</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Pr>
                <w:lang w:eastAsia="en-AU"/>
              </w:rPr>
              <w:t>1.8</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2.1</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1.8</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Pr>
                <w:lang w:eastAsia="en-AU"/>
              </w:rPr>
              <w:t>na</w:t>
            </w:r>
          </w:p>
        </w:tc>
      </w:tr>
      <w:tr w:rsidR="00B958B1" w:rsidRPr="009B3704" w:rsidTr="009F3B54">
        <w:trPr>
          <w:gridAfter w:val="1"/>
          <w:wAfter w:w="6" w:type="dxa"/>
          <w:cantSplit/>
        </w:trPr>
        <w:tc>
          <w:tcPr>
            <w:tcW w:w="7776" w:type="dxa"/>
            <w:gridSpan w:val="6"/>
            <w:tcBorders>
              <w:top w:val="nil"/>
              <w:left w:val="nil"/>
              <w:bottom w:val="single" w:sz="12" w:space="0" w:color="auto"/>
              <w:right w:val="nil"/>
            </w:tcBorders>
            <w:shd w:val="clear" w:color="auto" w:fill="auto"/>
            <w:vAlign w:val="bottom"/>
            <w:hideMark/>
          </w:tcPr>
          <w:p w:rsidR="00B958B1" w:rsidRPr="009B3704" w:rsidRDefault="00B958B1" w:rsidP="009F3B54">
            <w:pPr>
              <w:pStyle w:val="OGNotes"/>
            </w:pPr>
            <w:r w:rsidRPr="009B3704">
              <w:t xml:space="preserve">The </w:t>
            </w:r>
            <w:r>
              <w:t>2012</w:t>
            </w:r>
            <w:r w:rsidR="009F0F49">
              <w:noBreakHyphen/>
            </w:r>
            <w:r>
              <w:t>13 Expected Outcome is higher than the 2012</w:t>
            </w:r>
            <w:r w:rsidR="009F0F49">
              <w:noBreakHyphen/>
            </w:r>
            <w:r>
              <w:t>13 Target as the 2012</w:t>
            </w:r>
            <w:r w:rsidR="009F0F49">
              <w:noBreakHyphen/>
            </w:r>
            <w:r>
              <w:t>13 Target did not include carryovers from 2011</w:t>
            </w:r>
            <w:r w:rsidR="009F0F49">
              <w:noBreakHyphen/>
            </w:r>
            <w:r>
              <w:t>12.</w:t>
            </w:r>
          </w:p>
        </w:tc>
      </w:tr>
    </w:tbl>
    <w:p w:rsidR="00B958B1" w:rsidRDefault="00B958B1" w:rsidP="009F3B54">
      <w:pPr>
        <w:pStyle w:val="Source"/>
      </w:pPr>
      <w:r>
        <w:t xml:space="preserve">Source: Department of Transport, Planning and Local Infrastructure </w:t>
      </w:r>
    </w:p>
    <w:p w:rsidR="00B958B1" w:rsidRDefault="00B958B1" w:rsidP="009F3B54">
      <w:pPr>
        <w:pStyle w:val="Source"/>
      </w:pPr>
      <w:r>
        <w:fldChar w:fldCharType="begin"/>
      </w:r>
      <w:r>
        <w:instrText xml:space="preserve"> XE "</w:instrText>
      </w:r>
      <w:r w:rsidRPr="00E75599">
        <w:instrText>Department of Transport, Planning and Local Infrastructure:Metropolitan and Regional Planning and Development</w:instrText>
      </w:r>
      <w:r>
        <w:instrText xml:space="preserve">" \r "BP3DTPLIMetroandRegPlanandDvlp" </w:instrText>
      </w:r>
      <w:r>
        <w:fldChar w:fldCharType="end"/>
      </w:r>
      <w:r>
        <w:t xml:space="preserve"> </w:t>
      </w:r>
    </w:p>
    <w:bookmarkEnd w:id="141"/>
    <w:p w:rsidR="00B958B1" w:rsidRDefault="00B958B1" w:rsidP="009F3B54">
      <w:pPr>
        <w:pStyle w:val="Source"/>
        <w:rPr>
          <w:lang w:eastAsia="en-AU"/>
        </w:rPr>
      </w:pPr>
    </w:p>
    <w:p w:rsidR="00B958B1" w:rsidRDefault="00B958B1">
      <w:pPr>
        <w:spacing w:after="0"/>
        <w:rPr>
          <w:rFonts w:ascii="Calibri" w:hAnsi="Calibri"/>
          <w:b/>
          <w:sz w:val="32"/>
          <w:szCs w:val="28"/>
          <w:lang w:eastAsia="en-AU"/>
        </w:rPr>
      </w:pPr>
      <w:r>
        <w:rPr>
          <w:lang w:eastAsia="en-AU"/>
        </w:rPr>
        <w:br w:type="page"/>
      </w:r>
    </w:p>
    <w:p w:rsidR="00B958B1" w:rsidRPr="009B3704" w:rsidRDefault="00B958B1" w:rsidP="009F3B54">
      <w:pPr>
        <w:pStyle w:val="OGHeading1"/>
        <w:rPr>
          <w:lang w:eastAsia="en-AU"/>
        </w:rPr>
      </w:pPr>
      <w:bookmarkStart w:id="142" w:name="BP3DTPLIInvestinlocalInfra"/>
      <w:r w:rsidRPr="009B3704">
        <w:rPr>
          <w:lang w:eastAsia="en-AU"/>
        </w:rPr>
        <w:t>Investing in Local Infrastructure</w:t>
      </w:r>
    </w:p>
    <w:p w:rsidR="00B958B1" w:rsidRPr="009B3704" w:rsidRDefault="00B958B1" w:rsidP="009F3B54">
      <w:pPr>
        <w:pStyle w:val="OGText"/>
        <w:rPr>
          <w:lang w:eastAsia="en-AU"/>
        </w:rPr>
      </w:pPr>
      <w:r w:rsidRPr="009B3704">
        <w:rPr>
          <w:lang w:eastAsia="en-AU"/>
        </w:rPr>
        <w:t>This output group:</w:t>
      </w:r>
    </w:p>
    <w:p w:rsidR="00B958B1" w:rsidRPr="009B3704" w:rsidRDefault="00B958B1" w:rsidP="009F3B54">
      <w:pPr>
        <w:pStyle w:val="OGBullet"/>
        <w:rPr>
          <w:lang w:eastAsia="en-AU"/>
        </w:rPr>
      </w:pPr>
      <w:r>
        <w:rPr>
          <w:lang w:eastAsia="en-AU"/>
        </w:rPr>
        <w:t>i</w:t>
      </w:r>
      <w:r w:rsidRPr="009B3704">
        <w:rPr>
          <w:lang w:eastAsia="en-AU"/>
        </w:rPr>
        <w:t>nvests in and provides support to communities, builds community infrastructure and strengthens governance and leadership;</w:t>
      </w:r>
    </w:p>
    <w:p w:rsidR="00B958B1" w:rsidRPr="009B3704" w:rsidRDefault="00B958B1" w:rsidP="009F3B54">
      <w:pPr>
        <w:pStyle w:val="OGBullet"/>
        <w:rPr>
          <w:lang w:eastAsia="en-AU"/>
        </w:rPr>
      </w:pPr>
      <w:r>
        <w:rPr>
          <w:lang w:eastAsia="en-AU"/>
        </w:rPr>
        <w:t>e</w:t>
      </w:r>
      <w:r w:rsidRPr="009B3704">
        <w:rPr>
          <w:lang w:eastAsia="en-AU"/>
        </w:rPr>
        <w:t>ncourages and supports good practice and continuous improvement in local governance; and</w:t>
      </w:r>
    </w:p>
    <w:p w:rsidR="00B958B1" w:rsidRDefault="00B958B1" w:rsidP="009F3B54">
      <w:pPr>
        <w:pStyle w:val="OGBullet"/>
        <w:rPr>
          <w:lang w:eastAsia="en-AU"/>
        </w:rPr>
      </w:pPr>
      <w:r>
        <w:rPr>
          <w:lang w:eastAsia="en-AU"/>
        </w:rPr>
        <w:t>p</w:t>
      </w:r>
      <w:r w:rsidRPr="009B3704">
        <w:rPr>
          <w:lang w:eastAsia="en-AU"/>
        </w:rPr>
        <w:t>rovides funding and coordination to develop and extend a range of sport and recreation opportunities in Victoria including participation, elite athlete development and hosting major sporting events.</w:t>
      </w:r>
    </w:p>
    <w:tbl>
      <w:tblPr>
        <w:tblW w:w="7782" w:type="dxa"/>
        <w:tblInd w:w="29" w:type="dxa"/>
        <w:tblLayout w:type="fixed"/>
        <w:tblCellMar>
          <w:left w:w="43" w:type="dxa"/>
          <w:right w:w="43" w:type="dxa"/>
        </w:tblCellMar>
        <w:tblLook w:val="04A0" w:firstRow="1" w:lastRow="0" w:firstColumn="1" w:lastColumn="0" w:noHBand="0" w:noVBand="1"/>
      </w:tblPr>
      <w:tblGrid>
        <w:gridCol w:w="3154"/>
        <w:gridCol w:w="908"/>
        <w:gridCol w:w="907"/>
        <w:gridCol w:w="994"/>
        <w:gridCol w:w="907"/>
        <w:gridCol w:w="906"/>
        <w:gridCol w:w="6"/>
      </w:tblGrid>
      <w:tr w:rsidR="00B958B1" w:rsidRPr="00773447" w:rsidTr="009F3B54">
        <w:trPr>
          <w:cantSplit/>
          <w:tblHeader/>
        </w:trPr>
        <w:tc>
          <w:tcPr>
            <w:tcW w:w="3154" w:type="dxa"/>
            <w:tcBorders>
              <w:top w:val="single" w:sz="4" w:space="0" w:color="auto"/>
              <w:left w:val="single" w:sz="4" w:space="0" w:color="auto"/>
              <w:bottom w:val="single" w:sz="4" w:space="0" w:color="auto"/>
              <w:right w:val="nil"/>
            </w:tcBorders>
            <w:shd w:val="clear" w:color="auto" w:fill="000000"/>
            <w:vAlign w:val="bottom"/>
          </w:tcPr>
          <w:p w:rsidR="00B958B1" w:rsidRPr="00773447" w:rsidRDefault="00B958B1" w:rsidP="009F3B54">
            <w:pPr>
              <w:spacing w:before="30" w:after="30"/>
              <w:rPr>
                <w:rFonts w:ascii="Calibri" w:hAnsi="Calibri"/>
                <w:b/>
                <w:i/>
                <w:sz w:val="20"/>
                <w:szCs w:val="18"/>
                <w:lang w:eastAsia="en-AU"/>
              </w:rPr>
            </w:pPr>
            <w:r w:rsidRPr="00773447">
              <w:rPr>
                <w:rFonts w:ascii="Calibri" w:hAnsi="Calibri"/>
                <w:b/>
                <w:sz w:val="20"/>
                <w:szCs w:val="18"/>
                <w:lang w:eastAsia="en-AU"/>
              </w:rPr>
              <w:t>Major Outputs/Deliverables</w:t>
            </w:r>
            <w:r w:rsidRPr="00773447">
              <w:rPr>
                <w:rFonts w:ascii="Calibri" w:hAnsi="Calibri"/>
                <w:b/>
                <w:sz w:val="20"/>
                <w:szCs w:val="18"/>
                <w:lang w:eastAsia="en-AU"/>
              </w:rPr>
              <w:br/>
            </w:r>
            <w:r w:rsidRPr="00773447">
              <w:rPr>
                <w:rFonts w:ascii="Calibri" w:hAnsi="Calibri"/>
                <w:i/>
                <w:sz w:val="20"/>
                <w:szCs w:val="18"/>
                <w:lang w:eastAsia="en-AU"/>
              </w:rPr>
              <w:t>Performance measures</w:t>
            </w:r>
          </w:p>
        </w:tc>
        <w:tc>
          <w:tcPr>
            <w:tcW w:w="908"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center"/>
              <w:rPr>
                <w:rFonts w:ascii="Calibri" w:hAnsi="Calibri"/>
                <w:b/>
                <w:sz w:val="20"/>
                <w:szCs w:val="18"/>
                <w:lang w:eastAsia="en-AU"/>
              </w:rPr>
            </w:pPr>
            <w:r w:rsidRPr="00773447">
              <w:rPr>
                <w:rFonts w:ascii="Calibri" w:hAnsi="Calibri"/>
                <w:b/>
                <w:sz w:val="20"/>
                <w:szCs w:val="18"/>
                <w:lang w:eastAsia="en-AU"/>
              </w:rPr>
              <w:t xml:space="preserve">Unit of </w:t>
            </w:r>
            <w:r w:rsidRPr="00773447">
              <w:rPr>
                <w:rFonts w:ascii="Calibri" w:hAnsi="Calibri"/>
                <w:b/>
                <w:sz w:val="20"/>
                <w:szCs w:val="18"/>
                <w:lang w:eastAsia="en-AU"/>
              </w:rPr>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2013</w:t>
            </w:r>
            <w:r w:rsidR="009F0F49">
              <w:rPr>
                <w:rFonts w:ascii="Calibri" w:hAnsi="Calibri"/>
                <w:b/>
                <w:sz w:val="20"/>
                <w:szCs w:val="18"/>
              </w:rPr>
              <w:noBreakHyphen/>
            </w:r>
            <w:r w:rsidRPr="00773447">
              <w:rPr>
                <w:rFonts w:ascii="Calibri" w:hAnsi="Calibri"/>
                <w:b/>
                <w:sz w:val="20"/>
                <w:szCs w:val="18"/>
              </w:rPr>
              <w:t>14 Target</w:t>
            </w:r>
          </w:p>
        </w:tc>
        <w:tc>
          <w:tcPr>
            <w:tcW w:w="994"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2012</w:t>
            </w:r>
            <w:r w:rsidR="009F0F49">
              <w:rPr>
                <w:rFonts w:ascii="Calibri" w:hAnsi="Calibri"/>
                <w:b/>
                <w:sz w:val="20"/>
                <w:szCs w:val="18"/>
              </w:rPr>
              <w:noBreakHyphen/>
            </w:r>
            <w:r w:rsidRPr="00773447">
              <w:rPr>
                <w:rFonts w:ascii="Calibri" w:hAnsi="Calibri"/>
                <w:b/>
                <w:sz w:val="20"/>
                <w:szCs w:val="18"/>
              </w:rPr>
              <w:t>13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2012</w:t>
            </w:r>
            <w:r w:rsidR="009F0F49">
              <w:rPr>
                <w:rFonts w:ascii="Calibri" w:hAnsi="Calibri"/>
                <w:b/>
                <w:sz w:val="20"/>
                <w:szCs w:val="18"/>
              </w:rPr>
              <w:noBreakHyphen/>
            </w:r>
            <w:r w:rsidRPr="00773447">
              <w:rPr>
                <w:rFonts w:ascii="Calibri" w:hAnsi="Calibri"/>
                <w:b/>
                <w:sz w:val="20"/>
                <w:szCs w:val="18"/>
              </w:rPr>
              <w:t>13 Target</w:t>
            </w:r>
          </w:p>
        </w:tc>
        <w:tc>
          <w:tcPr>
            <w:tcW w:w="912" w:type="dxa"/>
            <w:gridSpan w:val="2"/>
            <w:tcBorders>
              <w:top w:val="single" w:sz="4" w:space="0" w:color="auto"/>
              <w:left w:val="nil"/>
              <w:bottom w:val="single" w:sz="4" w:space="0" w:color="auto"/>
              <w:right w:val="single" w:sz="4" w:space="0" w:color="auto"/>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2011</w:t>
            </w:r>
            <w:r w:rsidR="009F0F49">
              <w:rPr>
                <w:rFonts w:ascii="Calibri" w:hAnsi="Calibri"/>
                <w:b/>
                <w:sz w:val="20"/>
                <w:szCs w:val="18"/>
              </w:rPr>
              <w:noBreakHyphen/>
            </w:r>
            <w:r w:rsidRPr="00773447">
              <w:rPr>
                <w:rFonts w:ascii="Calibri" w:hAnsi="Calibri"/>
                <w:b/>
                <w:sz w:val="20"/>
                <w:szCs w:val="18"/>
              </w:rPr>
              <w:t>12 Actual</w:t>
            </w:r>
          </w:p>
        </w:tc>
      </w:tr>
      <w:tr w:rsidR="00B958B1" w:rsidRPr="009B3704" w:rsidTr="009F3B54">
        <w:trPr>
          <w:gridAfter w:val="1"/>
          <w:wAfter w:w="6" w:type="dxa"/>
          <w:cantSplit/>
        </w:trPr>
        <w:tc>
          <w:tcPr>
            <w:tcW w:w="7776" w:type="dxa"/>
            <w:gridSpan w:val="6"/>
            <w:tcBorders>
              <w:top w:val="nil"/>
              <w:left w:val="nil"/>
              <w:right w:val="nil"/>
            </w:tcBorders>
            <w:shd w:val="clear" w:color="auto" w:fill="auto"/>
            <w:vAlign w:val="bottom"/>
            <w:hideMark/>
          </w:tcPr>
          <w:p w:rsidR="00B958B1" w:rsidRPr="009B3704" w:rsidRDefault="00B958B1" w:rsidP="009F3B54">
            <w:pPr>
              <w:pStyle w:val="OGHeading2"/>
              <w:rPr>
                <w:lang w:eastAsia="en-AU"/>
              </w:rPr>
            </w:pPr>
            <w:r w:rsidRPr="009B3704">
              <w:rPr>
                <w:lang w:eastAsia="en-AU"/>
              </w:rPr>
              <w:t>Local Government</w:t>
            </w:r>
          </w:p>
        </w:tc>
      </w:tr>
      <w:tr w:rsidR="00B958B1" w:rsidRPr="009B3704" w:rsidTr="009F3B54">
        <w:trPr>
          <w:gridAfter w:val="1"/>
          <w:wAfter w:w="6" w:type="dxa"/>
          <w:cantSplit/>
          <w:trHeight w:val="2173"/>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Text"/>
            </w:pPr>
            <w:r w:rsidRPr="009B3704">
              <w:t>This output delivers activities in partnership with the local government sector to develop sustainable service delivery and asset management policies and practices that maximises community value and accountability; encourage and support best practice and continuous development in local governance; administer programs that assist local government to deliver public library services and respond to and recover from natural disasters; and provide support to the Victoria Grants Commission.</w:t>
            </w:r>
          </w:p>
          <w:p w:rsidR="00B958B1" w:rsidRPr="009B3704" w:rsidRDefault="00B958B1" w:rsidP="009F3B54">
            <w:pPr>
              <w:pStyle w:val="OGText"/>
            </w:pPr>
            <w:r w:rsidRPr="009B3704">
              <w:t xml:space="preserve">This output contributes to the Department's objective of delivering effective reform and governance of </w:t>
            </w:r>
            <w:r>
              <w:t>local government</w:t>
            </w:r>
            <w:r w:rsidRPr="009B3704">
              <w:t>.</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Quantity</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Meetings held with Ministerial Mayors Advisory Panel</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4</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4</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3</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4</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 xml:space="preserve">The </w:t>
            </w:r>
            <w:r>
              <w:t xml:space="preserve">higher </w:t>
            </w:r>
            <w:r w:rsidRPr="009B3704">
              <w:t>201</w:t>
            </w:r>
            <w:r>
              <w:t>2</w:t>
            </w:r>
            <w:r w:rsidR="009F0F49">
              <w:noBreakHyphen/>
            </w:r>
            <w:r w:rsidRPr="009B3704">
              <w:t>1</w:t>
            </w:r>
            <w:r>
              <w:t>3</w:t>
            </w:r>
            <w:r w:rsidRPr="009B3704">
              <w:t xml:space="preserve"> </w:t>
            </w:r>
            <w:r>
              <w:t>Expected Outcome</w:t>
            </w:r>
            <w:r w:rsidRPr="009B3704">
              <w:t xml:space="preserve"> </w:t>
            </w:r>
            <w:r>
              <w:t xml:space="preserve">and </w:t>
            </w:r>
            <w:r w:rsidRPr="009B3704">
              <w:t>2013</w:t>
            </w:r>
            <w:r w:rsidR="009F0F49">
              <w:noBreakHyphen/>
            </w:r>
            <w:r>
              <w:t>14 Target reflect a change in the meeting schedule.</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Percentage of grant payments made against completion of milestone deliverables under funding agreement: environmental sustainability plans</w:t>
            </w:r>
          </w:p>
        </w:tc>
        <w:tc>
          <w:tcPr>
            <w:tcW w:w="908"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Percentage of grant payments made against completion of milestone deliverables under funding agreement: public library services</w:t>
            </w:r>
          </w:p>
        </w:tc>
        <w:tc>
          <w:tcPr>
            <w:tcW w:w="908"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Percentage of identified councils who have met milestone criteria funded as part of the Vulnerable People in Emergencies Program</w:t>
            </w:r>
          </w:p>
        </w:tc>
        <w:tc>
          <w:tcPr>
            <w:tcW w:w="908"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9B3704" w:rsidRDefault="00B958B1" w:rsidP="009F3B54">
            <w:pPr>
              <w:pStyle w:val="OGTabHead"/>
              <w:rPr>
                <w:lang w:eastAsia="en-AU"/>
              </w:rPr>
            </w:pPr>
            <w:r w:rsidRPr="009B3704">
              <w:rPr>
                <w:lang w:eastAsia="en-AU"/>
              </w:rPr>
              <w:t>Quality</w:t>
            </w:r>
          </w:p>
        </w:tc>
        <w:tc>
          <w:tcPr>
            <w:tcW w:w="908" w:type="dxa"/>
            <w:tcBorders>
              <w:top w:val="single" w:sz="6" w:space="0" w:color="auto"/>
              <w:left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LGV's legislative and regulatory change considers stakeholder feedback and consultation with local government</w:t>
            </w:r>
          </w:p>
        </w:tc>
        <w:tc>
          <w:tcPr>
            <w:tcW w:w="908" w:type="dxa"/>
            <w:tcBorders>
              <w:top w:val="nil"/>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LGV's policy and program development considers stakeholder feedback and consultation with local government</w:t>
            </w:r>
          </w:p>
        </w:tc>
        <w:tc>
          <w:tcPr>
            <w:tcW w:w="908"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r>
      <w:tr w:rsidR="00B958B1" w:rsidRPr="009B3704"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Timeliness</w:t>
            </w:r>
          </w:p>
        </w:tc>
        <w:tc>
          <w:tcPr>
            <w:tcW w:w="908" w:type="dxa"/>
            <w:tcBorders>
              <w:top w:val="single" w:sz="6" w:space="0" w:color="auto"/>
              <w:left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Victoria Grants Commission allocations determined and consultation program completed within agreed timeframes</w:t>
            </w:r>
          </w:p>
        </w:tc>
        <w:tc>
          <w:tcPr>
            <w:tcW w:w="908" w:type="dxa"/>
            <w:tcBorders>
              <w:top w:val="nil"/>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7"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c>
          <w:tcPr>
            <w:tcW w:w="906"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100</w:t>
            </w:r>
          </w:p>
        </w:tc>
      </w:tr>
      <w:tr w:rsidR="00B958B1" w:rsidRPr="009B3704"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Cost</w:t>
            </w:r>
          </w:p>
        </w:tc>
        <w:tc>
          <w:tcPr>
            <w:tcW w:w="908" w:type="dxa"/>
            <w:tcBorders>
              <w:top w:val="single" w:sz="6" w:space="0" w:color="auto"/>
              <w:left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3B1FB1" w:rsidRDefault="00B958B1" w:rsidP="009F3B54">
            <w:pPr>
              <w:pStyle w:val="OGTabText"/>
              <w:rPr>
                <w:lang w:eastAsia="en-AU"/>
              </w:rPr>
            </w:pPr>
            <w:r w:rsidRPr="009B3704">
              <w:rPr>
                <w:lang w:eastAsia="en-AU"/>
              </w:rPr>
              <w:t>Total output cost</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Pr>
                <w:lang w:eastAsia="en-AU"/>
              </w:rPr>
              <w:t>$ million</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Pr>
                <w:lang w:eastAsia="en-AU"/>
              </w:rPr>
              <w:t>57.2</w:t>
            </w:r>
          </w:p>
        </w:tc>
        <w:tc>
          <w:tcPr>
            <w:tcW w:w="994" w:type="dxa"/>
            <w:tcBorders>
              <w:top w:val="nil"/>
              <w:left w:val="nil"/>
              <w:right w:val="nil"/>
            </w:tcBorders>
            <w:shd w:val="clear" w:color="000000" w:fill="FFFFFF"/>
            <w:hideMark/>
          </w:tcPr>
          <w:p w:rsidR="00B958B1" w:rsidRPr="009B3704" w:rsidRDefault="00B958B1" w:rsidP="009F3B54">
            <w:pPr>
              <w:pStyle w:val="OGTableofFigures"/>
              <w:rPr>
                <w:lang w:eastAsia="en-AU"/>
              </w:rPr>
            </w:pPr>
            <w:r>
              <w:rPr>
                <w:lang w:eastAsia="en-AU"/>
              </w:rPr>
              <w:t>60.4</w:t>
            </w:r>
          </w:p>
        </w:tc>
        <w:tc>
          <w:tcPr>
            <w:tcW w:w="907"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57.7</w:t>
            </w:r>
          </w:p>
        </w:tc>
        <w:tc>
          <w:tcPr>
            <w:tcW w:w="906" w:type="dxa"/>
            <w:tcBorders>
              <w:top w:val="nil"/>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52.7</w:t>
            </w:r>
          </w:p>
        </w:tc>
      </w:tr>
      <w:tr w:rsidR="00B958B1" w:rsidRPr="009B3704" w:rsidTr="009F3B54">
        <w:trPr>
          <w:gridAfter w:val="1"/>
          <w:wAfter w:w="6" w:type="dxa"/>
          <w:cantSplit/>
        </w:trPr>
        <w:tc>
          <w:tcPr>
            <w:tcW w:w="7776" w:type="dxa"/>
            <w:gridSpan w:val="6"/>
            <w:tcBorders>
              <w:left w:val="nil"/>
              <w:bottom w:val="single" w:sz="6" w:space="0" w:color="auto"/>
              <w:right w:val="nil"/>
            </w:tcBorders>
            <w:shd w:val="clear" w:color="000000" w:fill="FFFFFF"/>
          </w:tcPr>
          <w:p w:rsidR="00B958B1" w:rsidRPr="009B3704" w:rsidRDefault="00B958B1" w:rsidP="009F3B54">
            <w:pPr>
              <w:pStyle w:val="OGNotes"/>
            </w:pPr>
            <w:r>
              <w:t>The increase in the 2013</w:t>
            </w:r>
            <w:r w:rsidR="009F0F49">
              <w:noBreakHyphen/>
            </w:r>
            <w:r>
              <w:t>14 Target when compared to the 2012</w:t>
            </w:r>
            <w:r w:rsidR="009F0F49">
              <w:noBreakHyphen/>
            </w:r>
            <w:r>
              <w:t>13 Target, is principally due to the indexation of public library funding.</w:t>
            </w:r>
          </w:p>
        </w:tc>
      </w:tr>
      <w:tr w:rsidR="00B958B1" w:rsidRPr="009B3704" w:rsidTr="009F3B54">
        <w:trPr>
          <w:gridAfter w:val="1"/>
          <w:wAfter w:w="6" w:type="dxa"/>
          <w:cantSplit/>
        </w:trPr>
        <w:tc>
          <w:tcPr>
            <w:tcW w:w="7776" w:type="dxa"/>
            <w:gridSpan w:val="6"/>
            <w:tcBorders>
              <w:top w:val="nil"/>
              <w:left w:val="nil"/>
              <w:right w:val="nil"/>
            </w:tcBorders>
            <w:shd w:val="clear" w:color="auto" w:fill="auto"/>
            <w:vAlign w:val="bottom"/>
            <w:hideMark/>
          </w:tcPr>
          <w:p w:rsidR="00B958B1" w:rsidRPr="009B3704" w:rsidRDefault="00B958B1" w:rsidP="009F3B54">
            <w:pPr>
              <w:pStyle w:val="OGHeading2"/>
              <w:rPr>
                <w:lang w:eastAsia="en-AU"/>
              </w:rPr>
            </w:pPr>
            <w:r w:rsidRPr="009B3704">
              <w:rPr>
                <w:lang w:eastAsia="en-AU"/>
              </w:rPr>
              <w:t>Sport and Recreation</w:t>
            </w:r>
          </w:p>
        </w:tc>
      </w:tr>
      <w:tr w:rsidR="00B958B1" w:rsidRPr="009B3704" w:rsidTr="009F3B54">
        <w:trPr>
          <w:gridAfter w:val="1"/>
          <w:wAfter w:w="6" w:type="dxa"/>
          <w:cantSplit/>
          <w:trHeight w:val="2029"/>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Text"/>
              <w:rPr>
                <w:lang w:eastAsia="en-AU"/>
              </w:rPr>
            </w:pPr>
            <w:r w:rsidRPr="009B3704">
              <w:rPr>
                <w:lang w:eastAsia="en-AU"/>
              </w:rPr>
              <w:t>This output provides strategic leadership to the Victorian sport and recreation industry through innovation, sector development and funding support</w:t>
            </w:r>
            <w:r>
              <w:rPr>
                <w:lang w:eastAsia="en-AU"/>
              </w:rPr>
              <w:t xml:space="preserve">. </w:t>
            </w:r>
            <w:r w:rsidRPr="009B3704">
              <w:rPr>
                <w:lang w:eastAsia="en-AU"/>
              </w:rPr>
              <w:t>It enhances participation in sport and active recreation and assists Victoria's elite athletes achieve their potential</w:t>
            </w:r>
            <w:r>
              <w:rPr>
                <w:lang w:eastAsia="en-AU"/>
              </w:rPr>
              <w:t xml:space="preserve">. </w:t>
            </w:r>
            <w:r w:rsidRPr="009B3704">
              <w:rPr>
                <w:lang w:eastAsia="en-AU"/>
              </w:rPr>
              <w:t>This output improves community sport and recreation facilities across the State and guides the development and management of international</w:t>
            </w:r>
            <w:r w:rsidR="009F0F49">
              <w:rPr>
                <w:lang w:eastAsia="en-AU"/>
              </w:rPr>
              <w:noBreakHyphen/>
            </w:r>
            <w:r w:rsidRPr="009B3704">
              <w:rPr>
                <w:lang w:eastAsia="en-AU"/>
              </w:rPr>
              <w:t>level sport facilities and sporting events.</w:t>
            </w:r>
          </w:p>
          <w:p w:rsidR="00B958B1" w:rsidRPr="009B3704" w:rsidRDefault="00B958B1" w:rsidP="009F3B54">
            <w:pPr>
              <w:pStyle w:val="OGText"/>
              <w:rPr>
                <w:lang w:eastAsia="en-AU"/>
              </w:rPr>
            </w:pPr>
            <w:r w:rsidRPr="009B3704">
              <w:rPr>
                <w:lang w:eastAsia="en-AU"/>
              </w:rPr>
              <w:t>This output contributes to the Department's objective of facilitating strategic investment in State and local infrastructure.</w:t>
            </w:r>
          </w:p>
        </w:tc>
      </w:tr>
      <w:tr w:rsidR="00B958B1" w:rsidRPr="009B3704"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Quantity</w:t>
            </w:r>
          </w:p>
        </w:tc>
        <w:tc>
          <w:tcPr>
            <w:tcW w:w="908" w:type="dxa"/>
            <w:tcBorders>
              <w:top w:val="single" w:sz="6" w:space="0" w:color="auto"/>
              <w:left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Combat sports licences, registrations and permits issued</w:t>
            </w:r>
          </w:p>
        </w:tc>
        <w:tc>
          <w:tcPr>
            <w:tcW w:w="908" w:type="dxa"/>
            <w:tcBorders>
              <w:top w:val="nil"/>
              <w:left w:val="nil"/>
              <w:bottom w:val="single" w:sz="6" w:space="0" w:color="auto"/>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nil"/>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&gt;600</w:t>
            </w:r>
          </w:p>
        </w:tc>
        <w:tc>
          <w:tcPr>
            <w:tcW w:w="994"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610</w:t>
            </w:r>
          </w:p>
        </w:tc>
        <w:tc>
          <w:tcPr>
            <w:tcW w:w="907"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&gt;600</w:t>
            </w:r>
          </w:p>
        </w:tc>
        <w:tc>
          <w:tcPr>
            <w:tcW w:w="906"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691</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Community Facility Grants: number approved</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&gt;130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180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&gt;160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221</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 xml:space="preserve">The </w:t>
            </w:r>
            <w:r>
              <w:t xml:space="preserve">lower </w:t>
            </w:r>
            <w:r w:rsidRPr="009B3704">
              <w:t>2013</w:t>
            </w:r>
            <w:r w:rsidR="009F0F49">
              <w:noBreakHyphen/>
            </w:r>
            <w:r w:rsidRPr="009B3704">
              <w:t xml:space="preserve">14 Target </w:t>
            </w:r>
            <w:r>
              <w:t xml:space="preserve">reflects </w:t>
            </w:r>
            <w:r w:rsidRPr="009B3704">
              <w:t>approvals under the Small Scale Facilities Program, which is based on election commitments, being largely completed by the end of 2012</w:t>
            </w:r>
            <w:r w:rsidR="009F0F49">
              <w:noBreakHyphen/>
            </w:r>
            <w:r w:rsidRPr="009B3704">
              <w:t>13.</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Events facilitated: Sport and recreation</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&gt;50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63</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&gt;40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82</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2012</w:t>
            </w:r>
            <w:r w:rsidR="009F0F49">
              <w:noBreakHyphen/>
            </w:r>
            <w:r w:rsidRPr="009B3704">
              <w:t xml:space="preserve">13 Expected Outcome is </w:t>
            </w:r>
            <w:r>
              <w:t>higher than the 2012</w:t>
            </w:r>
            <w:r w:rsidR="009F0F49">
              <w:noBreakHyphen/>
            </w:r>
            <w:r>
              <w:t xml:space="preserve">13 Target due </w:t>
            </w:r>
            <w:r w:rsidRPr="009B3704">
              <w:t>the large number of events funded under the Significant Sporting Events Program</w:t>
            </w:r>
            <w:r>
              <w:t xml:space="preserve">. </w:t>
            </w:r>
            <w:r w:rsidRPr="009B3704">
              <w:t>The 2013</w:t>
            </w:r>
            <w:r w:rsidR="009F0F49">
              <w:noBreakHyphen/>
            </w:r>
            <w:r w:rsidRPr="009B3704">
              <w:t>14 Target is higher than the 2012</w:t>
            </w:r>
            <w:r w:rsidR="009F0F49">
              <w:noBreakHyphen/>
            </w:r>
            <w:r w:rsidRPr="009B3704">
              <w:t>13 Target as the strong uptake of this program is expected to continue.</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keepNext/>
              <w:pageBreakBefore/>
              <w:rPr>
                <w:lang w:eastAsia="en-AU"/>
              </w:rPr>
            </w:pPr>
            <w:r w:rsidRPr="009B3704">
              <w:rPr>
                <w:lang w:eastAsia="en-AU"/>
              </w:rPr>
              <w:t>Number of projects in progress that relate to the planning and development of state level facilities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&gt;3</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8</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&gt;6</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11</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 xml:space="preserve">The </w:t>
            </w:r>
            <w:r>
              <w:t xml:space="preserve">lower </w:t>
            </w:r>
            <w:r w:rsidRPr="009B3704">
              <w:t>2013</w:t>
            </w:r>
            <w:r w:rsidR="009F0F49">
              <w:noBreakHyphen/>
            </w:r>
            <w:r w:rsidRPr="009B3704">
              <w:t xml:space="preserve">14 Target </w:t>
            </w:r>
            <w:r>
              <w:t xml:space="preserve">reflects </w:t>
            </w:r>
            <w:r w:rsidRPr="009B3704">
              <w:t>the successful completion of a number of projects in 2012</w:t>
            </w:r>
            <w:r w:rsidR="009F0F49">
              <w:noBreakHyphen/>
            </w:r>
            <w:r w:rsidRPr="009B3704">
              <w:t>13 including the State Athletics Centre and MCG Southern Stand projects.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Number of sports with athletes on Victorian Institute of Sport (VIS) scholarships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&gt;20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nm</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new measure replaces the 2012</w:t>
            </w:r>
            <w:r w:rsidR="009F0F49">
              <w:noBreakHyphen/>
            </w:r>
            <w:r w:rsidRPr="009B3704">
              <w:t>13 performance measure 'Athletes on Victorian Institute of Sport (VIS) scholarships'</w:t>
            </w:r>
            <w:r>
              <w:t xml:space="preserve">. </w:t>
            </w:r>
            <w:r w:rsidRPr="009B3704">
              <w:t>The new measure relates to the same activity as the 2012</w:t>
            </w:r>
            <w:r w:rsidR="009F0F49">
              <w:noBreakHyphen/>
            </w:r>
            <w:r w:rsidRPr="009B3704">
              <w:t>13 measure but will provide a better indication of the breadth and extent of services provided by the VIS across a range of sports.</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Sport and recreation organisations undertaking programs or activities to enhance participation</w:t>
            </w:r>
          </w:p>
        </w:tc>
        <w:tc>
          <w:tcPr>
            <w:tcW w:w="908"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&gt;85</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&gt;85</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91</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Sporting uniform grants: number approved</w:t>
            </w:r>
          </w:p>
        </w:tc>
        <w:tc>
          <w:tcPr>
            <w:tcW w:w="908"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sidRPr="009B3704">
              <w:rPr>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&gt;600</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600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&gt;600</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723</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Victorian Institute of Sport scholarship holders on national teams/squads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&gt;55</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71</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&gt;55</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76</w:t>
            </w:r>
          </w:p>
        </w:tc>
      </w:tr>
      <w:tr w:rsidR="00B958B1" w:rsidRPr="009B3704" w:rsidTr="009F3B54">
        <w:trPr>
          <w:gridAfter w:val="1"/>
          <w:wAfter w:w="6" w:type="dxa"/>
          <w:cantSplit/>
        </w:trPr>
        <w:tc>
          <w:tcPr>
            <w:tcW w:w="7776" w:type="dxa"/>
            <w:gridSpan w:val="6"/>
            <w:tcBorders>
              <w:left w:val="nil"/>
              <w:bottom w:val="single" w:sz="6" w:space="0" w:color="auto"/>
              <w:right w:val="nil"/>
            </w:tcBorders>
            <w:shd w:val="clear" w:color="000000" w:fill="FFFFFF"/>
          </w:tcPr>
          <w:p w:rsidR="00B958B1" w:rsidRPr="009B3704" w:rsidRDefault="00B958B1" w:rsidP="009F3B54">
            <w:pPr>
              <w:pStyle w:val="OGNotes"/>
            </w:pPr>
            <w:r>
              <w:t>The 2012</w:t>
            </w:r>
            <w:r w:rsidR="009F0F49">
              <w:noBreakHyphen/>
            </w:r>
            <w:r>
              <w:t>13 Expected Outcome reflects the strong performance of Victorian Institute of Sport in developing athletes that are selected in national teams and squads.</w:t>
            </w:r>
          </w:p>
        </w:tc>
      </w:tr>
      <w:tr w:rsidR="00B958B1" w:rsidRPr="009B3704"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9B3704" w:rsidRDefault="00B958B1" w:rsidP="009F3B54">
            <w:pPr>
              <w:pStyle w:val="OGTabHead"/>
              <w:rPr>
                <w:lang w:eastAsia="en-AU"/>
              </w:rPr>
            </w:pPr>
            <w:r w:rsidRPr="009B3704">
              <w:rPr>
                <w:lang w:eastAsia="en-AU"/>
              </w:rPr>
              <w:t>Quality</w:t>
            </w:r>
          </w:p>
        </w:tc>
        <w:tc>
          <w:tcPr>
            <w:tcW w:w="908" w:type="dxa"/>
            <w:tcBorders>
              <w:top w:val="single" w:sz="6" w:space="0" w:color="auto"/>
              <w:left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Contract management of outdoor recreation camps meets agreed key performance indicators</w:t>
            </w:r>
          </w:p>
        </w:tc>
        <w:tc>
          <w:tcPr>
            <w:tcW w:w="908" w:type="dxa"/>
            <w:tcBorders>
              <w:top w:val="nil"/>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&gt;90</w:t>
            </w:r>
          </w:p>
        </w:tc>
        <w:tc>
          <w:tcPr>
            <w:tcW w:w="994"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95</w:t>
            </w:r>
          </w:p>
        </w:tc>
        <w:tc>
          <w:tcPr>
            <w:tcW w:w="907"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&gt;90</w:t>
            </w:r>
          </w:p>
        </w:tc>
        <w:tc>
          <w:tcPr>
            <w:tcW w:w="906"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95</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Major events facilitated with an event plan, budget, branding and promotional activities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Pr>
                <w:lang w:eastAsia="en-AU"/>
              </w:rPr>
              <w:t>100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Pr>
                <w:lang w:eastAsia="en-AU"/>
              </w:rPr>
              <w:t>100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Pr>
                <w:lang w:eastAsia="en-AU"/>
              </w:rPr>
              <w:t>100</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 xml:space="preserve">This performance measure </w:t>
            </w:r>
            <w:r>
              <w:t>renames</w:t>
            </w:r>
            <w:r w:rsidRPr="009B3704">
              <w:t xml:space="preserve"> the 2012</w:t>
            </w:r>
            <w:r w:rsidR="009F0F49">
              <w:noBreakHyphen/>
            </w:r>
            <w:r w:rsidRPr="009B3704">
              <w:t>13 performance measure 'Major events facilitated with a business plan, budget, branding and promotional activities'. The 2013</w:t>
            </w:r>
            <w:r w:rsidR="009F0F49">
              <w:noBreakHyphen/>
            </w:r>
            <w:r w:rsidRPr="009B3704">
              <w:t xml:space="preserve">14 performance measure </w:t>
            </w:r>
            <w:r>
              <w:t>reports</w:t>
            </w:r>
            <w:r w:rsidRPr="009B3704">
              <w:t xml:space="preserve"> </w:t>
            </w:r>
            <w:r>
              <w:t xml:space="preserve">on </w:t>
            </w:r>
            <w:r w:rsidRPr="009B3704">
              <w:t>the same</w:t>
            </w:r>
            <w:r>
              <w:t xml:space="preserve"> activity</w:t>
            </w:r>
            <w:r w:rsidRPr="009B3704">
              <w:t xml:space="preserve"> as the 2012</w:t>
            </w:r>
            <w:r w:rsidR="009F0F49">
              <w:noBreakHyphen/>
            </w:r>
            <w:r w:rsidRPr="009B3704">
              <w:t>13 measure except the term 'business plan' has been replaced by 'event plan' to more accurately reflect the types of plans required fo</w:t>
            </w:r>
            <w:r>
              <w:t>r the delivery stage of events.</w:t>
            </w:r>
          </w:p>
        </w:tc>
      </w:tr>
      <w:tr w:rsidR="00B958B1" w:rsidRPr="009B3704"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Timeliness</w:t>
            </w:r>
          </w:p>
        </w:tc>
        <w:tc>
          <w:tcPr>
            <w:tcW w:w="908" w:type="dxa"/>
            <w:tcBorders>
              <w:top w:val="single" w:sz="6" w:space="0" w:color="auto"/>
              <w:left w:val="nil"/>
              <w:bottom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bottom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Annual Community Sport and Recreation Awards held</w:t>
            </w:r>
          </w:p>
        </w:tc>
        <w:tc>
          <w:tcPr>
            <w:tcW w:w="908" w:type="dxa"/>
            <w:tcBorders>
              <w:top w:val="nil"/>
              <w:left w:val="nil"/>
              <w:right w:val="nil"/>
            </w:tcBorders>
            <w:shd w:val="clear" w:color="000000" w:fill="FFFFFF"/>
            <w:hideMark/>
          </w:tcPr>
          <w:p w:rsidR="00B958B1" w:rsidRPr="009B3704" w:rsidRDefault="00B958B1" w:rsidP="009F3B54">
            <w:pPr>
              <w:pStyle w:val="OGUoM"/>
              <w:rPr>
                <w:lang w:eastAsia="en-AU"/>
              </w:rPr>
            </w:pPr>
            <w:r w:rsidRPr="009B3704">
              <w:rPr>
                <w:lang w:eastAsia="en-AU"/>
              </w:rPr>
              <w:t>date</w:t>
            </w:r>
          </w:p>
        </w:tc>
        <w:tc>
          <w:tcPr>
            <w:tcW w:w="907" w:type="dxa"/>
            <w:tcBorders>
              <w:top w:val="nil"/>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Jun</w:t>
            </w:r>
            <w:r w:rsidR="009F0F49">
              <w:rPr>
                <w:lang w:eastAsia="en-AU"/>
              </w:rPr>
              <w:noBreakHyphen/>
            </w:r>
            <w:r>
              <w:rPr>
                <w:lang w:eastAsia="en-AU"/>
              </w:rPr>
              <w:t>20</w:t>
            </w:r>
            <w:r w:rsidRPr="009B3704">
              <w:rPr>
                <w:lang w:eastAsia="en-AU"/>
              </w:rPr>
              <w:t>14</w:t>
            </w:r>
          </w:p>
        </w:tc>
        <w:tc>
          <w:tcPr>
            <w:tcW w:w="994" w:type="dxa"/>
            <w:tcBorders>
              <w:top w:val="nil"/>
              <w:left w:val="nil"/>
              <w:right w:val="nil"/>
            </w:tcBorders>
            <w:shd w:val="clear" w:color="000000" w:fill="FFFFFF"/>
            <w:hideMark/>
          </w:tcPr>
          <w:p w:rsidR="00B958B1" w:rsidRDefault="00B958B1" w:rsidP="009F3B54">
            <w:pPr>
              <w:pStyle w:val="OGTableofFigures"/>
              <w:rPr>
                <w:lang w:eastAsia="en-AU"/>
              </w:rPr>
            </w:pPr>
            <w:r w:rsidRPr="009B3704">
              <w:rPr>
                <w:lang w:eastAsia="en-AU"/>
              </w:rPr>
              <w:t>21</w:t>
            </w:r>
            <w:r w:rsidR="009F0F49">
              <w:rPr>
                <w:lang w:eastAsia="en-AU"/>
              </w:rPr>
              <w:noBreakHyphen/>
            </w:r>
            <w:r w:rsidRPr="009B3704">
              <w:rPr>
                <w:lang w:eastAsia="en-AU"/>
              </w:rPr>
              <w:t>Nov</w:t>
            </w:r>
            <w:r w:rsidR="009F0F49">
              <w:rPr>
                <w:lang w:eastAsia="en-AU"/>
              </w:rPr>
              <w:noBreakHyphen/>
            </w:r>
          </w:p>
          <w:p w:rsidR="00B958B1" w:rsidRPr="009B3704" w:rsidRDefault="00B958B1" w:rsidP="009F3B54">
            <w:pPr>
              <w:pStyle w:val="OGTableofFigures"/>
              <w:rPr>
                <w:lang w:eastAsia="en-AU"/>
              </w:rPr>
            </w:pPr>
            <w:r>
              <w:rPr>
                <w:lang w:eastAsia="en-AU"/>
              </w:rPr>
              <w:t>20</w:t>
            </w:r>
            <w:r w:rsidRPr="009B3704">
              <w:rPr>
                <w:lang w:eastAsia="en-AU"/>
              </w:rPr>
              <w:t>12</w:t>
            </w:r>
          </w:p>
        </w:tc>
        <w:tc>
          <w:tcPr>
            <w:tcW w:w="907" w:type="dxa"/>
            <w:tcBorders>
              <w:top w:val="nil"/>
              <w:left w:val="nil"/>
              <w:right w:val="nil"/>
            </w:tcBorders>
            <w:shd w:val="clear" w:color="000000" w:fill="FFFFFF"/>
            <w:hideMark/>
          </w:tcPr>
          <w:p w:rsidR="00B958B1" w:rsidRDefault="00B958B1" w:rsidP="009F3B54">
            <w:pPr>
              <w:pStyle w:val="OGTableofFigures"/>
              <w:rPr>
                <w:lang w:eastAsia="en-AU"/>
              </w:rPr>
            </w:pPr>
            <w:r w:rsidRPr="009B3704">
              <w:rPr>
                <w:lang w:eastAsia="en-AU"/>
              </w:rPr>
              <w:t>Aug</w:t>
            </w:r>
            <w:r w:rsidR="009F0F49">
              <w:rPr>
                <w:lang w:eastAsia="en-AU"/>
              </w:rPr>
              <w:noBreakHyphen/>
            </w:r>
            <w:r>
              <w:rPr>
                <w:lang w:eastAsia="en-AU"/>
              </w:rPr>
              <w:t>Nov</w:t>
            </w:r>
          </w:p>
          <w:p w:rsidR="00B958B1" w:rsidRPr="009B3704" w:rsidRDefault="00B958B1" w:rsidP="009F3B54">
            <w:pPr>
              <w:pStyle w:val="OGTableofFigures"/>
              <w:rPr>
                <w:lang w:eastAsia="en-AU"/>
              </w:rPr>
            </w:pPr>
            <w:r w:rsidRPr="009B3704">
              <w:rPr>
                <w:lang w:eastAsia="en-AU"/>
              </w:rPr>
              <w:t>2012</w:t>
            </w:r>
          </w:p>
        </w:tc>
        <w:tc>
          <w:tcPr>
            <w:tcW w:w="906" w:type="dxa"/>
            <w:tcBorders>
              <w:top w:val="nil"/>
              <w:left w:val="nil"/>
              <w:right w:val="nil"/>
            </w:tcBorders>
            <w:shd w:val="clear" w:color="000000" w:fill="FFFFFF"/>
            <w:hideMark/>
          </w:tcPr>
          <w:p w:rsidR="00B958B1" w:rsidRDefault="00B958B1" w:rsidP="009F3B54">
            <w:pPr>
              <w:pStyle w:val="OGTableofFigures"/>
              <w:rPr>
                <w:lang w:eastAsia="en-AU"/>
              </w:rPr>
            </w:pPr>
            <w:r w:rsidRPr="009B3704">
              <w:rPr>
                <w:lang w:eastAsia="en-AU"/>
              </w:rPr>
              <w:t>30</w:t>
            </w:r>
            <w:r w:rsidR="009F0F49">
              <w:rPr>
                <w:lang w:eastAsia="en-AU"/>
              </w:rPr>
              <w:noBreakHyphen/>
            </w:r>
            <w:r w:rsidRPr="009B3704">
              <w:rPr>
                <w:lang w:eastAsia="en-AU"/>
              </w:rPr>
              <w:t>Nov</w:t>
            </w:r>
            <w:r w:rsidR="009F0F49">
              <w:rPr>
                <w:lang w:eastAsia="en-AU"/>
              </w:rPr>
              <w:noBreakHyphen/>
            </w:r>
          </w:p>
          <w:p w:rsidR="00B958B1" w:rsidRPr="009B3704" w:rsidRDefault="00B958B1" w:rsidP="009F3B54">
            <w:pPr>
              <w:pStyle w:val="OGTableofFigures"/>
              <w:rPr>
                <w:lang w:eastAsia="en-AU"/>
              </w:rPr>
            </w:pPr>
            <w:r>
              <w:rPr>
                <w:lang w:eastAsia="en-AU"/>
              </w:rPr>
              <w:t>20</w:t>
            </w:r>
            <w:r w:rsidRPr="009B3704">
              <w:rPr>
                <w:lang w:eastAsia="en-AU"/>
              </w:rPr>
              <w:t>11</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2013</w:t>
            </w:r>
            <w:r w:rsidR="009F0F49">
              <w:noBreakHyphen/>
            </w:r>
            <w:r w:rsidRPr="009B3704">
              <w:t>14 Target has been scheduled for later in the year than the 2012</w:t>
            </w:r>
            <w:r w:rsidR="009F0F49">
              <w:noBreakHyphen/>
            </w:r>
            <w:r w:rsidRPr="009B3704">
              <w:t>13 Target to provide more flexibility on the timing of the Awards.</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pageBreakBefore/>
              <w:rPr>
                <w:lang w:eastAsia="en-AU"/>
              </w:rPr>
            </w:pPr>
            <w:r w:rsidRPr="009B3704">
              <w:rPr>
                <w:lang w:eastAsia="en-AU"/>
              </w:rPr>
              <w:t>Completion of post event reports and economic impact assessments of each event (where required) within agreed timeframes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100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Pr>
                <w:lang w:eastAsia="en-AU"/>
              </w:rPr>
              <w:t>100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Pr>
                <w:lang w:eastAsia="en-AU"/>
              </w:rPr>
              <w:t>100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Pr>
                <w:lang w:eastAsia="en-AU"/>
              </w:rPr>
              <w:t>100</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This performance measure re</w:t>
            </w:r>
            <w:r>
              <w:t>names</w:t>
            </w:r>
            <w:r w:rsidRPr="009B3704">
              <w:t xml:space="preserve"> the 2012</w:t>
            </w:r>
            <w:r w:rsidR="009F0F49">
              <w:noBreakHyphen/>
            </w:r>
            <w:r w:rsidRPr="009B3704">
              <w:t>13 performance measure 'Completion of post</w:t>
            </w:r>
            <w:r w:rsidR="009F0F49">
              <w:noBreakHyphen/>
            </w:r>
            <w:r w:rsidRPr="009B3704">
              <w:t>event reports and economic impact assessments of each event (where required)'</w:t>
            </w:r>
            <w:r>
              <w:t xml:space="preserve">. </w:t>
            </w:r>
            <w:r w:rsidRPr="009B3704">
              <w:t>The 2013</w:t>
            </w:r>
            <w:r w:rsidR="009F0F49">
              <w:noBreakHyphen/>
            </w:r>
            <w:r>
              <w:t xml:space="preserve">14 performance measure reports on </w:t>
            </w:r>
            <w:r w:rsidRPr="009B3704">
              <w:t xml:space="preserve">the same </w:t>
            </w:r>
            <w:r>
              <w:t xml:space="preserve">activity </w:t>
            </w:r>
            <w:r w:rsidRPr="009B3704">
              <w:t>as the 2012</w:t>
            </w:r>
            <w:r w:rsidR="009F0F49">
              <w:noBreakHyphen/>
            </w:r>
            <w:r w:rsidRPr="009B3704">
              <w:t>13 performance measure except the phrase 'within agreed timeframes' has been added to the measure to make it a better measure of timeliness.</w:t>
            </w:r>
          </w:p>
        </w:tc>
      </w:tr>
      <w:tr w:rsidR="00B958B1" w:rsidRPr="009B3704"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Cost</w:t>
            </w:r>
          </w:p>
        </w:tc>
        <w:tc>
          <w:tcPr>
            <w:tcW w:w="908" w:type="dxa"/>
            <w:tcBorders>
              <w:top w:val="single" w:sz="6" w:space="0" w:color="auto"/>
              <w:left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bottom w:val="nil"/>
              <w:right w:val="nil"/>
            </w:tcBorders>
            <w:shd w:val="clear" w:color="000000" w:fill="FFFFFF"/>
            <w:hideMark/>
          </w:tcPr>
          <w:p w:rsidR="00B958B1" w:rsidRPr="009B3704" w:rsidRDefault="00B958B1" w:rsidP="009F3B54">
            <w:pPr>
              <w:pStyle w:val="OGTabText"/>
              <w:rPr>
                <w:lang w:eastAsia="en-AU"/>
              </w:rPr>
            </w:pPr>
            <w:r w:rsidRPr="009B3704">
              <w:rPr>
                <w:lang w:eastAsia="en-AU"/>
              </w:rPr>
              <w:t>Total output cost</w:t>
            </w:r>
          </w:p>
        </w:tc>
        <w:tc>
          <w:tcPr>
            <w:tcW w:w="908" w:type="dxa"/>
            <w:tcBorders>
              <w:top w:val="nil"/>
              <w:left w:val="nil"/>
              <w:bottom w:val="nil"/>
              <w:right w:val="nil"/>
            </w:tcBorders>
            <w:shd w:val="clear" w:color="000000" w:fill="FFFFFF"/>
            <w:hideMark/>
          </w:tcPr>
          <w:p w:rsidR="00B958B1" w:rsidRPr="009B3704" w:rsidRDefault="00B958B1" w:rsidP="009F3B54">
            <w:pPr>
              <w:pStyle w:val="OGUoM"/>
              <w:rPr>
                <w:lang w:eastAsia="en-AU"/>
              </w:rPr>
            </w:pPr>
            <w:r>
              <w:rPr>
                <w:lang w:eastAsia="en-AU"/>
              </w:rPr>
              <w:t>$ million</w:t>
            </w:r>
          </w:p>
        </w:tc>
        <w:tc>
          <w:tcPr>
            <w:tcW w:w="907" w:type="dxa"/>
            <w:tcBorders>
              <w:top w:val="nil"/>
              <w:left w:val="nil"/>
              <w:bottom w:val="nil"/>
              <w:right w:val="nil"/>
            </w:tcBorders>
            <w:shd w:val="clear" w:color="auto" w:fill="D9D9D9"/>
            <w:hideMark/>
          </w:tcPr>
          <w:p w:rsidR="00B958B1" w:rsidRPr="009B3704" w:rsidRDefault="00B958B1" w:rsidP="009F3B54">
            <w:pPr>
              <w:pStyle w:val="OGTableofFigures"/>
              <w:rPr>
                <w:lang w:eastAsia="en-AU"/>
              </w:rPr>
            </w:pPr>
            <w:r>
              <w:rPr>
                <w:lang w:eastAsia="en-AU"/>
              </w:rPr>
              <w:t>77.2</w:t>
            </w:r>
          </w:p>
        </w:tc>
        <w:tc>
          <w:tcPr>
            <w:tcW w:w="994" w:type="dxa"/>
            <w:tcBorders>
              <w:top w:val="nil"/>
              <w:left w:val="nil"/>
              <w:bottom w:val="nil"/>
              <w:right w:val="nil"/>
            </w:tcBorders>
            <w:shd w:val="clear" w:color="000000" w:fill="FFFFFF"/>
            <w:hideMark/>
          </w:tcPr>
          <w:p w:rsidR="00B958B1" w:rsidRPr="009B3704" w:rsidRDefault="00B958B1" w:rsidP="009F3B54">
            <w:pPr>
              <w:pStyle w:val="OGTableofFigures"/>
              <w:rPr>
                <w:lang w:eastAsia="en-AU"/>
              </w:rPr>
            </w:pPr>
            <w:r>
              <w:rPr>
                <w:lang w:eastAsia="en-AU"/>
              </w:rPr>
              <w:t>112.5</w:t>
            </w:r>
          </w:p>
        </w:tc>
        <w:tc>
          <w:tcPr>
            <w:tcW w:w="907" w:type="dxa"/>
            <w:tcBorders>
              <w:top w:val="nil"/>
              <w:left w:val="nil"/>
              <w:bottom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106.2</w:t>
            </w:r>
          </w:p>
        </w:tc>
        <w:tc>
          <w:tcPr>
            <w:tcW w:w="906" w:type="dxa"/>
            <w:tcBorders>
              <w:top w:val="nil"/>
              <w:left w:val="nil"/>
              <w:bottom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108.9</w:t>
            </w:r>
          </w:p>
        </w:tc>
      </w:tr>
      <w:tr w:rsidR="00B958B1" w:rsidRPr="009B3704" w:rsidTr="009F3B54">
        <w:trPr>
          <w:gridAfter w:val="1"/>
          <w:wAfter w:w="6" w:type="dxa"/>
          <w:cantSplit/>
        </w:trPr>
        <w:tc>
          <w:tcPr>
            <w:tcW w:w="7776" w:type="dxa"/>
            <w:gridSpan w:val="6"/>
            <w:tcBorders>
              <w:top w:val="nil"/>
              <w:left w:val="nil"/>
              <w:bottom w:val="single" w:sz="12" w:space="0" w:color="auto"/>
            </w:tcBorders>
            <w:shd w:val="clear" w:color="000000" w:fill="FFFFFF"/>
          </w:tcPr>
          <w:p w:rsidR="00B958B1" w:rsidRDefault="00B958B1" w:rsidP="009F3B54">
            <w:pPr>
              <w:pStyle w:val="OGNotes"/>
            </w:pPr>
            <w:r w:rsidRPr="00517BBD">
              <w:t xml:space="preserve">The </w:t>
            </w:r>
            <w:r>
              <w:t>2012</w:t>
            </w:r>
            <w:r w:rsidR="009F0F49">
              <w:noBreakHyphen/>
            </w:r>
            <w:r>
              <w:t>13 Expected Outcome is higher than the 2012</w:t>
            </w:r>
            <w:r w:rsidR="009F0F49">
              <w:noBreakHyphen/>
            </w:r>
            <w:r>
              <w:t>13 Target due to the release of funding for major events.</w:t>
            </w:r>
          </w:p>
          <w:p w:rsidR="00B958B1" w:rsidRPr="009B3704" w:rsidRDefault="00B958B1" w:rsidP="009F3B54">
            <w:pPr>
              <w:pStyle w:val="OGNotes"/>
            </w:pPr>
            <w:r>
              <w:t xml:space="preserve">The </w:t>
            </w:r>
            <w:r w:rsidRPr="00517BBD">
              <w:t>2013</w:t>
            </w:r>
            <w:r w:rsidR="009F0F49">
              <w:noBreakHyphen/>
            </w:r>
            <w:r w:rsidRPr="00517BBD">
              <w:t xml:space="preserve">14 Target </w:t>
            </w:r>
            <w:r>
              <w:t>is lower than the 2012</w:t>
            </w:r>
            <w:r w:rsidR="009F0F49">
              <w:noBreakHyphen/>
            </w:r>
            <w:r>
              <w:t>13 Target due to finalisation of some major projects.</w:t>
            </w:r>
          </w:p>
        </w:tc>
      </w:tr>
    </w:tbl>
    <w:p w:rsidR="00B958B1" w:rsidRDefault="00B958B1" w:rsidP="009F3B54">
      <w:pPr>
        <w:pStyle w:val="Source"/>
      </w:pPr>
      <w:r>
        <w:t xml:space="preserve">Source: Department of Transport, Planning and Local Infrastructure </w:t>
      </w:r>
    </w:p>
    <w:p w:rsidR="00B958B1" w:rsidRDefault="00B958B1" w:rsidP="009F3B54">
      <w:pPr>
        <w:pStyle w:val="Source"/>
      </w:pPr>
      <w:r>
        <w:fldChar w:fldCharType="begin"/>
      </w:r>
      <w:r>
        <w:instrText xml:space="preserve"> XE "</w:instrText>
      </w:r>
      <w:r w:rsidRPr="004F1276">
        <w:instrText>Department of Transport, Planning and Local Infrastructure:Investing in Local Infrastructure</w:instrText>
      </w:r>
      <w:r>
        <w:instrText xml:space="preserve">" \r "BP3DTPLIInvestinlocalInfra" </w:instrText>
      </w:r>
      <w:r>
        <w:fldChar w:fldCharType="end"/>
      </w:r>
    </w:p>
    <w:bookmarkEnd w:id="142"/>
    <w:p w:rsidR="00B958B1" w:rsidRDefault="00B958B1" w:rsidP="009F3B54">
      <w:pPr>
        <w:pStyle w:val="Source"/>
      </w:pPr>
    </w:p>
    <w:p w:rsidR="00B958B1" w:rsidRPr="006F6005" w:rsidRDefault="00B958B1" w:rsidP="009F3B54">
      <w:r>
        <w:br w:type="page"/>
      </w:r>
    </w:p>
    <w:p w:rsidR="00B958B1" w:rsidRPr="009B3704" w:rsidRDefault="00B958B1" w:rsidP="009F3B54">
      <w:pPr>
        <w:pStyle w:val="OGHeading1"/>
      </w:pPr>
      <w:bookmarkStart w:id="143" w:name="BP3DTPLILandAdmin"/>
      <w:r w:rsidRPr="009B3704">
        <w:rPr>
          <w:lang w:eastAsia="en-AU"/>
        </w:rPr>
        <w:t>Land Administration</w:t>
      </w:r>
    </w:p>
    <w:p w:rsidR="00B958B1" w:rsidRDefault="00B958B1" w:rsidP="009F3B54">
      <w:pPr>
        <w:pStyle w:val="OGText"/>
      </w:pPr>
      <w:r w:rsidRPr="009B3704">
        <w:t>This output group ensures confidence in the integrity and efficiency of land administration and property information.</w:t>
      </w:r>
    </w:p>
    <w:tbl>
      <w:tblPr>
        <w:tblW w:w="7782" w:type="dxa"/>
        <w:tblInd w:w="29" w:type="dxa"/>
        <w:tblLayout w:type="fixed"/>
        <w:tblCellMar>
          <w:left w:w="43" w:type="dxa"/>
          <w:right w:w="43" w:type="dxa"/>
        </w:tblCellMar>
        <w:tblLook w:val="04A0" w:firstRow="1" w:lastRow="0" w:firstColumn="1" w:lastColumn="0" w:noHBand="0" w:noVBand="1"/>
      </w:tblPr>
      <w:tblGrid>
        <w:gridCol w:w="3154"/>
        <w:gridCol w:w="908"/>
        <w:gridCol w:w="907"/>
        <w:gridCol w:w="994"/>
        <w:gridCol w:w="907"/>
        <w:gridCol w:w="906"/>
        <w:gridCol w:w="6"/>
      </w:tblGrid>
      <w:tr w:rsidR="00B958B1" w:rsidRPr="00773447" w:rsidTr="009F3B54">
        <w:trPr>
          <w:cantSplit/>
          <w:tblHeader/>
        </w:trPr>
        <w:tc>
          <w:tcPr>
            <w:tcW w:w="3154" w:type="dxa"/>
            <w:tcBorders>
              <w:top w:val="single" w:sz="4" w:space="0" w:color="auto"/>
              <w:left w:val="single" w:sz="4" w:space="0" w:color="auto"/>
              <w:bottom w:val="single" w:sz="4" w:space="0" w:color="auto"/>
              <w:right w:val="nil"/>
            </w:tcBorders>
            <w:shd w:val="clear" w:color="auto" w:fill="000000"/>
            <w:vAlign w:val="bottom"/>
          </w:tcPr>
          <w:p w:rsidR="00B958B1" w:rsidRPr="00773447" w:rsidRDefault="00B958B1" w:rsidP="009F3B54">
            <w:pPr>
              <w:spacing w:before="30" w:after="30"/>
              <w:rPr>
                <w:rFonts w:ascii="Calibri" w:hAnsi="Calibri"/>
                <w:b/>
                <w:i/>
                <w:sz w:val="20"/>
                <w:szCs w:val="18"/>
                <w:lang w:eastAsia="en-AU"/>
              </w:rPr>
            </w:pPr>
            <w:r w:rsidRPr="00773447">
              <w:rPr>
                <w:rFonts w:ascii="Calibri" w:hAnsi="Calibri"/>
                <w:b/>
                <w:sz w:val="20"/>
                <w:szCs w:val="18"/>
                <w:lang w:eastAsia="en-AU"/>
              </w:rPr>
              <w:t>Major Outputs/Deliverables</w:t>
            </w:r>
            <w:r w:rsidRPr="00773447">
              <w:rPr>
                <w:rFonts w:ascii="Calibri" w:hAnsi="Calibri"/>
                <w:b/>
                <w:sz w:val="20"/>
                <w:szCs w:val="18"/>
                <w:lang w:eastAsia="en-AU"/>
              </w:rPr>
              <w:br/>
            </w:r>
            <w:r w:rsidRPr="00773447">
              <w:rPr>
                <w:rFonts w:ascii="Calibri" w:hAnsi="Calibri"/>
                <w:i/>
                <w:sz w:val="20"/>
                <w:szCs w:val="18"/>
                <w:lang w:eastAsia="en-AU"/>
              </w:rPr>
              <w:t>Performance measures</w:t>
            </w:r>
          </w:p>
        </w:tc>
        <w:tc>
          <w:tcPr>
            <w:tcW w:w="908"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center"/>
              <w:rPr>
                <w:rFonts w:ascii="Calibri" w:hAnsi="Calibri"/>
                <w:b/>
                <w:sz w:val="20"/>
                <w:szCs w:val="18"/>
                <w:lang w:eastAsia="en-AU"/>
              </w:rPr>
            </w:pPr>
            <w:r w:rsidRPr="00773447">
              <w:rPr>
                <w:rFonts w:ascii="Calibri" w:hAnsi="Calibri"/>
                <w:b/>
                <w:sz w:val="20"/>
                <w:szCs w:val="18"/>
                <w:lang w:eastAsia="en-AU"/>
              </w:rPr>
              <w:t xml:space="preserve">Unit of </w:t>
            </w:r>
            <w:r w:rsidRPr="00773447">
              <w:rPr>
                <w:rFonts w:ascii="Calibri" w:hAnsi="Calibri"/>
                <w:b/>
                <w:sz w:val="20"/>
                <w:szCs w:val="18"/>
                <w:lang w:eastAsia="en-AU"/>
              </w:rPr>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2013</w:t>
            </w:r>
            <w:r w:rsidR="009F0F49">
              <w:rPr>
                <w:rFonts w:ascii="Calibri" w:hAnsi="Calibri"/>
                <w:b/>
                <w:sz w:val="20"/>
                <w:szCs w:val="18"/>
              </w:rPr>
              <w:noBreakHyphen/>
            </w:r>
            <w:r w:rsidRPr="00773447">
              <w:rPr>
                <w:rFonts w:ascii="Calibri" w:hAnsi="Calibri"/>
                <w:b/>
                <w:sz w:val="20"/>
                <w:szCs w:val="18"/>
              </w:rPr>
              <w:t>14 Target</w:t>
            </w:r>
          </w:p>
        </w:tc>
        <w:tc>
          <w:tcPr>
            <w:tcW w:w="994"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2012</w:t>
            </w:r>
            <w:r w:rsidR="009F0F49">
              <w:rPr>
                <w:rFonts w:ascii="Calibri" w:hAnsi="Calibri"/>
                <w:b/>
                <w:sz w:val="20"/>
                <w:szCs w:val="18"/>
              </w:rPr>
              <w:noBreakHyphen/>
            </w:r>
            <w:r w:rsidRPr="00773447">
              <w:rPr>
                <w:rFonts w:ascii="Calibri" w:hAnsi="Calibri"/>
                <w:b/>
                <w:sz w:val="20"/>
                <w:szCs w:val="18"/>
              </w:rPr>
              <w:t>13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2012</w:t>
            </w:r>
            <w:r w:rsidR="009F0F49">
              <w:rPr>
                <w:rFonts w:ascii="Calibri" w:hAnsi="Calibri"/>
                <w:b/>
                <w:sz w:val="20"/>
                <w:szCs w:val="18"/>
              </w:rPr>
              <w:noBreakHyphen/>
            </w:r>
            <w:r w:rsidRPr="00773447">
              <w:rPr>
                <w:rFonts w:ascii="Calibri" w:hAnsi="Calibri"/>
                <w:b/>
                <w:sz w:val="20"/>
                <w:szCs w:val="18"/>
              </w:rPr>
              <w:t>13 Target</w:t>
            </w:r>
          </w:p>
        </w:tc>
        <w:tc>
          <w:tcPr>
            <w:tcW w:w="912" w:type="dxa"/>
            <w:gridSpan w:val="2"/>
            <w:tcBorders>
              <w:top w:val="single" w:sz="4" w:space="0" w:color="auto"/>
              <w:left w:val="nil"/>
              <w:bottom w:val="single" w:sz="4" w:space="0" w:color="auto"/>
              <w:right w:val="single" w:sz="4" w:space="0" w:color="auto"/>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2011</w:t>
            </w:r>
            <w:r w:rsidR="009F0F49">
              <w:rPr>
                <w:rFonts w:ascii="Calibri" w:hAnsi="Calibri"/>
                <w:b/>
                <w:sz w:val="20"/>
                <w:szCs w:val="18"/>
              </w:rPr>
              <w:noBreakHyphen/>
            </w:r>
            <w:r w:rsidRPr="00773447">
              <w:rPr>
                <w:rFonts w:ascii="Calibri" w:hAnsi="Calibri"/>
                <w:b/>
                <w:sz w:val="20"/>
                <w:szCs w:val="18"/>
              </w:rPr>
              <w:t>12 Actual</w:t>
            </w:r>
          </w:p>
        </w:tc>
      </w:tr>
      <w:tr w:rsidR="00B958B1" w:rsidRPr="009B3704" w:rsidTr="009F3B54">
        <w:trPr>
          <w:gridAfter w:val="1"/>
          <w:wAfter w:w="6" w:type="dxa"/>
          <w:cantSplit/>
        </w:trPr>
        <w:tc>
          <w:tcPr>
            <w:tcW w:w="7776" w:type="dxa"/>
            <w:gridSpan w:val="6"/>
            <w:tcBorders>
              <w:top w:val="nil"/>
              <w:left w:val="nil"/>
              <w:right w:val="nil"/>
            </w:tcBorders>
            <w:shd w:val="clear" w:color="auto" w:fill="auto"/>
            <w:vAlign w:val="bottom"/>
            <w:hideMark/>
          </w:tcPr>
          <w:p w:rsidR="00B958B1" w:rsidRPr="009B3704" w:rsidRDefault="00B958B1" w:rsidP="009F3B54">
            <w:pPr>
              <w:pStyle w:val="OGHeading2"/>
              <w:rPr>
                <w:lang w:eastAsia="en-AU"/>
              </w:rPr>
            </w:pPr>
            <w:r w:rsidRPr="009B3704">
              <w:rPr>
                <w:lang w:eastAsia="en-AU"/>
              </w:rPr>
              <w:t>Land Victoria</w:t>
            </w:r>
          </w:p>
        </w:tc>
      </w:tr>
      <w:tr w:rsidR="00B958B1" w:rsidRPr="009B3704" w:rsidTr="009F3B54">
        <w:trPr>
          <w:gridAfter w:val="1"/>
          <w:wAfter w:w="6" w:type="dxa"/>
          <w:cantSplit/>
          <w:trHeight w:val="1297"/>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Text"/>
              <w:rPr>
                <w:lang w:eastAsia="en-AU"/>
              </w:rPr>
            </w:pPr>
            <w:r w:rsidRPr="009B3704">
              <w:rPr>
                <w:lang w:eastAsia="en-AU"/>
              </w:rPr>
              <w:t>This output delivers activities related to land administration including the registration of land titles under the Torrens system, General Law titles, and the status of Crown land.</w:t>
            </w:r>
          </w:p>
          <w:p w:rsidR="00B958B1" w:rsidRPr="009B3704" w:rsidRDefault="00B958B1" w:rsidP="009F3B54">
            <w:pPr>
              <w:pStyle w:val="OGText"/>
              <w:rPr>
                <w:lang w:eastAsia="en-AU"/>
              </w:rPr>
            </w:pPr>
            <w:r w:rsidRPr="009B3704">
              <w:rPr>
                <w:lang w:eastAsia="en-AU"/>
              </w:rPr>
              <w:t>This output contributes to the Department's objective of delivering benefits to the community through the effective management of Victoria's land assets.</w:t>
            </w:r>
          </w:p>
        </w:tc>
      </w:tr>
      <w:tr w:rsidR="00B958B1" w:rsidRPr="009B3704"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Quantity</w:t>
            </w:r>
          </w:p>
        </w:tc>
        <w:tc>
          <w:tcPr>
            <w:tcW w:w="908" w:type="dxa"/>
            <w:tcBorders>
              <w:top w:val="single" w:sz="6" w:space="0" w:color="auto"/>
              <w:left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Planning certificates issued</w:t>
            </w:r>
          </w:p>
        </w:tc>
        <w:tc>
          <w:tcPr>
            <w:tcW w:w="908" w:type="dxa"/>
            <w:tcBorders>
              <w:top w:val="nil"/>
              <w:left w:val="nil"/>
              <w:bottom w:val="single" w:sz="6" w:space="0" w:color="auto"/>
              <w:right w:val="nil"/>
            </w:tcBorders>
            <w:shd w:val="clear" w:color="000000" w:fill="FFFFFF"/>
            <w:hideMark/>
          </w:tcPr>
          <w:p w:rsidR="00B958B1" w:rsidRPr="009B3704" w:rsidRDefault="00B958B1" w:rsidP="009F3B54">
            <w:pPr>
              <w:pStyle w:val="OGUoM"/>
              <w:rPr>
                <w:lang w:eastAsia="en-AU"/>
              </w:rPr>
            </w:pPr>
            <w:r w:rsidRPr="009B3704">
              <w:rPr>
                <w:lang w:eastAsia="en-AU"/>
              </w:rPr>
              <w:t>number (</w:t>
            </w:r>
            <w:r>
              <w:rPr>
                <w:lang w:eastAsia="en-AU"/>
              </w:rPr>
              <w:t>‘</w:t>
            </w:r>
            <w:r w:rsidRPr="009B3704">
              <w:rPr>
                <w:lang w:eastAsia="en-AU"/>
              </w:rPr>
              <w:t>000)</w:t>
            </w:r>
          </w:p>
        </w:tc>
        <w:tc>
          <w:tcPr>
            <w:tcW w:w="907" w:type="dxa"/>
            <w:tcBorders>
              <w:top w:val="nil"/>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35</w:t>
            </w:r>
          </w:p>
        </w:tc>
        <w:tc>
          <w:tcPr>
            <w:tcW w:w="994"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37</w:t>
            </w:r>
          </w:p>
        </w:tc>
        <w:tc>
          <w:tcPr>
            <w:tcW w:w="907"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35</w:t>
            </w:r>
          </w:p>
        </w:tc>
        <w:tc>
          <w:tcPr>
            <w:tcW w:w="906"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38</w:t>
            </w:r>
          </w:p>
        </w:tc>
      </w:tr>
      <w:tr w:rsidR="00B958B1" w:rsidRPr="009B3704"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9B3704" w:rsidRDefault="00B958B1" w:rsidP="009F3B54">
            <w:pPr>
              <w:pStyle w:val="OGTabText"/>
              <w:rPr>
                <w:lang w:eastAsia="en-AU"/>
              </w:rPr>
            </w:pPr>
            <w:r w:rsidRPr="009B3704">
              <w:rPr>
                <w:lang w:eastAsia="en-AU"/>
              </w:rPr>
              <w:t>Property transfers, discharge of mortgages and registration of new mortgages</w:t>
            </w:r>
          </w:p>
        </w:tc>
        <w:tc>
          <w:tcPr>
            <w:tcW w:w="908" w:type="dxa"/>
            <w:tcBorders>
              <w:top w:val="single" w:sz="6" w:space="0" w:color="auto"/>
              <w:left w:val="nil"/>
              <w:right w:val="nil"/>
            </w:tcBorders>
            <w:shd w:val="clear" w:color="000000" w:fill="FFFFFF"/>
            <w:hideMark/>
          </w:tcPr>
          <w:p w:rsidR="00B958B1" w:rsidRPr="009B3704" w:rsidRDefault="00B958B1" w:rsidP="009F3B54">
            <w:pPr>
              <w:pStyle w:val="OGUoM"/>
              <w:rPr>
                <w:lang w:eastAsia="en-AU"/>
              </w:rPr>
            </w:pPr>
            <w:r w:rsidRPr="009B3704">
              <w:rPr>
                <w:lang w:eastAsia="en-AU"/>
              </w:rPr>
              <w:t>number (</w:t>
            </w:r>
            <w:r>
              <w:rPr>
                <w:lang w:eastAsia="en-AU"/>
              </w:rPr>
              <w:t>‘</w:t>
            </w:r>
            <w:r w:rsidRPr="009B3704">
              <w:rPr>
                <w:lang w:eastAsia="en-AU"/>
              </w:rPr>
              <w:t>000)</w:t>
            </w:r>
          </w:p>
        </w:tc>
        <w:tc>
          <w:tcPr>
            <w:tcW w:w="907" w:type="dxa"/>
            <w:tcBorders>
              <w:top w:val="single" w:sz="6" w:space="0" w:color="auto"/>
              <w:left w:val="nil"/>
              <w:right w:val="nil"/>
            </w:tcBorders>
            <w:shd w:val="clear" w:color="auto" w:fill="D9D9D9"/>
            <w:hideMark/>
          </w:tcPr>
          <w:p w:rsidR="00B958B1" w:rsidRPr="009B3704" w:rsidRDefault="00B958B1" w:rsidP="009F3B54">
            <w:pPr>
              <w:pStyle w:val="OGTableofFigures"/>
              <w:rPr>
                <w:lang w:eastAsia="en-AU"/>
              </w:rPr>
            </w:pPr>
            <w:r w:rsidRPr="009B3704">
              <w:rPr>
                <w:lang w:eastAsia="en-AU"/>
              </w:rPr>
              <w:t>650</w:t>
            </w:r>
          </w:p>
        </w:tc>
        <w:tc>
          <w:tcPr>
            <w:tcW w:w="994"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650</w:t>
            </w:r>
          </w:p>
        </w:tc>
        <w:tc>
          <w:tcPr>
            <w:tcW w:w="907"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680</w:t>
            </w:r>
          </w:p>
        </w:tc>
        <w:tc>
          <w:tcPr>
            <w:tcW w:w="906" w:type="dxa"/>
            <w:tcBorders>
              <w:top w:val="single" w:sz="6" w:space="0" w:color="auto"/>
              <w:left w:val="nil"/>
              <w:right w:val="nil"/>
            </w:tcBorders>
            <w:shd w:val="clear" w:color="000000" w:fill="FFFFFF"/>
            <w:hideMark/>
          </w:tcPr>
          <w:p w:rsidR="00B958B1" w:rsidRPr="009B3704" w:rsidRDefault="00B958B1" w:rsidP="009F3B54">
            <w:pPr>
              <w:pStyle w:val="OGTableofFigures"/>
              <w:rPr>
                <w:lang w:eastAsia="en-AU"/>
              </w:rPr>
            </w:pPr>
            <w:r w:rsidRPr="009B3704">
              <w:rPr>
                <w:lang w:eastAsia="en-AU"/>
              </w:rPr>
              <w:t>680</w:t>
            </w:r>
          </w:p>
        </w:tc>
      </w:tr>
      <w:tr w:rsidR="00B958B1" w:rsidRPr="009B3704"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9B3704" w:rsidRDefault="00B958B1" w:rsidP="009F3B54">
            <w:pPr>
              <w:pStyle w:val="OGNotes"/>
            </w:pPr>
            <w:r w:rsidRPr="009B3704">
              <w:t>The lower 2013</w:t>
            </w:r>
            <w:r w:rsidR="009F0F49">
              <w:noBreakHyphen/>
            </w:r>
            <w:r w:rsidRPr="009B3704">
              <w:t xml:space="preserve">14 Target reflects the </w:t>
            </w:r>
            <w:r>
              <w:t>expected activity levels of the</w:t>
            </w:r>
            <w:r w:rsidRPr="009B3704">
              <w:t xml:space="preserve"> property market.</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Proportion of title searches supplied (remotely) online</w:t>
            </w:r>
          </w:p>
        </w:tc>
        <w:tc>
          <w:tcPr>
            <w:tcW w:w="908"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96</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96</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96</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96</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Title searches supplied</w:t>
            </w:r>
          </w:p>
        </w:tc>
        <w:tc>
          <w:tcPr>
            <w:tcW w:w="908"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sidRPr="009B3704">
              <w:rPr>
                <w:lang w:eastAsia="en-AU"/>
              </w:rPr>
              <w:t>number (</w:t>
            </w:r>
            <w:r>
              <w:rPr>
                <w:lang w:eastAsia="en-AU"/>
              </w:rPr>
              <w:t>‘</w:t>
            </w:r>
            <w:r w:rsidRPr="009B3704">
              <w:rPr>
                <w:lang w:eastAsia="en-AU"/>
              </w:rPr>
              <w:t>000)</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2</w:t>
            </w:r>
            <w:r>
              <w:rPr>
                <w:lang w:eastAsia="en-AU"/>
              </w:rPr>
              <w:t> </w:t>
            </w:r>
            <w:r w:rsidRPr="009B3704">
              <w:rPr>
                <w:lang w:eastAsia="en-AU"/>
              </w:rPr>
              <w:t>180</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2</w:t>
            </w:r>
            <w:r>
              <w:rPr>
                <w:lang w:eastAsia="en-AU"/>
              </w:rPr>
              <w:t> </w:t>
            </w:r>
            <w:r w:rsidRPr="009B3704">
              <w:rPr>
                <w:lang w:eastAsia="en-AU"/>
              </w:rPr>
              <w:t>180</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2</w:t>
            </w:r>
            <w:r>
              <w:rPr>
                <w:lang w:eastAsia="en-AU"/>
              </w:rPr>
              <w:t> </w:t>
            </w:r>
            <w:r w:rsidRPr="009B3704">
              <w:rPr>
                <w:lang w:eastAsia="en-AU"/>
              </w:rPr>
              <w:t>180</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2</w:t>
            </w:r>
            <w:r>
              <w:rPr>
                <w:lang w:eastAsia="en-AU"/>
              </w:rPr>
              <w:t> </w:t>
            </w:r>
            <w:r w:rsidRPr="009B3704">
              <w:rPr>
                <w:lang w:eastAsia="en-AU"/>
              </w:rPr>
              <w:t>193</w:t>
            </w:r>
          </w:p>
        </w:tc>
      </w:tr>
      <w:tr w:rsidR="00B958B1" w:rsidRPr="009B3704"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9B3704" w:rsidRDefault="00B958B1" w:rsidP="009F3B54">
            <w:pPr>
              <w:pStyle w:val="OGTabHead"/>
              <w:rPr>
                <w:lang w:eastAsia="en-AU"/>
              </w:rPr>
            </w:pPr>
            <w:r w:rsidRPr="009B3704">
              <w:rPr>
                <w:lang w:eastAsia="en-AU"/>
              </w:rPr>
              <w:t>Quality</w:t>
            </w:r>
          </w:p>
        </w:tc>
        <w:tc>
          <w:tcPr>
            <w:tcW w:w="908" w:type="dxa"/>
            <w:tcBorders>
              <w:top w:val="single" w:sz="6" w:space="0" w:color="auto"/>
              <w:left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Government owned properties sold, bought or leased within 10</w:t>
            </w:r>
            <w:r>
              <w:rPr>
                <w:lang w:eastAsia="en-AU"/>
              </w:rPr>
              <w:t> per cent</w:t>
            </w:r>
            <w:r w:rsidRPr="009B3704">
              <w:rPr>
                <w:lang w:eastAsia="en-AU"/>
              </w:rPr>
              <w:t xml:space="preserve"> of valuation</w:t>
            </w:r>
          </w:p>
        </w:tc>
        <w:tc>
          <w:tcPr>
            <w:tcW w:w="908" w:type="dxa"/>
            <w:tcBorders>
              <w:top w:val="nil"/>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80</w:t>
            </w:r>
          </w:p>
        </w:tc>
        <w:tc>
          <w:tcPr>
            <w:tcW w:w="994"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85</w:t>
            </w:r>
          </w:p>
        </w:tc>
        <w:tc>
          <w:tcPr>
            <w:tcW w:w="907"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80</w:t>
            </w:r>
          </w:p>
        </w:tc>
        <w:tc>
          <w:tcPr>
            <w:tcW w:w="906"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80</w:t>
            </w:r>
          </w:p>
        </w:tc>
      </w:tr>
      <w:tr w:rsidR="00B958B1" w:rsidRPr="009B3704"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Timeliness</w:t>
            </w:r>
          </w:p>
        </w:tc>
        <w:tc>
          <w:tcPr>
            <w:tcW w:w="908" w:type="dxa"/>
            <w:tcBorders>
              <w:top w:val="single" w:sz="6" w:space="0" w:color="auto"/>
              <w:left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Land dealings registered within five days</w:t>
            </w:r>
          </w:p>
        </w:tc>
        <w:tc>
          <w:tcPr>
            <w:tcW w:w="908" w:type="dxa"/>
            <w:tcBorders>
              <w:top w:val="nil"/>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95</w:t>
            </w:r>
          </w:p>
        </w:tc>
        <w:tc>
          <w:tcPr>
            <w:tcW w:w="994"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95</w:t>
            </w:r>
          </w:p>
        </w:tc>
        <w:tc>
          <w:tcPr>
            <w:tcW w:w="907"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95</w:t>
            </w:r>
          </w:p>
        </w:tc>
        <w:tc>
          <w:tcPr>
            <w:tcW w:w="906" w:type="dxa"/>
            <w:tcBorders>
              <w:top w:val="nil"/>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98</w:t>
            </w:r>
          </w:p>
        </w:tc>
      </w:tr>
      <w:tr w:rsidR="00B958B1" w:rsidRPr="009B3704"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Text"/>
              <w:rPr>
                <w:lang w:eastAsia="en-AU"/>
              </w:rPr>
            </w:pPr>
            <w:r w:rsidRPr="009B3704">
              <w:rPr>
                <w:lang w:eastAsia="en-AU"/>
              </w:rPr>
              <w:t>New Titles (subdivisions) created within three weeks</w:t>
            </w:r>
          </w:p>
        </w:tc>
        <w:tc>
          <w:tcPr>
            <w:tcW w:w="908"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9B3704" w:rsidRDefault="00B958B1" w:rsidP="009F3B54">
            <w:pPr>
              <w:pStyle w:val="OGTableofFigures"/>
              <w:rPr>
                <w:lang w:eastAsia="en-AU"/>
              </w:rPr>
            </w:pPr>
            <w:r w:rsidRPr="009B3704">
              <w:rPr>
                <w:lang w:eastAsia="en-AU"/>
              </w:rPr>
              <w:t>95</w:t>
            </w:r>
          </w:p>
        </w:tc>
        <w:tc>
          <w:tcPr>
            <w:tcW w:w="994"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95</w:t>
            </w:r>
          </w:p>
        </w:tc>
        <w:tc>
          <w:tcPr>
            <w:tcW w:w="907"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95</w:t>
            </w:r>
          </w:p>
        </w:tc>
        <w:tc>
          <w:tcPr>
            <w:tcW w:w="906" w:type="dxa"/>
            <w:tcBorders>
              <w:top w:val="single" w:sz="6" w:space="0" w:color="auto"/>
              <w:left w:val="nil"/>
              <w:bottom w:val="single" w:sz="6" w:space="0" w:color="auto"/>
              <w:right w:val="nil"/>
            </w:tcBorders>
            <w:shd w:val="clear" w:color="000000" w:fill="FFFFFF"/>
            <w:hideMark/>
          </w:tcPr>
          <w:p w:rsidR="00B958B1" w:rsidRPr="009B3704" w:rsidRDefault="00B958B1" w:rsidP="009F3B54">
            <w:pPr>
              <w:pStyle w:val="OGTableofFigures"/>
              <w:rPr>
                <w:lang w:eastAsia="en-AU"/>
              </w:rPr>
            </w:pPr>
            <w:r w:rsidRPr="009B3704">
              <w:rPr>
                <w:lang w:eastAsia="en-AU"/>
              </w:rPr>
              <w:t>95</w:t>
            </w:r>
          </w:p>
        </w:tc>
      </w:tr>
      <w:tr w:rsidR="00B958B1" w:rsidRPr="009B3704"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9B3704" w:rsidRDefault="00B958B1" w:rsidP="009F3B54">
            <w:pPr>
              <w:pStyle w:val="OGTabHead"/>
              <w:rPr>
                <w:lang w:eastAsia="en-AU"/>
              </w:rPr>
            </w:pPr>
            <w:r w:rsidRPr="00627E76">
              <w:rPr>
                <w:iCs/>
                <w:lang w:eastAsia="en-AU"/>
              </w:rPr>
              <w:t>Cost</w:t>
            </w:r>
          </w:p>
        </w:tc>
        <w:tc>
          <w:tcPr>
            <w:tcW w:w="908" w:type="dxa"/>
            <w:tcBorders>
              <w:top w:val="single" w:sz="6" w:space="0" w:color="auto"/>
              <w:left w:val="nil"/>
              <w:right w:val="nil"/>
            </w:tcBorders>
            <w:shd w:val="clear" w:color="auto" w:fill="auto"/>
            <w:vAlign w:val="bottom"/>
            <w:hideMark/>
          </w:tcPr>
          <w:p w:rsidR="00B958B1" w:rsidRPr="009B3704" w:rsidRDefault="00B958B1" w:rsidP="009F3B54">
            <w:pPr>
              <w:pStyle w:val="OGUoM"/>
              <w:rPr>
                <w:lang w:eastAsia="en-AU"/>
              </w:rPr>
            </w:pPr>
          </w:p>
        </w:tc>
        <w:tc>
          <w:tcPr>
            <w:tcW w:w="907" w:type="dxa"/>
            <w:tcBorders>
              <w:top w:val="single" w:sz="6" w:space="0" w:color="auto"/>
              <w:left w:val="nil"/>
              <w:right w:val="nil"/>
            </w:tcBorders>
            <w:shd w:val="clear" w:color="auto" w:fill="D9D9D9"/>
            <w:vAlign w:val="bottom"/>
            <w:hideMark/>
          </w:tcPr>
          <w:p w:rsidR="00B958B1" w:rsidRPr="009B3704" w:rsidRDefault="00B958B1" w:rsidP="009F3B54">
            <w:pPr>
              <w:pStyle w:val="OGTableofFigures"/>
              <w:rPr>
                <w:lang w:eastAsia="en-AU"/>
              </w:rPr>
            </w:pPr>
          </w:p>
        </w:tc>
        <w:tc>
          <w:tcPr>
            <w:tcW w:w="994"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7"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c>
          <w:tcPr>
            <w:tcW w:w="906" w:type="dxa"/>
            <w:tcBorders>
              <w:top w:val="single" w:sz="6" w:space="0" w:color="auto"/>
              <w:left w:val="nil"/>
              <w:right w:val="nil"/>
            </w:tcBorders>
            <w:shd w:val="clear" w:color="auto" w:fill="auto"/>
            <w:vAlign w:val="bottom"/>
            <w:hideMark/>
          </w:tcPr>
          <w:p w:rsidR="00B958B1" w:rsidRPr="009B3704" w:rsidRDefault="00B958B1" w:rsidP="009F3B54">
            <w:pPr>
              <w:pStyle w:val="OGTableofFigures"/>
              <w:rPr>
                <w:lang w:eastAsia="en-AU"/>
              </w:rPr>
            </w:pPr>
          </w:p>
        </w:tc>
      </w:tr>
      <w:tr w:rsidR="00B958B1" w:rsidRPr="009B3704" w:rsidTr="009F3B54">
        <w:trPr>
          <w:gridAfter w:val="1"/>
          <w:wAfter w:w="6" w:type="dxa"/>
          <w:cantSplit/>
        </w:trPr>
        <w:tc>
          <w:tcPr>
            <w:tcW w:w="3154" w:type="dxa"/>
            <w:tcBorders>
              <w:top w:val="nil"/>
              <w:left w:val="nil"/>
              <w:bottom w:val="single" w:sz="12" w:space="0" w:color="auto"/>
              <w:right w:val="nil"/>
            </w:tcBorders>
            <w:shd w:val="clear" w:color="000000" w:fill="FFFFFF"/>
            <w:hideMark/>
          </w:tcPr>
          <w:p w:rsidR="00B958B1" w:rsidRDefault="00B958B1" w:rsidP="009F3B54">
            <w:pPr>
              <w:pStyle w:val="OGTabText"/>
              <w:rPr>
                <w:lang w:eastAsia="en-AU"/>
              </w:rPr>
            </w:pPr>
            <w:r w:rsidRPr="009B3704">
              <w:rPr>
                <w:lang w:eastAsia="en-AU"/>
              </w:rPr>
              <w:t>Total output cost</w:t>
            </w:r>
          </w:p>
          <w:p w:rsidR="00B958B1" w:rsidRPr="00342024" w:rsidRDefault="00B958B1" w:rsidP="009F3B54">
            <w:pPr>
              <w:pStyle w:val="OGTabText"/>
              <w:ind w:left="720" w:hanging="323"/>
              <w:rPr>
                <w:i/>
                <w:sz w:val="15"/>
                <w:szCs w:val="15"/>
                <w:lang w:eastAsia="en-AU"/>
              </w:rPr>
            </w:pPr>
            <w:r>
              <w:rPr>
                <w:i/>
                <w:sz w:val="15"/>
                <w:szCs w:val="15"/>
              </w:rPr>
              <w:t>This is a new output in 2013</w:t>
            </w:r>
            <w:r w:rsidR="009F0F49">
              <w:rPr>
                <w:i/>
                <w:sz w:val="15"/>
                <w:szCs w:val="15"/>
              </w:rPr>
              <w:noBreakHyphen/>
            </w:r>
            <w:r>
              <w:rPr>
                <w:i/>
                <w:sz w:val="15"/>
                <w:szCs w:val="15"/>
              </w:rPr>
              <w:t xml:space="preserve">14. </w:t>
            </w:r>
          </w:p>
        </w:tc>
        <w:tc>
          <w:tcPr>
            <w:tcW w:w="908" w:type="dxa"/>
            <w:tcBorders>
              <w:top w:val="nil"/>
              <w:left w:val="nil"/>
              <w:bottom w:val="single" w:sz="12" w:space="0" w:color="auto"/>
              <w:right w:val="nil"/>
            </w:tcBorders>
            <w:shd w:val="clear" w:color="000000" w:fill="FFFFFF"/>
            <w:hideMark/>
          </w:tcPr>
          <w:p w:rsidR="00B958B1" w:rsidRPr="009B3704" w:rsidRDefault="00B958B1" w:rsidP="009F3B54">
            <w:pPr>
              <w:pStyle w:val="OGUoM"/>
              <w:rPr>
                <w:lang w:eastAsia="en-AU"/>
              </w:rPr>
            </w:pPr>
            <w:r>
              <w:rPr>
                <w:lang w:eastAsia="en-AU"/>
              </w:rPr>
              <w:t>$ million</w:t>
            </w:r>
          </w:p>
        </w:tc>
        <w:tc>
          <w:tcPr>
            <w:tcW w:w="907" w:type="dxa"/>
            <w:tcBorders>
              <w:top w:val="nil"/>
              <w:left w:val="nil"/>
              <w:bottom w:val="single" w:sz="12" w:space="0" w:color="auto"/>
              <w:right w:val="nil"/>
            </w:tcBorders>
            <w:shd w:val="clear" w:color="auto" w:fill="D9D9D9"/>
            <w:hideMark/>
          </w:tcPr>
          <w:p w:rsidR="00B958B1" w:rsidRPr="009B3704" w:rsidRDefault="00B958B1" w:rsidP="009F3B54">
            <w:pPr>
              <w:pStyle w:val="OGTableofFigures"/>
              <w:rPr>
                <w:lang w:eastAsia="en-AU"/>
              </w:rPr>
            </w:pPr>
            <w:r>
              <w:rPr>
                <w:lang w:eastAsia="en-AU"/>
              </w:rPr>
              <w:t>76.7</w:t>
            </w:r>
          </w:p>
        </w:tc>
        <w:tc>
          <w:tcPr>
            <w:tcW w:w="994" w:type="dxa"/>
            <w:tcBorders>
              <w:top w:val="nil"/>
              <w:left w:val="nil"/>
              <w:bottom w:val="single" w:sz="12" w:space="0" w:color="auto"/>
              <w:right w:val="nil"/>
            </w:tcBorders>
            <w:shd w:val="clear" w:color="000000" w:fill="FFFFFF"/>
            <w:hideMark/>
          </w:tcPr>
          <w:p w:rsidR="00B958B1" w:rsidRPr="009B3704" w:rsidRDefault="00B958B1" w:rsidP="009F3B54">
            <w:pPr>
              <w:pStyle w:val="OGTableofFigures"/>
              <w:rPr>
                <w:lang w:eastAsia="en-AU"/>
              </w:rPr>
            </w:pPr>
            <w:r>
              <w:rPr>
                <w:lang w:eastAsia="en-AU"/>
              </w:rPr>
              <w:t>na</w:t>
            </w:r>
          </w:p>
        </w:tc>
        <w:tc>
          <w:tcPr>
            <w:tcW w:w="907" w:type="dxa"/>
            <w:tcBorders>
              <w:top w:val="nil"/>
              <w:left w:val="nil"/>
              <w:bottom w:val="single" w:sz="12" w:space="0" w:color="auto"/>
              <w:right w:val="nil"/>
            </w:tcBorders>
            <w:shd w:val="clear" w:color="000000" w:fill="FFFFFF"/>
            <w:hideMark/>
          </w:tcPr>
          <w:p w:rsidR="00B958B1" w:rsidRPr="009B3704" w:rsidRDefault="00B958B1" w:rsidP="009F3B54">
            <w:pPr>
              <w:pStyle w:val="OGTableofFigures"/>
              <w:rPr>
                <w:lang w:eastAsia="en-AU"/>
              </w:rPr>
            </w:pPr>
            <w:r>
              <w:rPr>
                <w:lang w:eastAsia="en-AU"/>
              </w:rPr>
              <w:t>na</w:t>
            </w:r>
          </w:p>
        </w:tc>
        <w:tc>
          <w:tcPr>
            <w:tcW w:w="906" w:type="dxa"/>
            <w:tcBorders>
              <w:top w:val="nil"/>
              <w:left w:val="nil"/>
              <w:bottom w:val="single" w:sz="12" w:space="0" w:color="auto"/>
              <w:right w:val="nil"/>
            </w:tcBorders>
            <w:shd w:val="clear" w:color="000000" w:fill="FFFFFF"/>
            <w:hideMark/>
          </w:tcPr>
          <w:p w:rsidR="00B958B1" w:rsidRDefault="00B958B1" w:rsidP="009F3B54">
            <w:pPr>
              <w:pStyle w:val="OGTableofFigures"/>
              <w:rPr>
                <w:lang w:eastAsia="en-AU"/>
              </w:rPr>
            </w:pPr>
            <w:r>
              <w:rPr>
                <w:lang w:eastAsia="en-AU"/>
              </w:rPr>
              <w:t>na</w:t>
            </w:r>
          </w:p>
          <w:p w:rsidR="00B958B1" w:rsidRPr="009B3704" w:rsidRDefault="00B958B1" w:rsidP="009F3B54">
            <w:pPr>
              <w:pStyle w:val="OGTableofFigures"/>
              <w:rPr>
                <w:lang w:eastAsia="en-AU"/>
              </w:rPr>
            </w:pPr>
          </w:p>
        </w:tc>
      </w:tr>
    </w:tbl>
    <w:p w:rsidR="00B958B1" w:rsidRDefault="00B958B1" w:rsidP="009F3B54">
      <w:pPr>
        <w:pStyle w:val="Source"/>
      </w:pPr>
      <w:r>
        <w:t xml:space="preserve">Source: Department of Transport, Planning and Local Infrastructure </w:t>
      </w:r>
    </w:p>
    <w:p w:rsidR="00B958B1" w:rsidRDefault="00B958B1" w:rsidP="009F3B54">
      <w:pPr>
        <w:pStyle w:val="Source"/>
      </w:pPr>
      <w:r>
        <w:fldChar w:fldCharType="begin"/>
      </w:r>
      <w:r>
        <w:instrText xml:space="preserve"> XE "</w:instrText>
      </w:r>
      <w:r w:rsidRPr="001559A0">
        <w:instrText>Department of Transport, Planning and Local Infrastructure:Land Administration</w:instrText>
      </w:r>
      <w:r>
        <w:instrText xml:space="preserve">" \r "BP3DTPLILandAdmin" </w:instrText>
      </w:r>
      <w:r>
        <w:fldChar w:fldCharType="end"/>
      </w:r>
    </w:p>
    <w:bookmarkEnd w:id="143"/>
    <w:p w:rsidR="00B958B1" w:rsidRPr="00377B4E" w:rsidRDefault="00B958B1" w:rsidP="009F3B54">
      <w:pPr>
        <w:pStyle w:val="Source"/>
      </w:pPr>
    </w:p>
    <w:p w:rsidR="00B958B1" w:rsidRDefault="00B958B1" w:rsidP="00497606"/>
    <w:p w:rsidR="00B958B1" w:rsidRDefault="00B958B1" w:rsidP="00C45CC5">
      <w:pPr>
        <w:sectPr w:rsidR="00B958B1" w:rsidSect="004B42A1">
          <w:footerReference w:type="even" r:id="rId35"/>
          <w:footerReference w:type="default" r:id="rId36"/>
          <w:pgSz w:w="9979" w:h="14181" w:code="138"/>
          <w:pgMar w:top="1138" w:right="1138" w:bottom="1138" w:left="1138" w:header="720" w:footer="720" w:gutter="0"/>
          <w:cols w:space="708"/>
          <w:docGrid w:linePitch="360"/>
        </w:sectPr>
      </w:pPr>
    </w:p>
    <w:p w:rsidR="00B958B1" w:rsidRPr="00F16DCB" w:rsidRDefault="00B958B1" w:rsidP="009F3B54">
      <w:pPr>
        <w:pStyle w:val="Heading1"/>
      </w:pPr>
      <w:bookmarkStart w:id="144" w:name="_Toc355362288"/>
      <w:r>
        <w:t xml:space="preserve">Department of Treasury </w:t>
      </w:r>
      <w:r w:rsidRPr="00376BA6">
        <w:t>and</w:t>
      </w:r>
      <w:r w:rsidRPr="00F16DCB">
        <w:t xml:space="preserve"> Finance</w:t>
      </w:r>
      <w:bookmarkEnd w:id="144"/>
    </w:p>
    <w:p w:rsidR="00B958B1" w:rsidRDefault="00B958B1" w:rsidP="009F3B54">
      <w:pPr>
        <w:pStyle w:val="Heading2"/>
      </w:pPr>
      <w:r>
        <w:t>Ministerial portfolios</w:t>
      </w:r>
    </w:p>
    <w:p w:rsidR="00B958B1" w:rsidRDefault="00B958B1" w:rsidP="009F3B54">
      <w:pPr>
        <w:spacing w:before="60"/>
      </w:pPr>
      <w:r w:rsidRPr="00A80AE9">
        <w:t xml:space="preserve">The Department supports the ministerial portfolios of </w:t>
      </w:r>
      <w:r w:rsidRPr="00E60570">
        <w:t>Treasurer, Assistant Treasurer and Finance.</w:t>
      </w:r>
    </w:p>
    <w:p w:rsidR="00B958B1" w:rsidRDefault="00B958B1" w:rsidP="009F3B54">
      <w:pPr>
        <w:pStyle w:val="Heading2"/>
      </w:pPr>
      <w:r>
        <w:t>Departmental mission statement</w:t>
      </w:r>
    </w:p>
    <w:p w:rsidR="00B958B1" w:rsidRPr="00E60570" w:rsidRDefault="00B958B1" w:rsidP="009F3B54">
      <w:pPr>
        <w:spacing w:before="60"/>
      </w:pPr>
      <w:r w:rsidRPr="00E60570">
        <w:t>The Department of Treasury and Finance</w:t>
      </w:r>
      <w:r>
        <w:t>’</w:t>
      </w:r>
      <w:r w:rsidRPr="00E60570">
        <w:t>s mission is to provide leadership in economic, financial and resource management.</w:t>
      </w:r>
      <w:r>
        <w:t xml:space="preserve"> </w:t>
      </w:r>
    </w:p>
    <w:p w:rsidR="00B958B1" w:rsidRPr="008F6B2D" w:rsidRDefault="00B958B1" w:rsidP="009F3B54">
      <w:pPr>
        <w:pStyle w:val="Heading2"/>
      </w:pPr>
      <w:r>
        <w:t xml:space="preserve">Departmental objectives, </w:t>
      </w:r>
      <w:r w:rsidRPr="008F6B2D">
        <w:t>indicators</w:t>
      </w:r>
      <w:r>
        <w:t xml:space="preserve"> and outputs</w:t>
      </w:r>
    </w:p>
    <w:p w:rsidR="00B958B1" w:rsidRDefault="00B958B1" w:rsidP="009F3B54">
      <w:pPr>
        <w:spacing w:before="60"/>
      </w:pPr>
      <w:r>
        <w:t>T</w:t>
      </w:r>
      <w:r w:rsidRPr="00A80AE9">
        <w:t>he Depar</w:t>
      </w:r>
      <w:r>
        <w:t>tment of Treasury and Finance’s objectives, indicators and linked outputs are</w:t>
      </w:r>
      <w:r w:rsidRPr="00A80AE9">
        <w:t>:</w:t>
      </w:r>
    </w:p>
    <w:tbl>
      <w:tblPr>
        <w:tblStyle w:val="TableGrid"/>
        <w:tblW w:w="7776" w:type="dxa"/>
        <w:tblInd w:w="29" w:type="dxa"/>
        <w:tblBorders>
          <w:insideH w:val="single" w:sz="6" w:space="0" w:color="auto"/>
        </w:tblBorders>
        <w:tblLayout w:type="fixed"/>
        <w:tblCellMar>
          <w:left w:w="43" w:type="dxa"/>
          <w:right w:w="43" w:type="dxa"/>
        </w:tblCellMar>
        <w:tblLook w:val="04A0" w:firstRow="1" w:lastRow="0" w:firstColumn="1" w:lastColumn="0" w:noHBand="0" w:noVBand="1"/>
      </w:tblPr>
      <w:tblGrid>
        <w:gridCol w:w="2592"/>
        <w:gridCol w:w="2592"/>
        <w:gridCol w:w="2592"/>
      </w:tblGrid>
      <w:tr w:rsidR="00B958B1" w:rsidTr="009F3B54">
        <w:trPr>
          <w:cantSplit/>
          <w:tblHeader/>
        </w:trPr>
        <w:tc>
          <w:tcPr>
            <w:tcW w:w="2592" w:type="dxa"/>
            <w:tcBorders>
              <w:bottom w:val="single" w:sz="6" w:space="0" w:color="auto"/>
            </w:tcBorders>
            <w:shd w:val="clear" w:color="auto" w:fill="000000"/>
          </w:tcPr>
          <w:p w:rsidR="00B958B1" w:rsidRDefault="00B958B1" w:rsidP="009F3B54">
            <w:pPr>
              <w:pStyle w:val="TabletextheadingLeft0"/>
            </w:pPr>
            <w:r w:rsidRPr="00442107">
              <w:rPr>
                <w:highlight w:val="black"/>
                <w:lang w:eastAsia="en-AU"/>
              </w:rPr>
              <w:t>Departmental objective</w:t>
            </w:r>
            <w:r>
              <w:rPr>
                <w:highlight w:val="black"/>
                <w:lang w:eastAsia="en-AU"/>
              </w:rPr>
              <w:t>s</w:t>
            </w:r>
          </w:p>
        </w:tc>
        <w:tc>
          <w:tcPr>
            <w:tcW w:w="2592" w:type="dxa"/>
            <w:tcBorders>
              <w:bottom w:val="single" w:sz="6" w:space="0" w:color="auto"/>
            </w:tcBorders>
            <w:shd w:val="clear" w:color="auto" w:fill="000000"/>
          </w:tcPr>
          <w:p w:rsidR="00B958B1" w:rsidRDefault="00B958B1" w:rsidP="009F3B54">
            <w:pPr>
              <w:pStyle w:val="TabletextheadingLeft0"/>
            </w:pPr>
            <w:r>
              <w:t>Indicators</w:t>
            </w:r>
          </w:p>
        </w:tc>
        <w:tc>
          <w:tcPr>
            <w:tcW w:w="2592" w:type="dxa"/>
            <w:tcBorders>
              <w:bottom w:val="single" w:sz="6" w:space="0" w:color="auto"/>
            </w:tcBorders>
            <w:shd w:val="clear" w:color="auto" w:fill="000000"/>
          </w:tcPr>
          <w:p w:rsidR="00B958B1" w:rsidRDefault="00B958B1" w:rsidP="009F3B54">
            <w:pPr>
              <w:pStyle w:val="TabletextheadingLeft0"/>
            </w:pPr>
            <w:r w:rsidRPr="00442107">
              <w:rPr>
                <w:highlight w:val="black"/>
                <w:lang w:eastAsia="en-AU"/>
              </w:rPr>
              <w:t>Output</w:t>
            </w:r>
            <w:r>
              <w:rPr>
                <w:highlight w:val="black"/>
                <w:lang w:eastAsia="en-AU"/>
              </w:rPr>
              <w:t>s</w:t>
            </w:r>
          </w:p>
        </w:tc>
      </w:tr>
      <w:tr w:rsidR="00B958B1" w:rsidTr="009F3B54">
        <w:trPr>
          <w:cantSplit/>
        </w:trPr>
        <w:tc>
          <w:tcPr>
            <w:tcW w:w="2592" w:type="dxa"/>
            <w:tcBorders>
              <w:top w:val="single" w:sz="6" w:space="0" w:color="auto"/>
              <w:bottom w:val="single" w:sz="6" w:space="0" w:color="auto"/>
            </w:tcBorders>
          </w:tcPr>
          <w:p w:rsidR="00B958B1" w:rsidRPr="00CC5EF1" w:rsidRDefault="00B958B1" w:rsidP="009F3B54">
            <w:pPr>
              <w:pStyle w:val="Tabletextnoindent"/>
              <w:rPr>
                <w:b/>
              </w:rPr>
            </w:pPr>
            <w:r w:rsidRPr="00CC5EF1">
              <w:rPr>
                <w:b/>
              </w:rPr>
              <w:t>Sound financial management of Victoria</w:t>
            </w:r>
            <w:r>
              <w:rPr>
                <w:b/>
              </w:rPr>
              <w:t>’</w:t>
            </w:r>
            <w:r w:rsidRPr="00CC5EF1">
              <w:rPr>
                <w:b/>
              </w:rPr>
              <w:t xml:space="preserve">s fiscal resources </w:t>
            </w:r>
          </w:p>
          <w:p w:rsidR="00B958B1" w:rsidRPr="005F77A1" w:rsidRDefault="00B958B1" w:rsidP="009F3B54">
            <w:pPr>
              <w:pStyle w:val="Tabletextnoindent"/>
            </w:pPr>
            <w:r w:rsidRPr="005F77A1">
              <w:t>The Department of Treasury and Finance has a central role in shaping Victoria</w:t>
            </w:r>
            <w:r>
              <w:t>’s economic, social</w:t>
            </w:r>
            <w:r w:rsidRPr="005F77A1">
              <w:t xml:space="preserve"> and fiscal policy to ensure that Government financial policies are fiscally sound.</w:t>
            </w:r>
          </w:p>
        </w:tc>
        <w:tc>
          <w:tcPr>
            <w:tcW w:w="2592" w:type="dxa"/>
            <w:tcBorders>
              <w:top w:val="single" w:sz="6" w:space="0" w:color="auto"/>
              <w:bottom w:val="single" w:sz="6" w:space="0" w:color="auto"/>
            </w:tcBorders>
          </w:tcPr>
          <w:p w:rsidR="00B958B1" w:rsidRPr="004F1B9C" w:rsidRDefault="00B958B1" w:rsidP="009F3B54">
            <w:pPr>
              <w:pStyle w:val="Tabletextnoindent"/>
            </w:pPr>
            <w:r w:rsidRPr="004F1B9C">
              <w:t>Demonstrate strong fiscal discipline by maintaining an annual budget surplus of at least $100</w:t>
            </w:r>
            <w:r>
              <w:t> million</w:t>
            </w:r>
            <w:r w:rsidRPr="004F1B9C">
              <w:t>.</w:t>
            </w:r>
          </w:p>
          <w:p w:rsidR="00B958B1" w:rsidRPr="004F1B9C" w:rsidRDefault="00B958B1" w:rsidP="009F3B54">
            <w:pPr>
              <w:pStyle w:val="Tabletextnoindent"/>
            </w:pPr>
            <w:r w:rsidRPr="004F1B9C">
              <w:t>General government net debt reduced as a percentage of GSP over the decade to 2022</w:t>
            </w:r>
            <w:r>
              <w:t>.</w:t>
            </w:r>
          </w:p>
          <w:p w:rsidR="00B958B1" w:rsidRPr="005F77A1" w:rsidRDefault="00B958B1" w:rsidP="009F3B54">
            <w:pPr>
              <w:pStyle w:val="Tabletextnoindent"/>
            </w:pPr>
            <w:r w:rsidRPr="004F1B9C">
              <w:rPr>
                <w:szCs w:val="20"/>
              </w:rPr>
              <w:t>Effective financial risk management and prudential supervision of Public Financial Corporations and Public Non</w:t>
            </w:r>
            <w:r w:rsidR="009F0F49">
              <w:rPr>
                <w:szCs w:val="20"/>
              </w:rPr>
              <w:noBreakHyphen/>
            </w:r>
            <w:r w:rsidRPr="004F1B9C">
              <w:rPr>
                <w:szCs w:val="20"/>
              </w:rPr>
              <w:t>Financial Corporations.</w:t>
            </w:r>
            <w:r w:rsidRPr="005F77A1">
              <w:t xml:space="preserve"> </w:t>
            </w:r>
          </w:p>
        </w:tc>
        <w:tc>
          <w:tcPr>
            <w:tcW w:w="2592" w:type="dxa"/>
            <w:tcBorders>
              <w:top w:val="single" w:sz="6" w:space="0" w:color="auto"/>
              <w:bottom w:val="single" w:sz="6" w:space="0" w:color="auto"/>
            </w:tcBorders>
          </w:tcPr>
          <w:p w:rsidR="00B958B1" w:rsidRPr="004F1B9C" w:rsidRDefault="00B958B1" w:rsidP="009F3B54">
            <w:pPr>
              <w:pStyle w:val="Tabletext"/>
              <w:spacing w:after="80"/>
              <w:ind w:left="0" w:firstLine="0"/>
            </w:pPr>
            <w:r w:rsidRPr="004F1B9C">
              <w:t xml:space="preserve">Financial and Resource Management Frameworks </w:t>
            </w:r>
          </w:p>
          <w:p w:rsidR="00B958B1" w:rsidRPr="004F1B9C" w:rsidRDefault="00B958B1" w:rsidP="009F3B54">
            <w:pPr>
              <w:pStyle w:val="Tabletext"/>
              <w:spacing w:after="80"/>
              <w:ind w:left="0" w:firstLine="0"/>
            </w:pPr>
            <w:r w:rsidRPr="004F1B9C">
              <w:t>Budget and Financial Policy Advice</w:t>
            </w:r>
          </w:p>
          <w:p w:rsidR="00B958B1" w:rsidRPr="004F1B9C" w:rsidRDefault="00B958B1" w:rsidP="009F3B54">
            <w:pPr>
              <w:pStyle w:val="Tabletext"/>
              <w:spacing w:after="80"/>
              <w:ind w:left="0" w:firstLine="0"/>
            </w:pPr>
            <w:r w:rsidRPr="004F1B9C">
              <w:t xml:space="preserve">Financial Reporting </w:t>
            </w:r>
          </w:p>
          <w:p w:rsidR="00B958B1" w:rsidRPr="004F1B9C" w:rsidRDefault="00B958B1" w:rsidP="009F3B54">
            <w:pPr>
              <w:pStyle w:val="Tabletextnoindent"/>
            </w:pPr>
            <w:r w:rsidRPr="004F1B9C">
              <w:t>GBE Performance Monitoring and Financial Risk Management</w:t>
            </w:r>
          </w:p>
          <w:p w:rsidR="00B958B1" w:rsidRPr="005F77A1" w:rsidRDefault="00B958B1" w:rsidP="009F3B54">
            <w:pPr>
              <w:pStyle w:val="Tabletext"/>
              <w:spacing w:after="80"/>
              <w:ind w:left="0" w:firstLine="0"/>
            </w:pPr>
            <w:r w:rsidRPr="004F1B9C">
              <w:t>Revenue Management Services to Government</w:t>
            </w:r>
          </w:p>
        </w:tc>
      </w:tr>
      <w:tr w:rsidR="00B958B1" w:rsidTr="009F3B54">
        <w:trPr>
          <w:cantSplit/>
        </w:trPr>
        <w:tc>
          <w:tcPr>
            <w:tcW w:w="2592" w:type="dxa"/>
            <w:tcBorders>
              <w:top w:val="single" w:sz="6" w:space="0" w:color="auto"/>
              <w:bottom w:val="single" w:sz="6" w:space="0" w:color="auto"/>
            </w:tcBorders>
          </w:tcPr>
          <w:p w:rsidR="00B958B1" w:rsidRPr="004F1B9C" w:rsidRDefault="00B958B1" w:rsidP="009F3B54">
            <w:pPr>
              <w:pStyle w:val="Tabletextnoindent"/>
              <w:rPr>
                <w:b/>
              </w:rPr>
            </w:pPr>
            <w:r w:rsidRPr="004F1B9C">
              <w:rPr>
                <w:b/>
              </w:rPr>
              <w:t>Guide government actions to increase Victoria</w:t>
            </w:r>
            <w:r>
              <w:rPr>
                <w:b/>
              </w:rPr>
              <w:t>’</w:t>
            </w:r>
            <w:r w:rsidRPr="004F1B9C">
              <w:rPr>
                <w:b/>
              </w:rPr>
              <w:t>s productivity and competitiveness</w:t>
            </w:r>
          </w:p>
          <w:p w:rsidR="00B958B1" w:rsidRPr="005F77A1" w:rsidRDefault="00B958B1" w:rsidP="009F3B54">
            <w:pPr>
              <w:pStyle w:val="Tabletextnoindent"/>
            </w:pPr>
            <w:r w:rsidRPr="005F77A1">
              <w:t>The Department of Treasury and Finance provides Government with advice on key economic and fin</w:t>
            </w:r>
            <w:r>
              <w:t>ancial issues, including longer</w:t>
            </w:r>
            <w:r w:rsidR="009F0F49">
              <w:noBreakHyphen/>
            </w:r>
            <w:r w:rsidRPr="005F77A1">
              <w:t>term economic development, regulation, financial strategy and taxation policy.</w:t>
            </w:r>
          </w:p>
        </w:tc>
        <w:tc>
          <w:tcPr>
            <w:tcW w:w="2592" w:type="dxa"/>
            <w:tcBorders>
              <w:top w:val="single" w:sz="6" w:space="0" w:color="auto"/>
              <w:bottom w:val="single" w:sz="6" w:space="0" w:color="auto"/>
            </w:tcBorders>
          </w:tcPr>
          <w:p w:rsidR="00B958B1" w:rsidRPr="005F77A1" w:rsidRDefault="00B958B1" w:rsidP="009F3B54">
            <w:pPr>
              <w:pStyle w:val="Tabletextnoindent"/>
            </w:pPr>
            <w:r w:rsidRPr="005F77A1">
              <w:t>Reduce regulatory burden by 25</w:t>
            </w:r>
            <w:r>
              <w:t> per cent</w:t>
            </w:r>
            <w:r w:rsidRPr="005F77A1">
              <w:t xml:space="preserve"> by 2014 through streamlining regulatory requirements.</w:t>
            </w:r>
          </w:p>
          <w:p w:rsidR="00B958B1" w:rsidRPr="005F77A1" w:rsidRDefault="00B958B1" w:rsidP="009F3B54">
            <w:pPr>
              <w:pStyle w:val="Tabletextnoindent"/>
            </w:pPr>
            <w:r w:rsidRPr="005F77A1">
              <w:t>Ensure approved Public Sector EBAs comply with wages policy and support improvements to productivity and workplace reform.</w:t>
            </w:r>
          </w:p>
          <w:p w:rsidR="00B958B1" w:rsidRPr="005F77A1" w:rsidRDefault="00B958B1" w:rsidP="009F3B54">
            <w:pPr>
              <w:pStyle w:val="Tabletextnoindent"/>
            </w:pPr>
            <w:r w:rsidRPr="005F77A1">
              <w:t xml:space="preserve">Reduce the costs and barriers to doing business in Victoria. </w:t>
            </w:r>
          </w:p>
        </w:tc>
        <w:tc>
          <w:tcPr>
            <w:tcW w:w="2592" w:type="dxa"/>
            <w:tcBorders>
              <w:top w:val="single" w:sz="6" w:space="0" w:color="auto"/>
              <w:bottom w:val="single" w:sz="6" w:space="0" w:color="auto"/>
            </w:tcBorders>
          </w:tcPr>
          <w:p w:rsidR="00B958B1" w:rsidRPr="005F77A1" w:rsidRDefault="00B958B1" w:rsidP="009F3B54">
            <w:pPr>
              <w:pStyle w:val="Tabletextnoindent"/>
            </w:pPr>
            <w:r w:rsidRPr="005F77A1">
              <w:t xml:space="preserve">Economic and Financial Policy </w:t>
            </w:r>
          </w:p>
          <w:p w:rsidR="00B958B1" w:rsidRPr="005F77A1" w:rsidRDefault="00B958B1" w:rsidP="009F3B54">
            <w:pPr>
              <w:pStyle w:val="Tabletextnoindent"/>
            </w:pPr>
            <w:r w:rsidRPr="005F77A1">
              <w:t xml:space="preserve">Economic Regulatory Services </w:t>
            </w:r>
          </w:p>
          <w:p w:rsidR="00B958B1" w:rsidRPr="005F77A1" w:rsidRDefault="00B958B1" w:rsidP="009F3B54">
            <w:pPr>
              <w:pStyle w:val="Tabletextnoindent"/>
            </w:pPr>
            <w:r w:rsidRPr="005F77A1">
              <w:t>Business Environment Policy Advice</w:t>
            </w:r>
          </w:p>
        </w:tc>
      </w:tr>
      <w:tr w:rsidR="00B958B1" w:rsidTr="009F3B54">
        <w:trPr>
          <w:cantSplit/>
        </w:trPr>
        <w:tc>
          <w:tcPr>
            <w:tcW w:w="2592" w:type="dxa"/>
            <w:tcBorders>
              <w:top w:val="single" w:sz="6" w:space="0" w:color="auto"/>
              <w:bottom w:val="single" w:sz="6" w:space="0" w:color="auto"/>
            </w:tcBorders>
          </w:tcPr>
          <w:p w:rsidR="00B958B1" w:rsidRPr="004F1B9C" w:rsidRDefault="00B958B1" w:rsidP="009F3B54">
            <w:pPr>
              <w:pStyle w:val="Tabletextnoindent"/>
              <w:rPr>
                <w:b/>
              </w:rPr>
            </w:pPr>
            <w:r w:rsidRPr="004F1B9C">
              <w:rPr>
                <w:b/>
              </w:rPr>
              <w:t>Drive improvement in public sector asset management and the delivery of infrastructure</w:t>
            </w:r>
          </w:p>
          <w:p w:rsidR="00B958B1" w:rsidRPr="006E1E96" w:rsidRDefault="00B958B1" w:rsidP="009F3B54">
            <w:pPr>
              <w:pStyle w:val="Tabletextnoindent"/>
            </w:pPr>
            <w:r>
              <w:t xml:space="preserve">The Department of Treasury and Finance develops and applies prudent commercial principles and </w:t>
            </w:r>
            <w:r w:rsidRPr="007B7BD6">
              <w:t>practices</w:t>
            </w:r>
            <w:r>
              <w:t xml:space="preserve"> to influence and deliver Government policies. This promotes transparent and accountable commercial principles and practices throughout the public sector, and ensures that Government owned property assets are managed and used efficiently.</w:t>
            </w:r>
          </w:p>
        </w:tc>
        <w:tc>
          <w:tcPr>
            <w:tcW w:w="2592" w:type="dxa"/>
            <w:tcBorders>
              <w:top w:val="single" w:sz="6" w:space="0" w:color="auto"/>
              <w:bottom w:val="single" w:sz="6" w:space="0" w:color="auto"/>
            </w:tcBorders>
          </w:tcPr>
          <w:p w:rsidR="00B958B1" w:rsidRPr="005F77A1" w:rsidRDefault="00B958B1" w:rsidP="009F3B54">
            <w:pPr>
              <w:pStyle w:val="Tabletextnoindent"/>
            </w:pPr>
            <w:r w:rsidRPr="005F77A1">
              <w:t xml:space="preserve">Ensure High Value High Risk Government projects are completed within agreed timeframes and scope through ensuring adherence to standards. </w:t>
            </w:r>
          </w:p>
          <w:p w:rsidR="00B958B1" w:rsidRPr="005F77A1" w:rsidRDefault="00B958B1" w:rsidP="009F3B54">
            <w:pPr>
              <w:pStyle w:val="Tabletextnoindent"/>
            </w:pPr>
            <w:r w:rsidRPr="005F77A1">
              <w:t>Enable efficient and accountable asset management by implementing a new Asset Management Accountability Framework in 2013</w:t>
            </w:r>
            <w:r w:rsidR="009F0F49">
              <w:noBreakHyphen/>
            </w:r>
            <w:r w:rsidRPr="005F77A1">
              <w:t xml:space="preserve">14. </w:t>
            </w:r>
          </w:p>
          <w:p w:rsidR="00B958B1" w:rsidRPr="005F77A1" w:rsidRDefault="00B958B1" w:rsidP="009F3B54">
            <w:pPr>
              <w:pStyle w:val="Tabletextnoindent"/>
            </w:pPr>
            <w:r w:rsidRPr="005F77A1">
              <w:t>Increased engagement with industry to enable improved compliance and productivity in the Vi</w:t>
            </w:r>
            <w:r>
              <w:t xml:space="preserve">ctorian construction industry. </w:t>
            </w:r>
          </w:p>
        </w:tc>
        <w:tc>
          <w:tcPr>
            <w:tcW w:w="2592" w:type="dxa"/>
            <w:tcBorders>
              <w:top w:val="single" w:sz="6" w:space="0" w:color="auto"/>
              <w:bottom w:val="single" w:sz="6" w:space="0" w:color="auto"/>
            </w:tcBorders>
          </w:tcPr>
          <w:p w:rsidR="00B958B1" w:rsidRPr="00527144" w:rsidRDefault="00B958B1" w:rsidP="009F3B54">
            <w:pPr>
              <w:pStyle w:val="Tabletextnoindent"/>
            </w:pPr>
            <w:r w:rsidRPr="00527144">
              <w:t>Land and Infrastructure Investment Management</w:t>
            </w:r>
          </w:p>
        </w:tc>
      </w:tr>
      <w:tr w:rsidR="00B958B1" w:rsidTr="009F3B54">
        <w:trPr>
          <w:cantSplit/>
        </w:trPr>
        <w:tc>
          <w:tcPr>
            <w:tcW w:w="2592" w:type="dxa"/>
            <w:tcBorders>
              <w:top w:val="single" w:sz="6" w:space="0" w:color="auto"/>
              <w:bottom w:val="single" w:sz="12" w:space="0" w:color="auto"/>
            </w:tcBorders>
          </w:tcPr>
          <w:p w:rsidR="00B958B1" w:rsidRPr="004F1B9C" w:rsidRDefault="00B958B1" w:rsidP="009F3B54">
            <w:pPr>
              <w:pStyle w:val="Tabletextnoindent"/>
              <w:rPr>
                <w:b/>
              </w:rPr>
            </w:pPr>
            <w:r w:rsidRPr="004F1B9C">
              <w:rPr>
                <w:b/>
              </w:rPr>
              <w:t>Deliver efficient whole of government common services to the Victorian public sector</w:t>
            </w:r>
          </w:p>
          <w:p w:rsidR="00B958B1" w:rsidRPr="001370ED" w:rsidRDefault="00B958B1" w:rsidP="009F3B54">
            <w:pPr>
              <w:pStyle w:val="Tabletextnoindent"/>
            </w:pPr>
            <w:r>
              <w:t xml:space="preserve">The Department of Treasury and Finance assists Government agencies in providing a more integrated </w:t>
            </w:r>
            <w:r w:rsidRPr="007B7BD6">
              <w:t>approach</w:t>
            </w:r>
            <w:r>
              <w:t xml:space="preserve"> to the management of common services.</w:t>
            </w:r>
          </w:p>
        </w:tc>
        <w:tc>
          <w:tcPr>
            <w:tcW w:w="2592" w:type="dxa"/>
            <w:tcBorders>
              <w:top w:val="single" w:sz="6" w:space="0" w:color="auto"/>
              <w:bottom w:val="single" w:sz="12" w:space="0" w:color="auto"/>
            </w:tcBorders>
          </w:tcPr>
          <w:p w:rsidR="00B958B1" w:rsidRPr="005F77A1" w:rsidRDefault="00B958B1" w:rsidP="009F3B54">
            <w:pPr>
              <w:pStyle w:val="Tabletextnoindent"/>
            </w:pPr>
            <w:r w:rsidRPr="005F77A1">
              <w:t>Drive productivity and efficiency by increasing the benefits delivered from government procurement contracts</w:t>
            </w:r>
            <w:r>
              <w:t xml:space="preserve">. </w:t>
            </w:r>
          </w:p>
          <w:p w:rsidR="00B958B1" w:rsidRPr="005F77A1" w:rsidRDefault="00B958B1" w:rsidP="009F3B54">
            <w:pPr>
              <w:pStyle w:val="Tabletextnoindent"/>
            </w:pPr>
            <w:r w:rsidRPr="005F77A1">
              <w:t>Drive efficiency by maintaining low vacancy rates for go</w:t>
            </w:r>
            <w:r>
              <w:t xml:space="preserve">vernment office accommodation. </w:t>
            </w:r>
          </w:p>
        </w:tc>
        <w:tc>
          <w:tcPr>
            <w:tcW w:w="2592" w:type="dxa"/>
            <w:tcBorders>
              <w:top w:val="single" w:sz="6" w:space="0" w:color="auto"/>
              <w:bottom w:val="single" w:sz="12" w:space="0" w:color="auto"/>
            </w:tcBorders>
          </w:tcPr>
          <w:p w:rsidR="00B958B1" w:rsidRPr="00527144" w:rsidRDefault="00B958B1" w:rsidP="009F3B54">
            <w:pPr>
              <w:pStyle w:val="Tabletextnoindent"/>
            </w:pPr>
            <w:r>
              <w:t>Resource Management Services to Government</w:t>
            </w:r>
          </w:p>
        </w:tc>
      </w:tr>
    </w:tbl>
    <w:p w:rsidR="00B958B1" w:rsidRDefault="00B958B1" w:rsidP="009F3B54">
      <w:pPr>
        <w:pStyle w:val="Source"/>
      </w:pPr>
      <w:r>
        <w:t>Source: Department of Treasury and Finance</w:t>
      </w:r>
    </w:p>
    <w:p w:rsidR="00B958B1" w:rsidRDefault="00B958B1" w:rsidP="009F3B54">
      <w:pPr>
        <w:pStyle w:val="Source"/>
      </w:pPr>
    </w:p>
    <w:p w:rsidR="00B958B1" w:rsidRPr="00415349" w:rsidRDefault="00B958B1" w:rsidP="009F3B54">
      <w:pPr>
        <w:pStyle w:val="Heading2"/>
      </w:pPr>
      <w:r>
        <w:br w:type="page"/>
        <w:t>C</w:t>
      </w:r>
      <w:r w:rsidRPr="00415349">
        <w:t xml:space="preserve">hanges to the output structure </w:t>
      </w:r>
    </w:p>
    <w:p w:rsidR="00B958B1" w:rsidRDefault="00B958B1" w:rsidP="009F3B54">
      <w:pPr>
        <w:spacing w:before="60"/>
      </w:pPr>
      <w:r w:rsidRPr="001B5FD0">
        <w:t xml:space="preserve">The Department has made </w:t>
      </w:r>
      <w:r>
        <w:t>no</w:t>
      </w:r>
      <w:r w:rsidRPr="001B5FD0">
        <w:t xml:space="preserve"> changes to </w:t>
      </w:r>
      <w:r>
        <w:t xml:space="preserve">its </w:t>
      </w:r>
      <w:r w:rsidRPr="001B5FD0">
        <w:t>output structure</w:t>
      </w:r>
      <w:r>
        <w:t xml:space="preserve"> for 2013</w:t>
      </w:r>
      <w:r w:rsidR="009F0F49">
        <w:noBreakHyphen/>
      </w:r>
      <w:r>
        <w:t>14.</w:t>
      </w:r>
      <w:r w:rsidRPr="001B5FD0">
        <w:t xml:space="preserve"> </w:t>
      </w:r>
    </w:p>
    <w:p w:rsidR="00B958B1" w:rsidRDefault="00B958B1" w:rsidP="009F3B54">
      <w:pPr>
        <w:spacing w:before="60"/>
      </w:pPr>
      <w:r>
        <w:t>The following table summarises the Department’s total output cost by output group.</w:t>
      </w:r>
    </w:p>
    <w:p w:rsidR="00B958B1" w:rsidRDefault="00B958B1" w:rsidP="009F3B54">
      <w:pPr>
        <w:pStyle w:val="Tableheading"/>
      </w:pPr>
      <w:r>
        <w:t>Table 2.26:</w:t>
      </w:r>
      <w:r>
        <w:tab/>
        <w:t>Output summary</w:t>
      </w:r>
    </w:p>
    <w:p w:rsidR="00B958B1" w:rsidRPr="00CF3871" w:rsidRDefault="00B958B1" w:rsidP="009F3B54">
      <w:pPr>
        <w:pStyle w:val="million"/>
        <w:rPr>
          <w:sz w:val="20"/>
        </w:rPr>
      </w:pPr>
      <w:r>
        <w:rPr>
          <w:sz w:val="20"/>
        </w:rPr>
        <w:t>($ million)</w:t>
      </w:r>
    </w:p>
    <w:tbl>
      <w:tblPr>
        <w:tblW w:w="7776" w:type="dxa"/>
        <w:tblInd w:w="29" w:type="dxa"/>
        <w:tblLayout w:type="fixed"/>
        <w:tblCellMar>
          <w:left w:w="43" w:type="dxa"/>
          <w:right w:w="43" w:type="dxa"/>
        </w:tblCellMar>
        <w:tblLook w:val="0000" w:firstRow="0" w:lastRow="0" w:firstColumn="0" w:lastColumn="0" w:noHBand="0" w:noVBand="0"/>
      </w:tblPr>
      <w:tblGrid>
        <w:gridCol w:w="3983"/>
        <w:gridCol w:w="897"/>
        <w:gridCol w:w="897"/>
        <w:gridCol w:w="897"/>
        <w:gridCol w:w="1102"/>
      </w:tblGrid>
      <w:tr w:rsidR="00B958B1" w:rsidRPr="00CF3871" w:rsidTr="009F3B54">
        <w:tc>
          <w:tcPr>
            <w:tcW w:w="3983" w:type="dxa"/>
            <w:tcBorders>
              <w:top w:val="single" w:sz="4" w:space="0" w:color="auto"/>
              <w:left w:val="single" w:sz="4" w:space="0" w:color="auto"/>
              <w:bottom w:val="nil"/>
              <w:right w:val="nil"/>
            </w:tcBorders>
            <w:shd w:val="clear" w:color="auto" w:fill="000000"/>
          </w:tcPr>
          <w:p w:rsidR="00B958B1" w:rsidRPr="00CF3871" w:rsidRDefault="00B958B1" w:rsidP="009F3B54">
            <w:pPr>
              <w:pStyle w:val="Tabletext"/>
              <w:rPr>
                <w:lang w:eastAsia="en-AU"/>
              </w:rPr>
            </w:pPr>
            <w:r w:rsidRPr="00CF3871">
              <w:rPr>
                <w:lang w:eastAsia="en-AU"/>
              </w:rPr>
              <w:t xml:space="preserve">  </w:t>
            </w:r>
          </w:p>
        </w:tc>
        <w:tc>
          <w:tcPr>
            <w:tcW w:w="897" w:type="dxa"/>
            <w:tcBorders>
              <w:top w:val="single" w:sz="4" w:space="0" w:color="auto"/>
              <w:left w:val="nil"/>
              <w:bottom w:val="nil"/>
              <w:right w:val="nil"/>
            </w:tcBorders>
            <w:shd w:val="clear" w:color="auto" w:fill="000000"/>
          </w:tcPr>
          <w:p w:rsidR="00B958B1" w:rsidRPr="00CF3871" w:rsidRDefault="00B958B1" w:rsidP="009F3B54">
            <w:pPr>
              <w:pStyle w:val="Tabletextheading"/>
              <w:rPr>
                <w:lang w:eastAsia="en-AU"/>
              </w:rPr>
            </w:pPr>
            <w:r w:rsidRPr="00CF3871">
              <w:rPr>
                <w:lang w:eastAsia="en-AU"/>
              </w:rPr>
              <w:t>2012</w:t>
            </w:r>
            <w:r w:rsidR="009F0F49">
              <w:rPr>
                <w:lang w:eastAsia="en-AU"/>
              </w:rPr>
              <w:noBreakHyphen/>
            </w:r>
            <w:r w:rsidRPr="00CF3871">
              <w:rPr>
                <w:lang w:eastAsia="en-AU"/>
              </w:rPr>
              <w:t>13</w:t>
            </w:r>
          </w:p>
        </w:tc>
        <w:tc>
          <w:tcPr>
            <w:tcW w:w="897" w:type="dxa"/>
            <w:tcBorders>
              <w:top w:val="single" w:sz="4" w:space="0" w:color="auto"/>
              <w:left w:val="nil"/>
              <w:bottom w:val="nil"/>
              <w:right w:val="nil"/>
            </w:tcBorders>
            <w:shd w:val="clear" w:color="auto" w:fill="000000"/>
          </w:tcPr>
          <w:p w:rsidR="00B958B1" w:rsidRPr="00CF3871" w:rsidRDefault="00B958B1" w:rsidP="009F3B54">
            <w:pPr>
              <w:pStyle w:val="Tabletextheading"/>
              <w:rPr>
                <w:lang w:eastAsia="en-AU"/>
              </w:rPr>
            </w:pPr>
            <w:r w:rsidRPr="00CF3871">
              <w:rPr>
                <w:lang w:eastAsia="en-AU"/>
              </w:rPr>
              <w:t>2012</w:t>
            </w:r>
            <w:r w:rsidR="009F0F49">
              <w:rPr>
                <w:lang w:eastAsia="en-AU"/>
              </w:rPr>
              <w:noBreakHyphen/>
            </w:r>
            <w:r w:rsidRPr="00CF3871">
              <w:rPr>
                <w:lang w:eastAsia="en-AU"/>
              </w:rPr>
              <w:t>13</w:t>
            </w:r>
          </w:p>
        </w:tc>
        <w:tc>
          <w:tcPr>
            <w:tcW w:w="897" w:type="dxa"/>
            <w:tcBorders>
              <w:top w:val="single" w:sz="4" w:space="0" w:color="auto"/>
              <w:left w:val="nil"/>
              <w:bottom w:val="nil"/>
              <w:right w:val="nil"/>
            </w:tcBorders>
            <w:shd w:val="clear" w:color="auto" w:fill="000000"/>
          </w:tcPr>
          <w:p w:rsidR="00B958B1" w:rsidRPr="00CF3871" w:rsidRDefault="00B958B1" w:rsidP="009F3B54">
            <w:pPr>
              <w:pStyle w:val="Tabletextheading"/>
              <w:rPr>
                <w:lang w:eastAsia="en-AU"/>
              </w:rPr>
            </w:pPr>
            <w:r w:rsidRPr="00CF3871">
              <w:rPr>
                <w:lang w:eastAsia="en-AU"/>
              </w:rPr>
              <w:t>2013</w:t>
            </w:r>
            <w:r w:rsidR="009F0F49">
              <w:rPr>
                <w:lang w:eastAsia="en-AU"/>
              </w:rPr>
              <w:noBreakHyphen/>
            </w:r>
            <w:r w:rsidRPr="00CF3871">
              <w:rPr>
                <w:lang w:eastAsia="en-AU"/>
              </w:rPr>
              <w:t>14</w:t>
            </w:r>
          </w:p>
        </w:tc>
        <w:tc>
          <w:tcPr>
            <w:tcW w:w="1102" w:type="dxa"/>
            <w:tcBorders>
              <w:top w:val="single" w:sz="4" w:space="0" w:color="auto"/>
              <w:left w:val="nil"/>
              <w:bottom w:val="nil"/>
              <w:right w:val="single" w:sz="4" w:space="0" w:color="auto"/>
            </w:tcBorders>
            <w:shd w:val="clear" w:color="auto" w:fill="000000"/>
          </w:tcPr>
          <w:p w:rsidR="00B958B1" w:rsidRPr="00CF3871" w:rsidRDefault="00B958B1" w:rsidP="009F3B54">
            <w:pPr>
              <w:pStyle w:val="Tabletextheading"/>
              <w:rPr>
                <w:vertAlign w:val="superscript"/>
                <w:lang w:eastAsia="en-AU"/>
              </w:rPr>
            </w:pPr>
            <w:r w:rsidRPr="00CF3871">
              <w:rPr>
                <w:lang w:eastAsia="en-AU"/>
              </w:rPr>
              <w:t xml:space="preserve">Variation </w:t>
            </w:r>
            <w:r w:rsidRPr="00CF3871">
              <w:rPr>
                <w:vertAlign w:val="superscript"/>
                <w:lang w:eastAsia="en-AU"/>
              </w:rPr>
              <w:t>(a)</w:t>
            </w:r>
          </w:p>
        </w:tc>
      </w:tr>
      <w:tr w:rsidR="00B958B1" w:rsidRPr="00CF3871" w:rsidTr="009F3B54">
        <w:tc>
          <w:tcPr>
            <w:tcW w:w="3983" w:type="dxa"/>
            <w:tcBorders>
              <w:top w:val="nil"/>
              <w:left w:val="single" w:sz="4" w:space="0" w:color="auto"/>
              <w:bottom w:val="single" w:sz="4" w:space="0" w:color="auto"/>
              <w:right w:val="nil"/>
            </w:tcBorders>
            <w:shd w:val="clear" w:color="auto" w:fill="000000"/>
          </w:tcPr>
          <w:p w:rsidR="00B958B1" w:rsidRPr="00CF3871" w:rsidRDefault="00B958B1" w:rsidP="009F3B54">
            <w:pPr>
              <w:pStyle w:val="Tabletext"/>
              <w:rPr>
                <w:lang w:eastAsia="en-AU"/>
              </w:rPr>
            </w:pPr>
            <w:r w:rsidRPr="00CF3871">
              <w:rPr>
                <w:lang w:eastAsia="en-AU"/>
              </w:rPr>
              <w:t xml:space="preserve">  </w:t>
            </w:r>
          </w:p>
        </w:tc>
        <w:tc>
          <w:tcPr>
            <w:tcW w:w="897" w:type="dxa"/>
            <w:tcBorders>
              <w:top w:val="nil"/>
              <w:left w:val="nil"/>
              <w:bottom w:val="single" w:sz="4" w:space="0" w:color="auto"/>
              <w:right w:val="nil"/>
            </w:tcBorders>
            <w:shd w:val="clear" w:color="auto" w:fill="000000"/>
          </w:tcPr>
          <w:p w:rsidR="00B958B1" w:rsidRPr="00CF3871" w:rsidRDefault="00B958B1" w:rsidP="009F3B54">
            <w:pPr>
              <w:pStyle w:val="Tabletextheading"/>
              <w:rPr>
                <w:lang w:eastAsia="en-AU"/>
              </w:rPr>
            </w:pPr>
            <w:r w:rsidRPr="00CF3871">
              <w:rPr>
                <w:lang w:eastAsia="en-AU"/>
              </w:rPr>
              <w:t>Budget</w:t>
            </w:r>
          </w:p>
        </w:tc>
        <w:tc>
          <w:tcPr>
            <w:tcW w:w="897" w:type="dxa"/>
            <w:tcBorders>
              <w:top w:val="nil"/>
              <w:left w:val="nil"/>
              <w:bottom w:val="single" w:sz="4" w:space="0" w:color="auto"/>
              <w:right w:val="nil"/>
            </w:tcBorders>
            <w:shd w:val="clear" w:color="auto" w:fill="000000"/>
          </w:tcPr>
          <w:p w:rsidR="00B958B1" w:rsidRPr="00CF3871" w:rsidRDefault="00B958B1" w:rsidP="009F3B54">
            <w:pPr>
              <w:pStyle w:val="Tabletextheading"/>
              <w:rPr>
                <w:lang w:eastAsia="en-AU"/>
              </w:rPr>
            </w:pPr>
            <w:r w:rsidRPr="00CF3871">
              <w:rPr>
                <w:lang w:eastAsia="en-AU"/>
              </w:rPr>
              <w:t>Revised</w:t>
            </w:r>
          </w:p>
        </w:tc>
        <w:tc>
          <w:tcPr>
            <w:tcW w:w="897" w:type="dxa"/>
            <w:tcBorders>
              <w:top w:val="nil"/>
              <w:left w:val="nil"/>
              <w:bottom w:val="single" w:sz="4" w:space="0" w:color="auto"/>
              <w:right w:val="nil"/>
            </w:tcBorders>
            <w:shd w:val="clear" w:color="auto" w:fill="000000"/>
          </w:tcPr>
          <w:p w:rsidR="00B958B1" w:rsidRPr="00CF3871" w:rsidRDefault="00B958B1" w:rsidP="009F3B54">
            <w:pPr>
              <w:pStyle w:val="Tabletextheading"/>
              <w:rPr>
                <w:lang w:eastAsia="en-AU"/>
              </w:rPr>
            </w:pPr>
            <w:r w:rsidRPr="00CF3871">
              <w:rPr>
                <w:lang w:eastAsia="en-AU"/>
              </w:rPr>
              <w:t>Budget</w:t>
            </w:r>
          </w:p>
        </w:tc>
        <w:tc>
          <w:tcPr>
            <w:tcW w:w="1102" w:type="dxa"/>
            <w:tcBorders>
              <w:top w:val="nil"/>
              <w:left w:val="nil"/>
              <w:bottom w:val="single" w:sz="4" w:space="0" w:color="auto"/>
              <w:right w:val="single" w:sz="4" w:space="0" w:color="auto"/>
            </w:tcBorders>
            <w:shd w:val="clear" w:color="auto" w:fill="000000"/>
          </w:tcPr>
          <w:p w:rsidR="00B958B1" w:rsidRPr="00CF3871" w:rsidRDefault="00B958B1" w:rsidP="009F3B54">
            <w:pPr>
              <w:pStyle w:val="Tabletextheading"/>
              <w:rPr>
                <w:lang w:eastAsia="en-AU"/>
              </w:rPr>
            </w:pPr>
            <w:r w:rsidRPr="00CF3871">
              <w:rPr>
                <w:lang w:eastAsia="en-AU"/>
              </w:rPr>
              <w:t>%</w:t>
            </w:r>
          </w:p>
        </w:tc>
      </w:tr>
      <w:tr w:rsidR="00B958B1" w:rsidRPr="00CF3871" w:rsidTr="009F3B54">
        <w:tc>
          <w:tcPr>
            <w:tcW w:w="3983" w:type="dxa"/>
            <w:tcBorders>
              <w:top w:val="single" w:sz="4" w:space="0" w:color="auto"/>
              <w:left w:val="nil"/>
              <w:bottom w:val="nil"/>
              <w:right w:val="nil"/>
            </w:tcBorders>
          </w:tcPr>
          <w:p w:rsidR="00B958B1" w:rsidRPr="00CF3871" w:rsidRDefault="00B958B1" w:rsidP="009F3B54">
            <w:pPr>
              <w:pStyle w:val="Tabletext"/>
              <w:rPr>
                <w:color w:val="000000"/>
                <w:lang w:eastAsia="en-AU"/>
              </w:rPr>
            </w:pPr>
            <w:r w:rsidRPr="00CF3871">
              <w:rPr>
                <w:color w:val="000000"/>
                <w:lang w:eastAsia="en-AU"/>
              </w:rPr>
              <w:t>Strategic Policy Advice</w:t>
            </w:r>
          </w:p>
        </w:tc>
        <w:tc>
          <w:tcPr>
            <w:tcW w:w="897" w:type="dxa"/>
            <w:tcBorders>
              <w:top w:val="single" w:sz="4" w:space="0" w:color="auto"/>
              <w:left w:val="nil"/>
              <w:bottom w:val="nil"/>
              <w:right w:val="nil"/>
            </w:tcBorders>
          </w:tcPr>
          <w:p w:rsidR="00B958B1" w:rsidRPr="00CF3871" w:rsidRDefault="00B958B1" w:rsidP="009F3B54">
            <w:pPr>
              <w:pStyle w:val="TableofFigures"/>
              <w:rPr>
                <w:color w:val="000000"/>
                <w:szCs w:val="22"/>
                <w:lang w:eastAsia="en-AU"/>
              </w:rPr>
            </w:pPr>
            <w:r w:rsidRPr="00CF3871">
              <w:rPr>
                <w:color w:val="000000"/>
                <w:szCs w:val="22"/>
                <w:lang w:eastAsia="en-AU"/>
              </w:rPr>
              <w:t>37.8</w:t>
            </w:r>
          </w:p>
        </w:tc>
        <w:tc>
          <w:tcPr>
            <w:tcW w:w="897" w:type="dxa"/>
            <w:tcBorders>
              <w:top w:val="single" w:sz="4" w:space="0" w:color="auto"/>
              <w:left w:val="nil"/>
              <w:bottom w:val="nil"/>
              <w:right w:val="nil"/>
            </w:tcBorders>
          </w:tcPr>
          <w:p w:rsidR="00B958B1" w:rsidRPr="00CF3871" w:rsidRDefault="00B958B1" w:rsidP="009F3B54">
            <w:pPr>
              <w:pStyle w:val="TableofFigures"/>
              <w:rPr>
                <w:color w:val="000000"/>
                <w:szCs w:val="22"/>
                <w:lang w:eastAsia="en-AU"/>
              </w:rPr>
            </w:pPr>
            <w:r w:rsidRPr="00CF3871">
              <w:rPr>
                <w:color w:val="000000"/>
                <w:szCs w:val="22"/>
                <w:lang w:eastAsia="en-AU"/>
              </w:rPr>
              <w:t>37.7</w:t>
            </w:r>
          </w:p>
        </w:tc>
        <w:tc>
          <w:tcPr>
            <w:tcW w:w="897" w:type="dxa"/>
            <w:tcBorders>
              <w:top w:val="single" w:sz="4" w:space="0" w:color="auto"/>
              <w:left w:val="nil"/>
              <w:bottom w:val="nil"/>
              <w:right w:val="nil"/>
            </w:tcBorders>
          </w:tcPr>
          <w:p w:rsidR="00B958B1" w:rsidRPr="00CF3871" w:rsidRDefault="00B958B1" w:rsidP="009F3B54">
            <w:pPr>
              <w:pStyle w:val="TableofFigures"/>
              <w:rPr>
                <w:color w:val="000000"/>
                <w:szCs w:val="22"/>
                <w:lang w:eastAsia="en-AU"/>
              </w:rPr>
            </w:pPr>
            <w:r w:rsidRPr="00CF3871">
              <w:rPr>
                <w:color w:val="000000"/>
                <w:szCs w:val="22"/>
                <w:lang w:eastAsia="en-AU"/>
              </w:rPr>
              <w:t>37.1</w:t>
            </w:r>
          </w:p>
        </w:tc>
        <w:tc>
          <w:tcPr>
            <w:tcW w:w="1102" w:type="dxa"/>
            <w:tcBorders>
              <w:top w:val="single" w:sz="4" w:space="0" w:color="auto"/>
              <w:left w:val="nil"/>
              <w:bottom w:val="nil"/>
              <w:right w:val="nil"/>
            </w:tcBorders>
          </w:tcPr>
          <w:p w:rsidR="00B958B1" w:rsidRPr="00CF3871" w:rsidRDefault="009F0F49" w:rsidP="009F3B54">
            <w:pPr>
              <w:pStyle w:val="TableofFigures"/>
              <w:rPr>
                <w:color w:val="000000"/>
                <w:szCs w:val="22"/>
                <w:lang w:eastAsia="en-AU"/>
              </w:rPr>
            </w:pPr>
            <w:r>
              <w:rPr>
                <w:color w:val="000000"/>
                <w:szCs w:val="22"/>
                <w:lang w:eastAsia="en-AU"/>
              </w:rPr>
              <w:noBreakHyphen/>
            </w:r>
            <w:r w:rsidR="00B958B1" w:rsidRPr="00CF3871">
              <w:rPr>
                <w:color w:val="000000"/>
                <w:szCs w:val="22"/>
                <w:lang w:eastAsia="en-AU"/>
              </w:rPr>
              <w:t>1.9</w:t>
            </w:r>
          </w:p>
        </w:tc>
      </w:tr>
      <w:tr w:rsidR="00B958B1" w:rsidRPr="00CF3871" w:rsidTr="009F3B54">
        <w:tc>
          <w:tcPr>
            <w:tcW w:w="3983" w:type="dxa"/>
            <w:tcBorders>
              <w:top w:val="nil"/>
              <w:left w:val="nil"/>
              <w:bottom w:val="nil"/>
              <w:right w:val="nil"/>
            </w:tcBorders>
          </w:tcPr>
          <w:p w:rsidR="00B958B1" w:rsidRPr="00CF3871" w:rsidRDefault="00B958B1" w:rsidP="009F3B54">
            <w:pPr>
              <w:pStyle w:val="Tabletext"/>
              <w:rPr>
                <w:color w:val="000000"/>
                <w:lang w:eastAsia="en-AU"/>
              </w:rPr>
            </w:pPr>
            <w:r w:rsidRPr="00CF3871">
              <w:rPr>
                <w:color w:val="000000"/>
                <w:lang w:eastAsia="en-AU"/>
              </w:rPr>
              <w:t>Financial Management Services</w:t>
            </w:r>
          </w:p>
        </w:tc>
        <w:tc>
          <w:tcPr>
            <w:tcW w:w="897" w:type="dxa"/>
            <w:tcBorders>
              <w:top w:val="nil"/>
              <w:left w:val="nil"/>
              <w:bottom w:val="nil"/>
              <w:right w:val="nil"/>
            </w:tcBorders>
          </w:tcPr>
          <w:p w:rsidR="00B958B1" w:rsidRPr="00CF3871" w:rsidRDefault="00B958B1" w:rsidP="009F3B54">
            <w:pPr>
              <w:pStyle w:val="TableofFigures"/>
              <w:rPr>
                <w:color w:val="000000"/>
                <w:szCs w:val="22"/>
                <w:lang w:eastAsia="en-AU"/>
              </w:rPr>
            </w:pPr>
            <w:r w:rsidRPr="00CF3871">
              <w:rPr>
                <w:color w:val="000000"/>
                <w:szCs w:val="22"/>
                <w:lang w:eastAsia="en-AU"/>
              </w:rPr>
              <w:t>21.9</w:t>
            </w:r>
          </w:p>
        </w:tc>
        <w:tc>
          <w:tcPr>
            <w:tcW w:w="897" w:type="dxa"/>
            <w:tcBorders>
              <w:top w:val="nil"/>
              <w:left w:val="nil"/>
              <w:bottom w:val="nil"/>
              <w:right w:val="nil"/>
            </w:tcBorders>
          </w:tcPr>
          <w:p w:rsidR="00B958B1" w:rsidRPr="00CF3871" w:rsidRDefault="00B958B1" w:rsidP="009F3B54">
            <w:pPr>
              <w:pStyle w:val="TableofFigures"/>
              <w:rPr>
                <w:color w:val="000000"/>
                <w:szCs w:val="22"/>
                <w:lang w:eastAsia="en-AU"/>
              </w:rPr>
            </w:pPr>
            <w:r w:rsidRPr="00CF3871">
              <w:rPr>
                <w:color w:val="000000"/>
                <w:szCs w:val="22"/>
                <w:lang w:eastAsia="en-AU"/>
              </w:rPr>
              <w:t>23.2</w:t>
            </w:r>
          </w:p>
        </w:tc>
        <w:tc>
          <w:tcPr>
            <w:tcW w:w="897" w:type="dxa"/>
            <w:tcBorders>
              <w:top w:val="nil"/>
              <w:left w:val="nil"/>
              <w:bottom w:val="nil"/>
              <w:right w:val="nil"/>
            </w:tcBorders>
          </w:tcPr>
          <w:p w:rsidR="00B958B1" w:rsidRPr="00CF3871" w:rsidRDefault="00B958B1" w:rsidP="009F3B54">
            <w:pPr>
              <w:pStyle w:val="TableofFigures"/>
              <w:rPr>
                <w:color w:val="000000"/>
                <w:szCs w:val="22"/>
                <w:lang w:eastAsia="en-AU"/>
              </w:rPr>
            </w:pPr>
            <w:r w:rsidRPr="00CF3871">
              <w:rPr>
                <w:color w:val="000000"/>
                <w:szCs w:val="22"/>
                <w:lang w:eastAsia="en-AU"/>
              </w:rPr>
              <w:t>21.5</w:t>
            </w:r>
          </w:p>
        </w:tc>
        <w:tc>
          <w:tcPr>
            <w:tcW w:w="1102" w:type="dxa"/>
            <w:tcBorders>
              <w:top w:val="nil"/>
              <w:left w:val="nil"/>
              <w:bottom w:val="nil"/>
              <w:right w:val="nil"/>
            </w:tcBorders>
          </w:tcPr>
          <w:p w:rsidR="00B958B1" w:rsidRPr="00CF3871" w:rsidRDefault="009F0F49" w:rsidP="009F3B54">
            <w:pPr>
              <w:pStyle w:val="TableofFigures"/>
              <w:rPr>
                <w:color w:val="000000"/>
                <w:szCs w:val="22"/>
                <w:lang w:eastAsia="en-AU"/>
              </w:rPr>
            </w:pPr>
            <w:r>
              <w:rPr>
                <w:color w:val="000000"/>
                <w:szCs w:val="22"/>
                <w:lang w:eastAsia="en-AU"/>
              </w:rPr>
              <w:noBreakHyphen/>
            </w:r>
            <w:r w:rsidR="00B958B1" w:rsidRPr="00CF3871">
              <w:rPr>
                <w:color w:val="000000"/>
                <w:szCs w:val="22"/>
                <w:lang w:eastAsia="en-AU"/>
              </w:rPr>
              <w:t>1.8</w:t>
            </w:r>
          </w:p>
        </w:tc>
      </w:tr>
      <w:tr w:rsidR="00B958B1" w:rsidRPr="00CF3871" w:rsidTr="009F3B54">
        <w:tc>
          <w:tcPr>
            <w:tcW w:w="3983" w:type="dxa"/>
            <w:tcBorders>
              <w:top w:val="nil"/>
              <w:left w:val="nil"/>
              <w:bottom w:val="nil"/>
              <w:right w:val="nil"/>
            </w:tcBorders>
          </w:tcPr>
          <w:p w:rsidR="00B958B1" w:rsidRPr="00CF3871" w:rsidRDefault="00B958B1" w:rsidP="009F3B54">
            <w:pPr>
              <w:pStyle w:val="Tabletext"/>
              <w:rPr>
                <w:rFonts w:cs="Calibri"/>
                <w:color w:val="000000"/>
                <w:vertAlign w:val="superscript"/>
                <w:lang w:eastAsia="en-AU"/>
              </w:rPr>
            </w:pPr>
            <w:r w:rsidRPr="00CF3871">
              <w:rPr>
                <w:color w:val="000000"/>
                <w:lang w:eastAsia="en-AU"/>
              </w:rPr>
              <w:t xml:space="preserve">Risk Management Services </w:t>
            </w:r>
            <w:r w:rsidRPr="00CF3871">
              <w:rPr>
                <w:rFonts w:cs="Calibri"/>
                <w:color w:val="000000"/>
                <w:vertAlign w:val="superscript"/>
                <w:lang w:eastAsia="en-AU"/>
              </w:rPr>
              <w:t>(b)</w:t>
            </w:r>
          </w:p>
        </w:tc>
        <w:tc>
          <w:tcPr>
            <w:tcW w:w="897" w:type="dxa"/>
            <w:tcBorders>
              <w:top w:val="nil"/>
              <w:left w:val="nil"/>
              <w:bottom w:val="nil"/>
              <w:right w:val="nil"/>
            </w:tcBorders>
          </w:tcPr>
          <w:p w:rsidR="00B958B1" w:rsidRPr="00CF3871" w:rsidRDefault="00B958B1" w:rsidP="009F3B54">
            <w:pPr>
              <w:pStyle w:val="TableofFigures"/>
              <w:rPr>
                <w:color w:val="000000"/>
                <w:szCs w:val="22"/>
                <w:lang w:eastAsia="en-AU"/>
              </w:rPr>
            </w:pPr>
            <w:r w:rsidRPr="00CF3871">
              <w:rPr>
                <w:color w:val="000000"/>
                <w:szCs w:val="22"/>
                <w:lang w:eastAsia="en-AU"/>
              </w:rPr>
              <w:t>24.9</w:t>
            </w:r>
          </w:p>
        </w:tc>
        <w:tc>
          <w:tcPr>
            <w:tcW w:w="897" w:type="dxa"/>
            <w:tcBorders>
              <w:top w:val="nil"/>
              <w:left w:val="nil"/>
              <w:bottom w:val="nil"/>
              <w:right w:val="nil"/>
            </w:tcBorders>
          </w:tcPr>
          <w:p w:rsidR="00B958B1" w:rsidRPr="00CF3871" w:rsidRDefault="00B958B1" w:rsidP="009F3B54">
            <w:pPr>
              <w:pStyle w:val="TableofFigures"/>
              <w:rPr>
                <w:color w:val="000000"/>
                <w:szCs w:val="22"/>
                <w:lang w:eastAsia="en-AU"/>
              </w:rPr>
            </w:pPr>
            <w:r w:rsidRPr="00CF3871">
              <w:rPr>
                <w:color w:val="000000"/>
                <w:szCs w:val="22"/>
                <w:lang w:eastAsia="en-AU"/>
              </w:rPr>
              <w:t>29.2</w:t>
            </w:r>
          </w:p>
        </w:tc>
        <w:tc>
          <w:tcPr>
            <w:tcW w:w="897" w:type="dxa"/>
            <w:tcBorders>
              <w:top w:val="nil"/>
              <w:left w:val="nil"/>
              <w:bottom w:val="nil"/>
              <w:right w:val="nil"/>
            </w:tcBorders>
          </w:tcPr>
          <w:p w:rsidR="00B958B1" w:rsidRPr="00CF3871" w:rsidRDefault="00B958B1" w:rsidP="009F3B54">
            <w:pPr>
              <w:pStyle w:val="TableofFigures"/>
              <w:rPr>
                <w:color w:val="000000"/>
                <w:szCs w:val="22"/>
                <w:lang w:eastAsia="en-AU"/>
              </w:rPr>
            </w:pPr>
            <w:r w:rsidRPr="00CF3871">
              <w:rPr>
                <w:color w:val="000000"/>
                <w:szCs w:val="22"/>
                <w:lang w:eastAsia="en-AU"/>
              </w:rPr>
              <w:t>28.2</w:t>
            </w:r>
          </w:p>
        </w:tc>
        <w:tc>
          <w:tcPr>
            <w:tcW w:w="1102" w:type="dxa"/>
            <w:tcBorders>
              <w:top w:val="nil"/>
              <w:left w:val="nil"/>
              <w:bottom w:val="nil"/>
              <w:right w:val="nil"/>
            </w:tcBorders>
          </w:tcPr>
          <w:p w:rsidR="00B958B1" w:rsidRPr="00CF3871" w:rsidRDefault="00B958B1" w:rsidP="009F3B54">
            <w:pPr>
              <w:pStyle w:val="TableofFigures"/>
              <w:rPr>
                <w:color w:val="000000"/>
                <w:szCs w:val="22"/>
                <w:lang w:eastAsia="en-AU"/>
              </w:rPr>
            </w:pPr>
            <w:r w:rsidRPr="00CF3871">
              <w:rPr>
                <w:color w:val="000000"/>
                <w:szCs w:val="22"/>
                <w:lang w:eastAsia="en-AU"/>
              </w:rPr>
              <w:t>13.3</w:t>
            </w:r>
          </w:p>
        </w:tc>
      </w:tr>
      <w:tr w:rsidR="00B958B1" w:rsidRPr="00CF3871" w:rsidTr="009F3B54">
        <w:tc>
          <w:tcPr>
            <w:tcW w:w="3983" w:type="dxa"/>
            <w:tcBorders>
              <w:top w:val="nil"/>
              <w:left w:val="nil"/>
              <w:bottom w:val="nil"/>
              <w:right w:val="nil"/>
            </w:tcBorders>
          </w:tcPr>
          <w:p w:rsidR="00B958B1" w:rsidRPr="00CF3871" w:rsidRDefault="00B958B1" w:rsidP="009F3B54">
            <w:pPr>
              <w:pStyle w:val="Tabletext"/>
              <w:rPr>
                <w:rFonts w:cs="Calibri"/>
                <w:color w:val="000000"/>
                <w:vertAlign w:val="superscript"/>
                <w:lang w:eastAsia="en-AU"/>
              </w:rPr>
            </w:pPr>
            <w:r w:rsidRPr="00CF3871">
              <w:rPr>
                <w:color w:val="000000"/>
                <w:lang w:eastAsia="en-AU"/>
              </w:rPr>
              <w:t xml:space="preserve">Resource Management Services </w:t>
            </w:r>
            <w:r w:rsidRPr="00CF3871">
              <w:rPr>
                <w:rFonts w:cs="Calibri"/>
                <w:color w:val="000000"/>
                <w:vertAlign w:val="superscript"/>
                <w:lang w:eastAsia="en-AU"/>
              </w:rPr>
              <w:t>(c)</w:t>
            </w:r>
          </w:p>
        </w:tc>
        <w:tc>
          <w:tcPr>
            <w:tcW w:w="897" w:type="dxa"/>
            <w:tcBorders>
              <w:top w:val="nil"/>
              <w:left w:val="nil"/>
              <w:bottom w:val="nil"/>
              <w:right w:val="nil"/>
            </w:tcBorders>
          </w:tcPr>
          <w:p w:rsidR="00B958B1" w:rsidRPr="00CF3871" w:rsidRDefault="00B958B1" w:rsidP="009F3B54">
            <w:pPr>
              <w:pStyle w:val="TableofFigures"/>
              <w:rPr>
                <w:color w:val="000000"/>
                <w:szCs w:val="22"/>
                <w:lang w:eastAsia="en-AU"/>
              </w:rPr>
            </w:pPr>
            <w:r w:rsidRPr="00CF3871">
              <w:rPr>
                <w:color w:val="000000"/>
                <w:szCs w:val="22"/>
                <w:lang w:eastAsia="en-AU"/>
              </w:rPr>
              <w:t>57.2</w:t>
            </w:r>
          </w:p>
        </w:tc>
        <w:tc>
          <w:tcPr>
            <w:tcW w:w="897" w:type="dxa"/>
            <w:tcBorders>
              <w:top w:val="nil"/>
              <w:left w:val="nil"/>
              <w:bottom w:val="nil"/>
              <w:right w:val="nil"/>
            </w:tcBorders>
          </w:tcPr>
          <w:p w:rsidR="00B958B1" w:rsidRPr="00CF3871" w:rsidRDefault="00B958B1" w:rsidP="009F3B54">
            <w:pPr>
              <w:pStyle w:val="TableofFigures"/>
              <w:rPr>
                <w:color w:val="000000"/>
                <w:szCs w:val="22"/>
                <w:lang w:eastAsia="en-AU"/>
              </w:rPr>
            </w:pPr>
            <w:r w:rsidRPr="00CF3871">
              <w:rPr>
                <w:color w:val="000000"/>
                <w:szCs w:val="22"/>
                <w:lang w:eastAsia="en-AU"/>
              </w:rPr>
              <w:t>44.8</w:t>
            </w:r>
          </w:p>
        </w:tc>
        <w:tc>
          <w:tcPr>
            <w:tcW w:w="897" w:type="dxa"/>
            <w:tcBorders>
              <w:top w:val="nil"/>
              <w:left w:val="nil"/>
              <w:bottom w:val="nil"/>
              <w:right w:val="nil"/>
            </w:tcBorders>
          </w:tcPr>
          <w:p w:rsidR="00B958B1" w:rsidRPr="00CF3871" w:rsidRDefault="00B958B1" w:rsidP="009F3B54">
            <w:pPr>
              <w:pStyle w:val="TableofFigures"/>
              <w:rPr>
                <w:color w:val="000000"/>
                <w:szCs w:val="22"/>
                <w:lang w:eastAsia="en-AU"/>
              </w:rPr>
            </w:pPr>
            <w:r w:rsidRPr="00CF3871">
              <w:rPr>
                <w:color w:val="000000"/>
                <w:szCs w:val="22"/>
                <w:lang w:eastAsia="en-AU"/>
              </w:rPr>
              <w:t>45.3</w:t>
            </w:r>
          </w:p>
        </w:tc>
        <w:tc>
          <w:tcPr>
            <w:tcW w:w="1102" w:type="dxa"/>
            <w:tcBorders>
              <w:top w:val="nil"/>
              <w:left w:val="nil"/>
              <w:bottom w:val="nil"/>
              <w:right w:val="nil"/>
            </w:tcBorders>
          </w:tcPr>
          <w:p w:rsidR="00B958B1" w:rsidRPr="00CF3871" w:rsidRDefault="009F0F49" w:rsidP="009F3B54">
            <w:pPr>
              <w:pStyle w:val="TableofFigures"/>
              <w:rPr>
                <w:color w:val="000000"/>
                <w:szCs w:val="22"/>
                <w:lang w:eastAsia="en-AU"/>
              </w:rPr>
            </w:pPr>
            <w:r>
              <w:rPr>
                <w:color w:val="000000"/>
                <w:szCs w:val="22"/>
                <w:lang w:eastAsia="en-AU"/>
              </w:rPr>
              <w:noBreakHyphen/>
            </w:r>
            <w:r w:rsidR="00B958B1" w:rsidRPr="00CF3871">
              <w:rPr>
                <w:color w:val="000000"/>
                <w:szCs w:val="22"/>
                <w:lang w:eastAsia="en-AU"/>
              </w:rPr>
              <w:t>20.8</w:t>
            </w:r>
          </w:p>
        </w:tc>
      </w:tr>
      <w:tr w:rsidR="00B958B1" w:rsidRPr="00CF3871" w:rsidTr="009F3B54">
        <w:tc>
          <w:tcPr>
            <w:tcW w:w="3983" w:type="dxa"/>
            <w:tcBorders>
              <w:top w:val="nil"/>
              <w:left w:val="nil"/>
              <w:bottom w:val="nil"/>
              <w:right w:val="nil"/>
            </w:tcBorders>
          </w:tcPr>
          <w:p w:rsidR="00B958B1" w:rsidRPr="00CF3871" w:rsidRDefault="00B958B1" w:rsidP="009F3B54">
            <w:pPr>
              <w:pStyle w:val="Tabletext"/>
              <w:rPr>
                <w:color w:val="000000"/>
                <w:lang w:eastAsia="en-AU"/>
              </w:rPr>
            </w:pPr>
            <w:r w:rsidRPr="00CF3871">
              <w:rPr>
                <w:color w:val="000000"/>
                <w:lang w:eastAsia="en-AU"/>
              </w:rPr>
              <w:t>Regulatory Services</w:t>
            </w:r>
          </w:p>
        </w:tc>
        <w:tc>
          <w:tcPr>
            <w:tcW w:w="897" w:type="dxa"/>
            <w:tcBorders>
              <w:top w:val="nil"/>
              <w:left w:val="nil"/>
              <w:bottom w:val="nil"/>
              <w:right w:val="nil"/>
            </w:tcBorders>
          </w:tcPr>
          <w:p w:rsidR="00B958B1" w:rsidRPr="00CF3871" w:rsidRDefault="00B958B1" w:rsidP="009F3B54">
            <w:pPr>
              <w:pStyle w:val="TableofFigures"/>
              <w:rPr>
                <w:color w:val="000000"/>
                <w:szCs w:val="22"/>
                <w:lang w:eastAsia="en-AU"/>
              </w:rPr>
            </w:pPr>
            <w:r w:rsidRPr="00CF3871">
              <w:rPr>
                <w:color w:val="000000"/>
                <w:szCs w:val="22"/>
                <w:lang w:eastAsia="en-AU"/>
              </w:rPr>
              <w:t>22.7</w:t>
            </w:r>
          </w:p>
        </w:tc>
        <w:tc>
          <w:tcPr>
            <w:tcW w:w="897" w:type="dxa"/>
            <w:tcBorders>
              <w:top w:val="nil"/>
              <w:left w:val="nil"/>
              <w:bottom w:val="nil"/>
              <w:right w:val="nil"/>
            </w:tcBorders>
          </w:tcPr>
          <w:p w:rsidR="00B958B1" w:rsidRPr="00CF3871" w:rsidRDefault="00B958B1" w:rsidP="009F3B54">
            <w:pPr>
              <w:pStyle w:val="TableofFigures"/>
              <w:rPr>
                <w:color w:val="000000"/>
                <w:szCs w:val="22"/>
                <w:lang w:eastAsia="en-AU"/>
              </w:rPr>
            </w:pPr>
            <w:r w:rsidRPr="00CF3871">
              <w:rPr>
                <w:color w:val="000000"/>
                <w:szCs w:val="22"/>
                <w:lang w:eastAsia="en-AU"/>
              </w:rPr>
              <w:t>23.3</w:t>
            </w:r>
          </w:p>
        </w:tc>
        <w:tc>
          <w:tcPr>
            <w:tcW w:w="897" w:type="dxa"/>
            <w:tcBorders>
              <w:top w:val="nil"/>
              <w:left w:val="nil"/>
              <w:bottom w:val="nil"/>
              <w:right w:val="nil"/>
            </w:tcBorders>
          </w:tcPr>
          <w:p w:rsidR="00B958B1" w:rsidRPr="00CF3871" w:rsidRDefault="00B958B1" w:rsidP="009F3B54">
            <w:pPr>
              <w:pStyle w:val="TableofFigures"/>
              <w:rPr>
                <w:color w:val="000000"/>
                <w:szCs w:val="22"/>
                <w:lang w:eastAsia="en-AU"/>
              </w:rPr>
            </w:pPr>
            <w:r w:rsidRPr="00CF3871">
              <w:rPr>
                <w:color w:val="000000"/>
                <w:szCs w:val="22"/>
                <w:lang w:eastAsia="en-AU"/>
              </w:rPr>
              <w:t>23.7</w:t>
            </w:r>
          </w:p>
        </w:tc>
        <w:tc>
          <w:tcPr>
            <w:tcW w:w="1102" w:type="dxa"/>
            <w:tcBorders>
              <w:top w:val="nil"/>
              <w:left w:val="nil"/>
              <w:bottom w:val="nil"/>
              <w:right w:val="nil"/>
            </w:tcBorders>
          </w:tcPr>
          <w:p w:rsidR="00B958B1" w:rsidRPr="00CF3871" w:rsidRDefault="00B958B1" w:rsidP="009F3B54">
            <w:pPr>
              <w:pStyle w:val="TableofFigures"/>
              <w:rPr>
                <w:color w:val="000000"/>
                <w:szCs w:val="22"/>
                <w:lang w:eastAsia="en-AU"/>
              </w:rPr>
            </w:pPr>
            <w:r w:rsidRPr="00CF3871">
              <w:rPr>
                <w:color w:val="000000"/>
                <w:szCs w:val="22"/>
                <w:lang w:eastAsia="en-AU"/>
              </w:rPr>
              <w:t>4.4</w:t>
            </w:r>
          </w:p>
        </w:tc>
      </w:tr>
      <w:tr w:rsidR="00B958B1" w:rsidRPr="00CF3871" w:rsidTr="009F3B54">
        <w:tc>
          <w:tcPr>
            <w:tcW w:w="3983" w:type="dxa"/>
            <w:tcBorders>
              <w:top w:val="nil"/>
              <w:left w:val="nil"/>
              <w:bottom w:val="nil"/>
              <w:right w:val="nil"/>
            </w:tcBorders>
          </w:tcPr>
          <w:p w:rsidR="00B958B1" w:rsidRPr="00CF3871" w:rsidRDefault="00B958B1" w:rsidP="009F3B54">
            <w:pPr>
              <w:pStyle w:val="Tabletext"/>
              <w:rPr>
                <w:rFonts w:cs="Calibri"/>
                <w:color w:val="000000"/>
                <w:vertAlign w:val="superscript"/>
                <w:lang w:eastAsia="en-AU"/>
              </w:rPr>
            </w:pPr>
            <w:r w:rsidRPr="00CF3871">
              <w:rPr>
                <w:color w:val="000000"/>
                <w:lang w:eastAsia="en-AU"/>
              </w:rPr>
              <w:t xml:space="preserve">Revenue Management Services </w:t>
            </w:r>
            <w:r w:rsidRPr="00CF3871">
              <w:rPr>
                <w:rFonts w:cs="Calibri"/>
                <w:color w:val="000000"/>
                <w:vertAlign w:val="superscript"/>
                <w:lang w:eastAsia="en-AU"/>
              </w:rPr>
              <w:t>(d)</w:t>
            </w:r>
          </w:p>
        </w:tc>
        <w:tc>
          <w:tcPr>
            <w:tcW w:w="897" w:type="dxa"/>
            <w:tcBorders>
              <w:top w:val="nil"/>
              <w:left w:val="nil"/>
              <w:bottom w:val="nil"/>
              <w:right w:val="nil"/>
            </w:tcBorders>
          </w:tcPr>
          <w:p w:rsidR="00B958B1" w:rsidRPr="00CF3871" w:rsidRDefault="00B958B1" w:rsidP="009F3B54">
            <w:pPr>
              <w:pStyle w:val="TableofFigures"/>
              <w:rPr>
                <w:color w:val="000000"/>
                <w:szCs w:val="22"/>
                <w:lang w:eastAsia="en-AU"/>
              </w:rPr>
            </w:pPr>
            <w:r w:rsidRPr="00CF3871">
              <w:rPr>
                <w:color w:val="000000"/>
                <w:szCs w:val="22"/>
                <w:lang w:eastAsia="en-AU"/>
              </w:rPr>
              <w:t>69.5</w:t>
            </w:r>
          </w:p>
        </w:tc>
        <w:tc>
          <w:tcPr>
            <w:tcW w:w="897" w:type="dxa"/>
            <w:tcBorders>
              <w:top w:val="nil"/>
              <w:left w:val="nil"/>
              <w:bottom w:val="nil"/>
              <w:right w:val="nil"/>
            </w:tcBorders>
          </w:tcPr>
          <w:p w:rsidR="00B958B1" w:rsidRPr="00CF3871" w:rsidRDefault="00B958B1" w:rsidP="009F3B54">
            <w:pPr>
              <w:pStyle w:val="TableofFigures"/>
              <w:rPr>
                <w:color w:val="000000"/>
                <w:szCs w:val="22"/>
                <w:lang w:eastAsia="en-AU"/>
              </w:rPr>
            </w:pPr>
            <w:r w:rsidRPr="00CF3871">
              <w:rPr>
                <w:color w:val="000000"/>
                <w:szCs w:val="22"/>
                <w:lang w:eastAsia="en-AU"/>
              </w:rPr>
              <w:t>75.6</w:t>
            </w:r>
          </w:p>
        </w:tc>
        <w:tc>
          <w:tcPr>
            <w:tcW w:w="897" w:type="dxa"/>
            <w:tcBorders>
              <w:top w:val="nil"/>
              <w:left w:val="nil"/>
              <w:bottom w:val="nil"/>
              <w:right w:val="nil"/>
            </w:tcBorders>
          </w:tcPr>
          <w:p w:rsidR="00B958B1" w:rsidRPr="00CF3871" w:rsidRDefault="00B958B1" w:rsidP="009F3B54">
            <w:pPr>
              <w:pStyle w:val="TableofFigures"/>
              <w:rPr>
                <w:color w:val="000000"/>
                <w:szCs w:val="22"/>
                <w:lang w:eastAsia="en-AU"/>
              </w:rPr>
            </w:pPr>
            <w:r w:rsidRPr="00CF3871">
              <w:rPr>
                <w:color w:val="000000"/>
                <w:szCs w:val="22"/>
                <w:lang w:eastAsia="en-AU"/>
              </w:rPr>
              <w:t>89.9</w:t>
            </w:r>
          </w:p>
        </w:tc>
        <w:tc>
          <w:tcPr>
            <w:tcW w:w="1102" w:type="dxa"/>
            <w:tcBorders>
              <w:top w:val="nil"/>
              <w:left w:val="nil"/>
              <w:bottom w:val="nil"/>
              <w:right w:val="nil"/>
            </w:tcBorders>
          </w:tcPr>
          <w:p w:rsidR="00B958B1" w:rsidRPr="00CF3871" w:rsidRDefault="00B958B1" w:rsidP="009F3B54">
            <w:pPr>
              <w:pStyle w:val="TableofFigures"/>
              <w:rPr>
                <w:color w:val="000000"/>
                <w:szCs w:val="22"/>
                <w:lang w:eastAsia="en-AU"/>
              </w:rPr>
            </w:pPr>
            <w:r w:rsidRPr="00CF3871">
              <w:rPr>
                <w:color w:val="000000"/>
                <w:szCs w:val="22"/>
                <w:lang w:eastAsia="en-AU"/>
              </w:rPr>
              <w:t>29.4</w:t>
            </w:r>
          </w:p>
        </w:tc>
      </w:tr>
      <w:tr w:rsidR="00B958B1" w:rsidRPr="00CF3871" w:rsidTr="009F3B54">
        <w:tc>
          <w:tcPr>
            <w:tcW w:w="3983" w:type="dxa"/>
            <w:tcBorders>
              <w:top w:val="single" w:sz="6" w:space="0" w:color="auto"/>
              <w:left w:val="nil"/>
              <w:bottom w:val="single" w:sz="12" w:space="0" w:color="auto"/>
              <w:right w:val="nil"/>
            </w:tcBorders>
          </w:tcPr>
          <w:p w:rsidR="00B958B1" w:rsidRPr="00CF3871" w:rsidRDefault="00B958B1" w:rsidP="009F3B54">
            <w:pPr>
              <w:pStyle w:val="Tabletext"/>
              <w:rPr>
                <w:b/>
                <w:bCs/>
                <w:color w:val="000000"/>
                <w:lang w:eastAsia="en-AU"/>
              </w:rPr>
            </w:pPr>
            <w:r w:rsidRPr="00CF3871">
              <w:rPr>
                <w:b/>
                <w:bCs/>
                <w:color w:val="000000"/>
                <w:lang w:eastAsia="en-AU"/>
              </w:rPr>
              <w:t>Total</w:t>
            </w:r>
          </w:p>
        </w:tc>
        <w:tc>
          <w:tcPr>
            <w:tcW w:w="897" w:type="dxa"/>
            <w:tcBorders>
              <w:top w:val="single" w:sz="6" w:space="0" w:color="auto"/>
              <w:left w:val="nil"/>
              <w:bottom w:val="single" w:sz="12" w:space="0" w:color="auto"/>
              <w:right w:val="nil"/>
            </w:tcBorders>
          </w:tcPr>
          <w:p w:rsidR="00B958B1" w:rsidRPr="00CF3871" w:rsidRDefault="00B958B1" w:rsidP="009F3B54">
            <w:pPr>
              <w:pStyle w:val="TableofFigures"/>
              <w:rPr>
                <w:rFonts w:cs="Calibri"/>
                <w:b/>
                <w:bCs/>
                <w:color w:val="000000"/>
                <w:szCs w:val="22"/>
                <w:lang w:eastAsia="en-AU"/>
              </w:rPr>
            </w:pPr>
            <w:r w:rsidRPr="00CF3871">
              <w:rPr>
                <w:b/>
                <w:bCs/>
                <w:color w:val="000000"/>
                <w:szCs w:val="22"/>
                <w:lang w:eastAsia="en-AU"/>
              </w:rPr>
              <w:t>234.0</w:t>
            </w:r>
          </w:p>
        </w:tc>
        <w:tc>
          <w:tcPr>
            <w:tcW w:w="897" w:type="dxa"/>
            <w:tcBorders>
              <w:top w:val="single" w:sz="6" w:space="0" w:color="auto"/>
              <w:left w:val="nil"/>
              <w:bottom w:val="single" w:sz="12" w:space="0" w:color="auto"/>
              <w:right w:val="nil"/>
            </w:tcBorders>
          </w:tcPr>
          <w:p w:rsidR="00B958B1" w:rsidRPr="00CF3871" w:rsidRDefault="00B958B1" w:rsidP="009F3B54">
            <w:pPr>
              <w:pStyle w:val="TableofFigures"/>
              <w:rPr>
                <w:rFonts w:cs="Calibri"/>
                <w:b/>
                <w:bCs/>
                <w:color w:val="000000"/>
                <w:szCs w:val="22"/>
                <w:lang w:eastAsia="en-AU"/>
              </w:rPr>
            </w:pPr>
            <w:r w:rsidRPr="00CF3871">
              <w:rPr>
                <w:b/>
                <w:bCs/>
                <w:color w:val="000000"/>
                <w:szCs w:val="22"/>
                <w:lang w:eastAsia="en-AU"/>
              </w:rPr>
              <w:t>233.8</w:t>
            </w:r>
          </w:p>
        </w:tc>
        <w:tc>
          <w:tcPr>
            <w:tcW w:w="897" w:type="dxa"/>
            <w:tcBorders>
              <w:top w:val="single" w:sz="6" w:space="0" w:color="auto"/>
              <w:left w:val="nil"/>
              <w:bottom w:val="single" w:sz="12" w:space="0" w:color="auto"/>
              <w:right w:val="nil"/>
            </w:tcBorders>
          </w:tcPr>
          <w:p w:rsidR="00B958B1" w:rsidRPr="00CF3871" w:rsidRDefault="00B958B1" w:rsidP="009F3B54">
            <w:pPr>
              <w:pStyle w:val="TableofFigures"/>
              <w:rPr>
                <w:rFonts w:cs="Calibri"/>
                <w:b/>
                <w:bCs/>
                <w:color w:val="000000"/>
                <w:szCs w:val="22"/>
                <w:lang w:eastAsia="en-AU"/>
              </w:rPr>
            </w:pPr>
            <w:r w:rsidRPr="00CF3871">
              <w:rPr>
                <w:b/>
                <w:bCs/>
                <w:color w:val="000000"/>
                <w:szCs w:val="22"/>
                <w:lang w:eastAsia="en-AU"/>
              </w:rPr>
              <w:t>245.7</w:t>
            </w:r>
          </w:p>
        </w:tc>
        <w:tc>
          <w:tcPr>
            <w:tcW w:w="1102" w:type="dxa"/>
            <w:tcBorders>
              <w:top w:val="single" w:sz="6" w:space="0" w:color="auto"/>
              <w:left w:val="nil"/>
              <w:bottom w:val="single" w:sz="12" w:space="0" w:color="auto"/>
              <w:right w:val="nil"/>
            </w:tcBorders>
          </w:tcPr>
          <w:p w:rsidR="00B958B1" w:rsidRPr="00CF3871" w:rsidRDefault="00B958B1" w:rsidP="009F3B54">
            <w:pPr>
              <w:pStyle w:val="TableofFigures"/>
              <w:rPr>
                <w:rFonts w:cs="Calibri"/>
                <w:b/>
                <w:bCs/>
                <w:color w:val="000000"/>
                <w:szCs w:val="22"/>
                <w:lang w:eastAsia="en-AU"/>
              </w:rPr>
            </w:pPr>
            <w:r w:rsidRPr="00CF3871">
              <w:rPr>
                <w:b/>
                <w:bCs/>
                <w:color w:val="000000"/>
                <w:szCs w:val="22"/>
                <w:lang w:eastAsia="en-AU"/>
              </w:rPr>
              <w:t>5.0</w:t>
            </w:r>
          </w:p>
        </w:tc>
      </w:tr>
    </w:tbl>
    <w:p w:rsidR="00B958B1" w:rsidRPr="00A90B64" w:rsidRDefault="00B958B1" w:rsidP="009F3B54">
      <w:pPr>
        <w:pStyle w:val="Source"/>
        <w:rPr>
          <w:sz w:val="20"/>
          <w:szCs w:val="18"/>
        </w:rPr>
      </w:pPr>
      <w:r>
        <w:rPr>
          <w:sz w:val="20"/>
        </w:rPr>
        <w:t>S</w:t>
      </w:r>
      <w:r w:rsidRPr="000F7A21">
        <w:t>ource: Department of Treasury and Finance</w:t>
      </w:r>
    </w:p>
    <w:p w:rsidR="00B958B1" w:rsidRPr="000F7A21" w:rsidRDefault="00B958B1" w:rsidP="009F3B54">
      <w:pPr>
        <w:pStyle w:val="Notes"/>
        <w:rPr>
          <w:rFonts w:cs="Calibri"/>
          <w:szCs w:val="15"/>
        </w:rPr>
      </w:pPr>
      <w:r>
        <w:rPr>
          <w:lang w:eastAsia="en-AU"/>
        </w:rPr>
        <w:fldChar w:fldCharType="begin"/>
      </w:r>
      <w:r>
        <w:instrText xml:space="preserve"> XE "</w:instrText>
      </w:r>
      <w:r w:rsidRPr="00A3556E">
        <w:rPr>
          <w:lang w:eastAsia="en-AU"/>
        </w:rPr>
        <w:instrText>Department of Treasury and Finance</w:instrText>
      </w:r>
      <w:r w:rsidRPr="00A3556E">
        <w:instrText>:</w:instrText>
      </w:r>
      <w:r>
        <w:instrText xml:space="preserve">Output summary" </w:instrText>
      </w:r>
      <w:r>
        <w:rPr>
          <w:lang w:eastAsia="en-AU"/>
        </w:rPr>
        <w:fldChar w:fldCharType="end"/>
      </w:r>
      <w:r w:rsidRPr="000F7A21">
        <w:rPr>
          <w:rFonts w:cs="Calibri"/>
          <w:szCs w:val="15"/>
        </w:rPr>
        <w:t>Note</w:t>
      </w:r>
      <w:r>
        <w:rPr>
          <w:rFonts w:cs="Calibri"/>
          <w:szCs w:val="15"/>
        </w:rPr>
        <w:t>s</w:t>
      </w:r>
      <w:r w:rsidRPr="000F7A21">
        <w:rPr>
          <w:rFonts w:cs="Calibri"/>
          <w:szCs w:val="15"/>
        </w:rPr>
        <w:t>:</w:t>
      </w:r>
    </w:p>
    <w:p w:rsidR="00B958B1" w:rsidRDefault="00B958B1" w:rsidP="009F3B54">
      <w:pPr>
        <w:pStyle w:val="Notes"/>
        <w:rPr>
          <w:rFonts w:cs="Calibri"/>
          <w:szCs w:val="15"/>
        </w:rPr>
      </w:pPr>
      <w:r w:rsidRPr="000F7A21">
        <w:rPr>
          <w:rFonts w:cs="Calibri"/>
          <w:szCs w:val="15"/>
        </w:rPr>
        <w:t>(a)</w:t>
      </w:r>
      <w:r w:rsidRPr="000F7A21">
        <w:rPr>
          <w:rFonts w:cs="Calibri"/>
          <w:szCs w:val="15"/>
        </w:rPr>
        <w:tab/>
        <w:t>Variation between 2012</w:t>
      </w:r>
      <w:r w:rsidR="009F0F49">
        <w:rPr>
          <w:rFonts w:cs="Calibri"/>
          <w:szCs w:val="15"/>
        </w:rPr>
        <w:noBreakHyphen/>
      </w:r>
      <w:r>
        <w:rPr>
          <w:rFonts w:cs="Calibri"/>
          <w:szCs w:val="15"/>
        </w:rPr>
        <w:t>13 b</w:t>
      </w:r>
      <w:r w:rsidRPr="000F7A21">
        <w:rPr>
          <w:rFonts w:cs="Calibri"/>
          <w:szCs w:val="15"/>
        </w:rPr>
        <w:t>udget and 2013</w:t>
      </w:r>
      <w:r w:rsidR="009F0F49">
        <w:rPr>
          <w:rFonts w:cs="Calibri"/>
          <w:szCs w:val="15"/>
        </w:rPr>
        <w:noBreakHyphen/>
      </w:r>
      <w:r>
        <w:rPr>
          <w:rFonts w:cs="Calibri"/>
          <w:szCs w:val="15"/>
        </w:rPr>
        <w:t>14 b</w:t>
      </w:r>
      <w:r w:rsidRPr="000F7A21">
        <w:rPr>
          <w:rFonts w:cs="Calibri"/>
          <w:szCs w:val="15"/>
        </w:rPr>
        <w:t>udget.</w:t>
      </w:r>
    </w:p>
    <w:p w:rsidR="00B958B1" w:rsidRDefault="00B958B1" w:rsidP="009F3B54">
      <w:pPr>
        <w:pStyle w:val="Notes"/>
      </w:pPr>
      <w:r w:rsidRPr="00222823">
        <w:t>(b)</w:t>
      </w:r>
      <w:r w:rsidRPr="00222823">
        <w:tab/>
      </w:r>
      <w:r>
        <w:t>The 2013</w:t>
      </w:r>
      <w:r w:rsidR="009F0F49">
        <w:noBreakHyphen/>
      </w:r>
      <w:r>
        <w:t>14 Target is higher than the 2012</w:t>
      </w:r>
      <w:r w:rsidR="009F0F49">
        <w:noBreakHyphen/>
      </w:r>
      <w:r>
        <w:t>13 Target</w:t>
      </w:r>
      <w:r w:rsidRPr="00222823">
        <w:t xml:space="preserve"> as a result of the reprioritisation of resources towards this output group in line with Government priorities.</w:t>
      </w:r>
    </w:p>
    <w:p w:rsidR="00B958B1" w:rsidRDefault="00B958B1" w:rsidP="009F3B54">
      <w:pPr>
        <w:pStyle w:val="Notes"/>
      </w:pPr>
      <w:r w:rsidRPr="00E345D2">
        <w:t>(c)</w:t>
      </w:r>
      <w:r w:rsidRPr="00E345D2">
        <w:tab/>
      </w:r>
      <w:r>
        <w:t>The lower 2013</w:t>
      </w:r>
      <w:r w:rsidR="009F0F49">
        <w:noBreakHyphen/>
      </w:r>
      <w:r>
        <w:t>14 Target</w:t>
      </w:r>
      <w:r w:rsidRPr="00E345D2">
        <w:t xml:space="preserve"> reflects transfer of whole</w:t>
      </w:r>
      <w:r w:rsidR="009F0F49">
        <w:noBreakHyphen/>
      </w:r>
      <w:r w:rsidRPr="00E345D2">
        <w:t>of</w:t>
      </w:r>
      <w:r w:rsidR="009F0F49">
        <w:noBreakHyphen/>
      </w:r>
      <w:r w:rsidRPr="00E345D2">
        <w:t>government ICT functions to the Department of State Development B</w:t>
      </w:r>
      <w:r>
        <w:t>usiness and Innovation through m</w:t>
      </w:r>
      <w:r w:rsidRPr="00E345D2">
        <w:t>achin</w:t>
      </w:r>
      <w:r>
        <w:t>ery</w:t>
      </w:r>
      <w:r w:rsidR="009F0F49">
        <w:noBreakHyphen/>
      </w:r>
      <w:r>
        <w:t>of</w:t>
      </w:r>
      <w:r w:rsidR="009F0F49">
        <w:noBreakHyphen/>
      </w:r>
      <w:r>
        <w:t>g</w:t>
      </w:r>
      <w:r w:rsidRPr="00E345D2">
        <w:t>overnment changes.</w:t>
      </w:r>
    </w:p>
    <w:p w:rsidR="00B958B1" w:rsidRDefault="00B958B1" w:rsidP="009F3B54">
      <w:pPr>
        <w:pStyle w:val="Notes"/>
        <w:rPr>
          <w:rFonts w:cs="Garamond"/>
          <w:color w:val="000000"/>
          <w:szCs w:val="22"/>
          <w:lang w:eastAsia="en-AU"/>
        </w:rPr>
      </w:pPr>
      <w:r>
        <w:t>(d)</w:t>
      </w:r>
      <w:r>
        <w:tab/>
      </w:r>
      <w:r>
        <w:rPr>
          <w:rFonts w:cs="Garamond"/>
          <w:color w:val="000000"/>
          <w:szCs w:val="22"/>
          <w:lang w:eastAsia="en-AU"/>
        </w:rPr>
        <w:t>The higher 2013</w:t>
      </w:r>
      <w:r w:rsidR="009F0F49">
        <w:rPr>
          <w:rFonts w:cs="Garamond"/>
          <w:color w:val="000000"/>
          <w:szCs w:val="22"/>
          <w:lang w:eastAsia="en-AU"/>
        </w:rPr>
        <w:noBreakHyphen/>
      </w:r>
      <w:r>
        <w:rPr>
          <w:rFonts w:cs="Garamond"/>
          <w:color w:val="000000"/>
          <w:szCs w:val="22"/>
          <w:lang w:eastAsia="en-AU"/>
        </w:rPr>
        <w:t>14 Target reflects the biennial purchase of municipal valuations resulting in a higher amortisation expense in the second year.</w:t>
      </w:r>
    </w:p>
    <w:p w:rsidR="00B958B1" w:rsidRPr="00E345D2" w:rsidRDefault="00B958B1" w:rsidP="009F3B54">
      <w:pPr>
        <w:pStyle w:val="Notes"/>
      </w:pPr>
    </w:p>
    <w:p w:rsidR="00B958B1" w:rsidRDefault="00B958B1" w:rsidP="009F3B54">
      <w:pPr>
        <w:pStyle w:val="Notes"/>
        <w:rPr>
          <w:rFonts w:cs="Calibri"/>
          <w:szCs w:val="15"/>
        </w:rPr>
      </w:pPr>
    </w:p>
    <w:p w:rsidR="00B958B1" w:rsidRDefault="00B958B1" w:rsidP="009F3B54">
      <w:pPr>
        <w:pStyle w:val="Notes"/>
        <w:rPr>
          <w:b/>
          <w:i w:val="0"/>
          <w:kern w:val="28"/>
          <w:sz w:val="26"/>
          <w:szCs w:val="22"/>
        </w:rPr>
      </w:pPr>
      <w:r w:rsidRPr="007C0D9E">
        <w:rPr>
          <w:b/>
          <w:i w:val="0"/>
          <w:kern w:val="28"/>
          <w:sz w:val="26"/>
          <w:szCs w:val="22"/>
        </w:rPr>
        <w:t>Amounts available</w:t>
      </w:r>
    </w:p>
    <w:p w:rsidR="00B958B1" w:rsidRPr="007C0D9E" w:rsidRDefault="00B958B1" w:rsidP="009F3B54">
      <w:pPr>
        <w:spacing w:before="60"/>
      </w:pPr>
      <w:r w:rsidRPr="007C0D9E">
        <w:t>The following tables detail the amounts available to the Department from Parliamentary authority and income generated through transactions.</w:t>
      </w:r>
    </w:p>
    <w:p w:rsidR="00B958B1" w:rsidRPr="007C0D9E" w:rsidRDefault="00B958B1" w:rsidP="009F3B54">
      <w:pPr>
        <w:spacing w:before="60"/>
      </w:pPr>
      <w:r w:rsidRPr="007C0D9E">
        <w:t>Table</w:t>
      </w:r>
      <w:r>
        <w:t> </w:t>
      </w:r>
      <w:r w:rsidRPr="007C0D9E">
        <w:t>2.</w:t>
      </w:r>
      <w:r>
        <w:t>27</w:t>
      </w:r>
      <w:r w:rsidRPr="007C0D9E">
        <w:t xml:space="preserve"> outlines the Department’s income from transactions and Table</w:t>
      </w:r>
      <w:r>
        <w:t> </w:t>
      </w:r>
      <w:r w:rsidRPr="007C0D9E">
        <w:t>2.</w:t>
      </w:r>
      <w:r>
        <w:t>28</w:t>
      </w:r>
      <w:r w:rsidRPr="007C0D9E">
        <w:t xml:space="preserve"> summarises the sources of Parliamentary authority available to the Department to fund the provision of outputs, additions to the net asset base and payments made on behalf of the State.</w:t>
      </w:r>
    </w:p>
    <w:p w:rsidR="00B958B1" w:rsidRDefault="00B958B1">
      <w:pPr>
        <w:spacing w:after="0"/>
        <w:rPr>
          <w:rFonts w:ascii="Calibri" w:hAnsi="Calibri"/>
          <w:b/>
        </w:rPr>
      </w:pPr>
      <w:r>
        <w:br w:type="page"/>
      </w:r>
    </w:p>
    <w:p w:rsidR="00B958B1" w:rsidRDefault="00B958B1" w:rsidP="009F3B54">
      <w:pPr>
        <w:pStyle w:val="Tableheading"/>
      </w:pPr>
      <w:r w:rsidRPr="00822259">
        <w:t>Table</w:t>
      </w:r>
      <w:r>
        <w:t> 2.27:</w:t>
      </w:r>
      <w:r>
        <w:tab/>
      </w:r>
      <w:r w:rsidRPr="00822259">
        <w:t>Income from transactions</w:t>
      </w:r>
    </w:p>
    <w:p w:rsidR="00B958B1" w:rsidRPr="00C21EDE" w:rsidRDefault="00B958B1" w:rsidP="009F3B54">
      <w:pPr>
        <w:pStyle w:val="million"/>
        <w:rPr>
          <w:lang w:eastAsia="en-AU"/>
        </w:rPr>
      </w:pPr>
      <w:r w:rsidRPr="00822259">
        <w:rPr>
          <w:lang w:eastAsia="en-AU"/>
        </w:rPr>
        <w:t>(</w:t>
      </w:r>
      <w:r>
        <w:rPr>
          <w:lang w:eastAsia="en-AU"/>
        </w:rPr>
        <w:t>$ million</w:t>
      </w:r>
      <w:r w:rsidRPr="00822259">
        <w:rPr>
          <w:lang w:eastAsia="en-AU"/>
        </w:rPr>
        <w:t>)</w:t>
      </w:r>
    </w:p>
    <w:tbl>
      <w:tblPr>
        <w:tblW w:w="7776" w:type="dxa"/>
        <w:tblInd w:w="29" w:type="dxa"/>
        <w:tblLayout w:type="fixed"/>
        <w:tblCellMar>
          <w:left w:w="43" w:type="dxa"/>
          <w:right w:w="43" w:type="dxa"/>
        </w:tblCellMar>
        <w:tblLook w:val="0000" w:firstRow="0" w:lastRow="0" w:firstColumn="0" w:lastColumn="0" w:noHBand="0" w:noVBand="0"/>
      </w:tblPr>
      <w:tblGrid>
        <w:gridCol w:w="3983"/>
        <w:gridCol w:w="898"/>
        <w:gridCol w:w="898"/>
        <w:gridCol w:w="898"/>
        <w:gridCol w:w="1099"/>
      </w:tblGrid>
      <w:tr w:rsidR="00B958B1" w:rsidRPr="00C21EDE" w:rsidTr="009F3B54">
        <w:tc>
          <w:tcPr>
            <w:tcW w:w="3983" w:type="dxa"/>
            <w:tcBorders>
              <w:top w:val="single" w:sz="6" w:space="0" w:color="auto"/>
              <w:left w:val="single" w:sz="6" w:space="0" w:color="auto"/>
              <w:bottom w:val="nil"/>
              <w:right w:val="nil"/>
            </w:tcBorders>
            <w:shd w:val="clear" w:color="auto" w:fill="000000"/>
          </w:tcPr>
          <w:p w:rsidR="00B958B1" w:rsidRPr="00C21EDE" w:rsidRDefault="00B958B1" w:rsidP="009F3B54">
            <w:pPr>
              <w:pStyle w:val="Tabletext"/>
              <w:rPr>
                <w:lang w:eastAsia="en-AU"/>
              </w:rPr>
            </w:pPr>
            <w:r w:rsidRPr="00C21EDE">
              <w:rPr>
                <w:lang w:eastAsia="en-AU"/>
              </w:rPr>
              <w:t xml:space="preserve"> </w:t>
            </w:r>
          </w:p>
        </w:tc>
        <w:tc>
          <w:tcPr>
            <w:tcW w:w="898" w:type="dxa"/>
            <w:tcBorders>
              <w:top w:val="single" w:sz="6" w:space="0" w:color="auto"/>
              <w:left w:val="nil"/>
              <w:bottom w:val="nil"/>
              <w:right w:val="nil"/>
            </w:tcBorders>
            <w:shd w:val="clear" w:color="auto" w:fill="000000"/>
          </w:tcPr>
          <w:p w:rsidR="00B958B1" w:rsidRPr="00C21EDE" w:rsidRDefault="00B958B1" w:rsidP="009F3B54">
            <w:pPr>
              <w:pStyle w:val="Tabletextheading"/>
              <w:rPr>
                <w:lang w:eastAsia="en-AU"/>
              </w:rPr>
            </w:pPr>
            <w:r w:rsidRPr="00C21EDE">
              <w:rPr>
                <w:lang w:eastAsia="en-AU"/>
              </w:rPr>
              <w:t>2011</w:t>
            </w:r>
            <w:r w:rsidR="009F0F49">
              <w:rPr>
                <w:lang w:eastAsia="en-AU"/>
              </w:rPr>
              <w:noBreakHyphen/>
            </w:r>
            <w:r w:rsidRPr="00C21EDE">
              <w:rPr>
                <w:lang w:eastAsia="en-AU"/>
              </w:rPr>
              <w:t>12</w:t>
            </w:r>
          </w:p>
        </w:tc>
        <w:tc>
          <w:tcPr>
            <w:tcW w:w="898" w:type="dxa"/>
            <w:tcBorders>
              <w:top w:val="single" w:sz="6" w:space="0" w:color="auto"/>
              <w:left w:val="nil"/>
              <w:bottom w:val="nil"/>
              <w:right w:val="nil"/>
            </w:tcBorders>
            <w:shd w:val="clear" w:color="auto" w:fill="000000"/>
          </w:tcPr>
          <w:p w:rsidR="00B958B1" w:rsidRPr="00C21EDE" w:rsidRDefault="00B958B1" w:rsidP="009F3B54">
            <w:pPr>
              <w:pStyle w:val="Tabletextheading"/>
              <w:rPr>
                <w:lang w:eastAsia="en-AU"/>
              </w:rPr>
            </w:pPr>
            <w:r w:rsidRPr="00C21EDE">
              <w:rPr>
                <w:lang w:eastAsia="en-AU"/>
              </w:rPr>
              <w:t>2012</w:t>
            </w:r>
            <w:r w:rsidR="009F0F49">
              <w:rPr>
                <w:lang w:eastAsia="en-AU"/>
              </w:rPr>
              <w:noBreakHyphen/>
            </w:r>
            <w:r w:rsidRPr="00C21EDE">
              <w:rPr>
                <w:lang w:eastAsia="en-AU"/>
              </w:rPr>
              <w:t>13</w:t>
            </w:r>
          </w:p>
        </w:tc>
        <w:tc>
          <w:tcPr>
            <w:tcW w:w="898" w:type="dxa"/>
            <w:tcBorders>
              <w:top w:val="single" w:sz="6" w:space="0" w:color="auto"/>
              <w:left w:val="nil"/>
              <w:bottom w:val="nil"/>
              <w:right w:val="nil"/>
            </w:tcBorders>
            <w:shd w:val="clear" w:color="auto" w:fill="000000"/>
          </w:tcPr>
          <w:p w:rsidR="00B958B1" w:rsidRPr="00C21EDE" w:rsidRDefault="00B958B1" w:rsidP="009F3B54">
            <w:pPr>
              <w:pStyle w:val="Tabletextheading"/>
              <w:rPr>
                <w:lang w:eastAsia="en-AU"/>
              </w:rPr>
            </w:pPr>
            <w:r w:rsidRPr="00C21EDE">
              <w:rPr>
                <w:lang w:eastAsia="en-AU"/>
              </w:rPr>
              <w:t>2012</w:t>
            </w:r>
            <w:r w:rsidR="009F0F49">
              <w:rPr>
                <w:lang w:eastAsia="en-AU"/>
              </w:rPr>
              <w:noBreakHyphen/>
            </w:r>
            <w:r w:rsidRPr="00C21EDE">
              <w:rPr>
                <w:lang w:eastAsia="en-AU"/>
              </w:rPr>
              <w:t>13</w:t>
            </w:r>
          </w:p>
        </w:tc>
        <w:tc>
          <w:tcPr>
            <w:tcW w:w="1099" w:type="dxa"/>
            <w:tcBorders>
              <w:top w:val="single" w:sz="6" w:space="0" w:color="auto"/>
              <w:left w:val="nil"/>
              <w:bottom w:val="nil"/>
              <w:right w:val="single" w:sz="6" w:space="0" w:color="auto"/>
            </w:tcBorders>
            <w:shd w:val="clear" w:color="auto" w:fill="000000"/>
          </w:tcPr>
          <w:p w:rsidR="00B958B1" w:rsidRPr="00C21EDE" w:rsidRDefault="00B958B1" w:rsidP="009F3B54">
            <w:pPr>
              <w:pStyle w:val="Tabletextheading"/>
              <w:rPr>
                <w:lang w:eastAsia="en-AU"/>
              </w:rPr>
            </w:pPr>
            <w:r w:rsidRPr="00C21EDE">
              <w:rPr>
                <w:lang w:eastAsia="en-AU"/>
              </w:rPr>
              <w:t>2013</w:t>
            </w:r>
            <w:r w:rsidR="009F0F49">
              <w:rPr>
                <w:lang w:eastAsia="en-AU"/>
              </w:rPr>
              <w:noBreakHyphen/>
            </w:r>
            <w:r w:rsidRPr="00C21EDE">
              <w:rPr>
                <w:lang w:eastAsia="en-AU"/>
              </w:rPr>
              <w:t>14</w:t>
            </w:r>
          </w:p>
        </w:tc>
      </w:tr>
      <w:tr w:rsidR="00B958B1" w:rsidRPr="00C21EDE" w:rsidTr="009F3B54">
        <w:tc>
          <w:tcPr>
            <w:tcW w:w="3983" w:type="dxa"/>
            <w:tcBorders>
              <w:top w:val="nil"/>
              <w:left w:val="single" w:sz="6" w:space="0" w:color="auto"/>
              <w:bottom w:val="single" w:sz="6" w:space="0" w:color="auto"/>
              <w:right w:val="nil"/>
            </w:tcBorders>
            <w:shd w:val="clear" w:color="auto" w:fill="000000"/>
          </w:tcPr>
          <w:p w:rsidR="00B958B1" w:rsidRPr="00C21EDE" w:rsidRDefault="00B958B1" w:rsidP="009F3B54">
            <w:pPr>
              <w:pStyle w:val="Tabletext"/>
              <w:rPr>
                <w:lang w:eastAsia="en-AU"/>
              </w:rPr>
            </w:pPr>
            <w:r w:rsidRPr="00C21EDE">
              <w:rPr>
                <w:lang w:eastAsia="en-AU"/>
              </w:rPr>
              <w:t xml:space="preserve"> </w:t>
            </w:r>
          </w:p>
        </w:tc>
        <w:tc>
          <w:tcPr>
            <w:tcW w:w="898" w:type="dxa"/>
            <w:tcBorders>
              <w:top w:val="nil"/>
              <w:left w:val="nil"/>
              <w:bottom w:val="single" w:sz="6" w:space="0" w:color="auto"/>
              <w:right w:val="nil"/>
            </w:tcBorders>
            <w:shd w:val="clear" w:color="auto" w:fill="000000"/>
          </w:tcPr>
          <w:p w:rsidR="00B958B1" w:rsidRPr="00C21EDE" w:rsidRDefault="00B958B1" w:rsidP="009F3B54">
            <w:pPr>
              <w:pStyle w:val="Tabletextheading"/>
              <w:rPr>
                <w:lang w:eastAsia="en-AU"/>
              </w:rPr>
            </w:pPr>
            <w:r w:rsidRPr="00C21EDE">
              <w:rPr>
                <w:lang w:eastAsia="en-AU"/>
              </w:rPr>
              <w:t>Actual</w:t>
            </w:r>
          </w:p>
        </w:tc>
        <w:tc>
          <w:tcPr>
            <w:tcW w:w="898" w:type="dxa"/>
            <w:tcBorders>
              <w:top w:val="nil"/>
              <w:left w:val="nil"/>
              <w:bottom w:val="single" w:sz="6" w:space="0" w:color="auto"/>
              <w:right w:val="nil"/>
            </w:tcBorders>
            <w:shd w:val="clear" w:color="auto" w:fill="000000"/>
          </w:tcPr>
          <w:p w:rsidR="00B958B1" w:rsidRPr="00C21EDE" w:rsidRDefault="00B958B1" w:rsidP="009F3B54">
            <w:pPr>
              <w:pStyle w:val="Tabletextheading"/>
              <w:rPr>
                <w:lang w:eastAsia="en-AU"/>
              </w:rPr>
            </w:pPr>
            <w:r w:rsidRPr="00C21EDE">
              <w:rPr>
                <w:lang w:eastAsia="en-AU"/>
              </w:rPr>
              <w:t xml:space="preserve">Budget </w:t>
            </w:r>
          </w:p>
        </w:tc>
        <w:tc>
          <w:tcPr>
            <w:tcW w:w="898" w:type="dxa"/>
            <w:tcBorders>
              <w:top w:val="nil"/>
              <w:left w:val="nil"/>
              <w:bottom w:val="single" w:sz="6" w:space="0" w:color="auto"/>
              <w:right w:val="nil"/>
            </w:tcBorders>
            <w:shd w:val="clear" w:color="auto" w:fill="000000"/>
          </w:tcPr>
          <w:p w:rsidR="00B958B1" w:rsidRPr="00C21EDE" w:rsidRDefault="00B958B1" w:rsidP="009F3B54">
            <w:pPr>
              <w:pStyle w:val="Tabletextheading"/>
              <w:rPr>
                <w:lang w:eastAsia="en-AU"/>
              </w:rPr>
            </w:pPr>
            <w:r w:rsidRPr="00C21EDE">
              <w:rPr>
                <w:lang w:eastAsia="en-AU"/>
              </w:rPr>
              <w:t>Revised</w:t>
            </w:r>
          </w:p>
        </w:tc>
        <w:tc>
          <w:tcPr>
            <w:tcW w:w="1099" w:type="dxa"/>
            <w:tcBorders>
              <w:top w:val="nil"/>
              <w:left w:val="nil"/>
              <w:bottom w:val="single" w:sz="6" w:space="0" w:color="auto"/>
              <w:right w:val="single" w:sz="6" w:space="0" w:color="auto"/>
            </w:tcBorders>
            <w:shd w:val="clear" w:color="auto" w:fill="000000"/>
          </w:tcPr>
          <w:p w:rsidR="00B958B1" w:rsidRPr="00C21EDE" w:rsidRDefault="00B958B1" w:rsidP="009F3B54">
            <w:pPr>
              <w:pStyle w:val="Tabletextheading"/>
              <w:rPr>
                <w:lang w:eastAsia="en-AU"/>
              </w:rPr>
            </w:pPr>
            <w:r w:rsidRPr="00C21EDE">
              <w:rPr>
                <w:lang w:eastAsia="en-AU"/>
              </w:rPr>
              <w:t>Budget</w:t>
            </w:r>
          </w:p>
        </w:tc>
      </w:tr>
      <w:tr w:rsidR="00B958B1" w:rsidRPr="00C21EDE" w:rsidTr="009F3B54">
        <w:tc>
          <w:tcPr>
            <w:tcW w:w="3983" w:type="dxa"/>
            <w:tcBorders>
              <w:top w:val="nil"/>
              <w:left w:val="nil"/>
              <w:bottom w:val="nil"/>
              <w:right w:val="nil"/>
            </w:tcBorders>
          </w:tcPr>
          <w:p w:rsidR="00B958B1" w:rsidRPr="00C21EDE" w:rsidRDefault="00B958B1" w:rsidP="009F3B54">
            <w:pPr>
              <w:pStyle w:val="Tabletext"/>
              <w:rPr>
                <w:lang w:eastAsia="en-AU"/>
              </w:rPr>
            </w:pPr>
            <w:r w:rsidRPr="00C21EDE">
              <w:rPr>
                <w:lang w:eastAsia="en-AU"/>
              </w:rPr>
              <w:t>Output appropriations</w:t>
            </w:r>
          </w:p>
        </w:tc>
        <w:tc>
          <w:tcPr>
            <w:tcW w:w="898"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 xml:space="preserve"> 238.7</w:t>
            </w:r>
          </w:p>
        </w:tc>
        <w:tc>
          <w:tcPr>
            <w:tcW w:w="898"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 xml:space="preserve"> 238.0</w:t>
            </w:r>
          </w:p>
        </w:tc>
        <w:tc>
          <w:tcPr>
            <w:tcW w:w="898"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 xml:space="preserve"> 249.0</w:t>
            </w:r>
          </w:p>
        </w:tc>
        <w:tc>
          <w:tcPr>
            <w:tcW w:w="1099"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 xml:space="preserve"> 247.8</w:t>
            </w:r>
          </w:p>
        </w:tc>
      </w:tr>
      <w:tr w:rsidR="00B958B1" w:rsidRPr="00C21EDE" w:rsidTr="009F3B54">
        <w:tc>
          <w:tcPr>
            <w:tcW w:w="3983" w:type="dxa"/>
            <w:tcBorders>
              <w:top w:val="nil"/>
              <w:left w:val="nil"/>
              <w:bottom w:val="nil"/>
              <w:right w:val="nil"/>
            </w:tcBorders>
          </w:tcPr>
          <w:p w:rsidR="00B958B1" w:rsidRPr="00C21EDE" w:rsidRDefault="00B958B1" w:rsidP="009F3B54">
            <w:pPr>
              <w:pStyle w:val="Tabletext"/>
              <w:rPr>
                <w:lang w:eastAsia="en-AU"/>
              </w:rPr>
            </w:pPr>
            <w:r w:rsidRPr="00C21EDE">
              <w:rPr>
                <w:lang w:eastAsia="en-AU"/>
              </w:rPr>
              <w:t>Special appropriations</w:t>
            </w:r>
          </w:p>
        </w:tc>
        <w:tc>
          <w:tcPr>
            <w:tcW w:w="898"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w:t>
            </w:r>
          </w:p>
        </w:tc>
        <w:tc>
          <w:tcPr>
            <w:tcW w:w="898"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w:t>
            </w:r>
          </w:p>
        </w:tc>
        <w:tc>
          <w:tcPr>
            <w:tcW w:w="898"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 xml:space="preserve"> 1.7</w:t>
            </w:r>
          </w:p>
        </w:tc>
        <w:tc>
          <w:tcPr>
            <w:tcW w:w="1099"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w:t>
            </w:r>
          </w:p>
        </w:tc>
      </w:tr>
      <w:tr w:rsidR="00B958B1" w:rsidRPr="00C21EDE" w:rsidTr="009F3B54">
        <w:tc>
          <w:tcPr>
            <w:tcW w:w="3983" w:type="dxa"/>
            <w:tcBorders>
              <w:top w:val="nil"/>
              <w:left w:val="nil"/>
              <w:bottom w:val="nil"/>
              <w:right w:val="nil"/>
            </w:tcBorders>
          </w:tcPr>
          <w:p w:rsidR="00B958B1" w:rsidRPr="00C21EDE" w:rsidRDefault="00B958B1" w:rsidP="009F3B54">
            <w:pPr>
              <w:pStyle w:val="Tabletext"/>
              <w:rPr>
                <w:lang w:eastAsia="en-AU"/>
              </w:rPr>
            </w:pPr>
            <w:r w:rsidRPr="00C21EDE">
              <w:rPr>
                <w:lang w:eastAsia="en-AU"/>
              </w:rPr>
              <w:t>Interest</w:t>
            </w:r>
          </w:p>
        </w:tc>
        <w:tc>
          <w:tcPr>
            <w:tcW w:w="898"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 xml:space="preserve"> 11.9</w:t>
            </w:r>
          </w:p>
        </w:tc>
        <w:tc>
          <w:tcPr>
            <w:tcW w:w="898"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 xml:space="preserve"> 12.2</w:t>
            </w:r>
          </w:p>
        </w:tc>
        <w:tc>
          <w:tcPr>
            <w:tcW w:w="898"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 xml:space="preserve"> 12.6</w:t>
            </w:r>
          </w:p>
        </w:tc>
        <w:tc>
          <w:tcPr>
            <w:tcW w:w="1099"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 xml:space="preserve"> 12.2</w:t>
            </w:r>
          </w:p>
        </w:tc>
      </w:tr>
      <w:tr w:rsidR="00B958B1" w:rsidRPr="00C21EDE" w:rsidTr="009F3B54">
        <w:tc>
          <w:tcPr>
            <w:tcW w:w="3983" w:type="dxa"/>
            <w:tcBorders>
              <w:top w:val="nil"/>
              <w:left w:val="nil"/>
              <w:bottom w:val="nil"/>
              <w:right w:val="nil"/>
            </w:tcBorders>
          </w:tcPr>
          <w:p w:rsidR="00B958B1" w:rsidRPr="00C21EDE" w:rsidRDefault="00B958B1" w:rsidP="009F3B54">
            <w:pPr>
              <w:pStyle w:val="Tabletext"/>
              <w:rPr>
                <w:lang w:eastAsia="en-AU"/>
              </w:rPr>
            </w:pPr>
            <w:r w:rsidRPr="00C21EDE">
              <w:rPr>
                <w:lang w:eastAsia="en-AU"/>
              </w:rPr>
              <w:t>Sale of goods and services</w:t>
            </w:r>
          </w:p>
        </w:tc>
        <w:tc>
          <w:tcPr>
            <w:tcW w:w="898"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 xml:space="preserve"> 176.5</w:t>
            </w:r>
          </w:p>
        </w:tc>
        <w:tc>
          <w:tcPr>
            <w:tcW w:w="898"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 xml:space="preserve"> 135.9</w:t>
            </w:r>
          </w:p>
        </w:tc>
        <w:tc>
          <w:tcPr>
            <w:tcW w:w="898"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 xml:space="preserve"> 176.4</w:t>
            </w:r>
          </w:p>
        </w:tc>
        <w:tc>
          <w:tcPr>
            <w:tcW w:w="1099"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 xml:space="preserve"> 181.2</w:t>
            </w:r>
          </w:p>
        </w:tc>
      </w:tr>
      <w:tr w:rsidR="00B958B1" w:rsidRPr="00C21EDE" w:rsidTr="009F3B54">
        <w:tc>
          <w:tcPr>
            <w:tcW w:w="3983" w:type="dxa"/>
            <w:tcBorders>
              <w:top w:val="nil"/>
              <w:left w:val="nil"/>
              <w:bottom w:val="nil"/>
              <w:right w:val="nil"/>
            </w:tcBorders>
          </w:tcPr>
          <w:p w:rsidR="00B958B1" w:rsidRPr="00C21EDE" w:rsidRDefault="00B958B1" w:rsidP="009F3B54">
            <w:pPr>
              <w:pStyle w:val="Tabletext"/>
              <w:rPr>
                <w:lang w:eastAsia="en-AU"/>
              </w:rPr>
            </w:pPr>
            <w:r w:rsidRPr="00C21EDE">
              <w:rPr>
                <w:lang w:eastAsia="en-AU"/>
              </w:rPr>
              <w:t>Grants</w:t>
            </w:r>
          </w:p>
        </w:tc>
        <w:tc>
          <w:tcPr>
            <w:tcW w:w="898"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( 0.0)</w:t>
            </w:r>
          </w:p>
        </w:tc>
        <w:tc>
          <w:tcPr>
            <w:tcW w:w="898"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w:t>
            </w:r>
          </w:p>
        </w:tc>
        <w:tc>
          <w:tcPr>
            <w:tcW w:w="898"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w:t>
            </w:r>
          </w:p>
        </w:tc>
        <w:tc>
          <w:tcPr>
            <w:tcW w:w="1099"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w:t>
            </w:r>
          </w:p>
        </w:tc>
      </w:tr>
      <w:tr w:rsidR="00B958B1" w:rsidRPr="00C21EDE" w:rsidTr="009F3B54">
        <w:tc>
          <w:tcPr>
            <w:tcW w:w="3983" w:type="dxa"/>
            <w:tcBorders>
              <w:top w:val="nil"/>
              <w:left w:val="nil"/>
              <w:bottom w:val="nil"/>
              <w:right w:val="nil"/>
            </w:tcBorders>
          </w:tcPr>
          <w:p w:rsidR="00B958B1" w:rsidRPr="00C21EDE" w:rsidRDefault="00B958B1" w:rsidP="009F3B54">
            <w:pPr>
              <w:pStyle w:val="Tabletext"/>
              <w:rPr>
                <w:lang w:eastAsia="en-AU"/>
              </w:rPr>
            </w:pPr>
            <w:r w:rsidRPr="00C21EDE">
              <w:rPr>
                <w:lang w:eastAsia="en-AU"/>
              </w:rPr>
              <w:t>Fair value of assets and services received free of charge or for nominal consideration</w:t>
            </w:r>
          </w:p>
        </w:tc>
        <w:tc>
          <w:tcPr>
            <w:tcW w:w="898"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 xml:space="preserve"> 0.4</w:t>
            </w:r>
          </w:p>
        </w:tc>
        <w:tc>
          <w:tcPr>
            <w:tcW w:w="898"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w:t>
            </w:r>
          </w:p>
        </w:tc>
        <w:tc>
          <w:tcPr>
            <w:tcW w:w="898"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w:t>
            </w:r>
          </w:p>
        </w:tc>
        <w:tc>
          <w:tcPr>
            <w:tcW w:w="1099"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w:t>
            </w:r>
          </w:p>
        </w:tc>
      </w:tr>
      <w:tr w:rsidR="00B958B1" w:rsidRPr="00C21EDE" w:rsidTr="009F3B54">
        <w:tc>
          <w:tcPr>
            <w:tcW w:w="3983" w:type="dxa"/>
            <w:tcBorders>
              <w:top w:val="nil"/>
              <w:left w:val="nil"/>
              <w:bottom w:val="nil"/>
              <w:right w:val="nil"/>
            </w:tcBorders>
          </w:tcPr>
          <w:p w:rsidR="00B958B1" w:rsidRPr="00C21EDE" w:rsidRDefault="00B958B1" w:rsidP="009F3B54">
            <w:pPr>
              <w:pStyle w:val="Tabletext"/>
              <w:rPr>
                <w:lang w:eastAsia="en-AU"/>
              </w:rPr>
            </w:pPr>
            <w:r w:rsidRPr="00C21EDE">
              <w:rPr>
                <w:lang w:eastAsia="en-AU"/>
              </w:rPr>
              <w:t>Other income</w:t>
            </w:r>
          </w:p>
        </w:tc>
        <w:tc>
          <w:tcPr>
            <w:tcW w:w="898"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 xml:space="preserve"> 26.7</w:t>
            </w:r>
          </w:p>
        </w:tc>
        <w:tc>
          <w:tcPr>
            <w:tcW w:w="898"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 xml:space="preserve"> 26.6</w:t>
            </w:r>
          </w:p>
        </w:tc>
        <w:tc>
          <w:tcPr>
            <w:tcW w:w="898"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 xml:space="preserve"> 26.6</w:t>
            </w:r>
          </w:p>
        </w:tc>
        <w:tc>
          <w:tcPr>
            <w:tcW w:w="1099"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 xml:space="preserve"> 26.6</w:t>
            </w:r>
          </w:p>
        </w:tc>
      </w:tr>
      <w:tr w:rsidR="00B958B1" w:rsidRPr="00C21EDE" w:rsidTr="009F3B54">
        <w:tc>
          <w:tcPr>
            <w:tcW w:w="3983" w:type="dxa"/>
            <w:tcBorders>
              <w:top w:val="single" w:sz="6" w:space="0" w:color="auto"/>
              <w:left w:val="nil"/>
              <w:bottom w:val="single" w:sz="12" w:space="0" w:color="auto"/>
              <w:right w:val="nil"/>
            </w:tcBorders>
          </w:tcPr>
          <w:p w:rsidR="00B958B1" w:rsidRPr="00C21EDE" w:rsidRDefault="00B958B1" w:rsidP="009F3B54">
            <w:pPr>
              <w:pStyle w:val="Tabletext"/>
              <w:rPr>
                <w:b/>
                <w:bCs/>
                <w:lang w:eastAsia="en-AU"/>
              </w:rPr>
            </w:pPr>
            <w:r w:rsidRPr="00C21EDE">
              <w:rPr>
                <w:b/>
                <w:bCs/>
                <w:lang w:eastAsia="en-AU"/>
              </w:rPr>
              <w:t>Total income from transactions</w:t>
            </w:r>
          </w:p>
        </w:tc>
        <w:tc>
          <w:tcPr>
            <w:tcW w:w="898" w:type="dxa"/>
            <w:tcBorders>
              <w:top w:val="single" w:sz="6" w:space="0" w:color="auto"/>
              <w:left w:val="nil"/>
              <w:bottom w:val="single" w:sz="12" w:space="0" w:color="auto"/>
              <w:right w:val="nil"/>
            </w:tcBorders>
          </w:tcPr>
          <w:p w:rsidR="00B958B1" w:rsidRPr="00C21EDE" w:rsidRDefault="00B958B1" w:rsidP="009F3B54">
            <w:pPr>
              <w:pStyle w:val="TableofFigures"/>
              <w:rPr>
                <w:b/>
                <w:bCs/>
                <w:lang w:eastAsia="en-AU"/>
              </w:rPr>
            </w:pPr>
            <w:r w:rsidRPr="00C21EDE">
              <w:rPr>
                <w:b/>
                <w:bCs/>
                <w:lang w:eastAsia="en-AU"/>
              </w:rPr>
              <w:t xml:space="preserve"> 454.2</w:t>
            </w:r>
          </w:p>
        </w:tc>
        <w:tc>
          <w:tcPr>
            <w:tcW w:w="898" w:type="dxa"/>
            <w:tcBorders>
              <w:top w:val="single" w:sz="6" w:space="0" w:color="auto"/>
              <w:left w:val="nil"/>
              <w:bottom w:val="single" w:sz="12" w:space="0" w:color="auto"/>
              <w:right w:val="nil"/>
            </w:tcBorders>
          </w:tcPr>
          <w:p w:rsidR="00B958B1" w:rsidRPr="00C21EDE" w:rsidRDefault="00B958B1" w:rsidP="009F3B54">
            <w:pPr>
              <w:pStyle w:val="TableofFigures"/>
              <w:rPr>
                <w:b/>
                <w:bCs/>
                <w:lang w:eastAsia="en-AU"/>
              </w:rPr>
            </w:pPr>
            <w:r w:rsidRPr="00C21EDE">
              <w:rPr>
                <w:b/>
                <w:bCs/>
                <w:lang w:eastAsia="en-AU"/>
              </w:rPr>
              <w:t xml:space="preserve"> 412.7</w:t>
            </w:r>
          </w:p>
        </w:tc>
        <w:tc>
          <w:tcPr>
            <w:tcW w:w="898" w:type="dxa"/>
            <w:tcBorders>
              <w:top w:val="single" w:sz="6" w:space="0" w:color="auto"/>
              <w:left w:val="nil"/>
              <w:bottom w:val="single" w:sz="12" w:space="0" w:color="auto"/>
              <w:right w:val="nil"/>
            </w:tcBorders>
          </w:tcPr>
          <w:p w:rsidR="00B958B1" w:rsidRPr="00C21EDE" w:rsidRDefault="00B958B1" w:rsidP="009F3B54">
            <w:pPr>
              <w:pStyle w:val="TableofFigures"/>
              <w:rPr>
                <w:b/>
                <w:bCs/>
                <w:lang w:eastAsia="en-AU"/>
              </w:rPr>
            </w:pPr>
            <w:r w:rsidRPr="00C21EDE">
              <w:rPr>
                <w:b/>
                <w:bCs/>
                <w:lang w:eastAsia="en-AU"/>
              </w:rPr>
              <w:t xml:space="preserve"> 466.3</w:t>
            </w:r>
          </w:p>
        </w:tc>
        <w:tc>
          <w:tcPr>
            <w:tcW w:w="1099" w:type="dxa"/>
            <w:tcBorders>
              <w:top w:val="single" w:sz="6" w:space="0" w:color="auto"/>
              <w:left w:val="nil"/>
              <w:bottom w:val="single" w:sz="12" w:space="0" w:color="auto"/>
              <w:right w:val="nil"/>
            </w:tcBorders>
          </w:tcPr>
          <w:p w:rsidR="00B958B1" w:rsidRPr="00C21EDE" w:rsidRDefault="00B958B1" w:rsidP="009F3B54">
            <w:pPr>
              <w:pStyle w:val="TableofFigures"/>
              <w:rPr>
                <w:b/>
                <w:bCs/>
                <w:lang w:eastAsia="en-AU"/>
              </w:rPr>
            </w:pPr>
            <w:r w:rsidRPr="00C21EDE">
              <w:rPr>
                <w:b/>
                <w:bCs/>
                <w:lang w:eastAsia="en-AU"/>
              </w:rPr>
              <w:t xml:space="preserve"> 467.8</w:t>
            </w:r>
          </w:p>
        </w:tc>
      </w:tr>
    </w:tbl>
    <w:p w:rsidR="00B958B1" w:rsidRDefault="00B958B1" w:rsidP="009F3B54">
      <w:pPr>
        <w:pStyle w:val="Source"/>
        <w:rPr>
          <w:lang w:eastAsia="en-AU"/>
        </w:rPr>
      </w:pPr>
      <w:r w:rsidRPr="004F1B9C">
        <w:rPr>
          <w:lang w:eastAsia="en-AU"/>
        </w:rPr>
        <w:t>Source: Department of Treasury and Finance</w:t>
      </w:r>
    </w:p>
    <w:p w:rsidR="00B958B1" w:rsidRDefault="00B958B1" w:rsidP="009F3B54">
      <w:pPr>
        <w:pStyle w:val="Source"/>
        <w:rPr>
          <w:lang w:eastAsia="en-AU"/>
        </w:rPr>
      </w:pPr>
      <w:r>
        <w:rPr>
          <w:lang w:eastAsia="en-AU"/>
        </w:rPr>
        <w:fldChar w:fldCharType="begin"/>
      </w:r>
      <w:r>
        <w:instrText xml:space="preserve"> XE "</w:instrText>
      </w:r>
      <w:r w:rsidRPr="00A3556E">
        <w:rPr>
          <w:lang w:eastAsia="en-AU"/>
        </w:rPr>
        <w:instrText>Department of Treasury and Finance</w:instrText>
      </w:r>
      <w:r w:rsidRPr="00A3556E">
        <w:instrText>:Income from transactions</w:instrText>
      </w:r>
      <w:r>
        <w:instrText xml:space="preserve">" </w:instrText>
      </w:r>
      <w:r>
        <w:rPr>
          <w:lang w:eastAsia="en-AU"/>
        </w:rPr>
        <w:fldChar w:fldCharType="end"/>
      </w:r>
    </w:p>
    <w:p w:rsidR="00B958B1" w:rsidRDefault="00B958B1" w:rsidP="009F3B54">
      <w:pPr>
        <w:pStyle w:val="Tableheading"/>
        <w:rPr>
          <w:lang w:eastAsia="en-AU"/>
        </w:rPr>
      </w:pPr>
      <w:r>
        <w:t>Table 2.28:</w:t>
      </w:r>
      <w:r>
        <w:tab/>
      </w:r>
      <w:r w:rsidRPr="00822259">
        <w:t>Parliamentary authority for resources</w:t>
      </w:r>
    </w:p>
    <w:p w:rsidR="00B958B1" w:rsidRPr="00C21EDE" w:rsidRDefault="00B958B1" w:rsidP="009F3B54">
      <w:pPr>
        <w:pStyle w:val="million"/>
      </w:pPr>
      <w:r w:rsidRPr="00822259">
        <w:rPr>
          <w:lang w:eastAsia="en-AU"/>
        </w:rPr>
        <w:t>(</w:t>
      </w:r>
      <w:r>
        <w:rPr>
          <w:lang w:eastAsia="en-AU"/>
        </w:rPr>
        <w:t>$ million</w:t>
      </w:r>
      <w:r w:rsidRPr="00822259">
        <w:rPr>
          <w:lang w:eastAsia="en-AU"/>
        </w:rPr>
        <w:t>)</w:t>
      </w:r>
    </w:p>
    <w:tbl>
      <w:tblPr>
        <w:tblW w:w="7776" w:type="dxa"/>
        <w:tblInd w:w="29" w:type="dxa"/>
        <w:tblLayout w:type="fixed"/>
        <w:tblCellMar>
          <w:left w:w="43" w:type="dxa"/>
          <w:right w:w="43" w:type="dxa"/>
        </w:tblCellMar>
        <w:tblLook w:val="0000" w:firstRow="0" w:lastRow="0" w:firstColumn="0" w:lastColumn="0" w:noHBand="0" w:noVBand="0"/>
      </w:tblPr>
      <w:tblGrid>
        <w:gridCol w:w="4668"/>
        <w:gridCol w:w="1036"/>
        <w:gridCol w:w="1036"/>
        <w:gridCol w:w="1036"/>
      </w:tblGrid>
      <w:tr w:rsidR="00B958B1" w:rsidRPr="00C21EDE" w:rsidTr="009F3B54">
        <w:tc>
          <w:tcPr>
            <w:tcW w:w="4665" w:type="dxa"/>
            <w:tcBorders>
              <w:top w:val="single" w:sz="6" w:space="0" w:color="auto"/>
              <w:left w:val="single" w:sz="6" w:space="0" w:color="auto"/>
              <w:bottom w:val="nil"/>
              <w:right w:val="nil"/>
            </w:tcBorders>
            <w:shd w:val="clear" w:color="auto" w:fill="000000"/>
          </w:tcPr>
          <w:p w:rsidR="00B958B1" w:rsidRPr="00C21EDE" w:rsidRDefault="00B958B1" w:rsidP="009F3B54">
            <w:pPr>
              <w:pStyle w:val="Tabletext"/>
              <w:rPr>
                <w:lang w:eastAsia="en-AU"/>
              </w:rPr>
            </w:pPr>
            <w:r w:rsidRPr="00C21EDE">
              <w:rPr>
                <w:lang w:eastAsia="en-AU"/>
              </w:rPr>
              <w:t xml:space="preserve"> </w:t>
            </w:r>
          </w:p>
        </w:tc>
        <w:tc>
          <w:tcPr>
            <w:tcW w:w="1036" w:type="dxa"/>
            <w:tcBorders>
              <w:top w:val="single" w:sz="6" w:space="0" w:color="auto"/>
              <w:left w:val="nil"/>
              <w:bottom w:val="nil"/>
              <w:right w:val="nil"/>
            </w:tcBorders>
            <w:shd w:val="clear" w:color="auto" w:fill="000000"/>
          </w:tcPr>
          <w:p w:rsidR="00B958B1" w:rsidRPr="00C21EDE" w:rsidRDefault="00B958B1" w:rsidP="009F3B54">
            <w:pPr>
              <w:pStyle w:val="Tabletextheading"/>
              <w:rPr>
                <w:lang w:eastAsia="en-AU"/>
              </w:rPr>
            </w:pPr>
            <w:r w:rsidRPr="00C21EDE">
              <w:rPr>
                <w:lang w:eastAsia="en-AU"/>
              </w:rPr>
              <w:t>2012</w:t>
            </w:r>
            <w:r w:rsidR="009F0F49">
              <w:rPr>
                <w:lang w:eastAsia="en-AU"/>
              </w:rPr>
              <w:noBreakHyphen/>
            </w:r>
            <w:r w:rsidRPr="00C21EDE">
              <w:rPr>
                <w:lang w:eastAsia="en-AU"/>
              </w:rPr>
              <w:t>13</w:t>
            </w:r>
          </w:p>
        </w:tc>
        <w:tc>
          <w:tcPr>
            <w:tcW w:w="1036" w:type="dxa"/>
            <w:tcBorders>
              <w:top w:val="single" w:sz="6" w:space="0" w:color="auto"/>
              <w:left w:val="nil"/>
              <w:bottom w:val="nil"/>
              <w:right w:val="nil"/>
            </w:tcBorders>
            <w:shd w:val="clear" w:color="auto" w:fill="000000"/>
          </w:tcPr>
          <w:p w:rsidR="00B958B1" w:rsidRPr="00C21EDE" w:rsidRDefault="00B958B1" w:rsidP="009F3B54">
            <w:pPr>
              <w:pStyle w:val="Tabletextheading"/>
              <w:rPr>
                <w:lang w:eastAsia="en-AU"/>
              </w:rPr>
            </w:pPr>
            <w:r w:rsidRPr="00C21EDE">
              <w:rPr>
                <w:lang w:eastAsia="en-AU"/>
              </w:rPr>
              <w:t>2012</w:t>
            </w:r>
            <w:r w:rsidR="009F0F49">
              <w:rPr>
                <w:lang w:eastAsia="en-AU"/>
              </w:rPr>
              <w:noBreakHyphen/>
            </w:r>
            <w:r w:rsidRPr="00C21EDE">
              <w:rPr>
                <w:lang w:eastAsia="en-AU"/>
              </w:rPr>
              <w:t>13</w:t>
            </w:r>
          </w:p>
        </w:tc>
        <w:tc>
          <w:tcPr>
            <w:tcW w:w="1036" w:type="dxa"/>
            <w:tcBorders>
              <w:top w:val="single" w:sz="6" w:space="0" w:color="auto"/>
              <w:left w:val="nil"/>
              <w:bottom w:val="nil"/>
              <w:right w:val="single" w:sz="6" w:space="0" w:color="auto"/>
            </w:tcBorders>
            <w:shd w:val="clear" w:color="auto" w:fill="000000"/>
          </w:tcPr>
          <w:p w:rsidR="00B958B1" w:rsidRPr="00C21EDE" w:rsidRDefault="00B958B1" w:rsidP="009F3B54">
            <w:pPr>
              <w:pStyle w:val="Tabletextheading"/>
              <w:rPr>
                <w:lang w:eastAsia="en-AU"/>
              </w:rPr>
            </w:pPr>
            <w:r w:rsidRPr="00C21EDE">
              <w:rPr>
                <w:lang w:eastAsia="en-AU"/>
              </w:rPr>
              <w:t>2013</w:t>
            </w:r>
            <w:r w:rsidR="009F0F49">
              <w:rPr>
                <w:lang w:eastAsia="en-AU"/>
              </w:rPr>
              <w:noBreakHyphen/>
            </w:r>
            <w:r w:rsidRPr="00C21EDE">
              <w:rPr>
                <w:lang w:eastAsia="en-AU"/>
              </w:rPr>
              <w:t>14</w:t>
            </w:r>
          </w:p>
        </w:tc>
      </w:tr>
      <w:tr w:rsidR="00B958B1" w:rsidRPr="00C21EDE" w:rsidTr="009F3B54">
        <w:tc>
          <w:tcPr>
            <w:tcW w:w="4665" w:type="dxa"/>
            <w:tcBorders>
              <w:top w:val="nil"/>
              <w:left w:val="single" w:sz="6" w:space="0" w:color="auto"/>
              <w:bottom w:val="single" w:sz="6" w:space="0" w:color="auto"/>
              <w:right w:val="nil"/>
            </w:tcBorders>
            <w:shd w:val="clear" w:color="auto" w:fill="000000"/>
          </w:tcPr>
          <w:p w:rsidR="00B958B1" w:rsidRPr="00C21EDE" w:rsidRDefault="00B958B1" w:rsidP="009F3B54">
            <w:pPr>
              <w:pStyle w:val="Tabletext"/>
              <w:rPr>
                <w:lang w:eastAsia="en-AU"/>
              </w:rPr>
            </w:pPr>
            <w:r w:rsidRPr="00C21EDE">
              <w:rPr>
                <w:lang w:eastAsia="en-AU"/>
              </w:rPr>
              <w:t xml:space="preserve"> </w:t>
            </w:r>
          </w:p>
        </w:tc>
        <w:tc>
          <w:tcPr>
            <w:tcW w:w="1036" w:type="dxa"/>
            <w:tcBorders>
              <w:top w:val="nil"/>
              <w:left w:val="nil"/>
              <w:bottom w:val="single" w:sz="6" w:space="0" w:color="auto"/>
              <w:right w:val="nil"/>
            </w:tcBorders>
            <w:shd w:val="clear" w:color="auto" w:fill="000000"/>
          </w:tcPr>
          <w:p w:rsidR="00B958B1" w:rsidRPr="00C21EDE" w:rsidRDefault="00B958B1" w:rsidP="009F3B54">
            <w:pPr>
              <w:pStyle w:val="Tabletextheading"/>
              <w:rPr>
                <w:lang w:eastAsia="en-AU"/>
              </w:rPr>
            </w:pPr>
            <w:r w:rsidRPr="00C21EDE">
              <w:rPr>
                <w:lang w:eastAsia="en-AU"/>
              </w:rPr>
              <w:t>Budget</w:t>
            </w:r>
          </w:p>
        </w:tc>
        <w:tc>
          <w:tcPr>
            <w:tcW w:w="1036" w:type="dxa"/>
            <w:tcBorders>
              <w:top w:val="nil"/>
              <w:left w:val="nil"/>
              <w:bottom w:val="single" w:sz="6" w:space="0" w:color="auto"/>
              <w:right w:val="nil"/>
            </w:tcBorders>
            <w:shd w:val="clear" w:color="auto" w:fill="000000"/>
          </w:tcPr>
          <w:p w:rsidR="00B958B1" w:rsidRPr="00C21EDE" w:rsidRDefault="00B958B1" w:rsidP="009F3B54">
            <w:pPr>
              <w:pStyle w:val="Tabletextheading"/>
              <w:rPr>
                <w:lang w:eastAsia="en-AU"/>
              </w:rPr>
            </w:pPr>
            <w:r w:rsidRPr="00C21EDE">
              <w:rPr>
                <w:lang w:eastAsia="en-AU"/>
              </w:rPr>
              <w:t>Revised</w:t>
            </w:r>
          </w:p>
        </w:tc>
        <w:tc>
          <w:tcPr>
            <w:tcW w:w="1036" w:type="dxa"/>
            <w:tcBorders>
              <w:top w:val="nil"/>
              <w:left w:val="nil"/>
              <w:bottom w:val="single" w:sz="6" w:space="0" w:color="auto"/>
              <w:right w:val="single" w:sz="6" w:space="0" w:color="auto"/>
            </w:tcBorders>
            <w:shd w:val="clear" w:color="auto" w:fill="000000"/>
          </w:tcPr>
          <w:p w:rsidR="00B958B1" w:rsidRPr="00C21EDE" w:rsidRDefault="00B958B1" w:rsidP="009F3B54">
            <w:pPr>
              <w:pStyle w:val="Tabletextheading"/>
              <w:rPr>
                <w:lang w:eastAsia="en-AU"/>
              </w:rPr>
            </w:pPr>
            <w:r w:rsidRPr="00C21EDE">
              <w:rPr>
                <w:lang w:eastAsia="en-AU"/>
              </w:rPr>
              <w:t>Budget</w:t>
            </w:r>
          </w:p>
        </w:tc>
      </w:tr>
      <w:tr w:rsidR="00B958B1" w:rsidRPr="00C21EDE" w:rsidTr="009F3B54">
        <w:tc>
          <w:tcPr>
            <w:tcW w:w="4665" w:type="dxa"/>
            <w:tcBorders>
              <w:top w:val="nil"/>
              <w:left w:val="nil"/>
              <w:bottom w:val="nil"/>
              <w:right w:val="nil"/>
            </w:tcBorders>
            <w:shd w:val="solid" w:color="FFFFFF" w:fill="auto"/>
          </w:tcPr>
          <w:p w:rsidR="00B958B1" w:rsidRPr="00C21EDE" w:rsidRDefault="00B958B1" w:rsidP="009F3B54">
            <w:pPr>
              <w:pStyle w:val="Tabletext"/>
              <w:rPr>
                <w:b/>
                <w:bCs/>
                <w:lang w:eastAsia="en-AU"/>
              </w:rPr>
            </w:pPr>
            <w:r w:rsidRPr="00C21EDE">
              <w:rPr>
                <w:b/>
                <w:bCs/>
                <w:lang w:eastAsia="en-AU"/>
              </w:rPr>
              <w:t>Annual appropriations</w:t>
            </w:r>
          </w:p>
        </w:tc>
        <w:tc>
          <w:tcPr>
            <w:tcW w:w="1036" w:type="dxa"/>
            <w:tcBorders>
              <w:top w:val="nil"/>
              <w:left w:val="nil"/>
              <w:bottom w:val="nil"/>
              <w:right w:val="nil"/>
            </w:tcBorders>
            <w:shd w:val="solid" w:color="FFFFFF" w:fill="auto"/>
          </w:tcPr>
          <w:p w:rsidR="00B958B1" w:rsidRPr="00C21EDE" w:rsidRDefault="00B958B1" w:rsidP="009F3B54">
            <w:pPr>
              <w:pStyle w:val="TableofFigures"/>
              <w:rPr>
                <w:rFonts w:cs="Calibri"/>
                <w:b/>
                <w:bCs/>
                <w:lang w:eastAsia="en-AU"/>
              </w:rPr>
            </w:pPr>
            <w:r w:rsidRPr="00C21EDE">
              <w:rPr>
                <w:b/>
                <w:bCs/>
                <w:lang w:eastAsia="en-AU"/>
              </w:rPr>
              <w:t xml:space="preserve">3 </w:t>
            </w:r>
            <w:r w:rsidRPr="00C21EDE">
              <w:rPr>
                <w:rFonts w:cs="Calibri"/>
                <w:b/>
                <w:bCs/>
                <w:lang w:eastAsia="en-AU"/>
              </w:rPr>
              <w:t>006.2</w:t>
            </w:r>
          </w:p>
        </w:tc>
        <w:tc>
          <w:tcPr>
            <w:tcW w:w="1036" w:type="dxa"/>
            <w:tcBorders>
              <w:top w:val="nil"/>
              <w:left w:val="nil"/>
              <w:bottom w:val="nil"/>
              <w:right w:val="nil"/>
            </w:tcBorders>
            <w:shd w:val="solid" w:color="FFFFFF" w:fill="auto"/>
          </w:tcPr>
          <w:p w:rsidR="00B958B1" w:rsidRPr="00C21EDE" w:rsidRDefault="00B958B1" w:rsidP="009F3B54">
            <w:pPr>
              <w:pStyle w:val="TableofFigures"/>
              <w:rPr>
                <w:rFonts w:cs="Calibri"/>
                <w:b/>
                <w:bCs/>
                <w:lang w:eastAsia="en-AU"/>
              </w:rPr>
            </w:pPr>
            <w:r w:rsidRPr="00C21EDE">
              <w:rPr>
                <w:b/>
                <w:bCs/>
                <w:lang w:eastAsia="en-AU"/>
              </w:rPr>
              <w:t xml:space="preserve">2 </w:t>
            </w:r>
            <w:r w:rsidRPr="00C21EDE">
              <w:rPr>
                <w:rFonts w:cs="Calibri"/>
                <w:b/>
                <w:bCs/>
                <w:lang w:eastAsia="en-AU"/>
              </w:rPr>
              <w:t>610.8</w:t>
            </w:r>
          </w:p>
        </w:tc>
        <w:tc>
          <w:tcPr>
            <w:tcW w:w="1036" w:type="dxa"/>
            <w:tcBorders>
              <w:top w:val="nil"/>
              <w:left w:val="nil"/>
              <w:bottom w:val="nil"/>
              <w:right w:val="nil"/>
            </w:tcBorders>
            <w:shd w:val="solid" w:color="FFFFFF" w:fill="auto"/>
          </w:tcPr>
          <w:p w:rsidR="00B958B1" w:rsidRPr="00C21EDE" w:rsidRDefault="00B958B1" w:rsidP="009F3B54">
            <w:pPr>
              <w:pStyle w:val="TableofFigures"/>
              <w:rPr>
                <w:rFonts w:cs="Calibri"/>
                <w:b/>
                <w:bCs/>
                <w:lang w:eastAsia="en-AU"/>
              </w:rPr>
            </w:pPr>
            <w:r w:rsidRPr="00C21EDE">
              <w:rPr>
                <w:b/>
                <w:bCs/>
                <w:lang w:eastAsia="en-AU"/>
              </w:rPr>
              <w:t xml:space="preserve">2 </w:t>
            </w:r>
            <w:r w:rsidRPr="00C21EDE">
              <w:rPr>
                <w:rFonts w:cs="Calibri"/>
                <w:b/>
                <w:bCs/>
                <w:lang w:eastAsia="en-AU"/>
              </w:rPr>
              <w:t>436.6</w:t>
            </w:r>
          </w:p>
        </w:tc>
      </w:tr>
      <w:tr w:rsidR="00B958B1" w:rsidRPr="00C21EDE" w:rsidTr="009F3B54">
        <w:tc>
          <w:tcPr>
            <w:tcW w:w="4665" w:type="dxa"/>
            <w:tcBorders>
              <w:top w:val="nil"/>
              <w:left w:val="nil"/>
              <w:bottom w:val="nil"/>
              <w:right w:val="nil"/>
            </w:tcBorders>
            <w:shd w:val="solid" w:color="FFFFFF" w:fill="auto"/>
          </w:tcPr>
          <w:p w:rsidR="00B958B1" w:rsidRPr="00C21EDE" w:rsidRDefault="00B958B1" w:rsidP="009F3B54">
            <w:pPr>
              <w:pStyle w:val="Tabletext"/>
              <w:rPr>
                <w:lang w:eastAsia="en-AU"/>
              </w:rPr>
            </w:pPr>
            <w:r w:rsidRPr="00C21EDE">
              <w:rPr>
                <w:lang w:eastAsia="en-AU"/>
              </w:rPr>
              <w:t xml:space="preserve"> Provision of outputs</w:t>
            </w:r>
          </w:p>
        </w:tc>
        <w:tc>
          <w:tcPr>
            <w:tcW w:w="1036" w:type="dxa"/>
            <w:tcBorders>
              <w:top w:val="nil"/>
              <w:left w:val="nil"/>
              <w:bottom w:val="nil"/>
              <w:right w:val="nil"/>
            </w:tcBorders>
            <w:shd w:val="solid" w:color="FFFFFF" w:fill="auto"/>
          </w:tcPr>
          <w:p w:rsidR="00B958B1" w:rsidRPr="00C21EDE" w:rsidRDefault="00B958B1" w:rsidP="009F3B54">
            <w:pPr>
              <w:pStyle w:val="TableofFigures"/>
              <w:rPr>
                <w:lang w:eastAsia="en-AU"/>
              </w:rPr>
            </w:pPr>
            <w:r w:rsidRPr="00C21EDE">
              <w:rPr>
                <w:lang w:eastAsia="en-AU"/>
              </w:rPr>
              <w:t xml:space="preserve"> 225.3</w:t>
            </w:r>
          </w:p>
        </w:tc>
        <w:tc>
          <w:tcPr>
            <w:tcW w:w="1036" w:type="dxa"/>
            <w:tcBorders>
              <w:top w:val="nil"/>
              <w:left w:val="nil"/>
              <w:bottom w:val="nil"/>
              <w:right w:val="nil"/>
            </w:tcBorders>
            <w:shd w:val="solid" w:color="FFFFFF" w:fill="auto"/>
          </w:tcPr>
          <w:p w:rsidR="00B958B1" w:rsidRPr="00C21EDE" w:rsidRDefault="00B958B1" w:rsidP="009F3B54">
            <w:pPr>
              <w:pStyle w:val="TableofFigures"/>
              <w:rPr>
                <w:lang w:eastAsia="en-AU"/>
              </w:rPr>
            </w:pPr>
            <w:r w:rsidRPr="00C21EDE">
              <w:rPr>
                <w:lang w:eastAsia="en-AU"/>
              </w:rPr>
              <w:t xml:space="preserve"> 225.1</w:t>
            </w:r>
          </w:p>
        </w:tc>
        <w:tc>
          <w:tcPr>
            <w:tcW w:w="1036" w:type="dxa"/>
            <w:tcBorders>
              <w:top w:val="nil"/>
              <w:left w:val="nil"/>
              <w:bottom w:val="nil"/>
              <w:right w:val="nil"/>
            </w:tcBorders>
            <w:shd w:val="solid" w:color="FFFFFF" w:fill="auto"/>
          </w:tcPr>
          <w:p w:rsidR="00B958B1" w:rsidRPr="00C21EDE" w:rsidRDefault="00B958B1" w:rsidP="009F3B54">
            <w:pPr>
              <w:pStyle w:val="TableofFigures"/>
              <w:rPr>
                <w:lang w:eastAsia="en-AU"/>
              </w:rPr>
            </w:pPr>
            <w:r w:rsidRPr="00C21EDE">
              <w:rPr>
                <w:lang w:eastAsia="en-AU"/>
              </w:rPr>
              <w:t xml:space="preserve"> 239.8</w:t>
            </w:r>
          </w:p>
        </w:tc>
      </w:tr>
      <w:tr w:rsidR="00B958B1" w:rsidRPr="00C21EDE" w:rsidTr="009F3B54">
        <w:tc>
          <w:tcPr>
            <w:tcW w:w="4665" w:type="dxa"/>
            <w:tcBorders>
              <w:top w:val="nil"/>
              <w:left w:val="nil"/>
              <w:bottom w:val="nil"/>
              <w:right w:val="nil"/>
            </w:tcBorders>
            <w:shd w:val="solid" w:color="FFFFFF" w:fill="auto"/>
          </w:tcPr>
          <w:p w:rsidR="00B958B1" w:rsidRPr="00C21EDE" w:rsidRDefault="00B958B1" w:rsidP="009F3B54">
            <w:pPr>
              <w:pStyle w:val="Tabletext"/>
              <w:rPr>
                <w:lang w:eastAsia="en-AU"/>
              </w:rPr>
            </w:pPr>
            <w:r w:rsidRPr="00C21EDE">
              <w:rPr>
                <w:lang w:eastAsia="en-AU"/>
              </w:rPr>
              <w:t xml:space="preserve"> Additions to the net asset base</w:t>
            </w:r>
          </w:p>
        </w:tc>
        <w:tc>
          <w:tcPr>
            <w:tcW w:w="1036" w:type="dxa"/>
            <w:tcBorders>
              <w:top w:val="nil"/>
              <w:left w:val="nil"/>
              <w:bottom w:val="nil"/>
              <w:right w:val="nil"/>
            </w:tcBorders>
            <w:shd w:val="solid" w:color="FFFFFF" w:fill="auto"/>
          </w:tcPr>
          <w:p w:rsidR="00B958B1" w:rsidRPr="00C21EDE" w:rsidRDefault="00B958B1" w:rsidP="009F3B54">
            <w:pPr>
              <w:pStyle w:val="TableofFigures"/>
              <w:rPr>
                <w:lang w:eastAsia="en-AU"/>
              </w:rPr>
            </w:pPr>
            <w:r w:rsidRPr="00C21EDE">
              <w:rPr>
                <w:lang w:eastAsia="en-AU"/>
              </w:rPr>
              <w:t xml:space="preserve"> 32.8</w:t>
            </w:r>
          </w:p>
        </w:tc>
        <w:tc>
          <w:tcPr>
            <w:tcW w:w="1036" w:type="dxa"/>
            <w:tcBorders>
              <w:top w:val="nil"/>
              <w:left w:val="nil"/>
              <w:bottom w:val="nil"/>
              <w:right w:val="nil"/>
            </w:tcBorders>
            <w:shd w:val="solid" w:color="FFFFFF" w:fill="auto"/>
          </w:tcPr>
          <w:p w:rsidR="00B958B1" w:rsidRPr="00C21EDE" w:rsidRDefault="00B958B1" w:rsidP="009F3B54">
            <w:pPr>
              <w:pStyle w:val="TableofFigures"/>
              <w:rPr>
                <w:lang w:eastAsia="en-AU"/>
              </w:rPr>
            </w:pPr>
            <w:r w:rsidRPr="00C21EDE">
              <w:rPr>
                <w:lang w:eastAsia="en-AU"/>
              </w:rPr>
              <w:t xml:space="preserve"> 29.9</w:t>
            </w:r>
          </w:p>
        </w:tc>
        <w:tc>
          <w:tcPr>
            <w:tcW w:w="1036" w:type="dxa"/>
            <w:tcBorders>
              <w:top w:val="nil"/>
              <w:left w:val="nil"/>
              <w:bottom w:val="nil"/>
              <w:right w:val="nil"/>
            </w:tcBorders>
            <w:shd w:val="solid" w:color="FFFFFF" w:fill="auto"/>
          </w:tcPr>
          <w:p w:rsidR="00B958B1" w:rsidRPr="00C21EDE" w:rsidRDefault="00B958B1" w:rsidP="009F3B54">
            <w:pPr>
              <w:pStyle w:val="TableofFigures"/>
              <w:rPr>
                <w:lang w:eastAsia="en-AU"/>
              </w:rPr>
            </w:pPr>
            <w:r w:rsidRPr="00C21EDE">
              <w:rPr>
                <w:lang w:eastAsia="en-AU"/>
              </w:rPr>
              <w:t xml:space="preserve"> 26.6</w:t>
            </w:r>
          </w:p>
        </w:tc>
      </w:tr>
      <w:tr w:rsidR="00B958B1" w:rsidRPr="00C21EDE" w:rsidTr="009F3B54">
        <w:tc>
          <w:tcPr>
            <w:tcW w:w="4665" w:type="dxa"/>
            <w:tcBorders>
              <w:top w:val="nil"/>
              <w:left w:val="nil"/>
              <w:bottom w:val="nil"/>
              <w:right w:val="nil"/>
            </w:tcBorders>
            <w:shd w:val="solid" w:color="FFFFFF" w:fill="auto"/>
          </w:tcPr>
          <w:p w:rsidR="00B958B1" w:rsidRPr="00C21EDE" w:rsidRDefault="00B958B1" w:rsidP="009F3B54">
            <w:pPr>
              <w:pStyle w:val="Tabletext"/>
              <w:rPr>
                <w:lang w:eastAsia="en-AU"/>
              </w:rPr>
            </w:pPr>
            <w:r w:rsidRPr="00C21EDE">
              <w:rPr>
                <w:lang w:eastAsia="en-AU"/>
              </w:rPr>
              <w:t xml:space="preserve"> Payments made on behalf of the State</w:t>
            </w:r>
          </w:p>
        </w:tc>
        <w:tc>
          <w:tcPr>
            <w:tcW w:w="1036" w:type="dxa"/>
            <w:tcBorders>
              <w:top w:val="nil"/>
              <w:left w:val="nil"/>
              <w:bottom w:val="nil"/>
              <w:right w:val="nil"/>
            </w:tcBorders>
            <w:shd w:val="solid" w:color="FFFFFF" w:fill="auto"/>
          </w:tcPr>
          <w:p w:rsidR="00B958B1" w:rsidRPr="00C21EDE" w:rsidRDefault="00B958B1" w:rsidP="009F3B54">
            <w:pPr>
              <w:pStyle w:val="TableofFigures"/>
              <w:rPr>
                <w:rFonts w:cs="Calibri"/>
                <w:lang w:eastAsia="en-AU"/>
              </w:rPr>
            </w:pPr>
            <w:r w:rsidRPr="00C21EDE">
              <w:rPr>
                <w:lang w:eastAsia="en-AU"/>
              </w:rPr>
              <w:t xml:space="preserve">2 </w:t>
            </w:r>
            <w:r w:rsidRPr="00C21EDE">
              <w:rPr>
                <w:rFonts w:cs="Calibri"/>
                <w:lang w:eastAsia="en-AU"/>
              </w:rPr>
              <w:t>748.1</w:t>
            </w:r>
          </w:p>
        </w:tc>
        <w:tc>
          <w:tcPr>
            <w:tcW w:w="1036" w:type="dxa"/>
            <w:tcBorders>
              <w:top w:val="nil"/>
              <w:left w:val="nil"/>
              <w:bottom w:val="nil"/>
              <w:right w:val="nil"/>
            </w:tcBorders>
            <w:shd w:val="solid" w:color="FFFFFF" w:fill="auto"/>
          </w:tcPr>
          <w:p w:rsidR="00B958B1" w:rsidRPr="00C21EDE" w:rsidRDefault="00B958B1" w:rsidP="009F3B54">
            <w:pPr>
              <w:pStyle w:val="TableofFigures"/>
              <w:rPr>
                <w:rFonts w:cs="Calibri"/>
                <w:lang w:eastAsia="en-AU"/>
              </w:rPr>
            </w:pPr>
            <w:r w:rsidRPr="00C21EDE">
              <w:rPr>
                <w:lang w:eastAsia="en-AU"/>
              </w:rPr>
              <w:t xml:space="preserve">2 </w:t>
            </w:r>
            <w:r w:rsidRPr="00C21EDE">
              <w:rPr>
                <w:rFonts w:cs="Calibri"/>
                <w:lang w:eastAsia="en-AU"/>
              </w:rPr>
              <w:t>355.8</w:t>
            </w:r>
          </w:p>
        </w:tc>
        <w:tc>
          <w:tcPr>
            <w:tcW w:w="1036" w:type="dxa"/>
            <w:tcBorders>
              <w:top w:val="nil"/>
              <w:left w:val="nil"/>
              <w:bottom w:val="nil"/>
              <w:right w:val="nil"/>
            </w:tcBorders>
            <w:shd w:val="solid" w:color="FFFFFF" w:fill="auto"/>
          </w:tcPr>
          <w:p w:rsidR="00B958B1" w:rsidRPr="00C21EDE" w:rsidRDefault="00B958B1" w:rsidP="009F3B54">
            <w:pPr>
              <w:pStyle w:val="TableofFigures"/>
              <w:rPr>
                <w:rFonts w:cs="Calibri"/>
                <w:lang w:eastAsia="en-AU"/>
              </w:rPr>
            </w:pPr>
            <w:r w:rsidRPr="00C21EDE">
              <w:rPr>
                <w:lang w:eastAsia="en-AU"/>
              </w:rPr>
              <w:t xml:space="preserve">2 </w:t>
            </w:r>
            <w:r w:rsidRPr="00C21EDE">
              <w:rPr>
                <w:rFonts w:cs="Calibri"/>
                <w:lang w:eastAsia="en-AU"/>
              </w:rPr>
              <w:t>170.2</w:t>
            </w:r>
          </w:p>
        </w:tc>
      </w:tr>
      <w:tr w:rsidR="00B958B1" w:rsidRPr="00C21EDE" w:rsidTr="009F3B54">
        <w:tc>
          <w:tcPr>
            <w:tcW w:w="4665" w:type="dxa"/>
            <w:tcBorders>
              <w:top w:val="nil"/>
              <w:left w:val="nil"/>
              <w:bottom w:val="nil"/>
              <w:right w:val="nil"/>
            </w:tcBorders>
            <w:shd w:val="solid" w:color="FFFFFF" w:fill="auto"/>
          </w:tcPr>
          <w:p w:rsidR="00B958B1" w:rsidRPr="00C21EDE" w:rsidRDefault="00B958B1" w:rsidP="009F3B54">
            <w:pPr>
              <w:pStyle w:val="Tabletext"/>
              <w:rPr>
                <w:lang w:eastAsia="en-AU"/>
              </w:rPr>
            </w:pPr>
            <w:r w:rsidRPr="00C21EDE">
              <w:rPr>
                <w:lang w:eastAsia="en-AU"/>
              </w:rPr>
              <w:t>Receipts credited to appropriations</w:t>
            </w:r>
          </w:p>
        </w:tc>
        <w:tc>
          <w:tcPr>
            <w:tcW w:w="1036" w:type="dxa"/>
            <w:tcBorders>
              <w:top w:val="nil"/>
              <w:left w:val="nil"/>
              <w:bottom w:val="nil"/>
              <w:right w:val="nil"/>
            </w:tcBorders>
            <w:shd w:val="solid" w:color="FFFFFF" w:fill="auto"/>
          </w:tcPr>
          <w:p w:rsidR="00B958B1" w:rsidRPr="00C21EDE" w:rsidRDefault="00B958B1" w:rsidP="009F3B54">
            <w:pPr>
              <w:pStyle w:val="TableofFigures"/>
              <w:rPr>
                <w:lang w:eastAsia="en-AU"/>
              </w:rPr>
            </w:pPr>
            <w:r w:rsidRPr="00C21EDE">
              <w:rPr>
                <w:lang w:eastAsia="en-AU"/>
              </w:rPr>
              <w:t xml:space="preserve"> 8.5</w:t>
            </w:r>
          </w:p>
        </w:tc>
        <w:tc>
          <w:tcPr>
            <w:tcW w:w="1036" w:type="dxa"/>
            <w:tcBorders>
              <w:top w:val="nil"/>
              <w:left w:val="nil"/>
              <w:bottom w:val="nil"/>
              <w:right w:val="nil"/>
            </w:tcBorders>
            <w:shd w:val="solid" w:color="FFFFFF" w:fill="auto"/>
          </w:tcPr>
          <w:p w:rsidR="00B958B1" w:rsidRPr="00C21EDE" w:rsidRDefault="00B958B1" w:rsidP="009F3B54">
            <w:pPr>
              <w:pStyle w:val="TableofFigures"/>
              <w:rPr>
                <w:lang w:eastAsia="en-AU"/>
              </w:rPr>
            </w:pPr>
            <w:r w:rsidRPr="00C21EDE">
              <w:rPr>
                <w:lang w:eastAsia="en-AU"/>
              </w:rPr>
              <w:t xml:space="preserve"> 8.2</w:t>
            </w:r>
          </w:p>
        </w:tc>
        <w:tc>
          <w:tcPr>
            <w:tcW w:w="1036" w:type="dxa"/>
            <w:tcBorders>
              <w:top w:val="nil"/>
              <w:left w:val="nil"/>
              <w:bottom w:val="nil"/>
              <w:right w:val="nil"/>
            </w:tcBorders>
            <w:shd w:val="solid" w:color="FFFFFF" w:fill="auto"/>
          </w:tcPr>
          <w:p w:rsidR="00B958B1" w:rsidRPr="00C21EDE" w:rsidRDefault="00B958B1" w:rsidP="009F3B54">
            <w:pPr>
              <w:pStyle w:val="TableofFigures"/>
              <w:rPr>
                <w:lang w:eastAsia="en-AU"/>
              </w:rPr>
            </w:pPr>
            <w:r w:rsidRPr="00C21EDE">
              <w:rPr>
                <w:lang w:eastAsia="en-AU"/>
              </w:rPr>
              <w:t xml:space="preserve"> 7.6</w:t>
            </w:r>
          </w:p>
        </w:tc>
      </w:tr>
      <w:tr w:rsidR="00B958B1" w:rsidRPr="00C21EDE" w:rsidTr="009F3B54">
        <w:tc>
          <w:tcPr>
            <w:tcW w:w="4665" w:type="dxa"/>
            <w:tcBorders>
              <w:top w:val="nil"/>
              <w:left w:val="nil"/>
              <w:bottom w:val="nil"/>
              <w:right w:val="nil"/>
            </w:tcBorders>
            <w:shd w:val="solid" w:color="FFFFFF" w:fill="auto"/>
          </w:tcPr>
          <w:p w:rsidR="00B958B1" w:rsidRPr="00C21EDE" w:rsidRDefault="00B958B1" w:rsidP="009F3B54">
            <w:pPr>
              <w:pStyle w:val="Tabletext"/>
              <w:rPr>
                <w:b/>
                <w:bCs/>
                <w:lang w:eastAsia="en-AU"/>
              </w:rPr>
            </w:pPr>
            <w:r w:rsidRPr="00C21EDE">
              <w:rPr>
                <w:b/>
                <w:bCs/>
                <w:lang w:eastAsia="en-AU"/>
              </w:rPr>
              <w:t>Unapplied previous years appropriation</w:t>
            </w:r>
          </w:p>
        </w:tc>
        <w:tc>
          <w:tcPr>
            <w:tcW w:w="1036" w:type="dxa"/>
            <w:tcBorders>
              <w:top w:val="nil"/>
              <w:left w:val="nil"/>
              <w:bottom w:val="nil"/>
              <w:right w:val="nil"/>
            </w:tcBorders>
            <w:shd w:val="solid" w:color="FFFFFF" w:fill="auto"/>
          </w:tcPr>
          <w:p w:rsidR="00B958B1" w:rsidRPr="00C21EDE" w:rsidRDefault="00B958B1" w:rsidP="009F3B54">
            <w:pPr>
              <w:pStyle w:val="TableofFigures"/>
              <w:rPr>
                <w:b/>
                <w:lang w:eastAsia="en-AU"/>
              </w:rPr>
            </w:pPr>
            <w:r w:rsidRPr="00C21EDE">
              <w:rPr>
                <w:b/>
                <w:lang w:eastAsia="en-AU"/>
              </w:rPr>
              <w:t xml:space="preserve"> 8.3</w:t>
            </w:r>
          </w:p>
        </w:tc>
        <w:tc>
          <w:tcPr>
            <w:tcW w:w="1036" w:type="dxa"/>
            <w:tcBorders>
              <w:top w:val="nil"/>
              <w:left w:val="nil"/>
              <w:bottom w:val="nil"/>
              <w:right w:val="nil"/>
            </w:tcBorders>
            <w:shd w:val="solid" w:color="FFFFFF" w:fill="auto"/>
          </w:tcPr>
          <w:p w:rsidR="00B958B1" w:rsidRPr="00C21EDE" w:rsidRDefault="00B958B1" w:rsidP="009F3B54">
            <w:pPr>
              <w:pStyle w:val="TableofFigures"/>
              <w:rPr>
                <w:b/>
                <w:lang w:eastAsia="en-AU"/>
              </w:rPr>
            </w:pPr>
            <w:r w:rsidRPr="00C21EDE">
              <w:rPr>
                <w:b/>
                <w:lang w:eastAsia="en-AU"/>
              </w:rPr>
              <w:t xml:space="preserve"> 15.9</w:t>
            </w:r>
          </w:p>
        </w:tc>
        <w:tc>
          <w:tcPr>
            <w:tcW w:w="1036" w:type="dxa"/>
            <w:tcBorders>
              <w:top w:val="nil"/>
              <w:left w:val="nil"/>
              <w:bottom w:val="nil"/>
              <w:right w:val="nil"/>
            </w:tcBorders>
            <w:shd w:val="solid" w:color="FFFFFF" w:fill="auto"/>
          </w:tcPr>
          <w:p w:rsidR="00B958B1" w:rsidRPr="00C21EDE" w:rsidRDefault="00B958B1" w:rsidP="009F3B54">
            <w:pPr>
              <w:pStyle w:val="TableofFigures"/>
              <w:rPr>
                <w:b/>
                <w:lang w:eastAsia="en-AU"/>
              </w:rPr>
            </w:pPr>
            <w:r w:rsidRPr="00C21EDE">
              <w:rPr>
                <w:b/>
                <w:lang w:eastAsia="en-AU"/>
              </w:rPr>
              <w:t xml:space="preserve"> 0.5</w:t>
            </w:r>
          </w:p>
        </w:tc>
      </w:tr>
      <w:tr w:rsidR="00B958B1" w:rsidRPr="00C21EDE" w:rsidTr="009F3B54">
        <w:tc>
          <w:tcPr>
            <w:tcW w:w="4665" w:type="dxa"/>
            <w:tcBorders>
              <w:top w:val="nil"/>
              <w:left w:val="nil"/>
              <w:bottom w:val="nil"/>
              <w:right w:val="nil"/>
            </w:tcBorders>
            <w:shd w:val="solid" w:color="FFFFFF" w:fill="auto"/>
          </w:tcPr>
          <w:p w:rsidR="00B958B1" w:rsidRPr="00C21EDE" w:rsidRDefault="00B958B1" w:rsidP="009F3B54">
            <w:pPr>
              <w:pStyle w:val="Tabletext"/>
              <w:rPr>
                <w:lang w:eastAsia="en-AU"/>
              </w:rPr>
            </w:pPr>
            <w:r w:rsidRPr="00C21EDE">
              <w:rPr>
                <w:lang w:eastAsia="en-AU"/>
              </w:rPr>
              <w:t xml:space="preserve"> Provision of outputs</w:t>
            </w:r>
          </w:p>
        </w:tc>
        <w:tc>
          <w:tcPr>
            <w:tcW w:w="1036" w:type="dxa"/>
            <w:tcBorders>
              <w:top w:val="nil"/>
              <w:left w:val="nil"/>
              <w:bottom w:val="nil"/>
              <w:right w:val="nil"/>
            </w:tcBorders>
            <w:shd w:val="solid" w:color="FFFFFF" w:fill="auto"/>
          </w:tcPr>
          <w:p w:rsidR="00B958B1" w:rsidRPr="00C21EDE" w:rsidRDefault="00B958B1" w:rsidP="009F3B54">
            <w:pPr>
              <w:pStyle w:val="TableofFigures"/>
              <w:rPr>
                <w:lang w:eastAsia="en-AU"/>
              </w:rPr>
            </w:pPr>
            <w:r w:rsidRPr="00C21EDE">
              <w:rPr>
                <w:lang w:eastAsia="en-AU"/>
              </w:rPr>
              <w:t xml:space="preserve"> 4.3</w:t>
            </w:r>
          </w:p>
        </w:tc>
        <w:tc>
          <w:tcPr>
            <w:tcW w:w="1036" w:type="dxa"/>
            <w:tcBorders>
              <w:top w:val="nil"/>
              <w:left w:val="nil"/>
              <w:bottom w:val="nil"/>
              <w:right w:val="nil"/>
            </w:tcBorders>
            <w:shd w:val="solid" w:color="FFFFFF" w:fill="auto"/>
          </w:tcPr>
          <w:p w:rsidR="00B958B1" w:rsidRPr="00C21EDE" w:rsidRDefault="00B958B1" w:rsidP="009F3B54">
            <w:pPr>
              <w:pStyle w:val="TableofFigures"/>
              <w:rPr>
                <w:lang w:eastAsia="en-AU"/>
              </w:rPr>
            </w:pPr>
            <w:r w:rsidRPr="00C21EDE">
              <w:rPr>
                <w:lang w:eastAsia="en-AU"/>
              </w:rPr>
              <w:t xml:space="preserve"> 6.0</w:t>
            </w:r>
          </w:p>
        </w:tc>
        <w:tc>
          <w:tcPr>
            <w:tcW w:w="1036" w:type="dxa"/>
            <w:tcBorders>
              <w:top w:val="nil"/>
              <w:left w:val="nil"/>
              <w:bottom w:val="nil"/>
              <w:right w:val="nil"/>
            </w:tcBorders>
            <w:shd w:val="solid" w:color="FFFFFF" w:fill="auto"/>
          </w:tcPr>
          <w:p w:rsidR="00B958B1" w:rsidRPr="00C21EDE" w:rsidRDefault="00B958B1" w:rsidP="009F3B54">
            <w:pPr>
              <w:pStyle w:val="TableofFigures"/>
              <w:rPr>
                <w:lang w:eastAsia="en-AU"/>
              </w:rPr>
            </w:pPr>
            <w:r w:rsidRPr="00C21EDE">
              <w:rPr>
                <w:lang w:eastAsia="en-AU"/>
              </w:rPr>
              <w:t xml:space="preserve"> 0.5</w:t>
            </w:r>
          </w:p>
        </w:tc>
      </w:tr>
      <w:tr w:rsidR="00B958B1" w:rsidRPr="00C21EDE" w:rsidTr="009F3B54">
        <w:tc>
          <w:tcPr>
            <w:tcW w:w="4665" w:type="dxa"/>
            <w:tcBorders>
              <w:top w:val="nil"/>
              <w:left w:val="nil"/>
              <w:bottom w:val="nil"/>
              <w:right w:val="nil"/>
            </w:tcBorders>
            <w:shd w:val="solid" w:color="FFFFFF" w:fill="auto"/>
          </w:tcPr>
          <w:p w:rsidR="00B958B1" w:rsidRPr="00C21EDE" w:rsidRDefault="00B958B1" w:rsidP="009F3B54">
            <w:pPr>
              <w:pStyle w:val="Tabletext"/>
              <w:rPr>
                <w:lang w:eastAsia="en-AU"/>
              </w:rPr>
            </w:pPr>
            <w:r w:rsidRPr="00C21EDE">
              <w:rPr>
                <w:lang w:eastAsia="en-AU"/>
              </w:rPr>
              <w:t xml:space="preserve"> Additions to the net asset base</w:t>
            </w:r>
          </w:p>
        </w:tc>
        <w:tc>
          <w:tcPr>
            <w:tcW w:w="1036" w:type="dxa"/>
            <w:tcBorders>
              <w:top w:val="nil"/>
              <w:left w:val="nil"/>
              <w:bottom w:val="nil"/>
              <w:right w:val="nil"/>
            </w:tcBorders>
            <w:shd w:val="solid" w:color="FFFFFF" w:fill="auto"/>
          </w:tcPr>
          <w:p w:rsidR="00B958B1" w:rsidRPr="00C21EDE" w:rsidRDefault="00B958B1" w:rsidP="009F3B54">
            <w:pPr>
              <w:pStyle w:val="TableofFigures"/>
              <w:rPr>
                <w:lang w:eastAsia="en-AU"/>
              </w:rPr>
            </w:pPr>
            <w:r w:rsidRPr="00C21EDE">
              <w:rPr>
                <w:lang w:eastAsia="en-AU"/>
              </w:rPr>
              <w:t xml:space="preserve"> 4.0</w:t>
            </w:r>
          </w:p>
        </w:tc>
        <w:tc>
          <w:tcPr>
            <w:tcW w:w="1036" w:type="dxa"/>
            <w:tcBorders>
              <w:top w:val="nil"/>
              <w:left w:val="nil"/>
              <w:bottom w:val="nil"/>
              <w:right w:val="nil"/>
            </w:tcBorders>
            <w:shd w:val="solid" w:color="FFFFFF" w:fill="auto"/>
          </w:tcPr>
          <w:p w:rsidR="00B958B1" w:rsidRPr="00C21EDE" w:rsidRDefault="00B958B1" w:rsidP="009F3B54">
            <w:pPr>
              <w:pStyle w:val="TableofFigures"/>
              <w:rPr>
                <w:lang w:eastAsia="en-AU"/>
              </w:rPr>
            </w:pPr>
            <w:r w:rsidRPr="00C21EDE">
              <w:rPr>
                <w:lang w:eastAsia="en-AU"/>
              </w:rPr>
              <w:t xml:space="preserve"> 3.2</w:t>
            </w:r>
          </w:p>
        </w:tc>
        <w:tc>
          <w:tcPr>
            <w:tcW w:w="1036" w:type="dxa"/>
            <w:tcBorders>
              <w:top w:val="nil"/>
              <w:left w:val="nil"/>
              <w:bottom w:val="nil"/>
              <w:right w:val="nil"/>
            </w:tcBorders>
            <w:shd w:val="solid" w:color="FFFFFF" w:fill="auto"/>
          </w:tcPr>
          <w:p w:rsidR="00B958B1" w:rsidRPr="00C21EDE" w:rsidRDefault="00B958B1" w:rsidP="009F3B54">
            <w:pPr>
              <w:pStyle w:val="TableofFigures"/>
              <w:rPr>
                <w:lang w:eastAsia="en-AU"/>
              </w:rPr>
            </w:pPr>
            <w:r w:rsidRPr="00C21EDE">
              <w:rPr>
                <w:lang w:eastAsia="en-AU"/>
              </w:rPr>
              <w:t>..</w:t>
            </w:r>
          </w:p>
        </w:tc>
      </w:tr>
      <w:tr w:rsidR="00B958B1" w:rsidRPr="00C21EDE" w:rsidTr="009F3B54">
        <w:tc>
          <w:tcPr>
            <w:tcW w:w="4665" w:type="dxa"/>
            <w:tcBorders>
              <w:top w:val="nil"/>
              <w:left w:val="nil"/>
              <w:bottom w:val="nil"/>
              <w:right w:val="nil"/>
            </w:tcBorders>
          </w:tcPr>
          <w:p w:rsidR="00B958B1" w:rsidRPr="00C21EDE" w:rsidRDefault="00B958B1" w:rsidP="009F3B54">
            <w:pPr>
              <w:pStyle w:val="Tabletext"/>
              <w:rPr>
                <w:lang w:eastAsia="en-AU"/>
              </w:rPr>
            </w:pPr>
            <w:r w:rsidRPr="00C21EDE">
              <w:rPr>
                <w:lang w:eastAsia="en-AU"/>
              </w:rPr>
              <w:t xml:space="preserve"> Payments made on behalf of the State</w:t>
            </w:r>
          </w:p>
        </w:tc>
        <w:tc>
          <w:tcPr>
            <w:tcW w:w="1036"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w:t>
            </w:r>
          </w:p>
        </w:tc>
        <w:tc>
          <w:tcPr>
            <w:tcW w:w="1036"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 xml:space="preserve"> 6.8</w:t>
            </w:r>
          </w:p>
        </w:tc>
        <w:tc>
          <w:tcPr>
            <w:tcW w:w="1036" w:type="dxa"/>
            <w:tcBorders>
              <w:top w:val="nil"/>
              <w:left w:val="nil"/>
              <w:bottom w:val="nil"/>
              <w:right w:val="nil"/>
            </w:tcBorders>
          </w:tcPr>
          <w:p w:rsidR="00B958B1" w:rsidRPr="00C21EDE" w:rsidRDefault="00B958B1" w:rsidP="009F3B54">
            <w:pPr>
              <w:pStyle w:val="TableofFigures"/>
              <w:rPr>
                <w:lang w:eastAsia="en-AU"/>
              </w:rPr>
            </w:pPr>
            <w:r w:rsidRPr="00C21EDE">
              <w:rPr>
                <w:lang w:eastAsia="en-AU"/>
              </w:rPr>
              <w:t>..</w:t>
            </w:r>
          </w:p>
        </w:tc>
      </w:tr>
      <w:tr w:rsidR="00B958B1" w:rsidRPr="00C21EDE" w:rsidTr="009F3B54">
        <w:tc>
          <w:tcPr>
            <w:tcW w:w="4665" w:type="dxa"/>
            <w:tcBorders>
              <w:top w:val="nil"/>
              <w:left w:val="nil"/>
              <w:bottom w:val="single" w:sz="6" w:space="0" w:color="auto"/>
              <w:right w:val="nil"/>
            </w:tcBorders>
          </w:tcPr>
          <w:p w:rsidR="00B958B1" w:rsidRPr="00C21EDE" w:rsidRDefault="00B958B1" w:rsidP="009F3B54">
            <w:pPr>
              <w:pStyle w:val="Tabletext"/>
              <w:rPr>
                <w:lang w:eastAsia="en-AU"/>
              </w:rPr>
            </w:pPr>
            <w:r w:rsidRPr="00C21EDE">
              <w:rPr>
                <w:lang w:eastAsia="en-AU"/>
              </w:rPr>
              <w:t>Accumulated surplus – previously applied appropriation</w:t>
            </w:r>
          </w:p>
        </w:tc>
        <w:tc>
          <w:tcPr>
            <w:tcW w:w="1036" w:type="dxa"/>
            <w:tcBorders>
              <w:top w:val="nil"/>
              <w:left w:val="nil"/>
              <w:bottom w:val="single" w:sz="6" w:space="0" w:color="auto"/>
              <w:right w:val="nil"/>
            </w:tcBorders>
          </w:tcPr>
          <w:p w:rsidR="00B958B1" w:rsidRPr="00C21EDE" w:rsidRDefault="00B958B1" w:rsidP="009F3B54">
            <w:pPr>
              <w:pStyle w:val="TableofFigures"/>
              <w:rPr>
                <w:lang w:eastAsia="en-AU"/>
              </w:rPr>
            </w:pPr>
            <w:r w:rsidRPr="00C21EDE">
              <w:rPr>
                <w:lang w:eastAsia="en-AU"/>
              </w:rPr>
              <w:t xml:space="preserve"> 0.2</w:t>
            </w:r>
          </w:p>
        </w:tc>
        <w:tc>
          <w:tcPr>
            <w:tcW w:w="1036" w:type="dxa"/>
            <w:tcBorders>
              <w:top w:val="nil"/>
              <w:left w:val="nil"/>
              <w:bottom w:val="single" w:sz="6" w:space="0" w:color="auto"/>
              <w:right w:val="nil"/>
            </w:tcBorders>
          </w:tcPr>
          <w:p w:rsidR="00B958B1" w:rsidRPr="00C21EDE" w:rsidRDefault="00B958B1" w:rsidP="009F3B54">
            <w:pPr>
              <w:pStyle w:val="TableofFigures"/>
              <w:rPr>
                <w:lang w:eastAsia="en-AU"/>
              </w:rPr>
            </w:pPr>
            <w:r w:rsidRPr="00C21EDE">
              <w:rPr>
                <w:lang w:eastAsia="en-AU"/>
              </w:rPr>
              <w:t xml:space="preserve"> 2.9</w:t>
            </w:r>
          </w:p>
        </w:tc>
        <w:tc>
          <w:tcPr>
            <w:tcW w:w="1036" w:type="dxa"/>
            <w:tcBorders>
              <w:top w:val="nil"/>
              <w:left w:val="nil"/>
              <w:bottom w:val="single" w:sz="6" w:space="0" w:color="auto"/>
              <w:right w:val="nil"/>
            </w:tcBorders>
          </w:tcPr>
          <w:p w:rsidR="00B958B1" w:rsidRPr="00C21EDE" w:rsidRDefault="00B958B1" w:rsidP="009F3B54">
            <w:pPr>
              <w:pStyle w:val="TableofFigures"/>
              <w:rPr>
                <w:lang w:eastAsia="en-AU"/>
              </w:rPr>
            </w:pPr>
            <w:r w:rsidRPr="00C21EDE">
              <w:rPr>
                <w:lang w:eastAsia="en-AU"/>
              </w:rPr>
              <w:t>..</w:t>
            </w:r>
          </w:p>
        </w:tc>
      </w:tr>
      <w:tr w:rsidR="00B958B1" w:rsidRPr="00C21EDE" w:rsidTr="009F3B54">
        <w:tc>
          <w:tcPr>
            <w:tcW w:w="4665" w:type="dxa"/>
            <w:tcBorders>
              <w:top w:val="nil"/>
              <w:left w:val="nil"/>
              <w:bottom w:val="nil"/>
              <w:right w:val="nil"/>
            </w:tcBorders>
          </w:tcPr>
          <w:p w:rsidR="00B958B1" w:rsidRPr="00C21EDE" w:rsidRDefault="00B958B1" w:rsidP="009F3B54">
            <w:pPr>
              <w:pStyle w:val="Tabletext"/>
              <w:rPr>
                <w:b/>
                <w:bCs/>
                <w:lang w:eastAsia="en-AU"/>
              </w:rPr>
            </w:pPr>
            <w:r w:rsidRPr="00C21EDE">
              <w:rPr>
                <w:b/>
                <w:bCs/>
                <w:lang w:eastAsia="en-AU"/>
              </w:rPr>
              <w:t>Gross annual appropriation</w:t>
            </w:r>
          </w:p>
        </w:tc>
        <w:tc>
          <w:tcPr>
            <w:tcW w:w="1036" w:type="dxa"/>
            <w:tcBorders>
              <w:top w:val="single" w:sz="6" w:space="0" w:color="auto"/>
              <w:left w:val="nil"/>
              <w:bottom w:val="nil"/>
              <w:right w:val="nil"/>
            </w:tcBorders>
          </w:tcPr>
          <w:p w:rsidR="00B958B1" w:rsidRPr="00C21EDE" w:rsidRDefault="00B958B1" w:rsidP="009F3B54">
            <w:pPr>
              <w:pStyle w:val="TableofFigures"/>
              <w:rPr>
                <w:rFonts w:cs="Calibri"/>
                <w:b/>
                <w:bCs/>
                <w:lang w:eastAsia="en-AU"/>
              </w:rPr>
            </w:pPr>
            <w:r w:rsidRPr="00C21EDE">
              <w:rPr>
                <w:b/>
                <w:bCs/>
                <w:lang w:eastAsia="en-AU"/>
              </w:rPr>
              <w:t xml:space="preserve">3 </w:t>
            </w:r>
            <w:r w:rsidRPr="00C21EDE">
              <w:rPr>
                <w:rFonts w:cs="Calibri"/>
                <w:b/>
                <w:bCs/>
                <w:lang w:eastAsia="en-AU"/>
              </w:rPr>
              <w:t>023.1</w:t>
            </w:r>
          </w:p>
        </w:tc>
        <w:tc>
          <w:tcPr>
            <w:tcW w:w="1036" w:type="dxa"/>
            <w:tcBorders>
              <w:top w:val="single" w:sz="6" w:space="0" w:color="auto"/>
              <w:left w:val="nil"/>
              <w:bottom w:val="nil"/>
              <w:right w:val="nil"/>
            </w:tcBorders>
          </w:tcPr>
          <w:p w:rsidR="00B958B1" w:rsidRPr="00C21EDE" w:rsidRDefault="00B958B1" w:rsidP="009F3B54">
            <w:pPr>
              <w:pStyle w:val="TableofFigures"/>
              <w:rPr>
                <w:rFonts w:cs="Calibri"/>
                <w:b/>
                <w:bCs/>
                <w:lang w:eastAsia="en-AU"/>
              </w:rPr>
            </w:pPr>
            <w:r w:rsidRPr="00C21EDE">
              <w:rPr>
                <w:b/>
                <w:bCs/>
                <w:lang w:eastAsia="en-AU"/>
              </w:rPr>
              <w:t xml:space="preserve">2 </w:t>
            </w:r>
            <w:r w:rsidRPr="00C21EDE">
              <w:rPr>
                <w:rFonts w:cs="Calibri"/>
                <w:b/>
                <w:bCs/>
                <w:lang w:eastAsia="en-AU"/>
              </w:rPr>
              <w:t>637.9</w:t>
            </w:r>
          </w:p>
        </w:tc>
        <w:tc>
          <w:tcPr>
            <w:tcW w:w="1036" w:type="dxa"/>
            <w:tcBorders>
              <w:top w:val="single" w:sz="6" w:space="0" w:color="auto"/>
              <w:left w:val="nil"/>
              <w:bottom w:val="nil"/>
              <w:right w:val="nil"/>
            </w:tcBorders>
          </w:tcPr>
          <w:p w:rsidR="00B958B1" w:rsidRPr="00C21EDE" w:rsidRDefault="00B958B1" w:rsidP="009F3B54">
            <w:pPr>
              <w:pStyle w:val="TableofFigures"/>
              <w:rPr>
                <w:rFonts w:cs="Calibri"/>
                <w:b/>
                <w:bCs/>
                <w:lang w:eastAsia="en-AU"/>
              </w:rPr>
            </w:pPr>
            <w:r w:rsidRPr="00C21EDE">
              <w:rPr>
                <w:b/>
                <w:bCs/>
                <w:lang w:eastAsia="en-AU"/>
              </w:rPr>
              <w:t xml:space="preserve">2 </w:t>
            </w:r>
            <w:r w:rsidRPr="00C21EDE">
              <w:rPr>
                <w:rFonts w:cs="Calibri"/>
                <w:b/>
                <w:bCs/>
                <w:lang w:eastAsia="en-AU"/>
              </w:rPr>
              <w:t>444.6</w:t>
            </w:r>
          </w:p>
        </w:tc>
      </w:tr>
      <w:tr w:rsidR="00B958B1" w:rsidRPr="00C21EDE" w:rsidTr="009F3B54">
        <w:tc>
          <w:tcPr>
            <w:tcW w:w="4665" w:type="dxa"/>
            <w:tcBorders>
              <w:top w:val="nil"/>
              <w:left w:val="nil"/>
              <w:bottom w:val="nil"/>
              <w:right w:val="nil"/>
            </w:tcBorders>
            <w:shd w:val="solid" w:color="FFFFFF" w:fill="auto"/>
          </w:tcPr>
          <w:p w:rsidR="00B958B1" w:rsidRPr="00C21EDE" w:rsidRDefault="00B958B1" w:rsidP="009F3B54">
            <w:pPr>
              <w:pStyle w:val="Tabletext"/>
              <w:rPr>
                <w:lang w:eastAsia="en-AU"/>
              </w:rPr>
            </w:pPr>
            <w:r w:rsidRPr="00C21EDE">
              <w:rPr>
                <w:lang w:eastAsia="en-AU"/>
              </w:rPr>
              <w:t>Special appropriations</w:t>
            </w:r>
          </w:p>
        </w:tc>
        <w:tc>
          <w:tcPr>
            <w:tcW w:w="1036" w:type="dxa"/>
            <w:tcBorders>
              <w:top w:val="nil"/>
              <w:left w:val="nil"/>
              <w:bottom w:val="nil"/>
              <w:right w:val="nil"/>
            </w:tcBorders>
            <w:shd w:val="solid" w:color="FFFFFF" w:fill="auto"/>
          </w:tcPr>
          <w:p w:rsidR="00B958B1" w:rsidRPr="00C21EDE" w:rsidRDefault="00B958B1" w:rsidP="009F3B54">
            <w:pPr>
              <w:pStyle w:val="TableofFigures"/>
              <w:rPr>
                <w:rFonts w:cs="Calibri"/>
                <w:lang w:eastAsia="en-AU"/>
              </w:rPr>
            </w:pPr>
            <w:r w:rsidRPr="00C21EDE">
              <w:rPr>
                <w:lang w:eastAsia="en-AU"/>
              </w:rPr>
              <w:t xml:space="preserve">2 </w:t>
            </w:r>
            <w:r w:rsidRPr="00C21EDE">
              <w:rPr>
                <w:rFonts w:cs="Calibri"/>
                <w:lang w:eastAsia="en-AU"/>
              </w:rPr>
              <w:t>203.8</w:t>
            </w:r>
          </w:p>
        </w:tc>
        <w:tc>
          <w:tcPr>
            <w:tcW w:w="1036" w:type="dxa"/>
            <w:tcBorders>
              <w:top w:val="nil"/>
              <w:left w:val="nil"/>
              <w:bottom w:val="nil"/>
              <w:right w:val="nil"/>
            </w:tcBorders>
            <w:shd w:val="solid" w:color="FFFFFF" w:fill="auto"/>
          </w:tcPr>
          <w:p w:rsidR="00B958B1" w:rsidRPr="00C21EDE" w:rsidRDefault="00B958B1" w:rsidP="009F3B54">
            <w:pPr>
              <w:pStyle w:val="TableofFigures"/>
              <w:rPr>
                <w:rFonts w:cs="Calibri"/>
                <w:lang w:eastAsia="en-AU"/>
              </w:rPr>
            </w:pPr>
            <w:r w:rsidRPr="00C21EDE">
              <w:rPr>
                <w:lang w:eastAsia="en-AU"/>
              </w:rPr>
              <w:t xml:space="preserve">2 </w:t>
            </w:r>
            <w:r w:rsidRPr="00C21EDE">
              <w:rPr>
                <w:rFonts w:cs="Calibri"/>
                <w:lang w:eastAsia="en-AU"/>
              </w:rPr>
              <w:t>208.3</w:t>
            </w:r>
          </w:p>
        </w:tc>
        <w:tc>
          <w:tcPr>
            <w:tcW w:w="1036" w:type="dxa"/>
            <w:tcBorders>
              <w:top w:val="nil"/>
              <w:left w:val="nil"/>
              <w:bottom w:val="nil"/>
              <w:right w:val="nil"/>
            </w:tcBorders>
            <w:shd w:val="solid" w:color="FFFFFF" w:fill="auto"/>
          </w:tcPr>
          <w:p w:rsidR="00B958B1" w:rsidRPr="00C21EDE" w:rsidRDefault="00B958B1" w:rsidP="009F3B54">
            <w:pPr>
              <w:pStyle w:val="TableofFigures"/>
              <w:rPr>
                <w:rFonts w:cs="Calibri"/>
                <w:lang w:eastAsia="en-AU"/>
              </w:rPr>
            </w:pPr>
            <w:r w:rsidRPr="00C21EDE">
              <w:rPr>
                <w:lang w:eastAsia="en-AU"/>
              </w:rPr>
              <w:t xml:space="preserve">2 </w:t>
            </w:r>
            <w:r w:rsidRPr="00C21EDE">
              <w:rPr>
                <w:rFonts w:cs="Calibri"/>
                <w:lang w:eastAsia="en-AU"/>
              </w:rPr>
              <w:t>300.6</w:t>
            </w:r>
          </w:p>
        </w:tc>
      </w:tr>
      <w:tr w:rsidR="00B958B1" w:rsidRPr="00C21EDE" w:rsidTr="009F3B54">
        <w:tc>
          <w:tcPr>
            <w:tcW w:w="4665" w:type="dxa"/>
            <w:tcBorders>
              <w:top w:val="nil"/>
              <w:left w:val="nil"/>
              <w:bottom w:val="single" w:sz="6" w:space="0" w:color="auto"/>
              <w:right w:val="nil"/>
            </w:tcBorders>
            <w:shd w:val="solid" w:color="FFFFFF" w:fill="auto"/>
          </w:tcPr>
          <w:p w:rsidR="00B958B1" w:rsidRPr="00C21EDE" w:rsidRDefault="00B958B1" w:rsidP="009F3B54">
            <w:pPr>
              <w:pStyle w:val="Tabletext"/>
              <w:rPr>
                <w:lang w:eastAsia="en-AU"/>
              </w:rPr>
            </w:pPr>
            <w:r w:rsidRPr="00C21EDE">
              <w:rPr>
                <w:lang w:eastAsia="en-AU"/>
              </w:rPr>
              <w:t>Trust funds</w:t>
            </w:r>
          </w:p>
        </w:tc>
        <w:tc>
          <w:tcPr>
            <w:tcW w:w="1036" w:type="dxa"/>
            <w:tcBorders>
              <w:top w:val="nil"/>
              <w:left w:val="nil"/>
              <w:bottom w:val="single" w:sz="6" w:space="0" w:color="auto"/>
              <w:right w:val="nil"/>
            </w:tcBorders>
            <w:shd w:val="solid" w:color="FFFFFF" w:fill="auto"/>
          </w:tcPr>
          <w:p w:rsidR="00B958B1" w:rsidRPr="00C21EDE" w:rsidRDefault="00B958B1" w:rsidP="009F3B54">
            <w:pPr>
              <w:pStyle w:val="TableofFigures"/>
              <w:rPr>
                <w:rFonts w:cs="Calibri"/>
                <w:lang w:eastAsia="en-AU"/>
              </w:rPr>
            </w:pPr>
            <w:r w:rsidRPr="00C21EDE">
              <w:rPr>
                <w:lang w:eastAsia="en-AU"/>
              </w:rPr>
              <w:t xml:space="preserve">2 </w:t>
            </w:r>
            <w:r w:rsidRPr="00C21EDE">
              <w:rPr>
                <w:rFonts w:cs="Calibri"/>
                <w:lang w:eastAsia="en-AU"/>
              </w:rPr>
              <w:t>382.6</w:t>
            </w:r>
          </w:p>
        </w:tc>
        <w:tc>
          <w:tcPr>
            <w:tcW w:w="1036" w:type="dxa"/>
            <w:tcBorders>
              <w:top w:val="nil"/>
              <w:left w:val="nil"/>
              <w:bottom w:val="single" w:sz="6" w:space="0" w:color="auto"/>
              <w:right w:val="nil"/>
            </w:tcBorders>
            <w:shd w:val="solid" w:color="FFFFFF" w:fill="auto"/>
          </w:tcPr>
          <w:p w:rsidR="00B958B1" w:rsidRPr="00C21EDE" w:rsidRDefault="00B958B1" w:rsidP="009F3B54">
            <w:pPr>
              <w:pStyle w:val="TableofFigures"/>
              <w:rPr>
                <w:rFonts w:cs="Calibri"/>
                <w:lang w:eastAsia="en-AU"/>
              </w:rPr>
            </w:pPr>
            <w:r w:rsidRPr="00C21EDE">
              <w:rPr>
                <w:lang w:eastAsia="en-AU"/>
              </w:rPr>
              <w:t xml:space="preserve">2 </w:t>
            </w:r>
            <w:r w:rsidRPr="00C21EDE">
              <w:rPr>
                <w:rFonts w:cs="Calibri"/>
                <w:lang w:eastAsia="en-AU"/>
              </w:rPr>
              <w:t>370.2</w:t>
            </w:r>
          </w:p>
        </w:tc>
        <w:tc>
          <w:tcPr>
            <w:tcW w:w="1036" w:type="dxa"/>
            <w:tcBorders>
              <w:top w:val="nil"/>
              <w:left w:val="nil"/>
              <w:bottom w:val="single" w:sz="6" w:space="0" w:color="auto"/>
              <w:right w:val="nil"/>
            </w:tcBorders>
            <w:shd w:val="solid" w:color="FFFFFF" w:fill="auto"/>
          </w:tcPr>
          <w:p w:rsidR="00B958B1" w:rsidRPr="00C21EDE" w:rsidRDefault="00B958B1" w:rsidP="009F3B54">
            <w:pPr>
              <w:pStyle w:val="TableofFigures"/>
              <w:rPr>
                <w:rFonts w:cs="Calibri"/>
                <w:lang w:eastAsia="en-AU"/>
              </w:rPr>
            </w:pPr>
            <w:r w:rsidRPr="00C21EDE">
              <w:rPr>
                <w:lang w:eastAsia="en-AU"/>
              </w:rPr>
              <w:t xml:space="preserve">2 </w:t>
            </w:r>
            <w:r w:rsidRPr="00C21EDE">
              <w:rPr>
                <w:rFonts w:cs="Calibri"/>
                <w:lang w:eastAsia="en-AU"/>
              </w:rPr>
              <w:t>524.2</w:t>
            </w:r>
          </w:p>
        </w:tc>
      </w:tr>
      <w:tr w:rsidR="00B958B1" w:rsidRPr="00C21EDE" w:rsidTr="009F3B54">
        <w:tc>
          <w:tcPr>
            <w:tcW w:w="4665" w:type="dxa"/>
            <w:tcBorders>
              <w:top w:val="nil"/>
              <w:left w:val="nil"/>
              <w:bottom w:val="single" w:sz="12" w:space="0" w:color="auto"/>
              <w:right w:val="nil"/>
            </w:tcBorders>
            <w:shd w:val="solid" w:color="FFFFFF" w:fill="auto"/>
          </w:tcPr>
          <w:p w:rsidR="00B958B1" w:rsidRPr="00C21EDE" w:rsidRDefault="00B958B1" w:rsidP="009F3B54">
            <w:pPr>
              <w:pStyle w:val="Tabletext"/>
              <w:rPr>
                <w:b/>
                <w:bCs/>
                <w:lang w:eastAsia="en-AU"/>
              </w:rPr>
            </w:pPr>
            <w:r w:rsidRPr="00C21EDE">
              <w:rPr>
                <w:b/>
                <w:bCs/>
                <w:lang w:eastAsia="en-AU"/>
              </w:rPr>
              <w:t>Total parliamentary authority</w:t>
            </w:r>
          </w:p>
        </w:tc>
        <w:tc>
          <w:tcPr>
            <w:tcW w:w="1036" w:type="dxa"/>
            <w:tcBorders>
              <w:top w:val="nil"/>
              <w:left w:val="nil"/>
              <w:bottom w:val="single" w:sz="12" w:space="0" w:color="auto"/>
              <w:right w:val="nil"/>
            </w:tcBorders>
            <w:shd w:val="solid" w:color="FFFFFF" w:fill="auto"/>
          </w:tcPr>
          <w:p w:rsidR="00B958B1" w:rsidRPr="00C21EDE" w:rsidRDefault="00B958B1" w:rsidP="009F3B54">
            <w:pPr>
              <w:pStyle w:val="TableofFigures"/>
              <w:rPr>
                <w:rFonts w:cs="Calibri"/>
                <w:b/>
                <w:bCs/>
                <w:lang w:eastAsia="en-AU"/>
              </w:rPr>
            </w:pPr>
            <w:r w:rsidRPr="00C21EDE">
              <w:rPr>
                <w:b/>
                <w:bCs/>
                <w:lang w:eastAsia="en-AU"/>
              </w:rPr>
              <w:t xml:space="preserve">7 </w:t>
            </w:r>
            <w:r w:rsidRPr="00C21EDE">
              <w:rPr>
                <w:rFonts w:cs="Calibri"/>
                <w:b/>
                <w:bCs/>
                <w:lang w:eastAsia="en-AU"/>
              </w:rPr>
              <w:t>609.5</w:t>
            </w:r>
          </w:p>
        </w:tc>
        <w:tc>
          <w:tcPr>
            <w:tcW w:w="1036" w:type="dxa"/>
            <w:tcBorders>
              <w:top w:val="nil"/>
              <w:left w:val="nil"/>
              <w:bottom w:val="single" w:sz="12" w:space="0" w:color="auto"/>
              <w:right w:val="nil"/>
            </w:tcBorders>
            <w:shd w:val="solid" w:color="FFFFFF" w:fill="auto"/>
          </w:tcPr>
          <w:p w:rsidR="00B958B1" w:rsidRPr="00C21EDE" w:rsidRDefault="00B958B1" w:rsidP="009F3B54">
            <w:pPr>
              <w:pStyle w:val="TableofFigures"/>
              <w:rPr>
                <w:rFonts w:cs="Calibri"/>
                <w:b/>
                <w:bCs/>
                <w:lang w:eastAsia="en-AU"/>
              </w:rPr>
            </w:pPr>
            <w:r w:rsidRPr="00C21EDE">
              <w:rPr>
                <w:b/>
                <w:bCs/>
                <w:lang w:eastAsia="en-AU"/>
              </w:rPr>
              <w:t xml:space="preserve">7 </w:t>
            </w:r>
            <w:r w:rsidRPr="00C21EDE">
              <w:rPr>
                <w:rFonts w:cs="Calibri"/>
                <w:b/>
                <w:bCs/>
                <w:lang w:eastAsia="en-AU"/>
              </w:rPr>
              <w:t>216.4</w:t>
            </w:r>
          </w:p>
        </w:tc>
        <w:tc>
          <w:tcPr>
            <w:tcW w:w="1036" w:type="dxa"/>
            <w:tcBorders>
              <w:top w:val="nil"/>
              <w:left w:val="nil"/>
              <w:bottom w:val="single" w:sz="12" w:space="0" w:color="auto"/>
              <w:right w:val="nil"/>
            </w:tcBorders>
            <w:shd w:val="solid" w:color="FFFFFF" w:fill="auto"/>
          </w:tcPr>
          <w:p w:rsidR="00B958B1" w:rsidRPr="00C21EDE" w:rsidRDefault="00B958B1" w:rsidP="009F3B54">
            <w:pPr>
              <w:pStyle w:val="TableofFigures"/>
              <w:rPr>
                <w:rFonts w:cs="Calibri"/>
                <w:b/>
                <w:bCs/>
                <w:lang w:eastAsia="en-AU"/>
              </w:rPr>
            </w:pPr>
            <w:r w:rsidRPr="00C21EDE">
              <w:rPr>
                <w:b/>
                <w:bCs/>
                <w:lang w:eastAsia="en-AU"/>
              </w:rPr>
              <w:t xml:space="preserve">7 </w:t>
            </w:r>
            <w:r w:rsidRPr="00C21EDE">
              <w:rPr>
                <w:rFonts w:cs="Calibri"/>
                <w:b/>
                <w:bCs/>
                <w:lang w:eastAsia="en-AU"/>
              </w:rPr>
              <w:t>269.4</w:t>
            </w:r>
          </w:p>
        </w:tc>
      </w:tr>
    </w:tbl>
    <w:p w:rsidR="00B958B1" w:rsidRPr="004F1B9C" w:rsidRDefault="00B958B1" w:rsidP="009F3B54">
      <w:pPr>
        <w:pStyle w:val="Source"/>
        <w:rPr>
          <w:lang w:eastAsia="en-AU"/>
        </w:rPr>
      </w:pPr>
      <w:r w:rsidRPr="004F1B9C">
        <w:rPr>
          <w:lang w:eastAsia="en-AU"/>
        </w:rPr>
        <w:t>Source: Department of Treasury and Finance</w:t>
      </w:r>
    </w:p>
    <w:p w:rsidR="00B958B1" w:rsidRPr="004F1B9C" w:rsidRDefault="00B958B1" w:rsidP="009F3B54">
      <w:pPr>
        <w:pStyle w:val="Source"/>
      </w:pPr>
      <w:r>
        <w:rPr>
          <w:lang w:eastAsia="en-AU"/>
        </w:rPr>
        <w:fldChar w:fldCharType="begin"/>
      </w:r>
      <w:r>
        <w:instrText xml:space="preserve"> XE "</w:instrText>
      </w:r>
      <w:r w:rsidRPr="00A3556E">
        <w:rPr>
          <w:lang w:eastAsia="en-AU"/>
        </w:rPr>
        <w:instrText>Department of Treasury and Finance</w:instrText>
      </w:r>
      <w:r w:rsidRPr="00A3556E">
        <w:instrText>:</w:instrText>
      </w:r>
      <w:r w:rsidRPr="00AA44E7">
        <w:instrText xml:space="preserve"> </w:instrText>
      </w:r>
      <w:r w:rsidRPr="00822259">
        <w:instrText>Parliamentary authority for resources</w:instrText>
      </w:r>
      <w:r>
        <w:instrText xml:space="preserve">" </w:instrText>
      </w:r>
      <w:r>
        <w:rPr>
          <w:lang w:eastAsia="en-AU"/>
        </w:rPr>
        <w:fldChar w:fldCharType="end"/>
      </w:r>
    </w:p>
    <w:p w:rsidR="00B958B1" w:rsidRPr="00822259" w:rsidRDefault="00B958B1" w:rsidP="009F3B54"/>
    <w:p w:rsidR="00B958B1" w:rsidRPr="00F16DCB" w:rsidRDefault="00B958B1" w:rsidP="009F3B54">
      <w:pPr>
        <w:pStyle w:val="OGHeading1"/>
      </w:pPr>
      <w:r w:rsidRPr="00F16DCB">
        <w:br w:type="page"/>
      </w:r>
      <w:bookmarkStart w:id="145" w:name="BP3DTFStratPolAdvce"/>
      <w:r w:rsidRPr="00F16DCB">
        <w:t>Strategic Policy Advice</w:t>
      </w:r>
    </w:p>
    <w:p w:rsidR="00B958B1" w:rsidRDefault="00B958B1" w:rsidP="009F3B54">
      <w:pPr>
        <w:pStyle w:val="OGText"/>
        <w:rPr>
          <w:lang w:eastAsia="en-AU"/>
        </w:rPr>
      </w:pPr>
      <w:r>
        <w:rPr>
          <w:lang w:eastAsia="en-AU"/>
        </w:rPr>
        <w:t>These outputs provide strategic policy advice to Ministers on all aspects of government activity. This includes advice on:</w:t>
      </w:r>
    </w:p>
    <w:p w:rsidR="00B958B1" w:rsidRPr="00B13F5D" w:rsidRDefault="00B958B1" w:rsidP="009F3B54">
      <w:pPr>
        <w:pStyle w:val="OGBullet"/>
      </w:pPr>
      <w:r w:rsidRPr="00B13F5D">
        <w:t>the State’s overall financial and aggregate budget strategy;</w:t>
      </w:r>
    </w:p>
    <w:p w:rsidR="00B958B1" w:rsidRPr="00B13F5D" w:rsidRDefault="00B958B1" w:rsidP="009F3B54">
      <w:pPr>
        <w:pStyle w:val="OGBullet"/>
      </w:pPr>
      <w:r w:rsidRPr="00B13F5D">
        <w:t>taxation policy;</w:t>
      </w:r>
    </w:p>
    <w:p w:rsidR="00B958B1" w:rsidRPr="00B13F5D" w:rsidRDefault="00B958B1" w:rsidP="009F3B54">
      <w:pPr>
        <w:pStyle w:val="OGBullet"/>
      </w:pPr>
      <w:r w:rsidRPr="00B13F5D">
        <w:t>the State’s insurance schemes;</w:t>
      </w:r>
    </w:p>
    <w:p w:rsidR="00B958B1" w:rsidRPr="00B13F5D" w:rsidRDefault="00B958B1" w:rsidP="009F3B54">
      <w:pPr>
        <w:pStyle w:val="OGBullet"/>
      </w:pPr>
      <w:r w:rsidRPr="00B13F5D">
        <w:t>accounting policies and performance management;</w:t>
      </w:r>
    </w:p>
    <w:p w:rsidR="00B958B1" w:rsidRPr="00B13F5D" w:rsidRDefault="00B958B1" w:rsidP="009F3B54">
      <w:pPr>
        <w:pStyle w:val="OGBullet"/>
      </w:pPr>
      <w:r w:rsidRPr="00B13F5D">
        <w:t>economic, social and environmental monitoring and analysis;</w:t>
      </w:r>
    </w:p>
    <w:p w:rsidR="00B958B1" w:rsidRPr="00B13F5D" w:rsidRDefault="00B958B1" w:rsidP="009F3B54">
      <w:pPr>
        <w:pStyle w:val="OGBullet"/>
      </w:pPr>
      <w:r>
        <w:t>managing various state</w:t>
      </w:r>
      <w:r w:rsidR="009F0F49">
        <w:noBreakHyphen/>
      </w:r>
      <w:r w:rsidRPr="00B13F5D">
        <w:t>based taxes;</w:t>
      </w:r>
    </w:p>
    <w:p w:rsidR="00B958B1" w:rsidRPr="00B13F5D" w:rsidRDefault="00B958B1" w:rsidP="009F3B54">
      <w:pPr>
        <w:pStyle w:val="OGBullet"/>
      </w:pPr>
      <w:r w:rsidRPr="00B13F5D">
        <w:t>financial accounting and reporting;</w:t>
      </w:r>
    </w:p>
    <w:p w:rsidR="00B958B1" w:rsidRPr="00B13F5D" w:rsidRDefault="00B958B1" w:rsidP="009F3B54">
      <w:pPr>
        <w:pStyle w:val="OGBullet"/>
      </w:pPr>
      <w:r w:rsidRPr="00B13F5D">
        <w:t>strategic research focusing on developing greater understa</w:t>
      </w:r>
      <w:r>
        <w:t>nding of factors affecting long</w:t>
      </w:r>
      <w:r w:rsidR="009F0F49">
        <w:noBreakHyphen/>
      </w:r>
      <w:r w:rsidRPr="00B13F5D">
        <w:t>term living standards for Victorians; and</w:t>
      </w:r>
    </w:p>
    <w:p w:rsidR="00B958B1" w:rsidRDefault="00B958B1" w:rsidP="009F3B54">
      <w:pPr>
        <w:pStyle w:val="OGBullet"/>
        <w:rPr>
          <w:lang w:eastAsia="en-AU"/>
        </w:rPr>
      </w:pPr>
      <w:r w:rsidRPr="00B13F5D">
        <w:t>intergovernmental</w:t>
      </w:r>
      <w:r>
        <w:rPr>
          <w:lang w:eastAsia="en-AU"/>
        </w:rPr>
        <w:t xml:space="preserve"> financial analysis and advice in relation to the level of Commonwealth funding to the States and Territories.</w:t>
      </w:r>
    </w:p>
    <w:p w:rsidR="00B958B1" w:rsidRDefault="00B958B1" w:rsidP="009F3B54">
      <w:pPr>
        <w:pStyle w:val="OGText"/>
        <w:rPr>
          <w:lang w:eastAsia="en-AU"/>
        </w:rPr>
      </w:pPr>
      <w:r>
        <w:rPr>
          <w:lang w:eastAsia="en-AU"/>
        </w:rPr>
        <w:t>By assisting the Government’s strategic policy decisions, these outputs contribute to the Department’s objectives of:</w:t>
      </w:r>
    </w:p>
    <w:p w:rsidR="00B958B1" w:rsidRDefault="00B958B1" w:rsidP="009F3B54">
      <w:pPr>
        <w:pStyle w:val="OGBullet"/>
        <w:rPr>
          <w:lang w:eastAsia="en-AU"/>
        </w:rPr>
      </w:pPr>
      <w:r>
        <w:rPr>
          <w:lang w:eastAsia="en-AU"/>
        </w:rPr>
        <w:t>sound financial management of the State’s fiscal resources; and</w:t>
      </w:r>
    </w:p>
    <w:p w:rsidR="00B958B1" w:rsidRPr="00F16DCB" w:rsidRDefault="00B958B1" w:rsidP="009F3B54">
      <w:pPr>
        <w:pStyle w:val="OGBullet"/>
        <w:rPr>
          <w:lang w:eastAsia="en-AU"/>
        </w:rPr>
      </w:pPr>
      <w:r>
        <w:rPr>
          <w:lang w:eastAsia="en-AU"/>
        </w:rPr>
        <w:t>guiding Government actions to increase Victoria’s productivity and competitiveness.</w:t>
      </w:r>
    </w:p>
    <w:tbl>
      <w:tblPr>
        <w:tblW w:w="7776" w:type="dxa"/>
        <w:tblInd w:w="29" w:type="dxa"/>
        <w:shd w:val="clear" w:color="auto" w:fill="000000"/>
        <w:tblLayout w:type="fixed"/>
        <w:tblCellMar>
          <w:left w:w="43" w:type="dxa"/>
          <w:right w:w="43" w:type="dxa"/>
        </w:tblCellMar>
        <w:tblLook w:val="0000" w:firstRow="0" w:lastRow="0" w:firstColumn="0" w:lastColumn="0" w:noHBand="0" w:noVBand="0"/>
      </w:tblPr>
      <w:tblGrid>
        <w:gridCol w:w="3150"/>
        <w:gridCol w:w="9"/>
        <w:gridCol w:w="899"/>
        <w:gridCol w:w="906"/>
        <w:gridCol w:w="992"/>
        <w:gridCol w:w="899"/>
        <w:gridCol w:w="7"/>
        <w:gridCol w:w="914"/>
      </w:tblGrid>
      <w:tr w:rsidR="00B958B1" w:rsidRPr="00F16DCB" w:rsidTr="009F3B54">
        <w:trPr>
          <w:cantSplit/>
          <w:tblHeader/>
        </w:trPr>
        <w:tc>
          <w:tcPr>
            <w:tcW w:w="3150" w:type="dxa"/>
            <w:tcBorders>
              <w:top w:val="single" w:sz="4" w:space="0" w:color="auto"/>
              <w:left w:val="single" w:sz="4" w:space="0" w:color="auto"/>
              <w:bottom w:val="single" w:sz="4" w:space="0" w:color="auto"/>
            </w:tcBorders>
            <w:shd w:val="clear" w:color="auto" w:fill="000000"/>
            <w:vAlign w:val="bottom"/>
          </w:tcPr>
          <w:p w:rsidR="00B958B1" w:rsidRPr="00F16DCB" w:rsidRDefault="00B958B1" w:rsidP="009F3B54">
            <w:pPr>
              <w:pStyle w:val="OGTabColLeft"/>
            </w:pPr>
            <w:r w:rsidRPr="00F16DCB">
              <w:rPr>
                <w:shd w:val="clear" w:color="auto" w:fill="000000"/>
              </w:rPr>
              <w:t xml:space="preserve">Major </w:t>
            </w:r>
            <w:r w:rsidRPr="00F16DCB">
              <w:t>outputs/deliverables</w:t>
            </w:r>
            <w:r w:rsidRPr="00F16DCB">
              <w:br/>
            </w:r>
            <w:r w:rsidRPr="00523465">
              <w:rPr>
                <w:b w:val="0"/>
                <w:i/>
                <w:iCs/>
              </w:rPr>
              <w:t>Performance measures</w:t>
            </w:r>
          </w:p>
        </w:tc>
        <w:tc>
          <w:tcPr>
            <w:tcW w:w="908" w:type="dxa"/>
            <w:gridSpan w:val="2"/>
            <w:tcBorders>
              <w:top w:val="single" w:sz="4" w:space="0" w:color="auto"/>
              <w:bottom w:val="single" w:sz="4" w:space="0" w:color="auto"/>
            </w:tcBorders>
            <w:shd w:val="clear" w:color="auto" w:fill="000000"/>
            <w:vAlign w:val="bottom"/>
          </w:tcPr>
          <w:p w:rsidR="00B958B1" w:rsidRPr="00F16DCB" w:rsidRDefault="00B958B1" w:rsidP="009F3B54">
            <w:pPr>
              <w:pStyle w:val="OGTabColCentred"/>
            </w:pPr>
            <w:r w:rsidRPr="00F16DCB">
              <w:t xml:space="preserve">Unit of </w:t>
            </w:r>
            <w:r w:rsidRPr="00F16DCB">
              <w:br/>
              <w:t>measure</w:t>
            </w:r>
          </w:p>
        </w:tc>
        <w:tc>
          <w:tcPr>
            <w:tcW w:w="906" w:type="dxa"/>
            <w:tcBorders>
              <w:top w:val="single" w:sz="4" w:space="0" w:color="auto"/>
              <w:bottom w:val="single" w:sz="4" w:space="0" w:color="auto"/>
            </w:tcBorders>
            <w:shd w:val="clear" w:color="auto" w:fill="000000"/>
            <w:vAlign w:val="bottom"/>
          </w:tcPr>
          <w:p w:rsidR="00B958B1" w:rsidRPr="00F16DCB" w:rsidRDefault="00B958B1" w:rsidP="009F3B54">
            <w:pPr>
              <w:pStyle w:val="OGTabColRight"/>
            </w:pPr>
            <w:r w:rsidRPr="00F16DCB">
              <w:t>2013</w:t>
            </w:r>
            <w:r w:rsidR="009F0F49">
              <w:noBreakHyphen/>
            </w:r>
            <w:r w:rsidRPr="00F16DCB">
              <w:t xml:space="preserve">14 </w:t>
            </w:r>
            <w:r>
              <w:t>Target</w:t>
            </w:r>
          </w:p>
        </w:tc>
        <w:tc>
          <w:tcPr>
            <w:tcW w:w="992" w:type="dxa"/>
            <w:tcBorders>
              <w:top w:val="single" w:sz="4" w:space="0" w:color="auto"/>
              <w:bottom w:val="single" w:sz="4" w:space="0" w:color="auto"/>
            </w:tcBorders>
            <w:shd w:val="clear" w:color="auto" w:fill="000000"/>
          </w:tcPr>
          <w:p w:rsidR="00B958B1" w:rsidRPr="00F16DCB" w:rsidRDefault="00B958B1" w:rsidP="009F3B54">
            <w:pPr>
              <w:pStyle w:val="OGTabColRight"/>
            </w:pPr>
            <w:r w:rsidRPr="00F16DCB">
              <w:t>2012</w:t>
            </w:r>
            <w:r w:rsidR="009F0F49">
              <w:noBreakHyphen/>
            </w:r>
            <w:r w:rsidRPr="00F16DCB">
              <w:t xml:space="preserve">13 </w:t>
            </w:r>
            <w:r>
              <w:t>Expected Outcome</w:t>
            </w:r>
          </w:p>
        </w:tc>
        <w:tc>
          <w:tcPr>
            <w:tcW w:w="906" w:type="dxa"/>
            <w:gridSpan w:val="2"/>
            <w:tcBorders>
              <w:top w:val="single" w:sz="4" w:space="0" w:color="auto"/>
              <w:bottom w:val="single" w:sz="4" w:space="0" w:color="auto"/>
            </w:tcBorders>
            <w:shd w:val="clear" w:color="auto" w:fill="000000"/>
            <w:vAlign w:val="bottom"/>
          </w:tcPr>
          <w:p w:rsidR="00B958B1" w:rsidRPr="00F16DCB" w:rsidRDefault="00B958B1" w:rsidP="009F3B54">
            <w:pPr>
              <w:pStyle w:val="OGTabColRight"/>
            </w:pPr>
            <w:r w:rsidRPr="00F16DCB">
              <w:t>2012</w:t>
            </w:r>
            <w:r w:rsidR="009F0F49">
              <w:noBreakHyphen/>
            </w:r>
            <w:r w:rsidRPr="00F16DCB">
              <w:t xml:space="preserve">13 </w:t>
            </w:r>
            <w:r>
              <w:t>Target</w:t>
            </w:r>
          </w:p>
        </w:tc>
        <w:tc>
          <w:tcPr>
            <w:tcW w:w="914" w:type="dxa"/>
            <w:tcBorders>
              <w:top w:val="single" w:sz="4" w:space="0" w:color="auto"/>
              <w:bottom w:val="single" w:sz="4" w:space="0" w:color="auto"/>
              <w:right w:val="single" w:sz="4" w:space="0" w:color="auto"/>
            </w:tcBorders>
            <w:shd w:val="clear" w:color="auto" w:fill="000000"/>
          </w:tcPr>
          <w:p w:rsidR="00B958B1" w:rsidRPr="00F16DCB" w:rsidRDefault="00B958B1" w:rsidP="009F3B54">
            <w:pPr>
              <w:pStyle w:val="OGTabColRight"/>
            </w:pPr>
            <w:r w:rsidRPr="00F16DCB">
              <w:br/>
              <w:t>2011</w:t>
            </w:r>
            <w:r w:rsidR="009F0F49">
              <w:noBreakHyphen/>
            </w:r>
            <w:r w:rsidRPr="00F16DCB">
              <w:t>12 actual</w:t>
            </w:r>
          </w:p>
        </w:tc>
      </w:tr>
      <w:tr w:rsidR="00B958B1" w:rsidRPr="00F16DCB" w:rsidTr="009F3B54">
        <w:tblPrEx>
          <w:shd w:val="clear" w:color="auto" w:fill="auto"/>
        </w:tblPrEx>
        <w:trPr>
          <w:cantSplit/>
        </w:trPr>
        <w:tc>
          <w:tcPr>
            <w:tcW w:w="7776" w:type="dxa"/>
            <w:gridSpan w:val="8"/>
            <w:tcBorders>
              <w:top w:val="single" w:sz="4" w:space="0" w:color="auto"/>
            </w:tcBorders>
            <w:shd w:val="clear" w:color="auto" w:fill="auto"/>
          </w:tcPr>
          <w:p w:rsidR="00B958B1" w:rsidRPr="00F16DCB" w:rsidRDefault="00B958B1" w:rsidP="009F3B54">
            <w:pPr>
              <w:pStyle w:val="OGHeading2"/>
              <w:keepNext w:val="0"/>
            </w:pPr>
            <w:r w:rsidRPr="00F16DCB">
              <w:t>Financial and Resource Management Frameworks</w:t>
            </w:r>
          </w:p>
        </w:tc>
      </w:tr>
      <w:tr w:rsidR="00B958B1" w:rsidRPr="00F16DCB" w:rsidTr="009F3B54">
        <w:tblPrEx>
          <w:shd w:val="clear" w:color="auto" w:fill="auto"/>
        </w:tblPrEx>
        <w:trPr>
          <w:cantSplit/>
        </w:trPr>
        <w:tc>
          <w:tcPr>
            <w:tcW w:w="7776" w:type="dxa"/>
            <w:gridSpan w:val="8"/>
            <w:tcBorders>
              <w:bottom w:val="single" w:sz="6" w:space="0" w:color="auto"/>
            </w:tcBorders>
            <w:shd w:val="clear" w:color="auto" w:fill="auto"/>
          </w:tcPr>
          <w:p w:rsidR="00B958B1" w:rsidRDefault="00B958B1" w:rsidP="009F3B54">
            <w:pPr>
              <w:pStyle w:val="OGText"/>
              <w:keepNext w:val="0"/>
              <w:rPr>
                <w:lang w:eastAsia="en-AU"/>
              </w:rPr>
            </w:pPr>
            <w:r>
              <w:rPr>
                <w:lang w:eastAsia="en-AU"/>
              </w:rPr>
              <w:t>This output develops and maintains cohesive financial and resource management frameworks that drive sound financial and resource management practices within the Victorian public sector (VPS). This includes enhancing key frameworks to drive performance, monitoring VPS entities’ compliance, and advising government and key stakeholders on compliance, accounting policy, resource management and tax issues.</w:t>
            </w:r>
          </w:p>
          <w:p w:rsidR="00B958B1" w:rsidRDefault="00B958B1" w:rsidP="009F3B54">
            <w:pPr>
              <w:pStyle w:val="OGText"/>
              <w:keepNext w:val="0"/>
              <w:rPr>
                <w:lang w:eastAsia="en-AU"/>
              </w:rPr>
            </w:pPr>
            <w:r>
              <w:rPr>
                <w:lang w:eastAsia="en-AU"/>
              </w:rPr>
              <w:t>The output contributes to the department objective of ensuring sound financial management of the State’s fiscal resources by:</w:t>
            </w:r>
          </w:p>
          <w:p w:rsidR="00B958B1" w:rsidRDefault="00B958B1" w:rsidP="009F3B54">
            <w:pPr>
              <w:pStyle w:val="OGBullet"/>
              <w:rPr>
                <w:lang w:eastAsia="en-AU"/>
              </w:rPr>
            </w:pPr>
            <w:r>
              <w:rPr>
                <w:lang w:eastAsia="en-AU"/>
              </w:rPr>
              <w:t>ensuring that financial and resource management frameworks are established and complied with;</w:t>
            </w:r>
          </w:p>
          <w:p w:rsidR="00B958B1" w:rsidRDefault="00B958B1" w:rsidP="009F3B54">
            <w:pPr>
              <w:pStyle w:val="OGBullet"/>
              <w:rPr>
                <w:lang w:eastAsia="en-AU"/>
              </w:rPr>
            </w:pPr>
            <w:r>
              <w:rPr>
                <w:lang w:eastAsia="en-AU"/>
              </w:rPr>
              <w:t>facilitating consistent and reliable financial reporting across the VPS that complies with professional accounting standards;</w:t>
            </w:r>
          </w:p>
          <w:p w:rsidR="00B958B1" w:rsidRDefault="00B958B1" w:rsidP="009F3B54">
            <w:pPr>
              <w:pStyle w:val="OGBullet"/>
              <w:rPr>
                <w:lang w:eastAsia="en-AU"/>
              </w:rPr>
            </w:pPr>
            <w:r>
              <w:rPr>
                <w:lang w:eastAsia="en-AU"/>
              </w:rPr>
              <w:t>promoting continuous improvement in resource allocation and management through regular reviews and updates to ensure the frameworks represent good practice; and</w:t>
            </w:r>
          </w:p>
          <w:p w:rsidR="00B958B1" w:rsidRPr="00F16DCB" w:rsidRDefault="00B958B1" w:rsidP="009F3B54">
            <w:pPr>
              <w:pStyle w:val="OGBullet"/>
            </w:pPr>
            <w:r>
              <w:rPr>
                <w:lang w:eastAsia="en-AU"/>
              </w:rPr>
              <w:t>promoting awareness of financial management accountabilities and roles.</w:t>
            </w:r>
          </w:p>
        </w:tc>
      </w:tr>
      <w:tr w:rsidR="00B958B1" w:rsidRPr="00F16DCB" w:rsidTr="009F3B54">
        <w:tblPrEx>
          <w:shd w:val="clear" w:color="auto" w:fill="auto"/>
        </w:tblPrEx>
        <w:trPr>
          <w:cantSplit/>
        </w:trPr>
        <w:tc>
          <w:tcPr>
            <w:tcW w:w="3150" w:type="dxa"/>
            <w:tcBorders>
              <w:top w:val="single" w:sz="6" w:space="0" w:color="auto"/>
            </w:tcBorders>
            <w:shd w:val="clear" w:color="auto" w:fill="auto"/>
          </w:tcPr>
          <w:p w:rsidR="00B958B1" w:rsidRPr="00F16DCB" w:rsidRDefault="00B958B1" w:rsidP="009F3B54">
            <w:pPr>
              <w:pStyle w:val="OGTabHead"/>
              <w:keepNext w:val="0"/>
            </w:pPr>
            <w:r w:rsidRPr="00F16DCB">
              <w:t>Quantity</w:t>
            </w:r>
          </w:p>
        </w:tc>
        <w:tc>
          <w:tcPr>
            <w:tcW w:w="908" w:type="dxa"/>
            <w:gridSpan w:val="2"/>
            <w:tcBorders>
              <w:top w:val="single" w:sz="6" w:space="0" w:color="auto"/>
            </w:tcBorders>
            <w:shd w:val="clear" w:color="auto" w:fill="auto"/>
          </w:tcPr>
          <w:p w:rsidR="00B958B1" w:rsidRPr="00F16DCB" w:rsidRDefault="00B958B1" w:rsidP="009F3B54">
            <w:pPr>
              <w:pStyle w:val="OGTabHead"/>
              <w:keepNext w:val="0"/>
            </w:pPr>
          </w:p>
        </w:tc>
        <w:tc>
          <w:tcPr>
            <w:tcW w:w="906" w:type="dxa"/>
            <w:tcBorders>
              <w:top w:val="single" w:sz="6" w:space="0" w:color="auto"/>
            </w:tcBorders>
            <w:shd w:val="clear" w:color="auto" w:fill="D9D9D9"/>
          </w:tcPr>
          <w:p w:rsidR="00B958B1" w:rsidRPr="00F16DCB" w:rsidRDefault="00B958B1" w:rsidP="009F3B54">
            <w:pPr>
              <w:pStyle w:val="OGTabHead"/>
              <w:keepNext w:val="0"/>
            </w:pPr>
          </w:p>
        </w:tc>
        <w:tc>
          <w:tcPr>
            <w:tcW w:w="992" w:type="dxa"/>
            <w:tcBorders>
              <w:top w:val="single" w:sz="6" w:space="0" w:color="auto"/>
            </w:tcBorders>
            <w:shd w:val="clear" w:color="auto" w:fill="auto"/>
          </w:tcPr>
          <w:p w:rsidR="00B958B1" w:rsidRPr="00F16DCB" w:rsidRDefault="00B958B1" w:rsidP="009F3B54">
            <w:pPr>
              <w:pStyle w:val="OGTabHead"/>
              <w:keepNext w:val="0"/>
            </w:pPr>
          </w:p>
        </w:tc>
        <w:tc>
          <w:tcPr>
            <w:tcW w:w="906" w:type="dxa"/>
            <w:gridSpan w:val="2"/>
            <w:tcBorders>
              <w:top w:val="single" w:sz="6" w:space="0" w:color="auto"/>
            </w:tcBorders>
            <w:shd w:val="clear" w:color="auto" w:fill="auto"/>
          </w:tcPr>
          <w:p w:rsidR="00B958B1" w:rsidRPr="00F16DCB" w:rsidRDefault="00B958B1" w:rsidP="009F3B54">
            <w:pPr>
              <w:pStyle w:val="OGTabHead"/>
              <w:keepNext w:val="0"/>
            </w:pPr>
          </w:p>
        </w:tc>
        <w:tc>
          <w:tcPr>
            <w:tcW w:w="914" w:type="dxa"/>
            <w:tcBorders>
              <w:top w:val="single" w:sz="6" w:space="0" w:color="auto"/>
            </w:tcBorders>
            <w:shd w:val="clear" w:color="auto" w:fill="auto"/>
          </w:tcPr>
          <w:p w:rsidR="00B958B1" w:rsidRPr="00F16DCB" w:rsidRDefault="00B958B1" w:rsidP="009F3B54">
            <w:pPr>
              <w:pStyle w:val="OGTabHead"/>
              <w:keepNext w:val="0"/>
            </w:pPr>
          </w:p>
        </w:tc>
      </w:tr>
      <w:tr w:rsidR="00B958B1" w:rsidRPr="00F16DCB" w:rsidTr="009F3B54">
        <w:tblPrEx>
          <w:shd w:val="clear" w:color="auto" w:fill="auto"/>
        </w:tblPrEx>
        <w:trPr>
          <w:cantSplit/>
        </w:trPr>
        <w:tc>
          <w:tcPr>
            <w:tcW w:w="3150" w:type="dxa"/>
            <w:tcBorders>
              <w:bottom w:val="single" w:sz="6" w:space="0" w:color="auto"/>
            </w:tcBorders>
            <w:shd w:val="clear" w:color="auto" w:fill="auto"/>
          </w:tcPr>
          <w:p w:rsidR="00B958B1" w:rsidRPr="00F16DCB" w:rsidRDefault="00B958B1" w:rsidP="009F3B54">
            <w:pPr>
              <w:pStyle w:val="OGTabText"/>
            </w:pPr>
            <w:r w:rsidRPr="00F16DCB">
              <w:t xml:space="preserve">Annual review of whole of government compliance </w:t>
            </w:r>
            <w:r w:rsidRPr="00A77CBC">
              <w:t>framework</w:t>
            </w:r>
          </w:p>
        </w:tc>
        <w:tc>
          <w:tcPr>
            <w:tcW w:w="908" w:type="dxa"/>
            <w:gridSpan w:val="2"/>
            <w:tcBorders>
              <w:bottom w:val="single" w:sz="6" w:space="0" w:color="auto"/>
            </w:tcBorders>
            <w:shd w:val="clear" w:color="auto" w:fill="auto"/>
          </w:tcPr>
          <w:p w:rsidR="00B958B1" w:rsidRPr="00F16DCB" w:rsidRDefault="00B958B1" w:rsidP="009F3B54">
            <w:pPr>
              <w:pStyle w:val="OGUoM"/>
            </w:pPr>
            <w:r w:rsidRPr="00F16DCB">
              <w:t>number</w:t>
            </w:r>
          </w:p>
        </w:tc>
        <w:tc>
          <w:tcPr>
            <w:tcW w:w="906" w:type="dxa"/>
            <w:tcBorders>
              <w:bottom w:val="single" w:sz="6" w:space="0" w:color="auto"/>
            </w:tcBorders>
            <w:shd w:val="clear" w:color="auto" w:fill="D9D9D9"/>
          </w:tcPr>
          <w:p w:rsidR="00B958B1" w:rsidRPr="00F16DCB" w:rsidRDefault="00B958B1" w:rsidP="009F3B54">
            <w:pPr>
              <w:pStyle w:val="OGTableofFigures"/>
            </w:pPr>
            <w:r w:rsidRPr="00F16DCB">
              <w:t>1</w:t>
            </w:r>
          </w:p>
        </w:tc>
        <w:tc>
          <w:tcPr>
            <w:tcW w:w="992" w:type="dxa"/>
            <w:tcBorders>
              <w:bottom w:val="single" w:sz="6" w:space="0" w:color="auto"/>
            </w:tcBorders>
            <w:shd w:val="clear" w:color="auto" w:fill="auto"/>
          </w:tcPr>
          <w:p w:rsidR="00B958B1" w:rsidRPr="00F16DCB" w:rsidRDefault="00B958B1" w:rsidP="009F3B54">
            <w:pPr>
              <w:pStyle w:val="OGTableofFigures"/>
            </w:pPr>
            <w:r w:rsidRPr="00F16DCB">
              <w:t>1</w:t>
            </w:r>
          </w:p>
        </w:tc>
        <w:tc>
          <w:tcPr>
            <w:tcW w:w="906" w:type="dxa"/>
            <w:gridSpan w:val="2"/>
            <w:tcBorders>
              <w:bottom w:val="single" w:sz="6" w:space="0" w:color="auto"/>
            </w:tcBorders>
            <w:shd w:val="clear" w:color="auto" w:fill="auto"/>
          </w:tcPr>
          <w:p w:rsidR="00B958B1" w:rsidRPr="00F16DCB" w:rsidRDefault="00B958B1" w:rsidP="009F3B54">
            <w:pPr>
              <w:pStyle w:val="OGTableofFigures"/>
            </w:pPr>
            <w:r w:rsidRPr="00F16DCB">
              <w:t>1</w:t>
            </w:r>
          </w:p>
        </w:tc>
        <w:tc>
          <w:tcPr>
            <w:tcW w:w="914" w:type="dxa"/>
            <w:tcBorders>
              <w:bottom w:val="single" w:sz="6" w:space="0" w:color="auto"/>
            </w:tcBorders>
            <w:shd w:val="clear" w:color="auto" w:fill="auto"/>
          </w:tcPr>
          <w:p w:rsidR="00B958B1" w:rsidRPr="00F16DCB" w:rsidRDefault="00B958B1" w:rsidP="009F3B54">
            <w:pPr>
              <w:pStyle w:val="OGTableofFigures"/>
            </w:pPr>
            <w:r w:rsidRPr="00F16DCB">
              <w:t>1</w:t>
            </w:r>
          </w:p>
        </w:tc>
      </w:tr>
      <w:tr w:rsidR="00B958B1" w:rsidRPr="00F16DCB" w:rsidTr="009F3B54">
        <w:tblPrEx>
          <w:shd w:val="clear" w:color="auto" w:fill="auto"/>
        </w:tblPrEx>
        <w:trPr>
          <w:cantSplit/>
        </w:trPr>
        <w:tc>
          <w:tcPr>
            <w:tcW w:w="3150" w:type="dxa"/>
            <w:tcBorders>
              <w:top w:val="single" w:sz="6" w:space="0" w:color="auto"/>
            </w:tcBorders>
            <w:shd w:val="clear" w:color="auto" w:fill="auto"/>
          </w:tcPr>
          <w:p w:rsidR="00B958B1" w:rsidRPr="00F16DCB" w:rsidRDefault="00B958B1" w:rsidP="009F3B54">
            <w:pPr>
              <w:pStyle w:val="OGTabText"/>
            </w:pPr>
            <w:r w:rsidRPr="00F16DCB">
              <w:t>Delivery of updates, guides and newsletters</w:t>
            </w:r>
          </w:p>
        </w:tc>
        <w:tc>
          <w:tcPr>
            <w:tcW w:w="908" w:type="dxa"/>
            <w:gridSpan w:val="2"/>
            <w:tcBorders>
              <w:top w:val="single" w:sz="6" w:space="0" w:color="auto"/>
            </w:tcBorders>
            <w:shd w:val="clear" w:color="auto" w:fill="auto"/>
          </w:tcPr>
          <w:p w:rsidR="00B958B1" w:rsidRPr="00F16DCB" w:rsidRDefault="00B958B1" w:rsidP="009F3B54">
            <w:pPr>
              <w:pStyle w:val="OGUoM"/>
            </w:pPr>
            <w:r w:rsidRPr="00F16DCB">
              <w:t>number</w:t>
            </w:r>
          </w:p>
        </w:tc>
        <w:tc>
          <w:tcPr>
            <w:tcW w:w="906" w:type="dxa"/>
            <w:tcBorders>
              <w:top w:val="single" w:sz="6" w:space="0" w:color="auto"/>
            </w:tcBorders>
            <w:shd w:val="clear" w:color="auto" w:fill="D9D9D9"/>
          </w:tcPr>
          <w:p w:rsidR="00B958B1" w:rsidRPr="00F16DCB" w:rsidRDefault="00B958B1" w:rsidP="009F3B54">
            <w:pPr>
              <w:pStyle w:val="OGTableofFigures"/>
            </w:pPr>
            <w:r w:rsidRPr="00F16DCB">
              <w:t>10</w:t>
            </w:r>
          </w:p>
        </w:tc>
        <w:tc>
          <w:tcPr>
            <w:tcW w:w="992" w:type="dxa"/>
            <w:tcBorders>
              <w:top w:val="single" w:sz="6" w:space="0" w:color="auto"/>
            </w:tcBorders>
            <w:shd w:val="clear" w:color="auto" w:fill="auto"/>
          </w:tcPr>
          <w:p w:rsidR="00B958B1" w:rsidRPr="00F16DCB" w:rsidRDefault="00B958B1" w:rsidP="009F3B54">
            <w:pPr>
              <w:pStyle w:val="OGTableofFigures"/>
            </w:pPr>
            <w:r w:rsidRPr="00F16DCB">
              <w:t>8</w:t>
            </w:r>
          </w:p>
        </w:tc>
        <w:tc>
          <w:tcPr>
            <w:tcW w:w="906" w:type="dxa"/>
            <w:gridSpan w:val="2"/>
            <w:tcBorders>
              <w:top w:val="single" w:sz="6" w:space="0" w:color="auto"/>
            </w:tcBorders>
            <w:shd w:val="clear" w:color="auto" w:fill="auto"/>
          </w:tcPr>
          <w:p w:rsidR="00B958B1" w:rsidRPr="00F16DCB" w:rsidRDefault="00B958B1" w:rsidP="009F3B54">
            <w:pPr>
              <w:pStyle w:val="OGTableofFigures"/>
            </w:pPr>
            <w:r w:rsidRPr="00F16DCB">
              <w:t>10</w:t>
            </w:r>
          </w:p>
        </w:tc>
        <w:tc>
          <w:tcPr>
            <w:tcW w:w="914" w:type="dxa"/>
            <w:tcBorders>
              <w:top w:val="single" w:sz="6" w:space="0" w:color="auto"/>
            </w:tcBorders>
            <w:shd w:val="clear" w:color="auto" w:fill="auto"/>
          </w:tcPr>
          <w:p w:rsidR="00B958B1" w:rsidRPr="00F16DCB" w:rsidRDefault="00B958B1" w:rsidP="009F3B54">
            <w:pPr>
              <w:pStyle w:val="OGTableofFigures"/>
            </w:pPr>
            <w:r w:rsidRPr="00F16DCB">
              <w:t>9</w:t>
            </w:r>
          </w:p>
        </w:tc>
      </w:tr>
      <w:tr w:rsidR="00B958B1" w:rsidRPr="00250647" w:rsidTr="009F3B54">
        <w:tblPrEx>
          <w:shd w:val="clear" w:color="auto" w:fill="auto"/>
        </w:tblPrEx>
        <w:trPr>
          <w:cantSplit/>
        </w:trPr>
        <w:tc>
          <w:tcPr>
            <w:tcW w:w="7776" w:type="dxa"/>
            <w:gridSpan w:val="8"/>
            <w:tcBorders>
              <w:bottom w:val="single" w:sz="6" w:space="0" w:color="auto"/>
            </w:tcBorders>
            <w:shd w:val="clear" w:color="auto" w:fill="auto"/>
          </w:tcPr>
          <w:p w:rsidR="00B958B1" w:rsidRPr="00250647" w:rsidRDefault="00B958B1" w:rsidP="009F3B54">
            <w:pPr>
              <w:pStyle w:val="OGTableofFigures"/>
              <w:ind w:left="397" w:right="64"/>
              <w:jc w:val="left"/>
            </w:pPr>
            <w:r w:rsidRPr="00547387">
              <w:rPr>
                <w:rFonts w:cs="Calibri"/>
                <w:i/>
                <w:sz w:val="15"/>
                <w:szCs w:val="15"/>
              </w:rPr>
              <w:t>The 2012</w:t>
            </w:r>
            <w:r w:rsidR="009F0F49">
              <w:rPr>
                <w:rFonts w:cs="Calibri"/>
                <w:i/>
                <w:sz w:val="15"/>
                <w:szCs w:val="15"/>
              </w:rPr>
              <w:noBreakHyphen/>
            </w:r>
            <w:r w:rsidRPr="00547387">
              <w:rPr>
                <w:rFonts w:cs="Calibri"/>
                <w:i/>
                <w:sz w:val="15"/>
                <w:szCs w:val="15"/>
              </w:rPr>
              <w:t>13 Expected Outcome is lower than the 2012</w:t>
            </w:r>
            <w:r w:rsidR="009F0F49">
              <w:rPr>
                <w:rFonts w:cs="Calibri"/>
                <w:i/>
                <w:sz w:val="15"/>
                <w:szCs w:val="15"/>
              </w:rPr>
              <w:noBreakHyphen/>
            </w:r>
            <w:r w:rsidRPr="00547387">
              <w:rPr>
                <w:rFonts w:cs="Calibri"/>
                <w:i/>
                <w:sz w:val="15"/>
                <w:szCs w:val="15"/>
              </w:rPr>
              <w:t>13 Target due to Victorian Auditor</w:t>
            </w:r>
            <w:r w:rsidR="009F0F49">
              <w:rPr>
                <w:rFonts w:cs="Calibri"/>
                <w:i/>
                <w:sz w:val="15"/>
                <w:szCs w:val="15"/>
              </w:rPr>
              <w:noBreakHyphen/>
            </w:r>
            <w:r w:rsidRPr="00547387">
              <w:rPr>
                <w:rFonts w:cs="Calibri"/>
                <w:i/>
                <w:sz w:val="15"/>
                <w:szCs w:val="15"/>
              </w:rPr>
              <w:t>General’s Office newsletters not being issued in 2012</w:t>
            </w:r>
            <w:r w:rsidR="009F0F49">
              <w:rPr>
                <w:rFonts w:cs="Calibri"/>
                <w:i/>
                <w:sz w:val="15"/>
                <w:szCs w:val="15"/>
              </w:rPr>
              <w:noBreakHyphen/>
            </w:r>
            <w:r w:rsidRPr="00547387">
              <w:rPr>
                <w:rFonts w:cs="Calibri"/>
                <w:i/>
                <w:sz w:val="15"/>
                <w:szCs w:val="15"/>
              </w:rPr>
              <w:t>13.</w:t>
            </w:r>
          </w:p>
        </w:tc>
      </w:tr>
      <w:tr w:rsidR="00B958B1" w:rsidRPr="00F16DCB" w:rsidTr="009F3B54">
        <w:tblPrEx>
          <w:shd w:val="clear" w:color="auto" w:fill="auto"/>
        </w:tblPrEx>
        <w:trPr>
          <w:cantSplit/>
        </w:trPr>
        <w:tc>
          <w:tcPr>
            <w:tcW w:w="3150" w:type="dxa"/>
            <w:tcBorders>
              <w:top w:val="single" w:sz="6" w:space="0" w:color="auto"/>
              <w:bottom w:val="single" w:sz="6" w:space="0" w:color="auto"/>
            </w:tcBorders>
            <w:shd w:val="clear" w:color="auto" w:fill="auto"/>
          </w:tcPr>
          <w:p w:rsidR="00B958B1" w:rsidRPr="00F16DCB" w:rsidRDefault="00B958B1" w:rsidP="009F3B54">
            <w:pPr>
              <w:pStyle w:val="OGTabText"/>
            </w:pPr>
            <w:r w:rsidRPr="00F16DCB">
              <w:t xml:space="preserve">Review of major resource management policies </w:t>
            </w:r>
          </w:p>
        </w:tc>
        <w:tc>
          <w:tcPr>
            <w:tcW w:w="908" w:type="dxa"/>
            <w:gridSpan w:val="2"/>
            <w:tcBorders>
              <w:top w:val="single" w:sz="6" w:space="0" w:color="auto"/>
              <w:bottom w:val="single" w:sz="6" w:space="0" w:color="auto"/>
            </w:tcBorders>
            <w:shd w:val="clear" w:color="auto" w:fill="auto"/>
          </w:tcPr>
          <w:p w:rsidR="00B958B1" w:rsidRPr="00F16DCB" w:rsidRDefault="00B958B1" w:rsidP="009F3B54">
            <w:pPr>
              <w:pStyle w:val="OGUoM"/>
            </w:pPr>
            <w:r w:rsidRPr="00F16DCB">
              <w:t>number</w:t>
            </w:r>
          </w:p>
        </w:tc>
        <w:tc>
          <w:tcPr>
            <w:tcW w:w="906" w:type="dxa"/>
            <w:tcBorders>
              <w:top w:val="single" w:sz="6" w:space="0" w:color="auto"/>
              <w:bottom w:val="single" w:sz="6" w:space="0" w:color="auto"/>
            </w:tcBorders>
            <w:shd w:val="clear" w:color="auto" w:fill="D9D9D9"/>
          </w:tcPr>
          <w:p w:rsidR="00B958B1" w:rsidRPr="00F16DCB" w:rsidRDefault="00B958B1" w:rsidP="009F3B54">
            <w:pPr>
              <w:pStyle w:val="OGTableofFigures"/>
            </w:pPr>
            <w:r w:rsidRPr="00F16DCB">
              <w:t>2</w:t>
            </w:r>
          </w:p>
        </w:tc>
        <w:tc>
          <w:tcPr>
            <w:tcW w:w="992" w:type="dxa"/>
            <w:tcBorders>
              <w:top w:val="single" w:sz="6" w:space="0" w:color="auto"/>
              <w:bottom w:val="single" w:sz="6" w:space="0" w:color="auto"/>
            </w:tcBorders>
            <w:shd w:val="clear" w:color="auto" w:fill="auto"/>
          </w:tcPr>
          <w:p w:rsidR="00B958B1" w:rsidRPr="00F16DCB" w:rsidRDefault="00B958B1" w:rsidP="009F3B54">
            <w:pPr>
              <w:pStyle w:val="OGTableofFigures"/>
            </w:pPr>
            <w:r w:rsidRPr="00F16DCB">
              <w:t>2</w:t>
            </w:r>
          </w:p>
        </w:tc>
        <w:tc>
          <w:tcPr>
            <w:tcW w:w="906" w:type="dxa"/>
            <w:gridSpan w:val="2"/>
            <w:tcBorders>
              <w:top w:val="single" w:sz="6" w:space="0" w:color="auto"/>
              <w:bottom w:val="single" w:sz="6" w:space="0" w:color="auto"/>
            </w:tcBorders>
            <w:shd w:val="clear" w:color="auto" w:fill="auto"/>
          </w:tcPr>
          <w:p w:rsidR="00B958B1" w:rsidRPr="00F16DCB" w:rsidRDefault="00B958B1" w:rsidP="009F3B54">
            <w:pPr>
              <w:pStyle w:val="OGTableofFigures"/>
            </w:pPr>
            <w:r w:rsidRPr="00F16DCB">
              <w:t>2</w:t>
            </w:r>
          </w:p>
        </w:tc>
        <w:tc>
          <w:tcPr>
            <w:tcW w:w="914" w:type="dxa"/>
            <w:tcBorders>
              <w:top w:val="single" w:sz="6" w:space="0" w:color="auto"/>
              <w:bottom w:val="single" w:sz="6" w:space="0" w:color="auto"/>
            </w:tcBorders>
            <w:shd w:val="clear" w:color="auto" w:fill="auto"/>
          </w:tcPr>
          <w:p w:rsidR="00B958B1" w:rsidRPr="00F16DCB" w:rsidRDefault="00B958B1" w:rsidP="009F3B54">
            <w:pPr>
              <w:pStyle w:val="OGTableofFigures"/>
            </w:pPr>
            <w:r w:rsidRPr="00F16DCB">
              <w:t>2</w:t>
            </w:r>
          </w:p>
        </w:tc>
      </w:tr>
      <w:tr w:rsidR="00B958B1" w:rsidRPr="00F16DCB" w:rsidTr="009F3B54">
        <w:tblPrEx>
          <w:shd w:val="clear" w:color="auto" w:fill="auto"/>
        </w:tblPrEx>
        <w:trPr>
          <w:cantSplit/>
        </w:trPr>
        <w:tc>
          <w:tcPr>
            <w:tcW w:w="3150" w:type="dxa"/>
            <w:tcBorders>
              <w:top w:val="single" w:sz="6" w:space="0" w:color="auto"/>
            </w:tcBorders>
            <w:shd w:val="clear" w:color="auto" w:fill="auto"/>
          </w:tcPr>
          <w:p w:rsidR="00B958B1" w:rsidRPr="00F16DCB" w:rsidRDefault="00B958B1" w:rsidP="009F3B54">
            <w:pPr>
              <w:pStyle w:val="OGTabHead"/>
              <w:keepNext w:val="0"/>
            </w:pPr>
            <w:r w:rsidRPr="00F16DCB">
              <w:t>Quality</w:t>
            </w:r>
          </w:p>
        </w:tc>
        <w:tc>
          <w:tcPr>
            <w:tcW w:w="908" w:type="dxa"/>
            <w:gridSpan w:val="2"/>
            <w:tcBorders>
              <w:top w:val="single" w:sz="6" w:space="0" w:color="auto"/>
            </w:tcBorders>
            <w:shd w:val="clear" w:color="auto" w:fill="auto"/>
          </w:tcPr>
          <w:p w:rsidR="00B958B1" w:rsidRPr="00F16DCB" w:rsidRDefault="00B958B1" w:rsidP="009F3B54">
            <w:pPr>
              <w:pStyle w:val="OGTabHead"/>
              <w:keepNext w:val="0"/>
            </w:pPr>
            <w:r w:rsidRPr="00F16DCB">
              <w:t> </w:t>
            </w:r>
          </w:p>
        </w:tc>
        <w:tc>
          <w:tcPr>
            <w:tcW w:w="906" w:type="dxa"/>
            <w:tcBorders>
              <w:top w:val="single" w:sz="6" w:space="0" w:color="auto"/>
            </w:tcBorders>
            <w:shd w:val="clear" w:color="auto" w:fill="D9D9D9"/>
          </w:tcPr>
          <w:p w:rsidR="00B958B1" w:rsidRPr="00F16DCB" w:rsidRDefault="00B958B1" w:rsidP="009F3B54">
            <w:pPr>
              <w:pStyle w:val="OGTabHead"/>
              <w:keepNext w:val="0"/>
            </w:pPr>
            <w:r w:rsidRPr="00F16DCB">
              <w:t> </w:t>
            </w:r>
          </w:p>
        </w:tc>
        <w:tc>
          <w:tcPr>
            <w:tcW w:w="992" w:type="dxa"/>
            <w:tcBorders>
              <w:top w:val="single" w:sz="6" w:space="0" w:color="auto"/>
            </w:tcBorders>
            <w:shd w:val="clear" w:color="auto" w:fill="auto"/>
          </w:tcPr>
          <w:p w:rsidR="00B958B1" w:rsidRPr="00F16DCB" w:rsidRDefault="00B958B1" w:rsidP="009F3B54">
            <w:pPr>
              <w:pStyle w:val="OGTabHead"/>
              <w:keepNext w:val="0"/>
            </w:pPr>
          </w:p>
        </w:tc>
        <w:tc>
          <w:tcPr>
            <w:tcW w:w="906" w:type="dxa"/>
            <w:gridSpan w:val="2"/>
            <w:tcBorders>
              <w:top w:val="single" w:sz="6" w:space="0" w:color="auto"/>
            </w:tcBorders>
            <w:shd w:val="clear" w:color="auto" w:fill="auto"/>
          </w:tcPr>
          <w:p w:rsidR="00B958B1" w:rsidRPr="00F16DCB" w:rsidRDefault="00B958B1" w:rsidP="009F3B54">
            <w:pPr>
              <w:pStyle w:val="OGTabHead"/>
              <w:keepNext w:val="0"/>
            </w:pPr>
          </w:p>
        </w:tc>
        <w:tc>
          <w:tcPr>
            <w:tcW w:w="914" w:type="dxa"/>
            <w:tcBorders>
              <w:top w:val="single" w:sz="6" w:space="0" w:color="auto"/>
            </w:tcBorders>
            <w:shd w:val="clear" w:color="auto" w:fill="auto"/>
          </w:tcPr>
          <w:p w:rsidR="00B958B1" w:rsidRPr="00F16DCB" w:rsidRDefault="00B958B1" w:rsidP="009F3B54">
            <w:pPr>
              <w:pStyle w:val="OGTabHead"/>
              <w:keepNext w:val="0"/>
            </w:pPr>
          </w:p>
        </w:tc>
      </w:tr>
      <w:tr w:rsidR="00B958B1" w:rsidRPr="00645C5D" w:rsidTr="009F3B54">
        <w:tblPrEx>
          <w:shd w:val="clear" w:color="auto" w:fill="auto"/>
        </w:tblPrEx>
        <w:trPr>
          <w:cantSplit/>
        </w:trPr>
        <w:tc>
          <w:tcPr>
            <w:tcW w:w="3150" w:type="dxa"/>
            <w:shd w:val="clear" w:color="auto" w:fill="auto"/>
          </w:tcPr>
          <w:p w:rsidR="00B958B1" w:rsidRPr="00F16DCB" w:rsidRDefault="00B958B1" w:rsidP="009F3B54">
            <w:pPr>
              <w:pStyle w:val="OGTabText"/>
            </w:pPr>
            <w:r w:rsidRPr="00F16DCB">
              <w:t>Material and adverse whole</w:t>
            </w:r>
            <w:r w:rsidR="009F0F49">
              <w:noBreakHyphen/>
            </w:r>
            <w:r>
              <w:t xml:space="preserve"> of</w:t>
            </w:r>
            <w:r w:rsidR="009F0F49">
              <w:noBreakHyphen/>
            </w:r>
            <w:r w:rsidRPr="00F16DCB">
              <w:t xml:space="preserve">government issues relating to financial management and governance </w:t>
            </w:r>
            <w:r>
              <w:t>(</w:t>
            </w:r>
            <w:r w:rsidRPr="00F16DCB">
              <w:t>identified by Victorian Auditor</w:t>
            </w:r>
            <w:r w:rsidR="009F0F49">
              <w:noBreakHyphen/>
            </w:r>
            <w:r w:rsidRPr="00F16DCB">
              <w:t>General</w:t>
            </w:r>
            <w:r>
              <w:t>’</w:t>
            </w:r>
            <w:r w:rsidRPr="00F16DCB">
              <w:t xml:space="preserve">s </w:t>
            </w:r>
            <w:r w:rsidRPr="00645C5D">
              <w:t>Office</w:t>
            </w:r>
            <w:r>
              <w:t>) r</w:t>
            </w:r>
            <w:r w:rsidRPr="00F16DCB">
              <w:t>ectifi</w:t>
            </w:r>
            <w:r>
              <w:t>ed</w:t>
            </w:r>
          </w:p>
        </w:tc>
        <w:tc>
          <w:tcPr>
            <w:tcW w:w="908" w:type="dxa"/>
            <w:gridSpan w:val="2"/>
            <w:shd w:val="clear" w:color="auto" w:fill="auto"/>
          </w:tcPr>
          <w:p w:rsidR="00B958B1" w:rsidRPr="00F16DCB" w:rsidRDefault="00B958B1" w:rsidP="009F3B54">
            <w:pPr>
              <w:pStyle w:val="OGUoM"/>
            </w:pPr>
            <w:r>
              <w:t>per </w:t>
            </w:r>
            <w:r w:rsidRPr="00645C5D">
              <w:t>cent</w:t>
            </w:r>
          </w:p>
        </w:tc>
        <w:tc>
          <w:tcPr>
            <w:tcW w:w="906" w:type="dxa"/>
            <w:shd w:val="clear" w:color="auto" w:fill="D9D9D9"/>
          </w:tcPr>
          <w:p w:rsidR="00B958B1" w:rsidRPr="00645C5D" w:rsidRDefault="00B958B1" w:rsidP="009F3B54">
            <w:pPr>
              <w:pStyle w:val="OGTableofFigures"/>
            </w:pPr>
            <w:r w:rsidRPr="00645C5D">
              <w:t>100</w:t>
            </w:r>
          </w:p>
        </w:tc>
        <w:tc>
          <w:tcPr>
            <w:tcW w:w="992" w:type="dxa"/>
            <w:shd w:val="clear" w:color="auto" w:fill="auto"/>
          </w:tcPr>
          <w:p w:rsidR="00B958B1" w:rsidRPr="00645C5D" w:rsidRDefault="00B958B1" w:rsidP="009F3B54">
            <w:pPr>
              <w:pStyle w:val="OGTableofFigures"/>
            </w:pPr>
            <w:r w:rsidRPr="00645C5D">
              <w:t>100</w:t>
            </w:r>
          </w:p>
        </w:tc>
        <w:tc>
          <w:tcPr>
            <w:tcW w:w="906" w:type="dxa"/>
            <w:gridSpan w:val="2"/>
            <w:shd w:val="clear" w:color="auto" w:fill="auto"/>
          </w:tcPr>
          <w:p w:rsidR="00B958B1" w:rsidRPr="00645C5D" w:rsidRDefault="00B958B1" w:rsidP="009F3B54">
            <w:pPr>
              <w:pStyle w:val="OGTableofFigures"/>
            </w:pPr>
            <w:r w:rsidRPr="00645C5D">
              <w:t>100</w:t>
            </w:r>
          </w:p>
        </w:tc>
        <w:tc>
          <w:tcPr>
            <w:tcW w:w="914" w:type="dxa"/>
            <w:shd w:val="clear" w:color="auto" w:fill="auto"/>
          </w:tcPr>
          <w:p w:rsidR="00B958B1" w:rsidRPr="00645C5D" w:rsidRDefault="00B958B1" w:rsidP="009F3B54">
            <w:pPr>
              <w:pStyle w:val="OGTableofFigures"/>
            </w:pPr>
            <w:r w:rsidRPr="00645C5D">
              <w:t>100</w:t>
            </w:r>
          </w:p>
        </w:tc>
      </w:tr>
      <w:tr w:rsidR="00B958B1" w:rsidRPr="00F16DCB" w:rsidTr="009F3B54">
        <w:tblPrEx>
          <w:shd w:val="clear" w:color="auto" w:fill="auto"/>
        </w:tblPrEx>
        <w:trPr>
          <w:cantSplit/>
        </w:trPr>
        <w:tc>
          <w:tcPr>
            <w:tcW w:w="7776" w:type="dxa"/>
            <w:gridSpan w:val="8"/>
            <w:tcBorders>
              <w:bottom w:val="single" w:sz="6" w:space="0" w:color="auto"/>
            </w:tcBorders>
          </w:tcPr>
          <w:p w:rsidR="00B958B1" w:rsidRPr="00F16DCB" w:rsidRDefault="00B958B1" w:rsidP="009F3B54">
            <w:pPr>
              <w:pStyle w:val="OGNotes"/>
            </w:pPr>
            <w:r w:rsidRPr="00547387">
              <w:t>This performance measure renames the 2012</w:t>
            </w:r>
            <w:r w:rsidR="009F0F49">
              <w:noBreakHyphen/>
            </w:r>
            <w:r w:rsidRPr="00547387">
              <w:t>13 performance measure ‘Material and adverse whole of government issues identified by Victorian Auditor</w:t>
            </w:r>
            <w:r w:rsidR="009F0F49">
              <w:noBreakHyphen/>
            </w:r>
            <w:r w:rsidRPr="00547387">
              <w:t>General’s Office and Australian Taxation Office requiring rectification are addressed.’ The new measure reports on the same activity as the previous measure, but increases accuracy by reflecting the absence of adverse issues identified by the Australian Taxation Office at a whole of government level.</w:t>
            </w:r>
            <w:r>
              <w:rPr>
                <w:color w:val="000000"/>
                <w:sz w:val="16"/>
                <w:szCs w:val="16"/>
              </w:rPr>
              <w:t> </w:t>
            </w:r>
          </w:p>
        </w:tc>
      </w:tr>
      <w:tr w:rsidR="00B958B1" w:rsidRPr="00F16DCB" w:rsidTr="009F3B54">
        <w:tblPrEx>
          <w:shd w:val="clear" w:color="auto" w:fill="auto"/>
        </w:tblPrEx>
        <w:trPr>
          <w:cantSplit/>
        </w:trPr>
        <w:tc>
          <w:tcPr>
            <w:tcW w:w="3150" w:type="dxa"/>
            <w:tcBorders>
              <w:top w:val="single" w:sz="6" w:space="0" w:color="auto"/>
            </w:tcBorders>
            <w:shd w:val="clear" w:color="auto" w:fill="auto"/>
          </w:tcPr>
          <w:p w:rsidR="00B958B1" w:rsidRPr="00F16DCB" w:rsidRDefault="00B958B1" w:rsidP="009F3B54">
            <w:pPr>
              <w:pStyle w:val="OGTabText"/>
            </w:pPr>
            <w:r w:rsidRPr="00F16DCB">
              <w:t>Maintain ISO</w:t>
            </w:r>
            <w:r>
              <w:t> </w:t>
            </w:r>
            <w:r w:rsidRPr="00F16DCB">
              <w:t xml:space="preserve">9001 (Quality Management Systems) certification </w:t>
            </w:r>
          </w:p>
        </w:tc>
        <w:tc>
          <w:tcPr>
            <w:tcW w:w="908" w:type="dxa"/>
            <w:gridSpan w:val="2"/>
            <w:tcBorders>
              <w:top w:val="single" w:sz="6" w:space="0" w:color="auto"/>
            </w:tcBorders>
            <w:shd w:val="clear" w:color="auto" w:fill="auto"/>
          </w:tcPr>
          <w:p w:rsidR="00B958B1" w:rsidRPr="00F16DCB" w:rsidRDefault="00B958B1" w:rsidP="009F3B54">
            <w:pPr>
              <w:pStyle w:val="OGUoM"/>
            </w:pPr>
            <w:r>
              <w:t>per cent</w:t>
            </w:r>
          </w:p>
        </w:tc>
        <w:tc>
          <w:tcPr>
            <w:tcW w:w="906" w:type="dxa"/>
            <w:tcBorders>
              <w:top w:val="single" w:sz="6" w:space="0" w:color="auto"/>
            </w:tcBorders>
            <w:shd w:val="clear" w:color="auto" w:fill="D9D9D9"/>
          </w:tcPr>
          <w:p w:rsidR="00B958B1" w:rsidRPr="00F16DCB" w:rsidRDefault="00B958B1" w:rsidP="009F3B54">
            <w:pPr>
              <w:pStyle w:val="OGTableofFigures"/>
            </w:pPr>
            <w:r w:rsidRPr="00F16DCB">
              <w:t>100</w:t>
            </w:r>
          </w:p>
        </w:tc>
        <w:tc>
          <w:tcPr>
            <w:tcW w:w="992" w:type="dxa"/>
            <w:tcBorders>
              <w:top w:val="single" w:sz="6" w:space="0" w:color="auto"/>
            </w:tcBorders>
            <w:shd w:val="clear" w:color="auto" w:fill="auto"/>
          </w:tcPr>
          <w:p w:rsidR="00B958B1" w:rsidRPr="00F16DCB" w:rsidRDefault="00B958B1" w:rsidP="009F3B54">
            <w:pPr>
              <w:pStyle w:val="OGTableofFigures"/>
            </w:pPr>
            <w:r>
              <w:t>nm</w:t>
            </w:r>
          </w:p>
        </w:tc>
        <w:tc>
          <w:tcPr>
            <w:tcW w:w="906" w:type="dxa"/>
            <w:gridSpan w:val="2"/>
            <w:tcBorders>
              <w:top w:val="single" w:sz="6" w:space="0" w:color="auto"/>
            </w:tcBorders>
            <w:shd w:val="clear" w:color="auto" w:fill="auto"/>
          </w:tcPr>
          <w:p w:rsidR="00B958B1" w:rsidRPr="00F16DCB" w:rsidRDefault="00B958B1" w:rsidP="009F3B54">
            <w:pPr>
              <w:pStyle w:val="OGTableofFigures"/>
            </w:pPr>
            <w:r>
              <w:t>nm</w:t>
            </w:r>
          </w:p>
        </w:tc>
        <w:tc>
          <w:tcPr>
            <w:tcW w:w="914" w:type="dxa"/>
            <w:tcBorders>
              <w:top w:val="single" w:sz="6" w:space="0" w:color="auto"/>
            </w:tcBorders>
            <w:shd w:val="clear" w:color="auto" w:fill="auto"/>
          </w:tcPr>
          <w:p w:rsidR="00B958B1" w:rsidRPr="00F16DCB" w:rsidRDefault="00B958B1" w:rsidP="009F3B54">
            <w:pPr>
              <w:pStyle w:val="OGTableofFigures"/>
            </w:pPr>
            <w:r>
              <w:t>nm</w:t>
            </w:r>
          </w:p>
          <w:p w:rsidR="00B958B1" w:rsidRPr="00F16DCB" w:rsidRDefault="00B958B1" w:rsidP="009F3B54">
            <w:pPr>
              <w:pStyle w:val="OGTableofFigures"/>
            </w:pPr>
          </w:p>
        </w:tc>
      </w:tr>
      <w:tr w:rsidR="00B958B1" w:rsidRPr="00F16DCB" w:rsidTr="009F3B54">
        <w:tblPrEx>
          <w:shd w:val="clear" w:color="auto" w:fill="auto"/>
        </w:tblPrEx>
        <w:trPr>
          <w:cantSplit/>
        </w:trPr>
        <w:tc>
          <w:tcPr>
            <w:tcW w:w="7776" w:type="dxa"/>
            <w:gridSpan w:val="8"/>
            <w:tcBorders>
              <w:bottom w:val="single" w:sz="6" w:space="0" w:color="auto"/>
            </w:tcBorders>
          </w:tcPr>
          <w:p w:rsidR="00B958B1" w:rsidRPr="00F16DCB" w:rsidRDefault="00B958B1" w:rsidP="009F3B54">
            <w:pPr>
              <w:pStyle w:val="OGTableofFigures"/>
              <w:ind w:left="397" w:right="64"/>
              <w:jc w:val="left"/>
              <w:rPr>
                <w:sz w:val="18"/>
              </w:rPr>
            </w:pPr>
            <w:r w:rsidRPr="00547387">
              <w:rPr>
                <w:rFonts w:cs="Calibri"/>
                <w:i/>
                <w:sz w:val="15"/>
                <w:szCs w:val="15"/>
              </w:rPr>
              <w:t>This performance measure is proposed to replace the 2012</w:t>
            </w:r>
            <w:r w:rsidR="009F0F49">
              <w:rPr>
                <w:rFonts w:cs="Calibri"/>
                <w:i/>
                <w:sz w:val="15"/>
                <w:szCs w:val="15"/>
              </w:rPr>
              <w:noBreakHyphen/>
            </w:r>
            <w:r w:rsidRPr="00547387">
              <w:rPr>
                <w:rFonts w:cs="Calibri"/>
                <w:i/>
                <w:sz w:val="15"/>
                <w:szCs w:val="15"/>
              </w:rPr>
              <w:t>13 performance measure ‘Service Provision Rating (Ministerial survey data).’ It has been replaced to reflect DTF’s commitment to utilise a standardised measure of quality.</w:t>
            </w:r>
          </w:p>
        </w:tc>
      </w:tr>
      <w:tr w:rsidR="00B958B1" w:rsidRPr="00F16DCB" w:rsidTr="009F3B54">
        <w:tblPrEx>
          <w:shd w:val="clear" w:color="auto" w:fill="auto"/>
        </w:tblPrEx>
        <w:trPr>
          <w:cantSplit/>
        </w:trPr>
        <w:tc>
          <w:tcPr>
            <w:tcW w:w="3150" w:type="dxa"/>
            <w:tcBorders>
              <w:top w:val="single" w:sz="6" w:space="0" w:color="auto"/>
              <w:bottom w:val="single" w:sz="6" w:space="0" w:color="auto"/>
            </w:tcBorders>
            <w:shd w:val="clear" w:color="auto" w:fill="auto"/>
          </w:tcPr>
          <w:p w:rsidR="00B958B1" w:rsidRPr="00F16DCB" w:rsidRDefault="00B958B1" w:rsidP="009F3B54">
            <w:pPr>
              <w:pStyle w:val="OGTabText"/>
              <w:rPr>
                <w:b/>
              </w:rPr>
            </w:pPr>
            <w:r w:rsidRPr="00F16DCB">
              <w:t>VPS stakeholder feedback indicates that delivery of guidelines, newsletters, information sessions and training has improved the VPS awareness and understanding of accounting policy, financial management and taxation compliance</w:t>
            </w:r>
          </w:p>
        </w:tc>
        <w:tc>
          <w:tcPr>
            <w:tcW w:w="908" w:type="dxa"/>
            <w:gridSpan w:val="2"/>
            <w:tcBorders>
              <w:top w:val="single" w:sz="6" w:space="0" w:color="auto"/>
              <w:bottom w:val="single" w:sz="6" w:space="0" w:color="auto"/>
            </w:tcBorders>
            <w:shd w:val="clear" w:color="auto" w:fill="auto"/>
          </w:tcPr>
          <w:p w:rsidR="00B958B1" w:rsidRPr="00F16DCB" w:rsidRDefault="00B958B1" w:rsidP="009F3B54">
            <w:pPr>
              <w:pStyle w:val="OGUoM"/>
            </w:pPr>
            <w:r>
              <w:t>per cent</w:t>
            </w:r>
          </w:p>
        </w:tc>
        <w:tc>
          <w:tcPr>
            <w:tcW w:w="906" w:type="dxa"/>
            <w:tcBorders>
              <w:top w:val="single" w:sz="6" w:space="0" w:color="auto"/>
              <w:bottom w:val="single" w:sz="6" w:space="0" w:color="auto"/>
            </w:tcBorders>
            <w:shd w:val="clear" w:color="auto" w:fill="D9D9D9"/>
          </w:tcPr>
          <w:p w:rsidR="00B958B1" w:rsidRPr="00F16DCB" w:rsidRDefault="00B958B1" w:rsidP="009F3B54">
            <w:pPr>
              <w:pStyle w:val="OGTableofFigures"/>
            </w:pPr>
            <w:r w:rsidRPr="00F16DCB">
              <w:t>80 </w:t>
            </w:r>
          </w:p>
        </w:tc>
        <w:tc>
          <w:tcPr>
            <w:tcW w:w="992" w:type="dxa"/>
            <w:tcBorders>
              <w:top w:val="single" w:sz="6" w:space="0" w:color="auto"/>
              <w:bottom w:val="single" w:sz="6" w:space="0" w:color="auto"/>
            </w:tcBorders>
            <w:shd w:val="clear" w:color="auto" w:fill="auto"/>
          </w:tcPr>
          <w:p w:rsidR="00B958B1" w:rsidRPr="00F16DCB" w:rsidRDefault="00B958B1" w:rsidP="009F3B54">
            <w:pPr>
              <w:pStyle w:val="OGTableofFigures"/>
            </w:pPr>
            <w:r w:rsidRPr="00F16DCB">
              <w:t>80</w:t>
            </w:r>
          </w:p>
        </w:tc>
        <w:tc>
          <w:tcPr>
            <w:tcW w:w="906" w:type="dxa"/>
            <w:gridSpan w:val="2"/>
            <w:tcBorders>
              <w:top w:val="single" w:sz="6" w:space="0" w:color="auto"/>
              <w:bottom w:val="single" w:sz="6" w:space="0" w:color="auto"/>
            </w:tcBorders>
            <w:shd w:val="clear" w:color="auto" w:fill="auto"/>
          </w:tcPr>
          <w:p w:rsidR="00B958B1" w:rsidRPr="00F16DCB" w:rsidRDefault="00B958B1" w:rsidP="009F3B54">
            <w:pPr>
              <w:pStyle w:val="OGTableofFigures"/>
            </w:pPr>
            <w:r w:rsidRPr="00F16DCB">
              <w:t>80</w:t>
            </w:r>
          </w:p>
        </w:tc>
        <w:tc>
          <w:tcPr>
            <w:tcW w:w="914" w:type="dxa"/>
            <w:tcBorders>
              <w:top w:val="single" w:sz="6" w:space="0" w:color="auto"/>
              <w:bottom w:val="single" w:sz="6" w:space="0" w:color="auto"/>
            </w:tcBorders>
            <w:shd w:val="clear" w:color="auto" w:fill="auto"/>
          </w:tcPr>
          <w:p w:rsidR="00B958B1" w:rsidRPr="00F16DCB" w:rsidRDefault="00B958B1" w:rsidP="009F3B54">
            <w:pPr>
              <w:pStyle w:val="OGTableofFigures"/>
            </w:pPr>
            <w:r>
              <w:t>nm</w:t>
            </w:r>
          </w:p>
        </w:tc>
      </w:tr>
      <w:tr w:rsidR="00B958B1" w:rsidRPr="00F16DCB" w:rsidTr="009F3B54">
        <w:tblPrEx>
          <w:shd w:val="clear" w:color="auto" w:fill="auto"/>
        </w:tblPrEx>
        <w:trPr>
          <w:cantSplit/>
        </w:trPr>
        <w:tc>
          <w:tcPr>
            <w:tcW w:w="3150" w:type="dxa"/>
            <w:tcBorders>
              <w:top w:val="single" w:sz="6" w:space="0" w:color="auto"/>
            </w:tcBorders>
            <w:shd w:val="clear" w:color="auto" w:fill="auto"/>
          </w:tcPr>
          <w:p w:rsidR="00B958B1" w:rsidRPr="00F16DCB" w:rsidRDefault="00B958B1" w:rsidP="009F3B54">
            <w:pPr>
              <w:pStyle w:val="OGTabHead"/>
              <w:keepNext w:val="0"/>
            </w:pPr>
            <w:r w:rsidRPr="00F16DCB">
              <w:t>Timeliness</w:t>
            </w:r>
          </w:p>
        </w:tc>
        <w:tc>
          <w:tcPr>
            <w:tcW w:w="908" w:type="dxa"/>
            <w:gridSpan w:val="2"/>
            <w:tcBorders>
              <w:top w:val="single" w:sz="6" w:space="0" w:color="auto"/>
            </w:tcBorders>
            <w:shd w:val="clear" w:color="auto" w:fill="auto"/>
          </w:tcPr>
          <w:p w:rsidR="00B958B1" w:rsidRPr="00F16DCB" w:rsidRDefault="00B958B1" w:rsidP="009F3B54">
            <w:pPr>
              <w:pStyle w:val="OGTabHead"/>
              <w:keepNext w:val="0"/>
            </w:pPr>
          </w:p>
        </w:tc>
        <w:tc>
          <w:tcPr>
            <w:tcW w:w="906" w:type="dxa"/>
            <w:tcBorders>
              <w:top w:val="single" w:sz="6" w:space="0" w:color="auto"/>
            </w:tcBorders>
            <w:shd w:val="clear" w:color="auto" w:fill="D9D9D9"/>
          </w:tcPr>
          <w:p w:rsidR="00B958B1" w:rsidRPr="00F16DCB" w:rsidRDefault="00B958B1" w:rsidP="009F3B54">
            <w:pPr>
              <w:pStyle w:val="OGTabHead"/>
              <w:keepNext w:val="0"/>
            </w:pPr>
          </w:p>
        </w:tc>
        <w:tc>
          <w:tcPr>
            <w:tcW w:w="992" w:type="dxa"/>
            <w:tcBorders>
              <w:top w:val="single" w:sz="6" w:space="0" w:color="auto"/>
            </w:tcBorders>
            <w:shd w:val="clear" w:color="auto" w:fill="auto"/>
          </w:tcPr>
          <w:p w:rsidR="00B958B1" w:rsidRPr="00F16DCB" w:rsidRDefault="00B958B1" w:rsidP="009F3B54">
            <w:pPr>
              <w:pStyle w:val="OGTabHead"/>
              <w:keepNext w:val="0"/>
            </w:pPr>
          </w:p>
        </w:tc>
        <w:tc>
          <w:tcPr>
            <w:tcW w:w="906" w:type="dxa"/>
            <w:gridSpan w:val="2"/>
            <w:tcBorders>
              <w:top w:val="single" w:sz="6" w:space="0" w:color="auto"/>
            </w:tcBorders>
            <w:shd w:val="clear" w:color="auto" w:fill="auto"/>
          </w:tcPr>
          <w:p w:rsidR="00B958B1" w:rsidRPr="00F16DCB" w:rsidRDefault="00B958B1" w:rsidP="009F3B54">
            <w:pPr>
              <w:pStyle w:val="OGTabHead"/>
              <w:keepNext w:val="0"/>
            </w:pPr>
          </w:p>
        </w:tc>
        <w:tc>
          <w:tcPr>
            <w:tcW w:w="914" w:type="dxa"/>
            <w:tcBorders>
              <w:top w:val="single" w:sz="6" w:space="0" w:color="auto"/>
            </w:tcBorders>
            <w:shd w:val="clear" w:color="auto" w:fill="auto"/>
          </w:tcPr>
          <w:p w:rsidR="00B958B1" w:rsidRPr="00F16DCB" w:rsidRDefault="00B958B1" w:rsidP="009F3B54">
            <w:pPr>
              <w:pStyle w:val="OGTabHead"/>
              <w:keepNext w:val="0"/>
            </w:pPr>
          </w:p>
        </w:tc>
      </w:tr>
      <w:tr w:rsidR="00B958B1" w:rsidRPr="00F16DCB" w:rsidTr="009F3B54">
        <w:tblPrEx>
          <w:shd w:val="clear" w:color="auto" w:fill="auto"/>
        </w:tblPrEx>
        <w:trPr>
          <w:cantSplit/>
        </w:trPr>
        <w:tc>
          <w:tcPr>
            <w:tcW w:w="3150" w:type="dxa"/>
            <w:tcBorders>
              <w:bottom w:val="single" w:sz="4" w:space="0" w:color="auto"/>
            </w:tcBorders>
            <w:shd w:val="clear" w:color="auto" w:fill="auto"/>
          </w:tcPr>
          <w:p w:rsidR="00B958B1" w:rsidRPr="00F16DCB" w:rsidRDefault="00B958B1" w:rsidP="009F3B54">
            <w:pPr>
              <w:pStyle w:val="OGTabText"/>
            </w:pPr>
            <w:r w:rsidRPr="00F16DCB">
              <w:t>Financial Management Compliance Framework assurance reviews conducted</w:t>
            </w:r>
          </w:p>
        </w:tc>
        <w:tc>
          <w:tcPr>
            <w:tcW w:w="908" w:type="dxa"/>
            <w:gridSpan w:val="2"/>
            <w:tcBorders>
              <w:bottom w:val="single" w:sz="4" w:space="0" w:color="auto"/>
            </w:tcBorders>
            <w:shd w:val="clear" w:color="auto" w:fill="auto"/>
          </w:tcPr>
          <w:p w:rsidR="00B958B1" w:rsidRPr="00F16DCB" w:rsidRDefault="00B958B1" w:rsidP="009F3B54">
            <w:pPr>
              <w:pStyle w:val="OGUoM"/>
            </w:pPr>
            <w:r w:rsidRPr="00F16DCB">
              <w:t>report dates</w:t>
            </w:r>
          </w:p>
        </w:tc>
        <w:tc>
          <w:tcPr>
            <w:tcW w:w="906" w:type="dxa"/>
            <w:tcBorders>
              <w:bottom w:val="single" w:sz="4" w:space="0" w:color="auto"/>
            </w:tcBorders>
            <w:shd w:val="clear" w:color="auto" w:fill="D9D9D9"/>
          </w:tcPr>
          <w:p w:rsidR="00B958B1" w:rsidRPr="00F16DCB" w:rsidRDefault="00B958B1" w:rsidP="009F3B54">
            <w:pPr>
              <w:pStyle w:val="OGTableofFigures"/>
            </w:pPr>
            <w:r w:rsidRPr="00F16DCB">
              <w:t>By end Feb 2014</w:t>
            </w:r>
          </w:p>
        </w:tc>
        <w:tc>
          <w:tcPr>
            <w:tcW w:w="992" w:type="dxa"/>
            <w:tcBorders>
              <w:bottom w:val="single" w:sz="4" w:space="0" w:color="auto"/>
            </w:tcBorders>
            <w:shd w:val="clear" w:color="auto" w:fill="auto"/>
          </w:tcPr>
          <w:p w:rsidR="00B958B1" w:rsidRPr="00F16DCB" w:rsidRDefault="00B958B1" w:rsidP="009F3B54">
            <w:pPr>
              <w:pStyle w:val="OGTableofFigures"/>
            </w:pPr>
            <w:r w:rsidRPr="00F16DCB">
              <w:t>By end Feb 2013</w:t>
            </w:r>
          </w:p>
        </w:tc>
        <w:tc>
          <w:tcPr>
            <w:tcW w:w="906" w:type="dxa"/>
            <w:gridSpan w:val="2"/>
            <w:tcBorders>
              <w:bottom w:val="single" w:sz="4" w:space="0" w:color="auto"/>
            </w:tcBorders>
            <w:shd w:val="clear" w:color="auto" w:fill="auto"/>
          </w:tcPr>
          <w:p w:rsidR="00B958B1" w:rsidRPr="00F16DCB" w:rsidRDefault="00B958B1" w:rsidP="009F3B54">
            <w:pPr>
              <w:pStyle w:val="OGTableofFigures"/>
            </w:pPr>
            <w:r w:rsidRPr="00F16DCB">
              <w:t>By end Feb 2013</w:t>
            </w:r>
          </w:p>
        </w:tc>
        <w:tc>
          <w:tcPr>
            <w:tcW w:w="914" w:type="dxa"/>
            <w:tcBorders>
              <w:bottom w:val="single" w:sz="4" w:space="0" w:color="auto"/>
            </w:tcBorders>
            <w:shd w:val="clear" w:color="auto" w:fill="auto"/>
          </w:tcPr>
          <w:p w:rsidR="00B958B1" w:rsidRPr="00F16DCB" w:rsidRDefault="00B958B1" w:rsidP="009F3B54">
            <w:pPr>
              <w:pStyle w:val="OGTableofFigures"/>
            </w:pPr>
            <w:r>
              <w:t>8 Sept 2011</w:t>
            </w:r>
            <w:r w:rsidRPr="00F16DCB">
              <w:t xml:space="preserve"> </w:t>
            </w:r>
            <w:r>
              <w:br/>
            </w:r>
            <w:r w:rsidRPr="00F16DCB">
              <w:t>4 Mar 2012</w:t>
            </w:r>
          </w:p>
        </w:tc>
      </w:tr>
      <w:tr w:rsidR="00B958B1" w:rsidRPr="00F16DCB" w:rsidTr="009F3B54">
        <w:tblPrEx>
          <w:shd w:val="clear" w:color="auto" w:fill="auto"/>
        </w:tblPrEx>
        <w:trPr>
          <w:cantSplit/>
        </w:trPr>
        <w:tc>
          <w:tcPr>
            <w:tcW w:w="3150" w:type="dxa"/>
            <w:tcBorders>
              <w:top w:val="single" w:sz="4" w:space="0" w:color="auto"/>
            </w:tcBorders>
            <w:shd w:val="clear" w:color="auto" w:fill="auto"/>
          </w:tcPr>
          <w:p w:rsidR="00B958B1" w:rsidRPr="00F16DCB" w:rsidRDefault="00B958B1" w:rsidP="009F3B54">
            <w:pPr>
              <w:pStyle w:val="OGTabText"/>
              <w:keepNext/>
            </w:pPr>
            <w:r w:rsidRPr="00F16DCB">
              <w:t>Timely coordination of the Government</w:t>
            </w:r>
            <w:r>
              <w:t>’</w:t>
            </w:r>
            <w:r w:rsidRPr="00F16DCB">
              <w:t>s response to Auditor</w:t>
            </w:r>
            <w:r w:rsidR="009F0F49">
              <w:noBreakHyphen/>
            </w:r>
            <w:r w:rsidRPr="00F16DCB">
              <w:t>General Reports</w:t>
            </w:r>
          </w:p>
        </w:tc>
        <w:tc>
          <w:tcPr>
            <w:tcW w:w="908" w:type="dxa"/>
            <w:gridSpan w:val="2"/>
            <w:tcBorders>
              <w:top w:val="single" w:sz="4" w:space="0" w:color="auto"/>
            </w:tcBorders>
            <w:shd w:val="clear" w:color="auto" w:fill="auto"/>
          </w:tcPr>
          <w:p w:rsidR="00B958B1" w:rsidRPr="00F16DCB" w:rsidRDefault="00B958B1" w:rsidP="009F3B54">
            <w:pPr>
              <w:pStyle w:val="OGUoM"/>
              <w:keepNext/>
            </w:pPr>
            <w:r w:rsidRPr="00F16DCB">
              <w:t>report dates</w:t>
            </w:r>
          </w:p>
        </w:tc>
        <w:tc>
          <w:tcPr>
            <w:tcW w:w="906" w:type="dxa"/>
            <w:tcBorders>
              <w:top w:val="single" w:sz="4" w:space="0" w:color="auto"/>
            </w:tcBorders>
            <w:shd w:val="clear" w:color="auto" w:fill="D9D9D9"/>
          </w:tcPr>
          <w:p w:rsidR="00B958B1" w:rsidRPr="00F16DCB" w:rsidRDefault="00B958B1" w:rsidP="009F3B54">
            <w:pPr>
              <w:pStyle w:val="OGTableofFigures"/>
              <w:keepNext/>
            </w:pPr>
            <w:r w:rsidRPr="00F16DCB">
              <w:t>By end June 2014</w:t>
            </w:r>
          </w:p>
        </w:tc>
        <w:tc>
          <w:tcPr>
            <w:tcW w:w="992" w:type="dxa"/>
            <w:tcBorders>
              <w:top w:val="single" w:sz="4" w:space="0" w:color="auto"/>
            </w:tcBorders>
            <w:shd w:val="clear" w:color="auto" w:fill="auto"/>
          </w:tcPr>
          <w:p w:rsidR="00B958B1" w:rsidRPr="00F16DCB" w:rsidRDefault="00B958B1" w:rsidP="009F3B54">
            <w:pPr>
              <w:pStyle w:val="OGTableofFigures"/>
              <w:keepNext/>
            </w:pPr>
            <w:r w:rsidRPr="00F16DCB">
              <w:t>By end July 2012 and by end June 2013</w:t>
            </w:r>
          </w:p>
        </w:tc>
        <w:tc>
          <w:tcPr>
            <w:tcW w:w="906" w:type="dxa"/>
            <w:gridSpan w:val="2"/>
            <w:tcBorders>
              <w:top w:val="single" w:sz="4" w:space="0" w:color="auto"/>
            </w:tcBorders>
            <w:shd w:val="clear" w:color="auto" w:fill="auto"/>
          </w:tcPr>
          <w:p w:rsidR="00B958B1" w:rsidRPr="00F16DCB" w:rsidRDefault="00B958B1" w:rsidP="009F3B54">
            <w:pPr>
              <w:pStyle w:val="OGTableofFigures"/>
              <w:keepNext/>
            </w:pPr>
            <w:r w:rsidRPr="00F16DCB">
              <w:t>By end Dec 2012 and end June 2013</w:t>
            </w:r>
          </w:p>
        </w:tc>
        <w:tc>
          <w:tcPr>
            <w:tcW w:w="914" w:type="dxa"/>
            <w:tcBorders>
              <w:top w:val="single" w:sz="4" w:space="0" w:color="auto"/>
            </w:tcBorders>
            <w:shd w:val="clear" w:color="auto" w:fill="auto"/>
          </w:tcPr>
          <w:p w:rsidR="00B958B1" w:rsidRPr="00F16DCB" w:rsidRDefault="00B958B1" w:rsidP="009F3B54">
            <w:pPr>
              <w:pStyle w:val="OGTableofFigures"/>
              <w:keepNext/>
            </w:pPr>
            <w:r>
              <w:t>nm</w:t>
            </w:r>
          </w:p>
        </w:tc>
      </w:tr>
      <w:tr w:rsidR="00B958B1" w:rsidRPr="00D41505" w:rsidTr="009F3B54">
        <w:tblPrEx>
          <w:shd w:val="clear" w:color="auto" w:fill="auto"/>
        </w:tblPrEx>
        <w:trPr>
          <w:cantSplit/>
        </w:trPr>
        <w:tc>
          <w:tcPr>
            <w:tcW w:w="7776" w:type="dxa"/>
            <w:gridSpan w:val="8"/>
            <w:tcBorders>
              <w:bottom w:val="single" w:sz="6" w:space="0" w:color="auto"/>
            </w:tcBorders>
          </w:tcPr>
          <w:p w:rsidR="00B958B1" w:rsidRPr="00D41505" w:rsidRDefault="00B958B1" w:rsidP="009F3B54">
            <w:pPr>
              <w:pStyle w:val="OGTableofFigures"/>
              <w:ind w:left="397" w:right="64"/>
              <w:jc w:val="left"/>
              <w:rPr>
                <w:rFonts w:cs="Calibri"/>
                <w:color w:val="000000"/>
                <w:sz w:val="16"/>
                <w:szCs w:val="16"/>
              </w:rPr>
            </w:pPr>
            <w:r w:rsidRPr="00547387">
              <w:rPr>
                <w:rFonts w:cs="Calibri"/>
                <w:i/>
                <w:sz w:val="15"/>
                <w:szCs w:val="15"/>
              </w:rPr>
              <w:t>This performance measure edits the 2012</w:t>
            </w:r>
            <w:r w:rsidR="009F0F49">
              <w:rPr>
                <w:rFonts w:cs="Calibri"/>
                <w:i/>
                <w:sz w:val="15"/>
                <w:szCs w:val="15"/>
              </w:rPr>
              <w:noBreakHyphen/>
            </w:r>
            <w:r w:rsidRPr="00547387">
              <w:rPr>
                <w:rFonts w:cs="Calibri"/>
                <w:i/>
                <w:sz w:val="15"/>
                <w:szCs w:val="15"/>
              </w:rPr>
              <w:t>13 performance measure ‘Timely coordination of Victoria’s input to GST regulations associated with Division 81 and the Government’s response to Auditor</w:t>
            </w:r>
            <w:r w:rsidR="009F0F49">
              <w:rPr>
                <w:rFonts w:cs="Calibri"/>
                <w:i/>
                <w:sz w:val="15"/>
                <w:szCs w:val="15"/>
              </w:rPr>
              <w:noBreakHyphen/>
            </w:r>
            <w:r w:rsidRPr="00547387">
              <w:rPr>
                <w:rFonts w:cs="Calibri"/>
                <w:i/>
                <w:sz w:val="15"/>
                <w:szCs w:val="15"/>
              </w:rPr>
              <w:t>General’s reports.’ It has been edited to more accurately reflect Division 81 reforms being largely complete.</w:t>
            </w:r>
          </w:p>
        </w:tc>
      </w:tr>
      <w:tr w:rsidR="00B958B1" w:rsidRPr="00F16DCB" w:rsidTr="009F3B54">
        <w:tblPrEx>
          <w:shd w:val="clear" w:color="auto" w:fill="auto"/>
        </w:tblPrEx>
        <w:trPr>
          <w:cantSplit/>
        </w:trPr>
        <w:tc>
          <w:tcPr>
            <w:tcW w:w="3150" w:type="dxa"/>
            <w:tcBorders>
              <w:top w:val="single" w:sz="6" w:space="0" w:color="auto"/>
            </w:tcBorders>
            <w:shd w:val="clear" w:color="auto" w:fill="auto"/>
          </w:tcPr>
          <w:p w:rsidR="00B958B1" w:rsidRPr="00F16DCB" w:rsidRDefault="00B958B1" w:rsidP="009F3B54">
            <w:pPr>
              <w:pStyle w:val="OGTabHead"/>
              <w:keepNext w:val="0"/>
            </w:pPr>
            <w:r>
              <w:t>Cost</w:t>
            </w:r>
          </w:p>
        </w:tc>
        <w:tc>
          <w:tcPr>
            <w:tcW w:w="908" w:type="dxa"/>
            <w:gridSpan w:val="2"/>
            <w:tcBorders>
              <w:top w:val="single" w:sz="6" w:space="0" w:color="auto"/>
            </w:tcBorders>
            <w:shd w:val="clear" w:color="auto" w:fill="auto"/>
          </w:tcPr>
          <w:p w:rsidR="00B958B1" w:rsidRPr="00F16DCB" w:rsidRDefault="00B958B1" w:rsidP="009F3B54">
            <w:pPr>
              <w:pStyle w:val="OGTabHead"/>
              <w:keepNext w:val="0"/>
            </w:pPr>
          </w:p>
        </w:tc>
        <w:tc>
          <w:tcPr>
            <w:tcW w:w="906" w:type="dxa"/>
            <w:tcBorders>
              <w:top w:val="single" w:sz="6" w:space="0" w:color="auto"/>
            </w:tcBorders>
            <w:shd w:val="clear" w:color="auto" w:fill="D9D9D9"/>
          </w:tcPr>
          <w:p w:rsidR="00B958B1" w:rsidRPr="00F16DCB" w:rsidRDefault="00B958B1" w:rsidP="009F3B54">
            <w:pPr>
              <w:pStyle w:val="OGTabHead"/>
              <w:keepNext w:val="0"/>
            </w:pPr>
          </w:p>
        </w:tc>
        <w:tc>
          <w:tcPr>
            <w:tcW w:w="992" w:type="dxa"/>
            <w:tcBorders>
              <w:top w:val="single" w:sz="6" w:space="0" w:color="auto"/>
            </w:tcBorders>
            <w:shd w:val="clear" w:color="auto" w:fill="auto"/>
          </w:tcPr>
          <w:p w:rsidR="00B958B1" w:rsidRPr="00F16DCB" w:rsidRDefault="00B958B1" w:rsidP="009F3B54">
            <w:pPr>
              <w:pStyle w:val="OGTabHead"/>
              <w:keepNext w:val="0"/>
            </w:pPr>
          </w:p>
        </w:tc>
        <w:tc>
          <w:tcPr>
            <w:tcW w:w="906" w:type="dxa"/>
            <w:gridSpan w:val="2"/>
            <w:tcBorders>
              <w:top w:val="single" w:sz="6" w:space="0" w:color="auto"/>
            </w:tcBorders>
            <w:shd w:val="clear" w:color="auto" w:fill="auto"/>
          </w:tcPr>
          <w:p w:rsidR="00B958B1" w:rsidRPr="00F16DCB" w:rsidRDefault="00B958B1" w:rsidP="009F3B54">
            <w:pPr>
              <w:pStyle w:val="OGTabHead"/>
              <w:keepNext w:val="0"/>
            </w:pPr>
          </w:p>
        </w:tc>
        <w:tc>
          <w:tcPr>
            <w:tcW w:w="914" w:type="dxa"/>
            <w:tcBorders>
              <w:top w:val="single" w:sz="6" w:space="0" w:color="auto"/>
            </w:tcBorders>
            <w:shd w:val="clear" w:color="auto" w:fill="auto"/>
          </w:tcPr>
          <w:p w:rsidR="00B958B1" w:rsidRPr="00F16DCB" w:rsidRDefault="00B958B1" w:rsidP="009F3B54">
            <w:pPr>
              <w:pStyle w:val="OGTabHead"/>
              <w:keepNext w:val="0"/>
            </w:pPr>
          </w:p>
        </w:tc>
      </w:tr>
      <w:tr w:rsidR="00B958B1" w:rsidRPr="00F16DCB" w:rsidTr="009F3B54">
        <w:tblPrEx>
          <w:shd w:val="clear" w:color="auto" w:fill="auto"/>
        </w:tblPrEx>
        <w:trPr>
          <w:cantSplit/>
        </w:trPr>
        <w:tc>
          <w:tcPr>
            <w:tcW w:w="3150" w:type="dxa"/>
            <w:shd w:val="clear" w:color="auto" w:fill="auto"/>
          </w:tcPr>
          <w:p w:rsidR="00B958B1" w:rsidRPr="00F16DCB" w:rsidRDefault="00B958B1" w:rsidP="009F3B54">
            <w:pPr>
              <w:pStyle w:val="OGTabText"/>
            </w:pPr>
            <w:r>
              <w:t>Total output cost</w:t>
            </w:r>
          </w:p>
        </w:tc>
        <w:tc>
          <w:tcPr>
            <w:tcW w:w="908" w:type="dxa"/>
            <w:gridSpan w:val="2"/>
            <w:shd w:val="clear" w:color="auto" w:fill="auto"/>
          </w:tcPr>
          <w:p w:rsidR="00B958B1" w:rsidRPr="00F16DCB" w:rsidRDefault="00B958B1" w:rsidP="009F3B54">
            <w:pPr>
              <w:pStyle w:val="OGUoM"/>
            </w:pPr>
            <w:r>
              <w:t>$ million</w:t>
            </w:r>
          </w:p>
        </w:tc>
        <w:tc>
          <w:tcPr>
            <w:tcW w:w="906" w:type="dxa"/>
            <w:shd w:val="clear" w:color="auto" w:fill="D9D9D9"/>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3.9</w:t>
            </w:r>
          </w:p>
        </w:tc>
        <w:tc>
          <w:tcPr>
            <w:tcW w:w="992" w:type="dxa"/>
            <w:shd w:val="clear" w:color="auto" w:fill="auto"/>
          </w:tcPr>
          <w:p w:rsidR="00B958B1" w:rsidRDefault="00B958B1" w:rsidP="009F3B54">
            <w:pPr>
              <w:pStyle w:val="TableText0"/>
              <w:spacing w:before="60" w:after="60"/>
              <w:jc w:val="right"/>
              <w:rPr>
                <w:rFonts w:cs="Calibri"/>
                <w:color w:val="auto"/>
                <w:sz w:val="20"/>
                <w:szCs w:val="22"/>
              </w:rPr>
            </w:pPr>
            <w:r>
              <w:rPr>
                <w:rFonts w:cs="Calibri"/>
                <w:color w:val="auto"/>
                <w:sz w:val="20"/>
                <w:szCs w:val="22"/>
              </w:rPr>
              <w:t>3.9</w:t>
            </w:r>
          </w:p>
        </w:tc>
        <w:tc>
          <w:tcPr>
            <w:tcW w:w="906" w:type="dxa"/>
            <w:gridSpan w:val="2"/>
            <w:shd w:val="clear" w:color="auto" w:fill="auto"/>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4.9</w:t>
            </w:r>
          </w:p>
        </w:tc>
        <w:tc>
          <w:tcPr>
            <w:tcW w:w="914" w:type="dxa"/>
            <w:shd w:val="clear" w:color="auto" w:fill="auto"/>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4.3</w:t>
            </w:r>
          </w:p>
        </w:tc>
      </w:tr>
      <w:tr w:rsidR="00B958B1" w:rsidRPr="00F16DCB" w:rsidTr="009F3B54">
        <w:tblPrEx>
          <w:shd w:val="clear" w:color="auto" w:fill="auto"/>
        </w:tblPrEx>
        <w:trPr>
          <w:cantSplit/>
        </w:trPr>
        <w:tc>
          <w:tcPr>
            <w:tcW w:w="7776" w:type="dxa"/>
            <w:gridSpan w:val="8"/>
            <w:shd w:val="clear" w:color="auto" w:fill="auto"/>
          </w:tcPr>
          <w:p w:rsidR="00B958B1" w:rsidRPr="00547387" w:rsidRDefault="00B958B1" w:rsidP="009F3B54">
            <w:pPr>
              <w:pStyle w:val="OGTableofFigures"/>
              <w:ind w:left="397" w:right="64"/>
              <w:jc w:val="left"/>
              <w:rPr>
                <w:rFonts w:cs="Calibri"/>
                <w:i/>
                <w:sz w:val="15"/>
                <w:szCs w:val="15"/>
              </w:rPr>
            </w:pPr>
            <w:r w:rsidRPr="00547387">
              <w:rPr>
                <w:rFonts w:cs="Calibri"/>
                <w:i/>
                <w:sz w:val="15"/>
                <w:szCs w:val="15"/>
              </w:rPr>
              <w:t>The 2013</w:t>
            </w:r>
            <w:r w:rsidR="009F0F49">
              <w:rPr>
                <w:rFonts w:cs="Calibri"/>
                <w:i/>
                <w:sz w:val="15"/>
                <w:szCs w:val="15"/>
              </w:rPr>
              <w:noBreakHyphen/>
            </w:r>
            <w:r w:rsidRPr="00547387">
              <w:rPr>
                <w:rFonts w:cs="Calibri"/>
                <w:i/>
                <w:sz w:val="15"/>
                <w:szCs w:val="15"/>
              </w:rPr>
              <w:t>14 Expected Outcome  is lower than the 2012</w:t>
            </w:r>
            <w:r w:rsidR="009F0F49">
              <w:rPr>
                <w:rFonts w:cs="Calibri"/>
                <w:i/>
                <w:sz w:val="15"/>
                <w:szCs w:val="15"/>
              </w:rPr>
              <w:noBreakHyphen/>
            </w:r>
            <w:r w:rsidRPr="00547387">
              <w:rPr>
                <w:rFonts w:cs="Calibri"/>
                <w:i/>
                <w:sz w:val="15"/>
                <w:szCs w:val="15"/>
              </w:rPr>
              <w:t>13 Target due to the reprioritisation of resources towards the Financial Reporting output following a departmental restructure.</w:t>
            </w:r>
          </w:p>
        </w:tc>
      </w:tr>
      <w:tr w:rsidR="00B958B1" w:rsidRPr="00F16DCB" w:rsidTr="009F3B54">
        <w:tblPrEx>
          <w:shd w:val="clear" w:color="auto" w:fill="auto"/>
        </w:tblPrEx>
        <w:trPr>
          <w:cantSplit/>
        </w:trPr>
        <w:tc>
          <w:tcPr>
            <w:tcW w:w="7776" w:type="dxa"/>
            <w:gridSpan w:val="8"/>
            <w:tcBorders>
              <w:bottom w:val="single" w:sz="4" w:space="0" w:color="auto"/>
            </w:tcBorders>
            <w:shd w:val="clear" w:color="auto" w:fill="auto"/>
          </w:tcPr>
          <w:p w:rsidR="00B958B1" w:rsidRPr="00547387" w:rsidRDefault="00B958B1" w:rsidP="009F3B54">
            <w:pPr>
              <w:pStyle w:val="OGTableofFigures"/>
              <w:ind w:left="397" w:right="64"/>
              <w:jc w:val="left"/>
              <w:rPr>
                <w:rFonts w:cs="Calibri"/>
                <w:i/>
                <w:sz w:val="15"/>
                <w:szCs w:val="15"/>
              </w:rPr>
            </w:pPr>
            <w:r w:rsidRPr="00547387">
              <w:rPr>
                <w:rFonts w:cs="Calibri"/>
                <w:i/>
                <w:sz w:val="15"/>
                <w:szCs w:val="15"/>
              </w:rPr>
              <w:t>The lower 2013</w:t>
            </w:r>
            <w:r w:rsidR="009F0F49">
              <w:rPr>
                <w:rFonts w:cs="Calibri"/>
                <w:i/>
                <w:sz w:val="15"/>
                <w:szCs w:val="15"/>
              </w:rPr>
              <w:noBreakHyphen/>
            </w:r>
            <w:r w:rsidRPr="00547387">
              <w:rPr>
                <w:rFonts w:cs="Calibri"/>
                <w:i/>
                <w:sz w:val="15"/>
                <w:szCs w:val="15"/>
              </w:rPr>
              <w:t>14 Target is due to efficiencies associated with internal reprioritisation.</w:t>
            </w:r>
          </w:p>
        </w:tc>
      </w:tr>
      <w:tr w:rsidR="00B958B1" w:rsidRPr="00F16DCB" w:rsidTr="009F3B54">
        <w:tblPrEx>
          <w:shd w:val="clear" w:color="auto" w:fill="auto"/>
        </w:tblPrEx>
        <w:trPr>
          <w:cantSplit/>
        </w:trPr>
        <w:tc>
          <w:tcPr>
            <w:tcW w:w="7776" w:type="dxa"/>
            <w:gridSpan w:val="8"/>
            <w:tcBorders>
              <w:top w:val="single" w:sz="4" w:space="0" w:color="auto"/>
            </w:tcBorders>
            <w:shd w:val="clear" w:color="auto" w:fill="auto"/>
          </w:tcPr>
          <w:p w:rsidR="00B958B1" w:rsidRPr="00F16DCB" w:rsidRDefault="00B958B1" w:rsidP="009F3B54">
            <w:pPr>
              <w:pStyle w:val="OGHeading2"/>
              <w:keepNext w:val="0"/>
            </w:pPr>
            <w:r w:rsidRPr="00F16DCB">
              <w:t>Budget and Financial Policy Advice</w:t>
            </w:r>
          </w:p>
        </w:tc>
      </w:tr>
      <w:tr w:rsidR="00B958B1" w:rsidRPr="00F16DCB" w:rsidTr="009F3B54">
        <w:tblPrEx>
          <w:shd w:val="clear" w:color="auto" w:fill="auto"/>
        </w:tblPrEx>
        <w:trPr>
          <w:cantSplit/>
        </w:trPr>
        <w:tc>
          <w:tcPr>
            <w:tcW w:w="7776" w:type="dxa"/>
            <w:gridSpan w:val="8"/>
            <w:tcBorders>
              <w:bottom w:val="single" w:sz="6" w:space="0" w:color="auto"/>
            </w:tcBorders>
            <w:shd w:val="clear" w:color="auto" w:fill="auto"/>
          </w:tcPr>
          <w:p w:rsidR="00B958B1" w:rsidRDefault="00B958B1" w:rsidP="009F3B54">
            <w:pPr>
              <w:pStyle w:val="OGText"/>
              <w:keepNext w:val="0"/>
            </w:pPr>
            <w:r>
              <w:rPr>
                <w:lang w:eastAsia="en-AU"/>
              </w:rPr>
              <w:t>This output contributes to the Department’s objective of providing sound financial management of Victoria’s fiscal resources through the provision of strategic, timely and comprehensive analysis and advice to Ministers, Cabinet and Cabinet Sub</w:t>
            </w:r>
            <w:r w:rsidR="009F0F49">
              <w:rPr>
                <w:lang w:eastAsia="en-AU"/>
              </w:rPr>
              <w:noBreakHyphen/>
            </w:r>
            <w:r>
              <w:rPr>
                <w:lang w:eastAsia="en-AU"/>
              </w:rPr>
              <w:t>Committees on</w:t>
            </w:r>
            <w:r>
              <w:t>:</w:t>
            </w:r>
          </w:p>
          <w:p w:rsidR="00B958B1" w:rsidRDefault="00B958B1" w:rsidP="009F3B54">
            <w:pPr>
              <w:pStyle w:val="OGBullet"/>
              <w:rPr>
                <w:lang w:eastAsia="en-AU"/>
              </w:rPr>
            </w:pPr>
            <w:r w:rsidRPr="007E1BD0">
              <w:t>resource</w:t>
            </w:r>
            <w:r>
              <w:rPr>
                <w:lang w:eastAsia="en-AU"/>
              </w:rPr>
              <w:t xml:space="preserve"> allocation; and</w:t>
            </w:r>
          </w:p>
          <w:p w:rsidR="00B958B1" w:rsidRDefault="00B958B1" w:rsidP="009F3B54">
            <w:pPr>
              <w:pStyle w:val="OGBullet"/>
              <w:rPr>
                <w:lang w:eastAsia="en-AU"/>
              </w:rPr>
            </w:pPr>
            <w:r>
              <w:rPr>
                <w:lang w:eastAsia="en-AU"/>
              </w:rPr>
              <w:t>departmental financial, output and asset delivery performance to support government in making decisions on the allocation of the State’s fiscal resources.</w:t>
            </w:r>
          </w:p>
          <w:p w:rsidR="00B958B1" w:rsidRDefault="00B958B1" w:rsidP="009F3B54">
            <w:pPr>
              <w:pStyle w:val="OGText"/>
              <w:keepNext w:val="0"/>
              <w:rPr>
                <w:lang w:eastAsia="en-AU"/>
              </w:rPr>
            </w:pPr>
            <w:r>
              <w:rPr>
                <w:lang w:eastAsia="en-AU"/>
              </w:rPr>
              <w:t xml:space="preserve">This output assists government to deliver responsible budgets and operating surpluses which contribute to sound financial management. </w:t>
            </w:r>
          </w:p>
          <w:p w:rsidR="00B958B1" w:rsidRDefault="00B958B1" w:rsidP="009F3B54">
            <w:pPr>
              <w:pStyle w:val="OGText"/>
              <w:keepNext w:val="0"/>
              <w:rPr>
                <w:lang w:eastAsia="en-AU"/>
              </w:rPr>
            </w:pPr>
            <w:r>
              <w:rPr>
                <w:lang w:eastAsia="en-AU"/>
              </w:rPr>
              <w:t>The output also:</w:t>
            </w:r>
          </w:p>
          <w:p w:rsidR="00B958B1" w:rsidRDefault="00B958B1" w:rsidP="009F3B54">
            <w:pPr>
              <w:pStyle w:val="OGBullet"/>
              <w:rPr>
                <w:lang w:eastAsia="en-AU"/>
              </w:rPr>
            </w:pPr>
            <w:r>
              <w:rPr>
                <w:lang w:eastAsia="en-AU"/>
              </w:rPr>
              <w:t>provides public and private sector industrial relations advice and strategic workforce management counsel to Ministers and departmental and agency reviews;</w:t>
            </w:r>
          </w:p>
          <w:p w:rsidR="00B958B1" w:rsidRDefault="00B958B1" w:rsidP="009F3B54">
            <w:pPr>
              <w:pStyle w:val="OGBullet"/>
              <w:rPr>
                <w:lang w:eastAsia="en-AU"/>
              </w:rPr>
            </w:pPr>
            <w:r>
              <w:rPr>
                <w:lang w:eastAsia="en-AU"/>
              </w:rPr>
              <w:t>is responsible for the administration of the Community Support Fund; and</w:t>
            </w:r>
          </w:p>
          <w:p w:rsidR="00B958B1" w:rsidRPr="00F16DCB" w:rsidRDefault="00B958B1" w:rsidP="009F3B54">
            <w:pPr>
              <w:pStyle w:val="OGBullet"/>
            </w:pPr>
            <w:r>
              <w:rPr>
                <w:lang w:eastAsia="en-AU"/>
              </w:rPr>
              <w:t>provides management of output evaluations and Base Reviews.</w:t>
            </w:r>
          </w:p>
        </w:tc>
      </w:tr>
      <w:tr w:rsidR="00B958B1" w:rsidRPr="00F16DCB" w:rsidTr="009F3B54">
        <w:tblPrEx>
          <w:shd w:val="clear" w:color="auto" w:fill="auto"/>
        </w:tblPrEx>
        <w:trPr>
          <w:cantSplit/>
        </w:trPr>
        <w:tc>
          <w:tcPr>
            <w:tcW w:w="3150" w:type="dxa"/>
            <w:tcBorders>
              <w:top w:val="single" w:sz="6" w:space="0" w:color="auto"/>
            </w:tcBorders>
            <w:shd w:val="clear" w:color="auto" w:fill="auto"/>
          </w:tcPr>
          <w:p w:rsidR="00B958B1" w:rsidRPr="00F16DCB" w:rsidRDefault="00B958B1" w:rsidP="009F3B54">
            <w:pPr>
              <w:pStyle w:val="OGTabHead"/>
              <w:keepNext w:val="0"/>
            </w:pPr>
            <w:r w:rsidRPr="00F16DCB">
              <w:t>Quantity</w:t>
            </w:r>
          </w:p>
        </w:tc>
        <w:tc>
          <w:tcPr>
            <w:tcW w:w="908" w:type="dxa"/>
            <w:gridSpan w:val="2"/>
            <w:tcBorders>
              <w:top w:val="single" w:sz="6" w:space="0" w:color="auto"/>
            </w:tcBorders>
            <w:shd w:val="clear" w:color="auto" w:fill="auto"/>
          </w:tcPr>
          <w:p w:rsidR="00B958B1" w:rsidRPr="00F16DCB" w:rsidRDefault="00B958B1" w:rsidP="009F3B54">
            <w:pPr>
              <w:pStyle w:val="OGTabHead"/>
              <w:keepNext w:val="0"/>
            </w:pPr>
            <w:r w:rsidRPr="00F16DCB">
              <w:t> </w:t>
            </w:r>
          </w:p>
        </w:tc>
        <w:tc>
          <w:tcPr>
            <w:tcW w:w="906" w:type="dxa"/>
            <w:tcBorders>
              <w:top w:val="single" w:sz="6" w:space="0" w:color="auto"/>
            </w:tcBorders>
            <w:shd w:val="clear" w:color="auto" w:fill="D9D9D9"/>
          </w:tcPr>
          <w:p w:rsidR="00B958B1" w:rsidRPr="00F16DCB" w:rsidRDefault="00B958B1" w:rsidP="009F3B54">
            <w:pPr>
              <w:pStyle w:val="OGTabHead"/>
              <w:keepNext w:val="0"/>
            </w:pPr>
            <w:r w:rsidRPr="00F16DCB">
              <w:t> </w:t>
            </w:r>
          </w:p>
        </w:tc>
        <w:tc>
          <w:tcPr>
            <w:tcW w:w="992" w:type="dxa"/>
            <w:tcBorders>
              <w:top w:val="single" w:sz="6" w:space="0" w:color="auto"/>
            </w:tcBorders>
            <w:shd w:val="clear" w:color="auto" w:fill="auto"/>
          </w:tcPr>
          <w:p w:rsidR="00B958B1" w:rsidRPr="00F16DCB" w:rsidRDefault="00B958B1" w:rsidP="009F3B54">
            <w:pPr>
              <w:pStyle w:val="OGTabHead"/>
              <w:keepNext w:val="0"/>
            </w:pPr>
          </w:p>
        </w:tc>
        <w:tc>
          <w:tcPr>
            <w:tcW w:w="906" w:type="dxa"/>
            <w:gridSpan w:val="2"/>
            <w:tcBorders>
              <w:top w:val="single" w:sz="6" w:space="0" w:color="auto"/>
            </w:tcBorders>
            <w:shd w:val="clear" w:color="auto" w:fill="auto"/>
          </w:tcPr>
          <w:p w:rsidR="00B958B1" w:rsidRPr="00F16DCB" w:rsidRDefault="00B958B1" w:rsidP="009F3B54">
            <w:pPr>
              <w:pStyle w:val="OGTabHead"/>
              <w:keepNext w:val="0"/>
            </w:pPr>
          </w:p>
        </w:tc>
        <w:tc>
          <w:tcPr>
            <w:tcW w:w="914" w:type="dxa"/>
            <w:tcBorders>
              <w:top w:val="single" w:sz="6" w:space="0" w:color="auto"/>
            </w:tcBorders>
            <w:shd w:val="clear" w:color="auto" w:fill="auto"/>
          </w:tcPr>
          <w:p w:rsidR="00B958B1" w:rsidRPr="00F16DCB" w:rsidRDefault="00B958B1" w:rsidP="009F3B54">
            <w:pPr>
              <w:pStyle w:val="OGTabHead"/>
              <w:keepNext w:val="0"/>
            </w:pPr>
          </w:p>
        </w:tc>
      </w:tr>
      <w:tr w:rsidR="00B958B1" w:rsidRPr="00F16DCB" w:rsidTr="009F3B54">
        <w:tblPrEx>
          <w:shd w:val="clear" w:color="auto" w:fill="auto"/>
        </w:tblPrEx>
        <w:trPr>
          <w:cantSplit/>
        </w:trPr>
        <w:tc>
          <w:tcPr>
            <w:tcW w:w="3150" w:type="dxa"/>
            <w:tcBorders>
              <w:bottom w:val="single" w:sz="6" w:space="0" w:color="auto"/>
            </w:tcBorders>
            <w:shd w:val="clear" w:color="auto" w:fill="auto"/>
          </w:tcPr>
          <w:p w:rsidR="00B958B1" w:rsidRPr="00F16DCB" w:rsidRDefault="00B958B1" w:rsidP="009F3B54">
            <w:pPr>
              <w:pStyle w:val="OGTabText"/>
            </w:pPr>
            <w:r w:rsidRPr="00F16DCB">
              <w:t>Budget and financial policy advice through Ministerial briefs, Budget and Expenditure Review Committee and Cabinet and Sub Committee briefs</w:t>
            </w:r>
          </w:p>
        </w:tc>
        <w:tc>
          <w:tcPr>
            <w:tcW w:w="908" w:type="dxa"/>
            <w:gridSpan w:val="2"/>
            <w:tcBorders>
              <w:bottom w:val="single" w:sz="6" w:space="0" w:color="auto"/>
            </w:tcBorders>
            <w:shd w:val="clear" w:color="auto" w:fill="auto"/>
          </w:tcPr>
          <w:p w:rsidR="00B958B1" w:rsidRPr="00F16DCB" w:rsidRDefault="00B958B1" w:rsidP="009F3B54">
            <w:pPr>
              <w:pStyle w:val="OGUoM"/>
            </w:pPr>
            <w:r w:rsidRPr="00F16DCB">
              <w:t>number</w:t>
            </w:r>
          </w:p>
        </w:tc>
        <w:tc>
          <w:tcPr>
            <w:tcW w:w="906" w:type="dxa"/>
            <w:tcBorders>
              <w:bottom w:val="single" w:sz="6" w:space="0" w:color="auto"/>
            </w:tcBorders>
            <w:shd w:val="clear" w:color="auto" w:fill="D9D9D9"/>
          </w:tcPr>
          <w:p w:rsidR="00B958B1" w:rsidRPr="00F16DCB" w:rsidRDefault="00B958B1" w:rsidP="009F3B54">
            <w:pPr>
              <w:pStyle w:val="OGTableofFigures"/>
            </w:pPr>
            <w:r w:rsidRPr="00F16DCB">
              <w:t>1</w:t>
            </w:r>
            <w:r>
              <w:t> </w:t>
            </w:r>
            <w:r w:rsidRPr="00F16DCB">
              <w:t>250</w:t>
            </w:r>
          </w:p>
        </w:tc>
        <w:tc>
          <w:tcPr>
            <w:tcW w:w="992" w:type="dxa"/>
            <w:tcBorders>
              <w:bottom w:val="single" w:sz="6" w:space="0" w:color="auto"/>
            </w:tcBorders>
            <w:shd w:val="clear" w:color="auto" w:fill="auto"/>
          </w:tcPr>
          <w:p w:rsidR="00B958B1" w:rsidRPr="00F16DCB" w:rsidRDefault="00B958B1" w:rsidP="009F3B54">
            <w:pPr>
              <w:pStyle w:val="OGTableofFigures"/>
            </w:pPr>
            <w:r w:rsidRPr="00F16DCB">
              <w:t>1</w:t>
            </w:r>
            <w:r>
              <w:t> </w:t>
            </w:r>
            <w:r w:rsidRPr="00F16DCB">
              <w:t>215</w:t>
            </w:r>
          </w:p>
        </w:tc>
        <w:tc>
          <w:tcPr>
            <w:tcW w:w="906" w:type="dxa"/>
            <w:gridSpan w:val="2"/>
            <w:tcBorders>
              <w:bottom w:val="single" w:sz="6" w:space="0" w:color="auto"/>
            </w:tcBorders>
            <w:shd w:val="clear" w:color="auto" w:fill="auto"/>
          </w:tcPr>
          <w:p w:rsidR="00B958B1" w:rsidRPr="00F16DCB" w:rsidRDefault="00B958B1" w:rsidP="009F3B54">
            <w:pPr>
              <w:pStyle w:val="OGTableofFigures"/>
            </w:pPr>
            <w:r w:rsidRPr="00F16DCB">
              <w:t>1</w:t>
            </w:r>
            <w:r>
              <w:t> </w:t>
            </w:r>
            <w:r w:rsidRPr="00F16DCB">
              <w:t>250</w:t>
            </w:r>
          </w:p>
          <w:p w:rsidR="00B958B1" w:rsidRPr="00F16DCB" w:rsidRDefault="00B958B1" w:rsidP="009F3B54">
            <w:pPr>
              <w:pStyle w:val="OGTableofFigures"/>
            </w:pPr>
          </w:p>
          <w:p w:rsidR="00B958B1" w:rsidRPr="00F16DCB" w:rsidRDefault="00B958B1" w:rsidP="009F3B54">
            <w:pPr>
              <w:pStyle w:val="OGTableofFigures"/>
            </w:pPr>
          </w:p>
        </w:tc>
        <w:tc>
          <w:tcPr>
            <w:tcW w:w="914" w:type="dxa"/>
            <w:tcBorders>
              <w:bottom w:val="single" w:sz="6" w:space="0" w:color="auto"/>
            </w:tcBorders>
            <w:shd w:val="clear" w:color="auto" w:fill="auto"/>
          </w:tcPr>
          <w:p w:rsidR="00B958B1" w:rsidRPr="00F16DCB" w:rsidRDefault="00B958B1" w:rsidP="009F3B54">
            <w:pPr>
              <w:pStyle w:val="OGTableofFigures"/>
            </w:pPr>
            <w:r w:rsidRPr="00F16DCB">
              <w:t>1</w:t>
            </w:r>
            <w:r>
              <w:t> </w:t>
            </w:r>
            <w:r w:rsidRPr="00F16DCB">
              <w:t>117</w:t>
            </w:r>
          </w:p>
          <w:p w:rsidR="00B958B1" w:rsidRPr="00F16DCB" w:rsidRDefault="00B958B1" w:rsidP="009F3B54">
            <w:pPr>
              <w:pStyle w:val="OGTableofFigures"/>
            </w:pPr>
          </w:p>
          <w:p w:rsidR="00B958B1" w:rsidRPr="00F16DCB" w:rsidRDefault="00B958B1" w:rsidP="009F3B54">
            <w:pPr>
              <w:pStyle w:val="OGTableofFigures"/>
            </w:pPr>
          </w:p>
          <w:p w:rsidR="00B958B1" w:rsidRPr="00F16DCB" w:rsidRDefault="00B958B1" w:rsidP="009F3B54">
            <w:pPr>
              <w:pStyle w:val="OGTableofFigures"/>
            </w:pPr>
          </w:p>
        </w:tc>
      </w:tr>
      <w:tr w:rsidR="00B958B1" w:rsidRPr="00F16DCB" w:rsidTr="009F3B54">
        <w:tblPrEx>
          <w:shd w:val="clear" w:color="auto" w:fill="auto"/>
        </w:tblPrEx>
        <w:trPr>
          <w:cantSplit/>
        </w:trPr>
        <w:tc>
          <w:tcPr>
            <w:tcW w:w="3150" w:type="dxa"/>
            <w:tcBorders>
              <w:top w:val="single" w:sz="6" w:space="0" w:color="auto"/>
              <w:bottom w:val="single" w:sz="6" w:space="0" w:color="auto"/>
            </w:tcBorders>
            <w:shd w:val="clear" w:color="auto" w:fill="auto"/>
          </w:tcPr>
          <w:p w:rsidR="00B958B1" w:rsidRPr="00F16DCB" w:rsidRDefault="00B958B1" w:rsidP="009F3B54">
            <w:pPr>
              <w:pStyle w:val="OGTabText"/>
            </w:pPr>
            <w:r w:rsidRPr="00F16DCB">
              <w:t>Output Evaluation and Base Reviews</w:t>
            </w:r>
          </w:p>
        </w:tc>
        <w:tc>
          <w:tcPr>
            <w:tcW w:w="908" w:type="dxa"/>
            <w:gridSpan w:val="2"/>
            <w:tcBorders>
              <w:top w:val="single" w:sz="6" w:space="0" w:color="auto"/>
              <w:bottom w:val="single" w:sz="6" w:space="0" w:color="auto"/>
            </w:tcBorders>
            <w:shd w:val="clear" w:color="auto" w:fill="auto"/>
          </w:tcPr>
          <w:p w:rsidR="00B958B1" w:rsidRPr="00F16DCB" w:rsidRDefault="00B958B1" w:rsidP="009F3B54">
            <w:pPr>
              <w:pStyle w:val="OGUoM"/>
            </w:pPr>
            <w:r w:rsidRPr="00F16DCB">
              <w:t>number</w:t>
            </w:r>
          </w:p>
        </w:tc>
        <w:tc>
          <w:tcPr>
            <w:tcW w:w="906" w:type="dxa"/>
            <w:tcBorders>
              <w:top w:val="single" w:sz="6" w:space="0" w:color="auto"/>
              <w:bottom w:val="single" w:sz="6" w:space="0" w:color="auto"/>
            </w:tcBorders>
            <w:shd w:val="clear" w:color="auto" w:fill="D9D9D9"/>
          </w:tcPr>
          <w:p w:rsidR="00B958B1" w:rsidRPr="00F16DCB" w:rsidRDefault="00B958B1" w:rsidP="009F3B54">
            <w:pPr>
              <w:pStyle w:val="OGTableofFigures"/>
            </w:pPr>
            <w:r w:rsidRPr="00F16DCB">
              <w:t>3</w:t>
            </w:r>
          </w:p>
        </w:tc>
        <w:tc>
          <w:tcPr>
            <w:tcW w:w="992" w:type="dxa"/>
            <w:tcBorders>
              <w:top w:val="single" w:sz="6" w:space="0" w:color="auto"/>
              <w:bottom w:val="single" w:sz="6" w:space="0" w:color="auto"/>
            </w:tcBorders>
            <w:shd w:val="clear" w:color="auto" w:fill="auto"/>
          </w:tcPr>
          <w:p w:rsidR="00B958B1" w:rsidRPr="00F16DCB" w:rsidRDefault="00B958B1" w:rsidP="009F3B54">
            <w:pPr>
              <w:pStyle w:val="OGTableofFigures"/>
            </w:pPr>
            <w:r w:rsidRPr="00F16DCB">
              <w:t>3</w:t>
            </w:r>
          </w:p>
        </w:tc>
        <w:tc>
          <w:tcPr>
            <w:tcW w:w="906" w:type="dxa"/>
            <w:gridSpan w:val="2"/>
            <w:tcBorders>
              <w:top w:val="single" w:sz="6" w:space="0" w:color="auto"/>
              <w:bottom w:val="single" w:sz="6" w:space="0" w:color="auto"/>
            </w:tcBorders>
            <w:shd w:val="clear" w:color="auto" w:fill="auto"/>
          </w:tcPr>
          <w:p w:rsidR="00B958B1" w:rsidRPr="00F16DCB" w:rsidRDefault="00B958B1" w:rsidP="009F3B54">
            <w:pPr>
              <w:pStyle w:val="OGTableofFigures"/>
            </w:pPr>
            <w:r w:rsidRPr="00F16DCB">
              <w:t>3</w:t>
            </w:r>
          </w:p>
        </w:tc>
        <w:tc>
          <w:tcPr>
            <w:tcW w:w="914" w:type="dxa"/>
            <w:tcBorders>
              <w:top w:val="single" w:sz="6" w:space="0" w:color="auto"/>
              <w:bottom w:val="single" w:sz="6" w:space="0" w:color="auto"/>
            </w:tcBorders>
            <w:shd w:val="clear" w:color="auto" w:fill="auto"/>
          </w:tcPr>
          <w:p w:rsidR="00B958B1" w:rsidRPr="00F16DCB" w:rsidRDefault="00B958B1" w:rsidP="009F3B54">
            <w:pPr>
              <w:pStyle w:val="OGTableofFigures"/>
            </w:pPr>
            <w:r w:rsidRPr="00F16DCB">
              <w:t>3</w:t>
            </w:r>
          </w:p>
        </w:tc>
      </w:tr>
      <w:tr w:rsidR="00B958B1" w:rsidRPr="00F16DCB" w:rsidTr="009F3B54">
        <w:tblPrEx>
          <w:shd w:val="clear" w:color="auto" w:fill="auto"/>
        </w:tblPrEx>
        <w:trPr>
          <w:cantSplit/>
        </w:trPr>
        <w:tc>
          <w:tcPr>
            <w:tcW w:w="3150" w:type="dxa"/>
            <w:tcBorders>
              <w:top w:val="single" w:sz="6" w:space="0" w:color="auto"/>
            </w:tcBorders>
            <w:shd w:val="clear" w:color="auto" w:fill="auto"/>
          </w:tcPr>
          <w:p w:rsidR="00B958B1" w:rsidRPr="00F16DCB" w:rsidRDefault="00B958B1" w:rsidP="009F3B54">
            <w:pPr>
              <w:pStyle w:val="OGTabHead"/>
            </w:pPr>
            <w:r w:rsidRPr="00F16DCB">
              <w:t>Quality</w:t>
            </w:r>
          </w:p>
        </w:tc>
        <w:tc>
          <w:tcPr>
            <w:tcW w:w="908" w:type="dxa"/>
            <w:gridSpan w:val="2"/>
            <w:tcBorders>
              <w:top w:val="single" w:sz="6" w:space="0" w:color="auto"/>
            </w:tcBorders>
            <w:shd w:val="clear" w:color="auto" w:fill="auto"/>
          </w:tcPr>
          <w:p w:rsidR="00B958B1" w:rsidRPr="00F16DCB" w:rsidRDefault="00B958B1" w:rsidP="009F3B54">
            <w:pPr>
              <w:pStyle w:val="OGTabHead"/>
            </w:pPr>
            <w:r w:rsidRPr="00F16DCB">
              <w:t> </w:t>
            </w:r>
          </w:p>
        </w:tc>
        <w:tc>
          <w:tcPr>
            <w:tcW w:w="906" w:type="dxa"/>
            <w:tcBorders>
              <w:top w:val="single" w:sz="6" w:space="0" w:color="auto"/>
            </w:tcBorders>
            <w:shd w:val="clear" w:color="auto" w:fill="D9D9D9"/>
          </w:tcPr>
          <w:p w:rsidR="00B958B1" w:rsidRPr="00F16DCB" w:rsidRDefault="00B958B1" w:rsidP="009F3B54">
            <w:pPr>
              <w:pStyle w:val="OGTabHead"/>
            </w:pPr>
            <w:r w:rsidRPr="00F16DCB">
              <w:t> </w:t>
            </w:r>
          </w:p>
        </w:tc>
        <w:tc>
          <w:tcPr>
            <w:tcW w:w="992" w:type="dxa"/>
            <w:tcBorders>
              <w:top w:val="single" w:sz="6" w:space="0" w:color="auto"/>
            </w:tcBorders>
            <w:shd w:val="clear" w:color="auto" w:fill="auto"/>
          </w:tcPr>
          <w:p w:rsidR="00B958B1" w:rsidRPr="00F16DCB" w:rsidRDefault="00B958B1" w:rsidP="009F3B54">
            <w:pPr>
              <w:pStyle w:val="OGTabHead"/>
            </w:pPr>
          </w:p>
        </w:tc>
        <w:tc>
          <w:tcPr>
            <w:tcW w:w="906" w:type="dxa"/>
            <w:gridSpan w:val="2"/>
            <w:tcBorders>
              <w:top w:val="single" w:sz="6" w:space="0" w:color="auto"/>
            </w:tcBorders>
            <w:shd w:val="clear" w:color="auto" w:fill="auto"/>
          </w:tcPr>
          <w:p w:rsidR="00B958B1" w:rsidRPr="00F16DCB" w:rsidRDefault="00B958B1" w:rsidP="009F3B54">
            <w:pPr>
              <w:pStyle w:val="OGTabHead"/>
            </w:pPr>
          </w:p>
        </w:tc>
        <w:tc>
          <w:tcPr>
            <w:tcW w:w="914" w:type="dxa"/>
            <w:tcBorders>
              <w:top w:val="single" w:sz="6" w:space="0" w:color="auto"/>
            </w:tcBorders>
            <w:shd w:val="clear" w:color="auto" w:fill="auto"/>
          </w:tcPr>
          <w:p w:rsidR="00B958B1" w:rsidRPr="00F16DCB" w:rsidRDefault="00B958B1" w:rsidP="009F3B54">
            <w:pPr>
              <w:pStyle w:val="OGTabHead"/>
            </w:pPr>
          </w:p>
        </w:tc>
      </w:tr>
      <w:tr w:rsidR="00B958B1" w:rsidRPr="00F16DCB" w:rsidTr="009F3B54">
        <w:tblPrEx>
          <w:shd w:val="clear" w:color="auto" w:fill="auto"/>
        </w:tblPrEx>
        <w:trPr>
          <w:cantSplit/>
        </w:trPr>
        <w:tc>
          <w:tcPr>
            <w:tcW w:w="3150" w:type="dxa"/>
            <w:shd w:val="clear" w:color="auto" w:fill="auto"/>
          </w:tcPr>
          <w:p w:rsidR="00B958B1" w:rsidRPr="00F16DCB" w:rsidRDefault="00B958B1" w:rsidP="009F3B54">
            <w:pPr>
              <w:pStyle w:val="OGTabText"/>
              <w:keepNext/>
            </w:pPr>
            <w:r w:rsidRPr="00F16DCB">
              <w:t xml:space="preserve">Maintain ISO 9001 (Quality Management Systems) certification </w:t>
            </w:r>
          </w:p>
        </w:tc>
        <w:tc>
          <w:tcPr>
            <w:tcW w:w="908" w:type="dxa"/>
            <w:gridSpan w:val="2"/>
            <w:shd w:val="clear" w:color="auto" w:fill="auto"/>
          </w:tcPr>
          <w:p w:rsidR="00B958B1" w:rsidRPr="00F16DCB" w:rsidRDefault="00B958B1" w:rsidP="009F3B54">
            <w:pPr>
              <w:pStyle w:val="OGUoM"/>
              <w:keepNext/>
            </w:pPr>
            <w:r>
              <w:t>per cent</w:t>
            </w:r>
          </w:p>
          <w:p w:rsidR="00B958B1" w:rsidRPr="00F16DCB" w:rsidRDefault="00B958B1" w:rsidP="009F3B54">
            <w:pPr>
              <w:pStyle w:val="OGUoM"/>
              <w:keepNext/>
            </w:pPr>
          </w:p>
        </w:tc>
        <w:tc>
          <w:tcPr>
            <w:tcW w:w="906" w:type="dxa"/>
            <w:shd w:val="clear" w:color="auto" w:fill="D9D9D9"/>
          </w:tcPr>
          <w:p w:rsidR="00B958B1" w:rsidRPr="00F16DCB" w:rsidRDefault="00B958B1" w:rsidP="009F3B54">
            <w:pPr>
              <w:pStyle w:val="OGTableofFigures"/>
              <w:keepNext/>
            </w:pPr>
            <w:r w:rsidRPr="00F16DCB">
              <w:t>100</w:t>
            </w:r>
          </w:p>
          <w:p w:rsidR="00B958B1" w:rsidRPr="00F16DCB" w:rsidRDefault="00B958B1" w:rsidP="009F3B54">
            <w:pPr>
              <w:pStyle w:val="OGTableofFigures"/>
              <w:keepNext/>
            </w:pPr>
          </w:p>
        </w:tc>
        <w:tc>
          <w:tcPr>
            <w:tcW w:w="992" w:type="dxa"/>
            <w:shd w:val="clear" w:color="auto" w:fill="auto"/>
          </w:tcPr>
          <w:p w:rsidR="00B958B1" w:rsidRPr="00F16DCB" w:rsidRDefault="00B958B1" w:rsidP="009F3B54">
            <w:pPr>
              <w:pStyle w:val="OGTableofFigures"/>
              <w:keepNext/>
            </w:pPr>
            <w:r>
              <w:t>nm</w:t>
            </w:r>
          </w:p>
        </w:tc>
        <w:tc>
          <w:tcPr>
            <w:tcW w:w="906" w:type="dxa"/>
            <w:gridSpan w:val="2"/>
            <w:shd w:val="clear" w:color="auto" w:fill="auto"/>
          </w:tcPr>
          <w:p w:rsidR="00B958B1" w:rsidRPr="00F16DCB" w:rsidRDefault="00B958B1" w:rsidP="009F3B54">
            <w:pPr>
              <w:pStyle w:val="OGTableofFigures"/>
              <w:keepNext/>
            </w:pPr>
            <w:r>
              <w:t>nm</w:t>
            </w:r>
          </w:p>
          <w:p w:rsidR="00B958B1" w:rsidRPr="00F16DCB" w:rsidRDefault="00B958B1" w:rsidP="009F3B54">
            <w:pPr>
              <w:pStyle w:val="OGTableofFigures"/>
              <w:keepNext/>
            </w:pPr>
          </w:p>
        </w:tc>
        <w:tc>
          <w:tcPr>
            <w:tcW w:w="914" w:type="dxa"/>
            <w:shd w:val="clear" w:color="auto" w:fill="auto"/>
          </w:tcPr>
          <w:p w:rsidR="00B958B1" w:rsidRPr="00F16DCB" w:rsidRDefault="00B958B1" w:rsidP="009F3B54">
            <w:pPr>
              <w:pStyle w:val="OGTableofFigures"/>
              <w:keepNext/>
            </w:pPr>
            <w:r>
              <w:t>nm</w:t>
            </w:r>
          </w:p>
          <w:p w:rsidR="00B958B1" w:rsidRPr="00F16DCB" w:rsidRDefault="00B958B1" w:rsidP="009F3B54">
            <w:pPr>
              <w:pStyle w:val="OGTableofFigures"/>
              <w:keepNext/>
            </w:pPr>
          </w:p>
        </w:tc>
      </w:tr>
      <w:tr w:rsidR="00B958B1" w:rsidRPr="00F16DCB" w:rsidTr="009F3B54">
        <w:tblPrEx>
          <w:shd w:val="clear" w:color="auto" w:fill="auto"/>
        </w:tblPrEx>
        <w:trPr>
          <w:cantSplit/>
        </w:trPr>
        <w:tc>
          <w:tcPr>
            <w:tcW w:w="7776" w:type="dxa"/>
            <w:gridSpan w:val="8"/>
            <w:tcBorders>
              <w:bottom w:val="single" w:sz="6" w:space="0" w:color="auto"/>
            </w:tcBorders>
            <w:shd w:val="clear" w:color="auto" w:fill="auto"/>
          </w:tcPr>
          <w:p w:rsidR="00B958B1" w:rsidRPr="00F16DCB" w:rsidRDefault="00B958B1" w:rsidP="009F3B54">
            <w:pPr>
              <w:pStyle w:val="OGTableofFigures"/>
              <w:ind w:left="397" w:right="64"/>
              <w:jc w:val="left"/>
            </w:pPr>
            <w:r w:rsidRPr="00547387">
              <w:rPr>
                <w:rFonts w:cs="Calibri"/>
                <w:i/>
                <w:sz w:val="15"/>
                <w:szCs w:val="15"/>
              </w:rPr>
              <w:t>This performance measure is proposed to replace the 2012</w:t>
            </w:r>
            <w:r w:rsidR="009F0F49">
              <w:rPr>
                <w:rFonts w:cs="Calibri"/>
                <w:i/>
                <w:sz w:val="15"/>
                <w:szCs w:val="15"/>
              </w:rPr>
              <w:noBreakHyphen/>
            </w:r>
            <w:r w:rsidRPr="00547387">
              <w:rPr>
                <w:rFonts w:cs="Calibri"/>
                <w:i/>
                <w:sz w:val="15"/>
                <w:szCs w:val="15"/>
              </w:rPr>
              <w:t>13 performance measure ‘Service Provision Rating (Ministerial survey data).’ It has been replaced to reflect DTF’s commitment to utilise a standardised measure of quality.</w:t>
            </w:r>
          </w:p>
        </w:tc>
      </w:tr>
      <w:tr w:rsidR="00B958B1" w:rsidRPr="00F16DCB" w:rsidTr="009F3B54">
        <w:tblPrEx>
          <w:shd w:val="clear" w:color="auto" w:fill="auto"/>
        </w:tblPrEx>
        <w:trPr>
          <w:cantSplit/>
        </w:trPr>
        <w:tc>
          <w:tcPr>
            <w:tcW w:w="3150" w:type="dxa"/>
            <w:tcBorders>
              <w:top w:val="single" w:sz="6" w:space="0" w:color="auto"/>
            </w:tcBorders>
            <w:shd w:val="clear" w:color="auto" w:fill="auto"/>
          </w:tcPr>
          <w:p w:rsidR="00B958B1" w:rsidRPr="00F16DCB" w:rsidRDefault="00B958B1" w:rsidP="009F3B54">
            <w:pPr>
              <w:pStyle w:val="OGTabText"/>
            </w:pPr>
            <w:r w:rsidRPr="00F16DCB">
              <w:t xml:space="preserve">Accuracy of the revised estimate of State budget expenditure </w:t>
            </w:r>
          </w:p>
        </w:tc>
        <w:tc>
          <w:tcPr>
            <w:tcW w:w="908" w:type="dxa"/>
            <w:gridSpan w:val="2"/>
            <w:tcBorders>
              <w:top w:val="single" w:sz="6" w:space="0" w:color="auto"/>
            </w:tcBorders>
            <w:shd w:val="clear" w:color="auto" w:fill="auto"/>
          </w:tcPr>
          <w:p w:rsidR="00B958B1" w:rsidRPr="00F16DCB" w:rsidRDefault="00B958B1" w:rsidP="009F3B54">
            <w:pPr>
              <w:pStyle w:val="OGUoM"/>
            </w:pPr>
            <w:r>
              <w:t>per cent</w:t>
            </w:r>
          </w:p>
        </w:tc>
        <w:tc>
          <w:tcPr>
            <w:tcW w:w="906" w:type="dxa"/>
            <w:tcBorders>
              <w:top w:val="single" w:sz="6" w:space="0" w:color="auto"/>
            </w:tcBorders>
            <w:shd w:val="clear" w:color="auto" w:fill="D9D9D9"/>
          </w:tcPr>
          <w:p w:rsidR="00B958B1" w:rsidRPr="00F16DCB" w:rsidRDefault="00B958B1" w:rsidP="009F3B54">
            <w:pPr>
              <w:pStyle w:val="OGTableofFigures"/>
            </w:pPr>
            <w:r>
              <w:sym w:font="Symbol" w:char="F0A3"/>
            </w:r>
            <w:r>
              <w:t> </w:t>
            </w:r>
            <w:r w:rsidRPr="00F16DCB">
              <w:t>5.0</w:t>
            </w:r>
          </w:p>
        </w:tc>
        <w:tc>
          <w:tcPr>
            <w:tcW w:w="992" w:type="dxa"/>
            <w:tcBorders>
              <w:top w:val="single" w:sz="6" w:space="0" w:color="auto"/>
            </w:tcBorders>
            <w:shd w:val="clear" w:color="auto" w:fill="auto"/>
          </w:tcPr>
          <w:p w:rsidR="00B958B1" w:rsidRPr="00F16DCB" w:rsidRDefault="00B958B1" w:rsidP="009F3B54">
            <w:pPr>
              <w:pStyle w:val="OGTableofFigures"/>
            </w:pPr>
            <w:r>
              <w:t>nm</w:t>
            </w:r>
          </w:p>
        </w:tc>
        <w:tc>
          <w:tcPr>
            <w:tcW w:w="906" w:type="dxa"/>
            <w:gridSpan w:val="2"/>
            <w:tcBorders>
              <w:top w:val="single" w:sz="6" w:space="0" w:color="auto"/>
            </w:tcBorders>
            <w:shd w:val="clear" w:color="auto" w:fill="auto"/>
          </w:tcPr>
          <w:p w:rsidR="00B958B1" w:rsidRPr="00F16DCB" w:rsidRDefault="00B958B1" w:rsidP="009F3B54">
            <w:pPr>
              <w:pStyle w:val="OGTableofFigures"/>
            </w:pPr>
            <w:r>
              <w:t xml:space="preserve">nm </w:t>
            </w:r>
          </w:p>
        </w:tc>
        <w:tc>
          <w:tcPr>
            <w:tcW w:w="914" w:type="dxa"/>
            <w:tcBorders>
              <w:top w:val="single" w:sz="6" w:space="0" w:color="auto"/>
            </w:tcBorders>
            <w:shd w:val="clear" w:color="auto" w:fill="auto"/>
          </w:tcPr>
          <w:p w:rsidR="00B958B1" w:rsidRPr="00F16DCB" w:rsidRDefault="00B958B1" w:rsidP="009F3B54">
            <w:pPr>
              <w:pStyle w:val="OGTableofFigures"/>
            </w:pPr>
            <w:r>
              <w:t>nm</w:t>
            </w:r>
          </w:p>
        </w:tc>
      </w:tr>
      <w:tr w:rsidR="00B958B1" w:rsidRPr="00F16DCB" w:rsidTr="009F3B54">
        <w:tblPrEx>
          <w:shd w:val="clear" w:color="auto" w:fill="auto"/>
        </w:tblPrEx>
        <w:trPr>
          <w:cantSplit/>
        </w:trPr>
        <w:tc>
          <w:tcPr>
            <w:tcW w:w="7776" w:type="dxa"/>
            <w:gridSpan w:val="8"/>
            <w:tcBorders>
              <w:bottom w:val="single" w:sz="6" w:space="0" w:color="auto"/>
            </w:tcBorders>
          </w:tcPr>
          <w:p w:rsidR="00B958B1" w:rsidRPr="00F16DCB" w:rsidRDefault="00B958B1" w:rsidP="009F3B54">
            <w:pPr>
              <w:pStyle w:val="OGTableofFigures"/>
              <w:ind w:left="397" w:right="64"/>
              <w:jc w:val="left"/>
              <w:rPr>
                <w:sz w:val="18"/>
              </w:rPr>
            </w:pPr>
            <w:r w:rsidRPr="00547387">
              <w:rPr>
                <w:rFonts w:cs="Calibri"/>
                <w:i/>
                <w:sz w:val="15"/>
                <w:szCs w:val="15"/>
              </w:rPr>
              <w:t>New performance measure for 2013</w:t>
            </w:r>
            <w:r w:rsidR="009F0F49">
              <w:rPr>
                <w:rFonts w:cs="Calibri"/>
                <w:i/>
                <w:sz w:val="15"/>
                <w:szCs w:val="15"/>
              </w:rPr>
              <w:noBreakHyphen/>
            </w:r>
            <w:r w:rsidRPr="00547387">
              <w:rPr>
                <w:rFonts w:cs="Calibri"/>
                <w:i/>
                <w:sz w:val="15"/>
                <w:szCs w:val="15"/>
              </w:rPr>
              <w:t>14 to reflect Government priorities for accurate budget and financial policy advice.</w:t>
            </w:r>
          </w:p>
        </w:tc>
      </w:tr>
      <w:tr w:rsidR="00B958B1" w:rsidRPr="00F16DCB" w:rsidTr="009F3B54">
        <w:tblPrEx>
          <w:shd w:val="clear" w:color="auto" w:fill="auto"/>
        </w:tblPrEx>
        <w:trPr>
          <w:cantSplit/>
        </w:trPr>
        <w:tc>
          <w:tcPr>
            <w:tcW w:w="3150" w:type="dxa"/>
            <w:tcBorders>
              <w:top w:val="single" w:sz="6" w:space="0" w:color="auto"/>
            </w:tcBorders>
            <w:shd w:val="clear" w:color="auto" w:fill="auto"/>
          </w:tcPr>
          <w:p w:rsidR="00B958B1" w:rsidRPr="00F16DCB" w:rsidRDefault="00B958B1" w:rsidP="009F3B54">
            <w:pPr>
              <w:pStyle w:val="OGTabText"/>
            </w:pPr>
            <w:r w:rsidRPr="00F16DCB">
              <w:t>Victoria represented in major industrial relations cases and inquiries</w:t>
            </w:r>
          </w:p>
        </w:tc>
        <w:tc>
          <w:tcPr>
            <w:tcW w:w="908" w:type="dxa"/>
            <w:gridSpan w:val="2"/>
            <w:tcBorders>
              <w:top w:val="single" w:sz="6" w:space="0" w:color="auto"/>
            </w:tcBorders>
            <w:shd w:val="clear" w:color="auto" w:fill="auto"/>
          </w:tcPr>
          <w:p w:rsidR="00B958B1" w:rsidRPr="00F16DCB" w:rsidRDefault="00B958B1" w:rsidP="009F3B54">
            <w:pPr>
              <w:pStyle w:val="OGUoM"/>
            </w:pPr>
            <w:r>
              <w:t>per cent</w:t>
            </w:r>
          </w:p>
        </w:tc>
        <w:tc>
          <w:tcPr>
            <w:tcW w:w="906" w:type="dxa"/>
            <w:tcBorders>
              <w:top w:val="single" w:sz="6" w:space="0" w:color="auto"/>
            </w:tcBorders>
            <w:shd w:val="clear" w:color="auto" w:fill="D9D9D9"/>
          </w:tcPr>
          <w:p w:rsidR="00B958B1" w:rsidRPr="00F16DCB" w:rsidRDefault="00B958B1" w:rsidP="009F3B54">
            <w:pPr>
              <w:pStyle w:val="OGTableofFigures"/>
            </w:pPr>
            <w:r w:rsidRPr="00F16DCB">
              <w:t>100</w:t>
            </w:r>
          </w:p>
        </w:tc>
        <w:tc>
          <w:tcPr>
            <w:tcW w:w="992" w:type="dxa"/>
            <w:tcBorders>
              <w:top w:val="single" w:sz="6" w:space="0" w:color="auto"/>
            </w:tcBorders>
            <w:shd w:val="clear" w:color="auto" w:fill="auto"/>
          </w:tcPr>
          <w:p w:rsidR="00B958B1" w:rsidRPr="00F16DCB" w:rsidRDefault="00B958B1" w:rsidP="009F3B54">
            <w:pPr>
              <w:pStyle w:val="OGTableofFigures"/>
            </w:pPr>
            <w:r>
              <w:t>100</w:t>
            </w:r>
          </w:p>
        </w:tc>
        <w:tc>
          <w:tcPr>
            <w:tcW w:w="906" w:type="dxa"/>
            <w:gridSpan w:val="2"/>
            <w:tcBorders>
              <w:top w:val="single" w:sz="6" w:space="0" w:color="auto"/>
            </w:tcBorders>
            <w:shd w:val="clear" w:color="auto" w:fill="auto"/>
          </w:tcPr>
          <w:p w:rsidR="00B958B1" w:rsidRPr="00F16DCB" w:rsidRDefault="00B958B1" w:rsidP="009F3B54">
            <w:pPr>
              <w:pStyle w:val="OGTableofFigures"/>
            </w:pPr>
            <w:r>
              <w:t>100</w:t>
            </w:r>
          </w:p>
        </w:tc>
        <w:tc>
          <w:tcPr>
            <w:tcW w:w="914" w:type="dxa"/>
            <w:tcBorders>
              <w:top w:val="single" w:sz="6" w:space="0" w:color="auto"/>
            </w:tcBorders>
            <w:shd w:val="clear" w:color="auto" w:fill="auto"/>
          </w:tcPr>
          <w:p w:rsidR="00B958B1" w:rsidRPr="00F16DCB" w:rsidRDefault="00B958B1" w:rsidP="009F3B54">
            <w:pPr>
              <w:pStyle w:val="OGTableofFigures"/>
            </w:pPr>
            <w:r>
              <w:t>100</w:t>
            </w:r>
          </w:p>
        </w:tc>
      </w:tr>
      <w:tr w:rsidR="00B958B1" w:rsidRPr="00F16DCB" w:rsidTr="009F3B54">
        <w:tblPrEx>
          <w:shd w:val="clear" w:color="auto" w:fill="auto"/>
        </w:tblPrEx>
        <w:trPr>
          <w:cantSplit/>
        </w:trPr>
        <w:tc>
          <w:tcPr>
            <w:tcW w:w="7776" w:type="dxa"/>
            <w:gridSpan w:val="8"/>
            <w:tcBorders>
              <w:bottom w:val="single" w:sz="6" w:space="0" w:color="auto"/>
            </w:tcBorders>
          </w:tcPr>
          <w:p w:rsidR="00B958B1" w:rsidRPr="00F16DCB" w:rsidRDefault="00B958B1" w:rsidP="009F3B54">
            <w:pPr>
              <w:pStyle w:val="OGTableofFigures"/>
              <w:ind w:left="397" w:right="64"/>
              <w:jc w:val="left"/>
            </w:pPr>
            <w:r w:rsidRPr="00547387">
              <w:rPr>
                <w:rFonts w:cs="Calibri"/>
                <w:i/>
                <w:sz w:val="15"/>
                <w:szCs w:val="15"/>
              </w:rPr>
              <w:t>This performance measure has been introduced as a result of machinery</w:t>
            </w:r>
            <w:r w:rsidR="009F0F49">
              <w:rPr>
                <w:rFonts w:cs="Calibri"/>
                <w:i/>
                <w:sz w:val="15"/>
                <w:szCs w:val="15"/>
              </w:rPr>
              <w:noBreakHyphen/>
            </w:r>
            <w:r w:rsidRPr="00547387">
              <w:rPr>
                <w:rFonts w:cs="Calibri"/>
                <w:i/>
                <w:sz w:val="15"/>
                <w:szCs w:val="15"/>
              </w:rPr>
              <w:t>of</w:t>
            </w:r>
            <w:r w:rsidR="009F0F49">
              <w:rPr>
                <w:rFonts w:cs="Calibri"/>
                <w:i/>
                <w:sz w:val="15"/>
                <w:szCs w:val="15"/>
              </w:rPr>
              <w:noBreakHyphen/>
            </w:r>
            <w:r w:rsidRPr="00547387">
              <w:rPr>
                <w:rFonts w:cs="Calibri"/>
                <w:i/>
                <w:sz w:val="15"/>
                <w:szCs w:val="15"/>
              </w:rPr>
              <w:t>government changes that resulted in the transfer of functions into the Department of Treasury and Finance from the Department of Business and Innovation.</w:t>
            </w:r>
          </w:p>
        </w:tc>
      </w:tr>
      <w:tr w:rsidR="00B958B1" w:rsidRPr="00F16DCB" w:rsidTr="009F3B54">
        <w:tblPrEx>
          <w:shd w:val="clear" w:color="auto" w:fill="auto"/>
        </w:tblPrEx>
        <w:trPr>
          <w:cantSplit/>
        </w:trPr>
        <w:tc>
          <w:tcPr>
            <w:tcW w:w="3150" w:type="dxa"/>
            <w:tcBorders>
              <w:top w:val="single" w:sz="6" w:space="0" w:color="auto"/>
            </w:tcBorders>
            <w:shd w:val="clear" w:color="auto" w:fill="auto"/>
          </w:tcPr>
          <w:p w:rsidR="00B958B1" w:rsidRPr="00F16DCB" w:rsidRDefault="00B958B1" w:rsidP="009F3B54">
            <w:pPr>
              <w:pStyle w:val="OGTabHead"/>
              <w:keepNext w:val="0"/>
            </w:pPr>
            <w:r w:rsidRPr="00F16DCB">
              <w:t>Timeliness</w:t>
            </w:r>
          </w:p>
        </w:tc>
        <w:tc>
          <w:tcPr>
            <w:tcW w:w="908" w:type="dxa"/>
            <w:gridSpan w:val="2"/>
            <w:tcBorders>
              <w:top w:val="single" w:sz="6" w:space="0" w:color="auto"/>
            </w:tcBorders>
            <w:shd w:val="clear" w:color="auto" w:fill="auto"/>
          </w:tcPr>
          <w:p w:rsidR="00B958B1" w:rsidRPr="00F16DCB" w:rsidRDefault="00B958B1" w:rsidP="009F3B54">
            <w:pPr>
              <w:pStyle w:val="OGTabHead"/>
              <w:keepNext w:val="0"/>
            </w:pPr>
            <w:r w:rsidRPr="00F16DCB">
              <w:t> </w:t>
            </w:r>
          </w:p>
        </w:tc>
        <w:tc>
          <w:tcPr>
            <w:tcW w:w="906" w:type="dxa"/>
            <w:tcBorders>
              <w:top w:val="single" w:sz="6" w:space="0" w:color="auto"/>
            </w:tcBorders>
            <w:shd w:val="clear" w:color="auto" w:fill="D9D9D9"/>
          </w:tcPr>
          <w:p w:rsidR="00B958B1" w:rsidRPr="00F16DCB" w:rsidRDefault="00B958B1" w:rsidP="009F3B54">
            <w:pPr>
              <w:pStyle w:val="OGTabHead"/>
              <w:keepNext w:val="0"/>
            </w:pPr>
            <w:r w:rsidRPr="00F16DCB">
              <w:t> </w:t>
            </w:r>
          </w:p>
        </w:tc>
        <w:tc>
          <w:tcPr>
            <w:tcW w:w="992" w:type="dxa"/>
            <w:tcBorders>
              <w:top w:val="single" w:sz="6" w:space="0" w:color="auto"/>
            </w:tcBorders>
            <w:shd w:val="clear" w:color="auto" w:fill="auto"/>
          </w:tcPr>
          <w:p w:rsidR="00B958B1" w:rsidRPr="00F16DCB" w:rsidRDefault="00B958B1" w:rsidP="009F3B54">
            <w:pPr>
              <w:pStyle w:val="OGTabHead"/>
              <w:keepNext w:val="0"/>
            </w:pPr>
          </w:p>
        </w:tc>
        <w:tc>
          <w:tcPr>
            <w:tcW w:w="906" w:type="dxa"/>
            <w:gridSpan w:val="2"/>
            <w:tcBorders>
              <w:top w:val="single" w:sz="6" w:space="0" w:color="auto"/>
            </w:tcBorders>
            <w:shd w:val="clear" w:color="auto" w:fill="auto"/>
          </w:tcPr>
          <w:p w:rsidR="00B958B1" w:rsidRPr="00F16DCB" w:rsidRDefault="00B958B1" w:rsidP="009F3B54">
            <w:pPr>
              <w:pStyle w:val="OGTabHead"/>
              <w:keepNext w:val="0"/>
            </w:pPr>
          </w:p>
        </w:tc>
        <w:tc>
          <w:tcPr>
            <w:tcW w:w="914" w:type="dxa"/>
            <w:tcBorders>
              <w:top w:val="single" w:sz="6" w:space="0" w:color="auto"/>
            </w:tcBorders>
            <w:shd w:val="clear" w:color="auto" w:fill="auto"/>
          </w:tcPr>
          <w:p w:rsidR="00B958B1" w:rsidRPr="00F16DCB" w:rsidRDefault="00B958B1" w:rsidP="009F3B54">
            <w:pPr>
              <w:pStyle w:val="OGTabHead"/>
              <w:keepNext w:val="0"/>
            </w:pPr>
          </w:p>
        </w:tc>
      </w:tr>
      <w:tr w:rsidR="00B958B1" w:rsidRPr="00F16DCB" w:rsidTr="009F3B54">
        <w:tblPrEx>
          <w:shd w:val="clear" w:color="auto" w:fill="auto"/>
        </w:tblPrEx>
        <w:trPr>
          <w:cantSplit/>
        </w:trPr>
        <w:tc>
          <w:tcPr>
            <w:tcW w:w="3150" w:type="dxa"/>
            <w:tcBorders>
              <w:bottom w:val="single" w:sz="6" w:space="0" w:color="auto"/>
            </w:tcBorders>
            <w:shd w:val="clear" w:color="auto" w:fill="auto"/>
          </w:tcPr>
          <w:p w:rsidR="00B958B1" w:rsidRPr="00F16DCB" w:rsidRDefault="00B958B1" w:rsidP="009F3B54">
            <w:pPr>
              <w:pStyle w:val="OGTabText"/>
            </w:pPr>
            <w:r w:rsidRPr="00F16DCB">
              <w:t>Delivery of Output Evaluation and Base Review reports within agreed timeframes</w:t>
            </w:r>
          </w:p>
        </w:tc>
        <w:tc>
          <w:tcPr>
            <w:tcW w:w="908" w:type="dxa"/>
            <w:gridSpan w:val="2"/>
            <w:tcBorders>
              <w:bottom w:val="single" w:sz="6" w:space="0" w:color="auto"/>
            </w:tcBorders>
            <w:shd w:val="clear" w:color="auto" w:fill="auto"/>
          </w:tcPr>
          <w:p w:rsidR="00B958B1" w:rsidRPr="00F16DCB" w:rsidRDefault="00B958B1" w:rsidP="009F3B54">
            <w:pPr>
              <w:pStyle w:val="OGUoM"/>
            </w:pPr>
            <w:r>
              <w:t>per cent</w:t>
            </w:r>
          </w:p>
        </w:tc>
        <w:tc>
          <w:tcPr>
            <w:tcW w:w="906" w:type="dxa"/>
            <w:tcBorders>
              <w:bottom w:val="single" w:sz="6" w:space="0" w:color="auto"/>
            </w:tcBorders>
            <w:shd w:val="clear" w:color="auto" w:fill="D9D9D9"/>
          </w:tcPr>
          <w:p w:rsidR="00B958B1" w:rsidRPr="00F16DCB" w:rsidRDefault="00B958B1" w:rsidP="009F3B54">
            <w:pPr>
              <w:pStyle w:val="OGTableofFigures"/>
            </w:pPr>
            <w:r w:rsidRPr="00F16DCB">
              <w:t>100</w:t>
            </w:r>
          </w:p>
        </w:tc>
        <w:tc>
          <w:tcPr>
            <w:tcW w:w="992" w:type="dxa"/>
            <w:tcBorders>
              <w:bottom w:val="single" w:sz="6" w:space="0" w:color="auto"/>
            </w:tcBorders>
            <w:shd w:val="clear" w:color="auto" w:fill="auto"/>
          </w:tcPr>
          <w:p w:rsidR="00B958B1" w:rsidRPr="00F16DCB" w:rsidRDefault="00B958B1" w:rsidP="009F3B54">
            <w:pPr>
              <w:pStyle w:val="OGTableofFigures"/>
            </w:pPr>
            <w:r w:rsidRPr="00F16DCB">
              <w:t>100</w:t>
            </w:r>
          </w:p>
        </w:tc>
        <w:tc>
          <w:tcPr>
            <w:tcW w:w="906" w:type="dxa"/>
            <w:gridSpan w:val="2"/>
            <w:tcBorders>
              <w:bottom w:val="single" w:sz="6" w:space="0" w:color="auto"/>
            </w:tcBorders>
            <w:shd w:val="clear" w:color="auto" w:fill="auto"/>
          </w:tcPr>
          <w:p w:rsidR="00B958B1" w:rsidRPr="00F16DCB" w:rsidRDefault="00B958B1" w:rsidP="009F3B54">
            <w:pPr>
              <w:pStyle w:val="OGTableofFigures"/>
            </w:pPr>
            <w:r w:rsidRPr="00F16DCB">
              <w:t>100</w:t>
            </w:r>
          </w:p>
        </w:tc>
        <w:tc>
          <w:tcPr>
            <w:tcW w:w="914" w:type="dxa"/>
            <w:tcBorders>
              <w:bottom w:val="single" w:sz="6" w:space="0" w:color="auto"/>
            </w:tcBorders>
            <w:shd w:val="clear" w:color="auto" w:fill="auto"/>
          </w:tcPr>
          <w:p w:rsidR="00B958B1" w:rsidRPr="00F16DCB" w:rsidRDefault="00B958B1" w:rsidP="009F3B54">
            <w:pPr>
              <w:pStyle w:val="OGTableofFigures"/>
            </w:pPr>
            <w:r w:rsidRPr="00F16DCB">
              <w:t>100</w:t>
            </w:r>
          </w:p>
        </w:tc>
      </w:tr>
      <w:tr w:rsidR="00B958B1" w:rsidRPr="00F16DCB" w:rsidTr="009F3B54">
        <w:tblPrEx>
          <w:shd w:val="clear" w:color="auto" w:fill="auto"/>
        </w:tblPrEx>
        <w:trPr>
          <w:cantSplit/>
        </w:trPr>
        <w:tc>
          <w:tcPr>
            <w:tcW w:w="3150" w:type="dxa"/>
            <w:tcBorders>
              <w:top w:val="single" w:sz="6" w:space="0" w:color="auto"/>
              <w:bottom w:val="single" w:sz="6" w:space="0" w:color="auto"/>
            </w:tcBorders>
            <w:shd w:val="clear" w:color="auto" w:fill="auto"/>
          </w:tcPr>
          <w:p w:rsidR="00B958B1" w:rsidRPr="00F16DCB" w:rsidRDefault="00B958B1" w:rsidP="009F3B54">
            <w:pPr>
              <w:pStyle w:val="OGTabText"/>
            </w:pPr>
            <w:r w:rsidRPr="00F16DCB">
              <w:t>Delivery of output performance and asset investment performance reports within agreed timeframes</w:t>
            </w:r>
          </w:p>
        </w:tc>
        <w:tc>
          <w:tcPr>
            <w:tcW w:w="908" w:type="dxa"/>
            <w:gridSpan w:val="2"/>
            <w:tcBorders>
              <w:top w:val="single" w:sz="6" w:space="0" w:color="auto"/>
              <w:bottom w:val="single" w:sz="6" w:space="0" w:color="auto"/>
            </w:tcBorders>
            <w:shd w:val="clear" w:color="auto" w:fill="auto"/>
          </w:tcPr>
          <w:p w:rsidR="00B958B1" w:rsidRPr="00F16DCB" w:rsidRDefault="00B958B1" w:rsidP="009F3B54">
            <w:pPr>
              <w:pStyle w:val="OGUoM"/>
            </w:pPr>
            <w:r>
              <w:t>per cent</w:t>
            </w:r>
          </w:p>
          <w:p w:rsidR="00B958B1" w:rsidRPr="00F16DCB" w:rsidRDefault="00B958B1" w:rsidP="009F3B54">
            <w:pPr>
              <w:pStyle w:val="OGUoM"/>
            </w:pPr>
          </w:p>
        </w:tc>
        <w:tc>
          <w:tcPr>
            <w:tcW w:w="906" w:type="dxa"/>
            <w:tcBorders>
              <w:top w:val="single" w:sz="6" w:space="0" w:color="auto"/>
              <w:bottom w:val="single" w:sz="6" w:space="0" w:color="auto"/>
            </w:tcBorders>
            <w:shd w:val="clear" w:color="auto" w:fill="D9D9D9"/>
          </w:tcPr>
          <w:p w:rsidR="00B958B1" w:rsidRPr="00F16DCB" w:rsidRDefault="00B958B1" w:rsidP="009F3B54">
            <w:pPr>
              <w:pStyle w:val="OGTableofFigures"/>
            </w:pPr>
            <w:r w:rsidRPr="00F16DCB">
              <w:t>100</w:t>
            </w:r>
          </w:p>
          <w:p w:rsidR="00B958B1" w:rsidRPr="00F16DCB" w:rsidRDefault="00B958B1" w:rsidP="009F3B54">
            <w:pPr>
              <w:pStyle w:val="OGTableofFigures"/>
            </w:pPr>
          </w:p>
        </w:tc>
        <w:tc>
          <w:tcPr>
            <w:tcW w:w="992" w:type="dxa"/>
            <w:tcBorders>
              <w:top w:val="single" w:sz="6" w:space="0" w:color="auto"/>
              <w:bottom w:val="single" w:sz="6" w:space="0" w:color="auto"/>
            </w:tcBorders>
            <w:shd w:val="clear" w:color="auto" w:fill="auto"/>
          </w:tcPr>
          <w:p w:rsidR="00B958B1" w:rsidRPr="00F16DCB" w:rsidRDefault="00B958B1" w:rsidP="009F3B54">
            <w:pPr>
              <w:pStyle w:val="OGTableofFigures"/>
            </w:pPr>
            <w:r w:rsidRPr="00F16DCB">
              <w:t>100</w:t>
            </w:r>
          </w:p>
        </w:tc>
        <w:tc>
          <w:tcPr>
            <w:tcW w:w="906" w:type="dxa"/>
            <w:gridSpan w:val="2"/>
            <w:tcBorders>
              <w:top w:val="single" w:sz="6" w:space="0" w:color="auto"/>
              <w:bottom w:val="single" w:sz="6" w:space="0" w:color="auto"/>
            </w:tcBorders>
            <w:shd w:val="clear" w:color="auto" w:fill="auto"/>
          </w:tcPr>
          <w:p w:rsidR="00B958B1" w:rsidRPr="00F16DCB" w:rsidRDefault="00B958B1" w:rsidP="009F3B54">
            <w:pPr>
              <w:pStyle w:val="OGTableofFigures"/>
            </w:pPr>
            <w:r w:rsidRPr="00F16DCB">
              <w:t>100</w:t>
            </w:r>
          </w:p>
          <w:p w:rsidR="00B958B1" w:rsidRPr="00F16DCB" w:rsidRDefault="00B958B1" w:rsidP="009F3B54">
            <w:pPr>
              <w:pStyle w:val="OGTableofFigures"/>
            </w:pPr>
          </w:p>
        </w:tc>
        <w:tc>
          <w:tcPr>
            <w:tcW w:w="914" w:type="dxa"/>
            <w:tcBorders>
              <w:top w:val="single" w:sz="6" w:space="0" w:color="auto"/>
              <w:bottom w:val="single" w:sz="6" w:space="0" w:color="auto"/>
            </w:tcBorders>
            <w:shd w:val="clear" w:color="auto" w:fill="auto"/>
          </w:tcPr>
          <w:p w:rsidR="00B958B1" w:rsidRPr="00F16DCB" w:rsidRDefault="00B958B1" w:rsidP="009F3B54">
            <w:pPr>
              <w:pStyle w:val="OGTableofFigures"/>
            </w:pPr>
            <w:r>
              <w:t>83.3</w:t>
            </w:r>
          </w:p>
          <w:p w:rsidR="00B958B1" w:rsidRPr="00F16DCB" w:rsidRDefault="00B958B1" w:rsidP="009F3B54">
            <w:pPr>
              <w:pStyle w:val="OGTableofFigures"/>
            </w:pPr>
          </w:p>
        </w:tc>
      </w:tr>
      <w:tr w:rsidR="00B958B1" w:rsidRPr="00F16DCB" w:rsidTr="009F3B54">
        <w:tblPrEx>
          <w:shd w:val="clear" w:color="auto" w:fill="auto"/>
        </w:tblPrEx>
        <w:trPr>
          <w:cantSplit/>
        </w:trPr>
        <w:tc>
          <w:tcPr>
            <w:tcW w:w="3150" w:type="dxa"/>
            <w:tcBorders>
              <w:top w:val="single" w:sz="6" w:space="0" w:color="auto"/>
            </w:tcBorders>
            <w:shd w:val="clear" w:color="auto" w:fill="auto"/>
          </w:tcPr>
          <w:p w:rsidR="00B958B1" w:rsidRPr="00F16DCB" w:rsidRDefault="00B958B1" w:rsidP="009F3B54">
            <w:pPr>
              <w:pStyle w:val="OGTabText"/>
            </w:pPr>
            <w:r w:rsidRPr="00F16DCB">
              <w:t>Review and assessment of submitted public sector enterprise bargaining costings and proposed agreements completed and submitted for approval within four weeks</w:t>
            </w:r>
          </w:p>
        </w:tc>
        <w:tc>
          <w:tcPr>
            <w:tcW w:w="908" w:type="dxa"/>
            <w:gridSpan w:val="2"/>
            <w:tcBorders>
              <w:top w:val="single" w:sz="6" w:space="0" w:color="auto"/>
            </w:tcBorders>
            <w:shd w:val="clear" w:color="auto" w:fill="auto"/>
          </w:tcPr>
          <w:p w:rsidR="00B958B1" w:rsidRPr="00F16DCB" w:rsidRDefault="00B958B1" w:rsidP="009F3B54">
            <w:pPr>
              <w:pStyle w:val="OGUoM"/>
            </w:pPr>
            <w:r>
              <w:t>per cent</w:t>
            </w:r>
          </w:p>
        </w:tc>
        <w:tc>
          <w:tcPr>
            <w:tcW w:w="906" w:type="dxa"/>
            <w:tcBorders>
              <w:top w:val="single" w:sz="6" w:space="0" w:color="auto"/>
            </w:tcBorders>
            <w:shd w:val="clear" w:color="auto" w:fill="D9D9D9"/>
          </w:tcPr>
          <w:p w:rsidR="00B958B1" w:rsidRPr="00F16DCB" w:rsidRDefault="00B958B1" w:rsidP="009F3B54">
            <w:pPr>
              <w:pStyle w:val="OGTableofFigures"/>
            </w:pPr>
            <w:r w:rsidRPr="00F16DCB">
              <w:t>80</w:t>
            </w:r>
          </w:p>
        </w:tc>
        <w:tc>
          <w:tcPr>
            <w:tcW w:w="992" w:type="dxa"/>
            <w:tcBorders>
              <w:top w:val="single" w:sz="6" w:space="0" w:color="auto"/>
            </w:tcBorders>
            <w:shd w:val="clear" w:color="auto" w:fill="auto"/>
          </w:tcPr>
          <w:p w:rsidR="00B958B1" w:rsidRPr="00F16DCB" w:rsidRDefault="00B958B1" w:rsidP="009F3B54">
            <w:pPr>
              <w:pStyle w:val="OGTableofFigures"/>
            </w:pPr>
            <w:r>
              <w:t>nm</w:t>
            </w:r>
          </w:p>
        </w:tc>
        <w:tc>
          <w:tcPr>
            <w:tcW w:w="906" w:type="dxa"/>
            <w:gridSpan w:val="2"/>
            <w:tcBorders>
              <w:top w:val="single" w:sz="6" w:space="0" w:color="auto"/>
            </w:tcBorders>
            <w:shd w:val="clear" w:color="auto" w:fill="auto"/>
          </w:tcPr>
          <w:p w:rsidR="00B958B1" w:rsidRPr="00F16DCB" w:rsidRDefault="00B958B1" w:rsidP="009F3B54">
            <w:pPr>
              <w:pStyle w:val="OGTableofFigures"/>
            </w:pPr>
            <w:r>
              <w:t>nm</w:t>
            </w:r>
          </w:p>
        </w:tc>
        <w:tc>
          <w:tcPr>
            <w:tcW w:w="914" w:type="dxa"/>
            <w:tcBorders>
              <w:top w:val="single" w:sz="6" w:space="0" w:color="auto"/>
            </w:tcBorders>
            <w:shd w:val="clear" w:color="auto" w:fill="auto"/>
          </w:tcPr>
          <w:p w:rsidR="00B958B1" w:rsidRPr="00F16DCB" w:rsidRDefault="00B958B1" w:rsidP="009F3B54">
            <w:pPr>
              <w:pStyle w:val="OGTableofFigures"/>
            </w:pPr>
            <w:r>
              <w:t>nm</w:t>
            </w:r>
          </w:p>
        </w:tc>
      </w:tr>
      <w:tr w:rsidR="00B958B1" w:rsidRPr="00F16DCB" w:rsidTr="009F3B54">
        <w:tblPrEx>
          <w:shd w:val="clear" w:color="auto" w:fill="auto"/>
        </w:tblPrEx>
        <w:trPr>
          <w:cantSplit/>
        </w:trPr>
        <w:tc>
          <w:tcPr>
            <w:tcW w:w="7776" w:type="dxa"/>
            <w:gridSpan w:val="8"/>
            <w:tcBorders>
              <w:bottom w:val="single" w:sz="6" w:space="0" w:color="auto"/>
            </w:tcBorders>
          </w:tcPr>
          <w:p w:rsidR="00B958B1" w:rsidRPr="00F16DCB" w:rsidRDefault="00B958B1" w:rsidP="009F3B54">
            <w:pPr>
              <w:pStyle w:val="OGTableofFigures"/>
              <w:ind w:left="397" w:right="64"/>
              <w:jc w:val="left"/>
            </w:pPr>
            <w:r w:rsidRPr="00547387">
              <w:rPr>
                <w:rFonts w:cs="Calibri"/>
                <w:i/>
                <w:sz w:val="15"/>
                <w:szCs w:val="15"/>
              </w:rPr>
              <w:t>New performance measure for 2013</w:t>
            </w:r>
            <w:r w:rsidR="009F0F49">
              <w:rPr>
                <w:rFonts w:cs="Calibri"/>
                <w:i/>
                <w:sz w:val="15"/>
                <w:szCs w:val="15"/>
              </w:rPr>
              <w:noBreakHyphen/>
            </w:r>
            <w:r w:rsidRPr="00547387">
              <w:rPr>
                <w:rFonts w:cs="Calibri"/>
                <w:i/>
                <w:sz w:val="15"/>
                <w:szCs w:val="15"/>
              </w:rPr>
              <w:t>14 to reflect Government priorities regarding public sector workforce management.</w:t>
            </w:r>
          </w:p>
        </w:tc>
      </w:tr>
      <w:tr w:rsidR="00B958B1" w:rsidRPr="00F16DCB" w:rsidTr="009F3B54">
        <w:tblPrEx>
          <w:shd w:val="clear" w:color="auto" w:fill="auto"/>
        </w:tblPrEx>
        <w:trPr>
          <w:cantSplit/>
        </w:trPr>
        <w:tc>
          <w:tcPr>
            <w:tcW w:w="3150" w:type="dxa"/>
            <w:tcBorders>
              <w:top w:val="single" w:sz="6" w:space="0" w:color="auto"/>
            </w:tcBorders>
            <w:shd w:val="clear" w:color="auto" w:fill="auto"/>
          </w:tcPr>
          <w:p w:rsidR="00B958B1" w:rsidRDefault="00B958B1" w:rsidP="009F3B54">
            <w:pPr>
              <w:pStyle w:val="OGTabHead"/>
              <w:keepNext w:val="0"/>
            </w:pPr>
            <w:r>
              <w:t>Cost</w:t>
            </w:r>
          </w:p>
          <w:p w:rsidR="00B958B1" w:rsidRPr="00F16DCB" w:rsidRDefault="00B958B1" w:rsidP="009F3B54">
            <w:pPr>
              <w:pStyle w:val="OGTabText"/>
            </w:pPr>
            <w:r>
              <w:t>Total output cost</w:t>
            </w:r>
          </w:p>
        </w:tc>
        <w:tc>
          <w:tcPr>
            <w:tcW w:w="908" w:type="dxa"/>
            <w:gridSpan w:val="2"/>
            <w:tcBorders>
              <w:top w:val="single" w:sz="6" w:space="0" w:color="auto"/>
            </w:tcBorders>
            <w:shd w:val="clear" w:color="auto" w:fill="auto"/>
          </w:tcPr>
          <w:p w:rsidR="00B958B1" w:rsidRDefault="00B958B1" w:rsidP="009F3B54">
            <w:pPr>
              <w:pStyle w:val="OGUoM"/>
            </w:pPr>
            <w:r>
              <w:t>$ million</w:t>
            </w:r>
          </w:p>
        </w:tc>
        <w:tc>
          <w:tcPr>
            <w:tcW w:w="906" w:type="dxa"/>
            <w:tcBorders>
              <w:top w:val="single" w:sz="6" w:space="0" w:color="auto"/>
            </w:tcBorders>
            <w:shd w:val="clear" w:color="auto" w:fill="D9D9D9"/>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13.5</w:t>
            </w:r>
          </w:p>
        </w:tc>
        <w:tc>
          <w:tcPr>
            <w:tcW w:w="992" w:type="dxa"/>
            <w:tcBorders>
              <w:top w:val="single" w:sz="6" w:space="0" w:color="auto"/>
            </w:tcBorders>
            <w:shd w:val="clear" w:color="auto" w:fill="auto"/>
          </w:tcPr>
          <w:p w:rsidR="00B958B1" w:rsidRDefault="00B958B1" w:rsidP="009F3B54">
            <w:pPr>
              <w:pStyle w:val="TableText0"/>
              <w:spacing w:before="60" w:after="60"/>
              <w:jc w:val="right"/>
              <w:rPr>
                <w:rFonts w:cs="Calibri"/>
                <w:color w:val="auto"/>
                <w:sz w:val="20"/>
                <w:szCs w:val="22"/>
              </w:rPr>
            </w:pPr>
            <w:r>
              <w:rPr>
                <w:rFonts w:cs="Calibri"/>
                <w:color w:val="auto"/>
                <w:sz w:val="20"/>
                <w:szCs w:val="22"/>
              </w:rPr>
              <w:t>12.3</w:t>
            </w:r>
          </w:p>
        </w:tc>
        <w:tc>
          <w:tcPr>
            <w:tcW w:w="906" w:type="dxa"/>
            <w:gridSpan w:val="2"/>
            <w:tcBorders>
              <w:top w:val="single" w:sz="6" w:space="0" w:color="auto"/>
            </w:tcBorders>
            <w:shd w:val="clear" w:color="auto" w:fill="auto"/>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12.9</w:t>
            </w:r>
          </w:p>
        </w:tc>
        <w:tc>
          <w:tcPr>
            <w:tcW w:w="914" w:type="dxa"/>
            <w:tcBorders>
              <w:top w:val="single" w:sz="6" w:space="0" w:color="auto"/>
            </w:tcBorders>
            <w:shd w:val="clear" w:color="auto" w:fill="auto"/>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17.8</w:t>
            </w:r>
          </w:p>
        </w:tc>
      </w:tr>
      <w:tr w:rsidR="00B958B1" w:rsidRPr="00F16DCB" w:rsidTr="009F3B54">
        <w:tblPrEx>
          <w:shd w:val="clear" w:color="auto" w:fill="auto"/>
        </w:tblPrEx>
        <w:trPr>
          <w:cantSplit/>
        </w:trPr>
        <w:tc>
          <w:tcPr>
            <w:tcW w:w="7776" w:type="dxa"/>
            <w:gridSpan w:val="8"/>
            <w:tcBorders>
              <w:bottom w:val="single" w:sz="6" w:space="0" w:color="auto"/>
            </w:tcBorders>
            <w:shd w:val="clear" w:color="auto" w:fill="auto"/>
          </w:tcPr>
          <w:p w:rsidR="00B958B1" w:rsidRDefault="00B958B1" w:rsidP="009F3B54">
            <w:pPr>
              <w:pStyle w:val="OGTableofFigures"/>
              <w:ind w:left="397" w:right="64"/>
              <w:jc w:val="left"/>
              <w:rPr>
                <w:szCs w:val="22"/>
              </w:rPr>
            </w:pPr>
            <w:r w:rsidRPr="00547387">
              <w:rPr>
                <w:rFonts w:cs="Calibri"/>
                <w:i/>
                <w:sz w:val="15"/>
                <w:szCs w:val="15"/>
              </w:rPr>
              <w:t>The higher 2013</w:t>
            </w:r>
            <w:r w:rsidR="009F0F49">
              <w:rPr>
                <w:rFonts w:cs="Calibri"/>
                <w:i/>
                <w:sz w:val="15"/>
                <w:szCs w:val="15"/>
              </w:rPr>
              <w:noBreakHyphen/>
            </w:r>
            <w:r w:rsidRPr="00547387">
              <w:rPr>
                <w:rFonts w:cs="Calibri"/>
                <w:i/>
                <w:sz w:val="15"/>
                <w:szCs w:val="15"/>
              </w:rPr>
              <w:t>14 Target reflects additional services introduced as a result of machinery</w:t>
            </w:r>
            <w:r w:rsidR="009F0F49">
              <w:rPr>
                <w:rFonts w:cs="Calibri"/>
                <w:i/>
                <w:sz w:val="15"/>
                <w:szCs w:val="15"/>
              </w:rPr>
              <w:noBreakHyphen/>
            </w:r>
            <w:r w:rsidRPr="00547387">
              <w:rPr>
                <w:rFonts w:cs="Calibri"/>
                <w:i/>
                <w:sz w:val="15"/>
                <w:szCs w:val="15"/>
              </w:rPr>
              <w:t>of</w:t>
            </w:r>
            <w:r w:rsidR="009F0F49">
              <w:rPr>
                <w:rFonts w:cs="Calibri"/>
                <w:i/>
                <w:sz w:val="15"/>
                <w:szCs w:val="15"/>
              </w:rPr>
              <w:noBreakHyphen/>
            </w:r>
            <w:r w:rsidRPr="00547387">
              <w:rPr>
                <w:rFonts w:cs="Calibri"/>
                <w:i/>
                <w:sz w:val="15"/>
                <w:szCs w:val="15"/>
              </w:rPr>
              <w:t>government changes that resulted in the transfer of private sector industrial relations functions into the Department.</w:t>
            </w:r>
          </w:p>
        </w:tc>
      </w:tr>
      <w:tr w:rsidR="00B958B1" w:rsidRPr="00F16DCB" w:rsidTr="009F3B54">
        <w:tblPrEx>
          <w:shd w:val="clear" w:color="auto" w:fill="auto"/>
        </w:tblPrEx>
        <w:trPr>
          <w:cantSplit/>
        </w:trPr>
        <w:tc>
          <w:tcPr>
            <w:tcW w:w="7776" w:type="dxa"/>
            <w:gridSpan w:val="8"/>
            <w:tcBorders>
              <w:top w:val="single" w:sz="6" w:space="0" w:color="auto"/>
            </w:tcBorders>
          </w:tcPr>
          <w:p w:rsidR="00B958B1" w:rsidRPr="00F16DCB" w:rsidRDefault="00B958B1" w:rsidP="009F3B54">
            <w:pPr>
              <w:pStyle w:val="OGHeading1"/>
              <w:keepNext/>
            </w:pPr>
            <w:r w:rsidRPr="00F16DCB">
              <w:t>Economic and Financial Policy</w:t>
            </w:r>
          </w:p>
        </w:tc>
      </w:tr>
      <w:tr w:rsidR="00B958B1" w:rsidRPr="00F16DCB" w:rsidTr="009F3B54">
        <w:tblPrEx>
          <w:shd w:val="clear" w:color="auto" w:fill="auto"/>
        </w:tblPrEx>
        <w:trPr>
          <w:cantSplit/>
        </w:trPr>
        <w:tc>
          <w:tcPr>
            <w:tcW w:w="7776" w:type="dxa"/>
            <w:gridSpan w:val="8"/>
            <w:tcBorders>
              <w:bottom w:val="single" w:sz="6" w:space="0" w:color="auto"/>
            </w:tcBorders>
          </w:tcPr>
          <w:p w:rsidR="00B958B1" w:rsidRDefault="00B958B1" w:rsidP="009F3B54">
            <w:pPr>
              <w:pStyle w:val="OGText"/>
              <w:keepNext w:val="0"/>
              <w:rPr>
                <w:lang w:eastAsia="en-AU"/>
              </w:rPr>
            </w:pPr>
            <w:r>
              <w:rPr>
                <w:lang w:eastAsia="en-AU"/>
              </w:rPr>
              <w:t>This output provides strategic policy advice including potential reform options to Ministers across a range of current economic and financial policy issues.</w:t>
            </w:r>
          </w:p>
          <w:p w:rsidR="00B958B1" w:rsidRDefault="00B958B1" w:rsidP="009F3B54">
            <w:pPr>
              <w:pStyle w:val="OGText"/>
              <w:keepNext w:val="0"/>
              <w:rPr>
                <w:lang w:eastAsia="en-AU"/>
              </w:rPr>
            </w:pPr>
            <w:r>
              <w:rPr>
                <w:lang w:eastAsia="en-AU"/>
              </w:rPr>
              <w:t>The output contributes to the Department’s objective of increasing Victoria’s productivity and competitiveness by providing advice on:</w:t>
            </w:r>
          </w:p>
          <w:p w:rsidR="00B958B1" w:rsidRDefault="00B958B1" w:rsidP="009F3B54">
            <w:pPr>
              <w:pStyle w:val="OGBullet"/>
              <w:rPr>
                <w:lang w:eastAsia="en-AU"/>
              </w:rPr>
            </w:pPr>
            <w:r w:rsidRPr="007E1BD0">
              <w:t>medium</w:t>
            </w:r>
            <w:r>
              <w:rPr>
                <w:lang w:eastAsia="en-AU"/>
              </w:rPr>
              <w:t xml:space="preserve"> and longer</w:t>
            </w:r>
            <w:r w:rsidR="009F0F49">
              <w:rPr>
                <w:lang w:eastAsia="en-AU"/>
              </w:rPr>
              <w:noBreakHyphen/>
            </w:r>
            <w:r>
              <w:rPr>
                <w:lang w:eastAsia="en-AU"/>
              </w:rPr>
              <w:t>term strategies to strengthen productivity, participation and the State’s overall competitiveness;</w:t>
            </w:r>
          </w:p>
          <w:p w:rsidR="00B958B1" w:rsidRDefault="00B958B1" w:rsidP="009F3B54">
            <w:pPr>
              <w:pStyle w:val="OGBullet"/>
              <w:rPr>
                <w:lang w:eastAsia="en-AU"/>
              </w:rPr>
            </w:pPr>
            <w:r>
              <w:rPr>
                <w:lang w:eastAsia="en-AU"/>
              </w:rPr>
              <w:t xml:space="preserve">key economic, social and environmental policy and infrastructure issues; </w:t>
            </w:r>
          </w:p>
          <w:p w:rsidR="00B958B1" w:rsidRDefault="00B958B1" w:rsidP="009F3B54">
            <w:pPr>
              <w:pStyle w:val="OGBullet"/>
              <w:rPr>
                <w:lang w:eastAsia="en-AU"/>
              </w:rPr>
            </w:pPr>
            <w:r>
              <w:rPr>
                <w:lang w:eastAsia="en-AU"/>
              </w:rPr>
              <w:t>State revenue policy and insurance policy;</w:t>
            </w:r>
          </w:p>
          <w:p w:rsidR="00B958B1" w:rsidRDefault="00B958B1" w:rsidP="009F3B54">
            <w:pPr>
              <w:pStyle w:val="OGBullet"/>
              <w:rPr>
                <w:lang w:eastAsia="en-AU"/>
              </w:rPr>
            </w:pPr>
            <w:r>
              <w:rPr>
                <w:lang w:eastAsia="en-AU"/>
              </w:rPr>
              <w:t>intergovernmental financial relations, including the distribution of Commonwealth funding to Australian States and Territories (including representation on various inter</w:t>
            </w:r>
            <w:r w:rsidR="009F0F49">
              <w:rPr>
                <w:lang w:eastAsia="en-AU"/>
              </w:rPr>
              <w:noBreakHyphen/>
            </w:r>
            <w:r>
              <w:rPr>
                <w:lang w:eastAsia="en-AU"/>
              </w:rPr>
              <w:t xml:space="preserve">jurisdictional committees); </w:t>
            </w:r>
          </w:p>
          <w:p w:rsidR="00B958B1" w:rsidRDefault="00B958B1" w:rsidP="009F3B54">
            <w:pPr>
              <w:pStyle w:val="OGBullet"/>
              <w:rPr>
                <w:lang w:eastAsia="en-AU"/>
              </w:rPr>
            </w:pPr>
            <w:r>
              <w:rPr>
                <w:lang w:eastAsia="en-AU"/>
              </w:rPr>
              <w:t>production of the economic and revenue estimates that underpin the State Budget;</w:t>
            </w:r>
          </w:p>
          <w:p w:rsidR="00B958B1" w:rsidRDefault="00B958B1" w:rsidP="009F3B54">
            <w:pPr>
              <w:pStyle w:val="OGBullet"/>
              <w:rPr>
                <w:lang w:eastAsia="en-AU"/>
              </w:rPr>
            </w:pPr>
            <w:r>
              <w:rPr>
                <w:lang w:eastAsia="en-AU"/>
              </w:rPr>
              <w:t>best practice regulatory frameworks; and</w:t>
            </w:r>
          </w:p>
          <w:p w:rsidR="00B958B1" w:rsidRPr="00F16DCB" w:rsidRDefault="00B958B1" w:rsidP="009F3B54">
            <w:pPr>
              <w:pStyle w:val="OGBullet"/>
            </w:pPr>
            <w:r>
              <w:rPr>
                <w:lang w:eastAsia="en-AU"/>
              </w:rPr>
              <w:t>building capacity in and promoting market based policy mechanisms in Victoria.</w:t>
            </w:r>
          </w:p>
        </w:tc>
      </w:tr>
      <w:tr w:rsidR="00B958B1" w:rsidRPr="00F16DCB" w:rsidTr="009F3B54">
        <w:tblPrEx>
          <w:shd w:val="clear" w:color="auto" w:fill="auto"/>
        </w:tblPrEx>
        <w:trPr>
          <w:cantSplit/>
        </w:trPr>
        <w:tc>
          <w:tcPr>
            <w:tcW w:w="3159" w:type="dxa"/>
            <w:gridSpan w:val="2"/>
            <w:tcBorders>
              <w:top w:val="single" w:sz="6" w:space="0" w:color="auto"/>
            </w:tcBorders>
          </w:tcPr>
          <w:p w:rsidR="00B958B1" w:rsidRPr="00F16DCB" w:rsidRDefault="00B958B1" w:rsidP="009F3B54">
            <w:pPr>
              <w:pStyle w:val="OGTabHead"/>
              <w:keepNext w:val="0"/>
            </w:pPr>
            <w:r w:rsidRPr="00F16DCB">
              <w:t>Quantity</w:t>
            </w:r>
          </w:p>
        </w:tc>
        <w:tc>
          <w:tcPr>
            <w:tcW w:w="899" w:type="dxa"/>
            <w:tcBorders>
              <w:top w:val="single" w:sz="6" w:space="0" w:color="auto"/>
            </w:tcBorders>
          </w:tcPr>
          <w:p w:rsidR="00B958B1" w:rsidRPr="00F16DCB" w:rsidRDefault="00B958B1" w:rsidP="009F3B54">
            <w:pPr>
              <w:pStyle w:val="OGTabHead"/>
              <w:keepNext w:val="0"/>
            </w:pPr>
            <w:r w:rsidRPr="00F16DCB">
              <w:t> </w:t>
            </w:r>
          </w:p>
        </w:tc>
        <w:tc>
          <w:tcPr>
            <w:tcW w:w="906" w:type="dxa"/>
            <w:tcBorders>
              <w:top w:val="single" w:sz="6" w:space="0" w:color="auto"/>
            </w:tcBorders>
          </w:tcPr>
          <w:p w:rsidR="00B958B1" w:rsidRPr="00F16DCB" w:rsidRDefault="00B958B1" w:rsidP="009F3B54">
            <w:pPr>
              <w:pStyle w:val="OGTabHead"/>
              <w:keepNext w:val="0"/>
            </w:pPr>
            <w:r w:rsidRPr="00F16DCB">
              <w:t> </w:t>
            </w:r>
          </w:p>
        </w:tc>
        <w:tc>
          <w:tcPr>
            <w:tcW w:w="992" w:type="dxa"/>
            <w:tcBorders>
              <w:top w:val="single" w:sz="6" w:space="0" w:color="auto"/>
            </w:tcBorders>
          </w:tcPr>
          <w:p w:rsidR="00B958B1" w:rsidRPr="00F16DCB" w:rsidRDefault="00B958B1" w:rsidP="009F3B54">
            <w:pPr>
              <w:pStyle w:val="OGTabHead"/>
              <w:keepNext w:val="0"/>
            </w:pPr>
          </w:p>
        </w:tc>
        <w:tc>
          <w:tcPr>
            <w:tcW w:w="899" w:type="dxa"/>
            <w:tcBorders>
              <w:top w:val="single" w:sz="6" w:space="0" w:color="auto"/>
            </w:tcBorders>
          </w:tcPr>
          <w:p w:rsidR="00B958B1" w:rsidRPr="00F16DCB" w:rsidRDefault="00B958B1" w:rsidP="009F3B54">
            <w:pPr>
              <w:pStyle w:val="OGTabHead"/>
              <w:keepNext w:val="0"/>
            </w:pPr>
          </w:p>
        </w:tc>
        <w:tc>
          <w:tcPr>
            <w:tcW w:w="921" w:type="dxa"/>
            <w:gridSpan w:val="2"/>
            <w:tcBorders>
              <w:top w:val="single" w:sz="6" w:space="0" w:color="auto"/>
            </w:tcBorders>
          </w:tcPr>
          <w:p w:rsidR="00B958B1" w:rsidRPr="00F16DCB" w:rsidRDefault="00B958B1" w:rsidP="009F3B54">
            <w:pPr>
              <w:pStyle w:val="OGTabHead"/>
              <w:keepNext w:val="0"/>
            </w:pPr>
          </w:p>
        </w:tc>
      </w:tr>
      <w:tr w:rsidR="00B958B1" w:rsidRPr="00F16DCB" w:rsidTr="009F3B54">
        <w:tblPrEx>
          <w:shd w:val="clear" w:color="auto" w:fill="auto"/>
        </w:tblPrEx>
        <w:trPr>
          <w:cantSplit/>
        </w:trPr>
        <w:tc>
          <w:tcPr>
            <w:tcW w:w="3159" w:type="dxa"/>
            <w:gridSpan w:val="2"/>
            <w:tcBorders>
              <w:bottom w:val="single" w:sz="6" w:space="0" w:color="auto"/>
            </w:tcBorders>
          </w:tcPr>
          <w:p w:rsidR="00B958B1" w:rsidRPr="00F16DCB" w:rsidRDefault="00B958B1" w:rsidP="009F3B54">
            <w:pPr>
              <w:pStyle w:val="OGTabText"/>
            </w:pPr>
            <w:r w:rsidRPr="00F16DCB">
              <w:t>Briefings on Cabinet Submissions</w:t>
            </w:r>
          </w:p>
        </w:tc>
        <w:tc>
          <w:tcPr>
            <w:tcW w:w="899" w:type="dxa"/>
            <w:tcBorders>
              <w:bottom w:val="single" w:sz="6" w:space="0" w:color="auto"/>
            </w:tcBorders>
          </w:tcPr>
          <w:p w:rsidR="00B958B1" w:rsidRPr="00F16DCB" w:rsidRDefault="00B958B1" w:rsidP="009F3B54">
            <w:pPr>
              <w:pStyle w:val="OGUoM"/>
            </w:pPr>
            <w:r w:rsidRPr="00F16DCB">
              <w:t>number</w:t>
            </w:r>
          </w:p>
        </w:tc>
        <w:tc>
          <w:tcPr>
            <w:tcW w:w="906" w:type="dxa"/>
            <w:tcBorders>
              <w:bottom w:val="single" w:sz="6" w:space="0" w:color="auto"/>
            </w:tcBorders>
          </w:tcPr>
          <w:p w:rsidR="00B958B1" w:rsidRPr="00F16DCB" w:rsidRDefault="00B958B1" w:rsidP="009F3B54">
            <w:pPr>
              <w:pStyle w:val="OGTableofFigures"/>
            </w:pPr>
            <w:r w:rsidRPr="00F16DCB">
              <w:t>200</w:t>
            </w:r>
          </w:p>
        </w:tc>
        <w:tc>
          <w:tcPr>
            <w:tcW w:w="992" w:type="dxa"/>
            <w:tcBorders>
              <w:bottom w:val="single" w:sz="6" w:space="0" w:color="auto"/>
            </w:tcBorders>
          </w:tcPr>
          <w:p w:rsidR="00B958B1" w:rsidRPr="00F16DCB" w:rsidRDefault="00B958B1" w:rsidP="009F3B54">
            <w:pPr>
              <w:pStyle w:val="OGTableofFigures"/>
            </w:pPr>
            <w:r>
              <w:t>201</w:t>
            </w:r>
          </w:p>
        </w:tc>
        <w:tc>
          <w:tcPr>
            <w:tcW w:w="899" w:type="dxa"/>
            <w:tcBorders>
              <w:bottom w:val="single" w:sz="6" w:space="0" w:color="auto"/>
            </w:tcBorders>
          </w:tcPr>
          <w:p w:rsidR="00B958B1" w:rsidRPr="00F16DCB" w:rsidRDefault="00B958B1" w:rsidP="009F3B54">
            <w:pPr>
              <w:pStyle w:val="OGTableofFigures"/>
            </w:pPr>
            <w:r w:rsidRPr="00F16DCB">
              <w:t>200</w:t>
            </w:r>
          </w:p>
        </w:tc>
        <w:tc>
          <w:tcPr>
            <w:tcW w:w="921" w:type="dxa"/>
            <w:gridSpan w:val="2"/>
            <w:tcBorders>
              <w:bottom w:val="single" w:sz="6" w:space="0" w:color="auto"/>
            </w:tcBorders>
          </w:tcPr>
          <w:p w:rsidR="00B958B1" w:rsidRPr="00F16DCB" w:rsidRDefault="00B958B1" w:rsidP="009F3B54">
            <w:pPr>
              <w:pStyle w:val="OGTableofFigures"/>
            </w:pPr>
            <w:r w:rsidRPr="00F16DCB">
              <w:t>283</w:t>
            </w:r>
          </w:p>
        </w:tc>
      </w:tr>
      <w:tr w:rsidR="00B958B1" w:rsidRPr="00F16DCB" w:rsidTr="009F3B54">
        <w:tblPrEx>
          <w:shd w:val="clear" w:color="auto" w:fill="auto"/>
        </w:tblPrEx>
        <w:trPr>
          <w:cantSplit/>
        </w:trPr>
        <w:tc>
          <w:tcPr>
            <w:tcW w:w="3159" w:type="dxa"/>
            <w:gridSpan w:val="2"/>
            <w:tcBorders>
              <w:top w:val="single" w:sz="6" w:space="0" w:color="auto"/>
            </w:tcBorders>
          </w:tcPr>
          <w:p w:rsidR="00B958B1" w:rsidRPr="00F16DCB" w:rsidRDefault="00B958B1" w:rsidP="009F3B54">
            <w:pPr>
              <w:pStyle w:val="OGTabText"/>
            </w:pPr>
            <w:r w:rsidRPr="00F16DCB">
              <w:t>Number of written Ministerial briefs</w:t>
            </w:r>
          </w:p>
        </w:tc>
        <w:tc>
          <w:tcPr>
            <w:tcW w:w="899" w:type="dxa"/>
            <w:tcBorders>
              <w:top w:val="single" w:sz="6" w:space="0" w:color="auto"/>
            </w:tcBorders>
          </w:tcPr>
          <w:p w:rsidR="00B958B1" w:rsidRPr="00F16DCB" w:rsidRDefault="00B958B1" w:rsidP="009F3B54">
            <w:pPr>
              <w:pStyle w:val="OGUoM"/>
            </w:pPr>
            <w:r w:rsidRPr="00F16DCB">
              <w:t>number</w:t>
            </w:r>
          </w:p>
        </w:tc>
        <w:tc>
          <w:tcPr>
            <w:tcW w:w="906" w:type="dxa"/>
            <w:tcBorders>
              <w:top w:val="single" w:sz="6" w:space="0" w:color="auto"/>
            </w:tcBorders>
          </w:tcPr>
          <w:p w:rsidR="00B958B1" w:rsidRPr="00F16DCB" w:rsidRDefault="00B958B1" w:rsidP="009F3B54">
            <w:pPr>
              <w:pStyle w:val="OGTableofFigures"/>
            </w:pPr>
            <w:r w:rsidRPr="00F16DCB">
              <w:t>300</w:t>
            </w:r>
          </w:p>
        </w:tc>
        <w:tc>
          <w:tcPr>
            <w:tcW w:w="992" w:type="dxa"/>
            <w:tcBorders>
              <w:top w:val="single" w:sz="6" w:space="0" w:color="auto"/>
            </w:tcBorders>
          </w:tcPr>
          <w:p w:rsidR="00B958B1" w:rsidRPr="00F16DCB" w:rsidRDefault="00B958B1" w:rsidP="009F3B54">
            <w:pPr>
              <w:pStyle w:val="OGTableofFigures"/>
            </w:pPr>
            <w:r>
              <w:t>315</w:t>
            </w:r>
          </w:p>
        </w:tc>
        <w:tc>
          <w:tcPr>
            <w:tcW w:w="899" w:type="dxa"/>
            <w:tcBorders>
              <w:top w:val="single" w:sz="6" w:space="0" w:color="auto"/>
            </w:tcBorders>
          </w:tcPr>
          <w:p w:rsidR="00B958B1" w:rsidRPr="00F16DCB" w:rsidRDefault="00B958B1" w:rsidP="009F3B54">
            <w:pPr>
              <w:pStyle w:val="OGTableofFigures"/>
            </w:pPr>
            <w:r w:rsidRPr="00F16DCB">
              <w:t>300</w:t>
            </w:r>
          </w:p>
        </w:tc>
        <w:tc>
          <w:tcPr>
            <w:tcW w:w="921" w:type="dxa"/>
            <w:gridSpan w:val="2"/>
            <w:tcBorders>
              <w:top w:val="single" w:sz="6" w:space="0" w:color="auto"/>
            </w:tcBorders>
          </w:tcPr>
          <w:p w:rsidR="00B958B1" w:rsidRPr="00F16DCB" w:rsidRDefault="00B958B1" w:rsidP="009F3B54">
            <w:pPr>
              <w:pStyle w:val="OGTableofFigures"/>
            </w:pPr>
            <w:r w:rsidRPr="00F16DCB">
              <w:t>286</w:t>
            </w:r>
          </w:p>
        </w:tc>
      </w:tr>
      <w:tr w:rsidR="00B958B1" w:rsidRPr="00FA075C" w:rsidTr="009F3B54">
        <w:tblPrEx>
          <w:shd w:val="clear" w:color="auto" w:fill="auto"/>
        </w:tblPrEx>
        <w:trPr>
          <w:cantSplit/>
        </w:trPr>
        <w:tc>
          <w:tcPr>
            <w:tcW w:w="7776" w:type="dxa"/>
            <w:gridSpan w:val="8"/>
            <w:tcBorders>
              <w:bottom w:val="single" w:sz="6" w:space="0" w:color="auto"/>
            </w:tcBorders>
          </w:tcPr>
          <w:p w:rsidR="00B958B1" w:rsidRPr="00F16DCB" w:rsidRDefault="00B958B1" w:rsidP="009F3B54">
            <w:pPr>
              <w:pStyle w:val="OGTableofFigures"/>
              <w:ind w:left="397" w:right="64"/>
              <w:jc w:val="left"/>
            </w:pPr>
            <w:r w:rsidRPr="00547387">
              <w:rPr>
                <w:rFonts w:cs="Calibri"/>
                <w:i/>
                <w:sz w:val="15"/>
                <w:szCs w:val="15"/>
              </w:rPr>
              <w:t>The 2012</w:t>
            </w:r>
            <w:r w:rsidR="009F0F49">
              <w:rPr>
                <w:rFonts w:cs="Calibri"/>
                <w:i/>
                <w:sz w:val="15"/>
                <w:szCs w:val="15"/>
              </w:rPr>
              <w:noBreakHyphen/>
            </w:r>
            <w:r w:rsidRPr="00547387">
              <w:rPr>
                <w:rFonts w:cs="Calibri"/>
                <w:i/>
                <w:sz w:val="15"/>
                <w:szCs w:val="15"/>
              </w:rPr>
              <w:t>13 Expected Outcome is higher than the 2012</w:t>
            </w:r>
            <w:r w:rsidR="009F0F49">
              <w:rPr>
                <w:rFonts w:cs="Calibri"/>
                <w:i/>
                <w:sz w:val="15"/>
                <w:szCs w:val="15"/>
              </w:rPr>
              <w:noBreakHyphen/>
            </w:r>
            <w:r w:rsidRPr="00547387">
              <w:rPr>
                <w:rFonts w:cs="Calibri"/>
                <w:i/>
                <w:sz w:val="15"/>
                <w:szCs w:val="15"/>
              </w:rPr>
              <w:t>13 Target due to a greater number of briefs being required than anticipated.</w:t>
            </w:r>
          </w:p>
        </w:tc>
      </w:tr>
      <w:tr w:rsidR="00B958B1" w:rsidRPr="00F16DCB" w:rsidTr="009F3B54">
        <w:tblPrEx>
          <w:shd w:val="clear" w:color="auto" w:fill="auto"/>
        </w:tblPrEx>
        <w:trPr>
          <w:cantSplit/>
        </w:trPr>
        <w:tc>
          <w:tcPr>
            <w:tcW w:w="3159" w:type="dxa"/>
            <w:gridSpan w:val="2"/>
            <w:tcBorders>
              <w:top w:val="single" w:sz="6" w:space="0" w:color="auto"/>
              <w:bottom w:val="single" w:sz="6" w:space="0" w:color="auto"/>
            </w:tcBorders>
          </w:tcPr>
          <w:p w:rsidR="00B958B1" w:rsidRPr="00F16DCB" w:rsidRDefault="00B958B1" w:rsidP="009F3B54">
            <w:pPr>
              <w:pStyle w:val="OGTabText"/>
            </w:pPr>
            <w:r w:rsidRPr="00F16DCB">
              <w:t>Program of long</w:t>
            </w:r>
            <w:r w:rsidR="009F0F49">
              <w:noBreakHyphen/>
            </w:r>
            <w:r w:rsidRPr="00F16DCB">
              <w:t>term research projects completed</w:t>
            </w:r>
          </w:p>
        </w:tc>
        <w:tc>
          <w:tcPr>
            <w:tcW w:w="899" w:type="dxa"/>
            <w:tcBorders>
              <w:top w:val="single" w:sz="6" w:space="0" w:color="auto"/>
              <w:bottom w:val="single" w:sz="6" w:space="0" w:color="auto"/>
            </w:tcBorders>
          </w:tcPr>
          <w:p w:rsidR="00B958B1" w:rsidRPr="00F16DCB" w:rsidRDefault="00B958B1" w:rsidP="009F3B54">
            <w:pPr>
              <w:pStyle w:val="OGUoM"/>
            </w:pPr>
            <w:r w:rsidRPr="00F16DCB">
              <w:t>number</w:t>
            </w:r>
          </w:p>
        </w:tc>
        <w:tc>
          <w:tcPr>
            <w:tcW w:w="906" w:type="dxa"/>
            <w:tcBorders>
              <w:top w:val="single" w:sz="6" w:space="0" w:color="auto"/>
              <w:bottom w:val="single" w:sz="6" w:space="0" w:color="auto"/>
            </w:tcBorders>
          </w:tcPr>
          <w:p w:rsidR="00B958B1" w:rsidRPr="00F16DCB" w:rsidRDefault="00B958B1" w:rsidP="009F3B54">
            <w:pPr>
              <w:pStyle w:val="OGTableofFigures"/>
            </w:pPr>
            <w:r w:rsidRPr="00F16DCB">
              <w:t>5</w:t>
            </w:r>
          </w:p>
        </w:tc>
        <w:tc>
          <w:tcPr>
            <w:tcW w:w="992" w:type="dxa"/>
            <w:tcBorders>
              <w:top w:val="single" w:sz="6" w:space="0" w:color="auto"/>
              <w:bottom w:val="single" w:sz="6" w:space="0" w:color="auto"/>
            </w:tcBorders>
          </w:tcPr>
          <w:p w:rsidR="00B958B1" w:rsidRPr="00F16DCB" w:rsidRDefault="00B958B1" w:rsidP="009F3B54">
            <w:pPr>
              <w:pStyle w:val="OGTableofFigures"/>
            </w:pPr>
            <w:r w:rsidRPr="00F16DCB">
              <w:t>5</w:t>
            </w:r>
          </w:p>
        </w:tc>
        <w:tc>
          <w:tcPr>
            <w:tcW w:w="899" w:type="dxa"/>
            <w:tcBorders>
              <w:top w:val="single" w:sz="6" w:space="0" w:color="auto"/>
              <w:bottom w:val="single" w:sz="6" w:space="0" w:color="auto"/>
            </w:tcBorders>
          </w:tcPr>
          <w:p w:rsidR="00B958B1" w:rsidRPr="00F16DCB" w:rsidRDefault="00B958B1" w:rsidP="009F3B54">
            <w:pPr>
              <w:pStyle w:val="OGTableofFigures"/>
            </w:pPr>
            <w:r w:rsidRPr="00F16DCB">
              <w:t>5</w:t>
            </w:r>
          </w:p>
        </w:tc>
        <w:tc>
          <w:tcPr>
            <w:tcW w:w="921" w:type="dxa"/>
            <w:gridSpan w:val="2"/>
            <w:tcBorders>
              <w:top w:val="single" w:sz="6" w:space="0" w:color="auto"/>
              <w:bottom w:val="single" w:sz="6" w:space="0" w:color="auto"/>
            </w:tcBorders>
          </w:tcPr>
          <w:p w:rsidR="00B958B1" w:rsidRPr="00F16DCB" w:rsidRDefault="00B958B1" w:rsidP="009F3B54">
            <w:pPr>
              <w:pStyle w:val="OGTableofFigures"/>
            </w:pPr>
            <w:r w:rsidRPr="00F16DCB">
              <w:t>10</w:t>
            </w:r>
          </w:p>
        </w:tc>
      </w:tr>
      <w:tr w:rsidR="00B958B1" w:rsidRPr="00F16DCB" w:rsidTr="009F3B54">
        <w:tblPrEx>
          <w:shd w:val="clear" w:color="auto" w:fill="auto"/>
        </w:tblPrEx>
        <w:trPr>
          <w:cantSplit/>
        </w:trPr>
        <w:tc>
          <w:tcPr>
            <w:tcW w:w="3159" w:type="dxa"/>
            <w:gridSpan w:val="2"/>
            <w:tcBorders>
              <w:top w:val="single" w:sz="6" w:space="0" w:color="auto"/>
            </w:tcBorders>
          </w:tcPr>
          <w:p w:rsidR="00B958B1" w:rsidRPr="00F16DCB" w:rsidRDefault="00B958B1" w:rsidP="009F3B54">
            <w:pPr>
              <w:pStyle w:val="OGTabHead"/>
              <w:keepNext w:val="0"/>
            </w:pPr>
            <w:r w:rsidRPr="00F16DCB">
              <w:t>Quality</w:t>
            </w:r>
          </w:p>
        </w:tc>
        <w:tc>
          <w:tcPr>
            <w:tcW w:w="899" w:type="dxa"/>
            <w:tcBorders>
              <w:top w:val="single" w:sz="6" w:space="0" w:color="auto"/>
            </w:tcBorders>
          </w:tcPr>
          <w:p w:rsidR="00B958B1" w:rsidRPr="00F16DCB" w:rsidRDefault="00B958B1" w:rsidP="009F3B54">
            <w:pPr>
              <w:pStyle w:val="OGTabHead"/>
              <w:keepNext w:val="0"/>
            </w:pPr>
          </w:p>
        </w:tc>
        <w:tc>
          <w:tcPr>
            <w:tcW w:w="906" w:type="dxa"/>
            <w:tcBorders>
              <w:top w:val="single" w:sz="6" w:space="0" w:color="auto"/>
            </w:tcBorders>
          </w:tcPr>
          <w:p w:rsidR="00B958B1" w:rsidRPr="00F16DCB" w:rsidRDefault="00B958B1" w:rsidP="009F3B54">
            <w:pPr>
              <w:pStyle w:val="OGTabHead"/>
              <w:keepNext w:val="0"/>
            </w:pPr>
          </w:p>
        </w:tc>
        <w:tc>
          <w:tcPr>
            <w:tcW w:w="992" w:type="dxa"/>
            <w:tcBorders>
              <w:top w:val="single" w:sz="6" w:space="0" w:color="auto"/>
            </w:tcBorders>
          </w:tcPr>
          <w:p w:rsidR="00B958B1" w:rsidRPr="00F16DCB" w:rsidRDefault="00B958B1" w:rsidP="009F3B54">
            <w:pPr>
              <w:pStyle w:val="OGTabHead"/>
              <w:keepNext w:val="0"/>
            </w:pPr>
          </w:p>
        </w:tc>
        <w:tc>
          <w:tcPr>
            <w:tcW w:w="899" w:type="dxa"/>
            <w:tcBorders>
              <w:top w:val="single" w:sz="6" w:space="0" w:color="auto"/>
            </w:tcBorders>
          </w:tcPr>
          <w:p w:rsidR="00B958B1" w:rsidRPr="00F16DCB" w:rsidRDefault="00B958B1" w:rsidP="009F3B54">
            <w:pPr>
              <w:pStyle w:val="OGTabHead"/>
              <w:keepNext w:val="0"/>
            </w:pPr>
          </w:p>
        </w:tc>
        <w:tc>
          <w:tcPr>
            <w:tcW w:w="921" w:type="dxa"/>
            <w:gridSpan w:val="2"/>
            <w:tcBorders>
              <w:top w:val="single" w:sz="6" w:space="0" w:color="auto"/>
            </w:tcBorders>
          </w:tcPr>
          <w:p w:rsidR="00B958B1" w:rsidRPr="00F16DCB" w:rsidRDefault="00B958B1" w:rsidP="009F3B54">
            <w:pPr>
              <w:pStyle w:val="OGTabHead"/>
              <w:keepNext w:val="0"/>
            </w:pPr>
          </w:p>
        </w:tc>
      </w:tr>
      <w:tr w:rsidR="00B958B1" w:rsidRPr="00F16DCB" w:rsidTr="009F3B54">
        <w:tblPrEx>
          <w:shd w:val="clear" w:color="auto" w:fill="auto"/>
        </w:tblPrEx>
        <w:trPr>
          <w:cantSplit/>
        </w:trPr>
        <w:tc>
          <w:tcPr>
            <w:tcW w:w="3159" w:type="dxa"/>
            <w:gridSpan w:val="2"/>
            <w:tcBorders>
              <w:bottom w:val="single" w:sz="6" w:space="0" w:color="auto"/>
            </w:tcBorders>
          </w:tcPr>
          <w:p w:rsidR="00B958B1" w:rsidRPr="00F16DCB" w:rsidRDefault="00B958B1" w:rsidP="009F3B54">
            <w:pPr>
              <w:pStyle w:val="OGTabText"/>
            </w:pPr>
            <w:r w:rsidRPr="00F16DCB">
              <w:t>Accuracy of estimating State taxation revenue in the State budget</w:t>
            </w:r>
          </w:p>
        </w:tc>
        <w:tc>
          <w:tcPr>
            <w:tcW w:w="899" w:type="dxa"/>
            <w:tcBorders>
              <w:bottom w:val="single" w:sz="6" w:space="0" w:color="auto"/>
            </w:tcBorders>
          </w:tcPr>
          <w:p w:rsidR="00B958B1" w:rsidRPr="00F16DCB" w:rsidRDefault="00B958B1" w:rsidP="009F3B54">
            <w:pPr>
              <w:pStyle w:val="OGUoM"/>
            </w:pPr>
            <w:r>
              <w:t>per cent</w:t>
            </w:r>
          </w:p>
        </w:tc>
        <w:tc>
          <w:tcPr>
            <w:tcW w:w="906" w:type="dxa"/>
            <w:tcBorders>
              <w:bottom w:val="single" w:sz="6" w:space="0" w:color="auto"/>
            </w:tcBorders>
          </w:tcPr>
          <w:p w:rsidR="00B958B1" w:rsidRPr="00F16DCB" w:rsidRDefault="00B958B1" w:rsidP="009F3B54">
            <w:pPr>
              <w:pStyle w:val="OGTableofFigures"/>
            </w:pPr>
            <w:r>
              <w:sym w:font="Symbol" w:char="F0A3"/>
            </w:r>
            <w:r>
              <w:t> </w:t>
            </w:r>
            <w:r w:rsidRPr="00F16DCB">
              <w:t>5.0</w:t>
            </w:r>
          </w:p>
        </w:tc>
        <w:tc>
          <w:tcPr>
            <w:tcW w:w="992" w:type="dxa"/>
            <w:tcBorders>
              <w:bottom w:val="single" w:sz="6" w:space="0" w:color="auto"/>
            </w:tcBorders>
          </w:tcPr>
          <w:p w:rsidR="00B958B1" w:rsidRPr="00F16DCB" w:rsidRDefault="00B958B1" w:rsidP="009F3B54">
            <w:pPr>
              <w:pStyle w:val="OGTableofFigures"/>
            </w:pPr>
            <w:r>
              <w:sym w:font="Symbol" w:char="F0A3"/>
            </w:r>
            <w:r>
              <w:t> </w:t>
            </w:r>
            <w:r w:rsidRPr="00F16DCB">
              <w:t>5.0</w:t>
            </w:r>
          </w:p>
        </w:tc>
        <w:tc>
          <w:tcPr>
            <w:tcW w:w="899" w:type="dxa"/>
            <w:tcBorders>
              <w:bottom w:val="single" w:sz="6" w:space="0" w:color="auto"/>
            </w:tcBorders>
          </w:tcPr>
          <w:p w:rsidR="00B958B1" w:rsidRPr="00F16DCB" w:rsidRDefault="00B958B1" w:rsidP="009F3B54">
            <w:pPr>
              <w:pStyle w:val="OGTableofFigures"/>
            </w:pPr>
            <w:r>
              <w:sym w:font="Symbol" w:char="F0A3"/>
            </w:r>
            <w:r>
              <w:t> </w:t>
            </w:r>
            <w:r w:rsidRPr="00F16DCB">
              <w:t>5.0</w:t>
            </w:r>
          </w:p>
        </w:tc>
        <w:tc>
          <w:tcPr>
            <w:tcW w:w="921" w:type="dxa"/>
            <w:gridSpan w:val="2"/>
            <w:tcBorders>
              <w:bottom w:val="single" w:sz="6" w:space="0" w:color="auto"/>
            </w:tcBorders>
          </w:tcPr>
          <w:p w:rsidR="00B958B1" w:rsidRPr="00F16DCB" w:rsidRDefault="00B958B1" w:rsidP="009F3B54">
            <w:pPr>
              <w:pStyle w:val="OGTableofFigures"/>
            </w:pPr>
            <w:r w:rsidRPr="00F16DCB">
              <w:t>3.1</w:t>
            </w:r>
          </w:p>
        </w:tc>
      </w:tr>
      <w:tr w:rsidR="00B958B1" w:rsidRPr="00F16DCB" w:rsidTr="009F3B54">
        <w:tblPrEx>
          <w:shd w:val="clear" w:color="auto" w:fill="auto"/>
        </w:tblPrEx>
        <w:trPr>
          <w:cantSplit/>
        </w:trPr>
        <w:tc>
          <w:tcPr>
            <w:tcW w:w="3159" w:type="dxa"/>
            <w:gridSpan w:val="2"/>
            <w:tcBorders>
              <w:top w:val="single" w:sz="6" w:space="0" w:color="auto"/>
            </w:tcBorders>
          </w:tcPr>
          <w:p w:rsidR="00B958B1" w:rsidRPr="00F16DCB" w:rsidRDefault="00B958B1" w:rsidP="009F3B54">
            <w:pPr>
              <w:pStyle w:val="OGTabText"/>
            </w:pPr>
            <w:r w:rsidRPr="00F16DCB">
              <w:t xml:space="preserve">Accuracy of estimating </w:t>
            </w:r>
            <w:r>
              <w:t>Gross State Product</w:t>
            </w:r>
            <w:r w:rsidRPr="00F16DCB">
              <w:t xml:space="preserve"> and employment in the State budget</w:t>
            </w:r>
          </w:p>
        </w:tc>
        <w:tc>
          <w:tcPr>
            <w:tcW w:w="899" w:type="dxa"/>
            <w:tcBorders>
              <w:top w:val="single" w:sz="6" w:space="0" w:color="auto"/>
            </w:tcBorders>
          </w:tcPr>
          <w:p w:rsidR="00B958B1" w:rsidRPr="00F16DCB" w:rsidRDefault="00B958B1" w:rsidP="009F3B54">
            <w:pPr>
              <w:pStyle w:val="OGUoM"/>
            </w:pPr>
            <w:r>
              <w:t>per cent</w:t>
            </w:r>
          </w:p>
        </w:tc>
        <w:tc>
          <w:tcPr>
            <w:tcW w:w="906" w:type="dxa"/>
            <w:tcBorders>
              <w:top w:val="single" w:sz="6" w:space="0" w:color="auto"/>
            </w:tcBorders>
          </w:tcPr>
          <w:p w:rsidR="00B958B1" w:rsidRPr="00F16DCB" w:rsidRDefault="00B958B1" w:rsidP="009F3B54">
            <w:pPr>
              <w:pStyle w:val="OGTableofFigures"/>
            </w:pPr>
            <w:r>
              <w:sym w:font="Symbol" w:char="F0A3"/>
            </w:r>
            <w:r>
              <w:t> </w:t>
            </w:r>
            <w:r w:rsidRPr="00F16DCB">
              <w:t>1.0</w:t>
            </w:r>
          </w:p>
        </w:tc>
        <w:tc>
          <w:tcPr>
            <w:tcW w:w="992" w:type="dxa"/>
            <w:tcBorders>
              <w:top w:val="single" w:sz="6" w:space="0" w:color="auto"/>
            </w:tcBorders>
          </w:tcPr>
          <w:p w:rsidR="00B958B1" w:rsidRPr="00F16DCB" w:rsidRDefault="00B958B1" w:rsidP="009F3B54">
            <w:pPr>
              <w:pStyle w:val="OGTableofFigures"/>
            </w:pPr>
            <w:r>
              <w:t>nm</w:t>
            </w:r>
          </w:p>
        </w:tc>
        <w:tc>
          <w:tcPr>
            <w:tcW w:w="899" w:type="dxa"/>
            <w:tcBorders>
              <w:top w:val="single" w:sz="6" w:space="0" w:color="auto"/>
            </w:tcBorders>
          </w:tcPr>
          <w:p w:rsidR="00B958B1" w:rsidRPr="00F16DCB" w:rsidRDefault="00B958B1" w:rsidP="009F3B54">
            <w:pPr>
              <w:pStyle w:val="OGTableofFigures"/>
            </w:pPr>
            <w:r>
              <w:t>nm</w:t>
            </w:r>
          </w:p>
        </w:tc>
        <w:tc>
          <w:tcPr>
            <w:tcW w:w="921" w:type="dxa"/>
            <w:gridSpan w:val="2"/>
            <w:tcBorders>
              <w:top w:val="single" w:sz="6" w:space="0" w:color="auto"/>
            </w:tcBorders>
          </w:tcPr>
          <w:p w:rsidR="00B958B1" w:rsidRPr="00F16DCB" w:rsidRDefault="00B958B1" w:rsidP="009F3B54">
            <w:pPr>
              <w:pStyle w:val="OGTableofFigures"/>
            </w:pPr>
            <w:r>
              <w:t>nm</w:t>
            </w:r>
          </w:p>
        </w:tc>
      </w:tr>
      <w:tr w:rsidR="00B958B1" w:rsidRPr="00F16DCB" w:rsidTr="009F3B54">
        <w:tblPrEx>
          <w:shd w:val="clear" w:color="auto" w:fill="auto"/>
        </w:tblPrEx>
        <w:trPr>
          <w:cantSplit/>
        </w:trPr>
        <w:tc>
          <w:tcPr>
            <w:tcW w:w="7776" w:type="dxa"/>
            <w:gridSpan w:val="8"/>
            <w:tcBorders>
              <w:bottom w:val="single" w:sz="6" w:space="0" w:color="auto"/>
            </w:tcBorders>
          </w:tcPr>
          <w:p w:rsidR="00B958B1" w:rsidRPr="00F16DCB" w:rsidRDefault="00B958B1" w:rsidP="009F3B54">
            <w:pPr>
              <w:pStyle w:val="OGTableofFigures"/>
              <w:ind w:left="397" w:right="64"/>
              <w:jc w:val="left"/>
            </w:pPr>
            <w:r w:rsidRPr="00547387">
              <w:rPr>
                <w:rFonts w:cs="Calibri"/>
                <w:i/>
                <w:sz w:val="15"/>
                <w:szCs w:val="15"/>
              </w:rPr>
              <w:t>New performance measure for 2013</w:t>
            </w:r>
            <w:r w:rsidR="009F0F49">
              <w:rPr>
                <w:rFonts w:cs="Calibri"/>
                <w:i/>
                <w:sz w:val="15"/>
                <w:szCs w:val="15"/>
              </w:rPr>
              <w:noBreakHyphen/>
            </w:r>
            <w:r w:rsidRPr="00547387">
              <w:rPr>
                <w:rFonts w:cs="Calibri"/>
                <w:i/>
                <w:sz w:val="15"/>
                <w:szCs w:val="15"/>
              </w:rPr>
              <w:t>14 to reflect Government priorities regarding the accuracy of economic and financial policy advice.</w:t>
            </w:r>
          </w:p>
        </w:tc>
      </w:tr>
      <w:tr w:rsidR="00B958B1" w:rsidRPr="00F16DCB" w:rsidTr="009F3B54">
        <w:tblPrEx>
          <w:shd w:val="clear" w:color="auto" w:fill="auto"/>
        </w:tblPrEx>
        <w:trPr>
          <w:cantSplit/>
        </w:trPr>
        <w:tc>
          <w:tcPr>
            <w:tcW w:w="3159" w:type="dxa"/>
            <w:gridSpan w:val="2"/>
            <w:tcBorders>
              <w:top w:val="single" w:sz="6" w:space="0" w:color="auto"/>
            </w:tcBorders>
          </w:tcPr>
          <w:p w:rsidR="00B958B1" w:rsidRPr="00F16DCB" w:rsidRDefault="00B958B1" w:rsidP="009F3B54">
            <w:pPr>
              <w:pStyle w:val="OGTabText"/>
            </w:pPr>
            <w:r w:rsidRPr="00F16DCB">
              <w:t>Maintain ISO</w:t>
            </w:r>
            <w:r>
              <w:t> </w:t>
            </w:r>
            <w:r w:rsidRPr="00F16DCB">
              <w:t xml:space="preserve">9001 (Quality Management Systems) certification </w:t>
            </w:r>
          </w:p>
        </w:tc>
        <w:tc>
          <w:tcPr>
            <w:tcW w:w="899" w:type="dxa"/>
            <w:tcBorders>
              <w:top w:val="single" w:sz="6" w:space="0" w:color="auto"/>
            </w:tcBorders>
          </w:tcPr>
          <w:p w:rsidR="00B958B1" w:rsidRPr="00F16DCB" w:rsidRDefault="00B958B1" w:rsidP="009F3B54">
            <w:pPr>
              <w:pStyle w:val="OGUoM"/>
            </w:pPr>
            <w:r>
              <w:t>per cent</w:t>
            </w:r>
          </w:p>
        </w:tc>
        <w:tc>
          <w:tcPr>
            <w:tcW w:w="906" w:type="dxa"/>
            <w:tcBorders>
              <w:top w:val="single" w:sz="6" w:space="0" w:color="auto"/>
            </w:tcBorders>
          </w:tcPr>
          <w:p w:rsidR="00B958B1" w:rsidRPr="00F16DCB" w:rsidRDefault="00B958B1" w:rsidP="009F3B54">
            <w:pPr>
              <w:pStyle w:val="OGTableofFigures"/>
            </w:pPr>
            <w:r w:rsidRPr="00F16DCB">
              <w:t>100</w:t>
            </w:r>
          </w:p>
        </w:tc>
        <w:tc>
          <w:tcPr>
            <w:tcW w:w="992" w:type="dxa"/>
            <w:tcBorders>
              <w:top w:val="single" w:sz="6" w:space="0" w:color="auto"/>
            </w:tcBorders>
          </w:tcPr>
          <w:p w:rsidR="00B958B1" w:rsidRPr="00F16DCB" w:rsidRDefault="00B958B1" w:rsidP="009F3B54">
            <w:pPr>
              <w:pStyle w:val="OGTableofFigures"/>
            </w:pPr>
            <w:r>
              <w:t>nm</w:t>
            </w:r>
          </w:p>
        </w:tc>
        <w:tc>
          <w:tcPr>
            <w:tcW w:w="899" w:type="dxa"/>
            <w:tcBorders>
              <w:top w:val="single" w:sz="6" w:space="0" w:color="auto"/>
            </w:tcBorders>
          </w:tcPr>
          <w:p w:rsidR="00B958B1" w:rsidRPr="00F16DCB" w:rsidRDefault="00B958B1" w:rsidP="009F3B54">
            <w:pPr>
              <w:pStyle w:val="OGTableofFigures"/>
            </w:pPr>
            <w:r>
              <w:t>nm</w:t>
            </w:r>
          </w:p>
        </w:tc>
        <w:tc>
          <w:tcPr>
            <w:tcW w:w="921" w:type="dxa"/>
            <w:gridSpan w:val="2"/>
            <w:tcBorders>
              <w:top w:val="single" w:sz="6" w:space="0" w:color="auto"/>
            </w:tcBorders>
          </w:tcPr>
          <w:p w:rsidR="00B958B1" w:rsidRPr="00F16DCB" w:rsidRDefault="00B958B1" w:rsidP="009F3B54">
            <w:pPr>
              <w:pStyle w:val="OGTableofFigures"/>
            </w:pPr>
            <w:r>
              <w:t>nm</w:t>
            </w:r>
            <w:r w:rsidRPr="00F16DCB">
              <w:t xml:space="preserve"> </w:t>
            </w:r>
          </w:p>
        </w:tc>
      </w:tr>
      <w:tr w:rsidR="00B958B1" w:rsidRPr="00F16DCB" w:rsidTr="009F3B54">
        <w:tblPrEx>
          <w:shd w:val="clear" w:color="auto" w:fill="auto"/>
        </w:tblPrEx>
        <w:trPr>
          <w:cantSplit/>
        </w:trPr>
        <w:tc>
          <w:tcPr>
            <w:tcW w:w="7776" w:type="dxa"/>
            <w:gridSpan w:val="8"/>
            <w:tcBorders>
              <w:bottom w:val="single" w:sz="6" w:space="0" w:color="auto"/>
            </w:tcBorders>
          </w:tcPr>
          <w:p w:rsidR="00B958B1" w:rsidRPr="00F16DCB" w:rsidRDefault="00B958B1" w:rsidP="009F3B54">
            <w:pPr>
              <w:pStyle w:val="OGTableofFigures"/>
              <w:ind w:left="397" w:right="64"/>
              <w:jc w:val="left"/>
            </w:pPr>
            <w:r w:rsidRPr="00547387">
              <w:rPr>
                <w:rFonts w:cs="Calibri"/>
                <w:i/>
                <w:sz w:val="15"/>
                <w:szCs w:val="15"/>
              </w:rPr>
              <w:t>This performance measure is proposed to replace the 2012</w:t>
            </w:r>
            <w:r w:rsidR="009F0F49">
              <w:rPr>
                <w:rFonts w:cs="Calibri"/>
                <w:i/>
                <w:sz w:val="15"/>
                <w:szCs w:val="15"/>
              </w:rPr>
              <w:noBreakHyphen/>
            </w:r>
            <w:r w:rsidRPr="00547387">
              <w:rPr>
                <w:rFonts w:cs="Calibri"/>
                <w:i/>
                <w:sz w:val="15"/>
                <w:szCs w:val="15"/>
              </w:rPr>
              <w:t>13 performance measure ‘Service Provision Rating (Ministerial survey data).’ It has been replaced to reflect DTF’s commitment to utilise a standardised measure of quality.</w:t>
            </w:r>
          </w:p>
        </w:tc>
      </w:tr>
      <w:tr w:rsidR="00B958B1" w:rsidRPr="00F16DCB" w:rsidTr="009F3B54">
        <w:tblPrEx>
          <w:shd w:val="clear" w:color="auto" w:fill="auto"/>
        </w:tblPrEx>
        <w:trPr>
          <w:cantSplit/>
        </w:trPr>
        <w:tc>
          <w:tcPr>
            <w:tcW w:w="3159" w:type="dxa"/>
            <w:gridSpan w:val="2"/>
            <w:tcBorders>
              <w:top w:val="single" w:sz="6" w:space="0" w:color="auto"/>
            </w:tcBorders>
          </w:tcPr>
          <w:p w:rsidR="00B958B1" w:rsidRPr="00F16DCB" w:rsidRDefault="00B958B1" w:rsidP="009F3B54">
            <w:pPr>
              <w:pStyle w:val="OGTabHead"/>
            </w:pPr>
            <w:r w:rsidRPr="00F16DCB">
              <w:t>Timeliness</w:t>
            </w:r>
          </w:p>
        </w:tc>
        <w:tc>
          <w:tcPr>
            <w:tcW w:w="899" w:type="dxa"/>
            <w:tcBorders>
              <w:top w:val="single" w:sz="6" w:space="0" w:color="auto"/>
            </w:tcBorders>
          </w:tcPr>
          <w:p w:rsidR="00B958B1" w:rsidRPr="00F16DCB" w:rsidRDefault="00B958B1" w:rsidP="009F3B54">
            <w:pPr>
              <w:pStyle w:val="OGTabHead"/>
            </w:pPr>
          </w:p>
        </w:tc>
        <w:tc>
          <w:tcPr>
            <w:tcW w:w="906" w:type="dxa"/>
            <w:tcBorders>
              <w:top w:val="single" w:sz="6" w:space="0" w:color="auto"/>
            </w:tcBorders>
          </w:tcPr>
          <w:p w:rsidR="00B958B1" w:rsidRPr="00F16DCB" w:rsidRDefault="00B958B1" w:rsidP="009F3B54">
            <w:pPr>
              <w:pStyle w:val="OGTabHead"/>
            </w:pPr>
          </w:p>
        </w:tc>
        <w:tc>
          <w:tcPr>
            <w:tcW w:w="992" w:type="dxa"/>
            <w:tcBorders>
              <w:top w:val="single" w:sz="6" w:space="0" w:color="auto"/>
            </w:tcBorders>
          </w:tcPr>
          <w:p w:rsidR="00B958B1" w:rsidRPr="00F16DCB" w:rsidRDefault="00B958B1" w:rsidP="009F3B54">
            <w:pPr>
              <w:pStyle w:val="OGTabHead"/>
            </w:pPr>
          </w:p>
        </w:tc>
        <w:tc>
          <w:tcPr>
            <w:tcW w:w="899" w:type="dxa"/>
            <w:tcBorders>
              <w:top w:val="single" w:sz="6" w:space="0" w:color="auto"/>
            </w:tcBorders>
          </w:tcPr>
          <w:p w:rsidR="00B958B1" w:rsidRPr="00F16DCB" w:rsidRDefault="00B958B1" w:rsidP="009F3B54">
            <w:pPr>
              <w:pStyle w:val="OGTabHead"/>
            </w:pPr>
          </w:p>
        </w:tc>
        <w:tc>
          <w:tcPr>
            <w:tcW w:w="921" w:type="dxa"/>
            <w:gridSpan w:val="2"/>
            <w:tcBorders>
              <w:top w:val="single" w:sz="6" w:space="0" w:color="auto"/>
            </w:tcBorders>
          </w:tcPr>
          <w:p w:rsidR="00B958B1" w:rsidRPr="00F16DCB" w:rsidRDefault="00B958B1" w:rsidP="009F3B54">
            <w:pPr>
              <w:pStyle w:val="OGTabHead"/>
            </w:pPr>
          </w:p>
        </w:tc>
      </w:tr>
      <w:tr w:rsidR="00B958B1" w:rsidRPr="00F16DCB" w:rsidTr="009F3B54">
        <w:tblPrEx>
          <w:shd w:val="clear" w:color="auto" w:fill="auto"/>
        </w:tblPrEx>
        <w:trPr>
          <w:cantSplit/>
        </w:trPr>
        <w:tc>
          <w:tcPr>
            <w:tcW w:w="3159" w:type="dxa"/>
            <w:gridSpan w:val="2"/>
            <w:tcBorders>
              <w:bottom w:val="single" w:sz="6" w:space="0" w:color="auto"/>
            </w:tcBorders>
          </w:tcPr>
          <w:p w:rsidR="00B958B1" w:rsidRPr="00F16DCB" w:rsidRDefault="00B958B1" w:rsidP="009F3B54">
            <w:pPr>
              <w:pStyle w:val="OGTabText"/>
            </w:pPr>
            <w:r w:rsidRPr="00F16DCB">
              <w:t>Briefings on key Australian Bureau of Statistics economic data on day of release</w:t>
            </w:r>
          </w:p>
        </w:tc>
        <w:tc>
          <w:tcPr>
            <w:tcW w:w="899" w:type="dxa"/>
            <w:tcBorders>
              <w:bottom w:val="single" w:sz="6" w:space="0" w:color="auto"/>
            </w:tcBorders>
          </w:tcPr>
          <w:p w:rsidR="00B958B1" w:rsidRPr="00F16DCB" w:rsidRDefault="00B958B1" w:rsidP="009F3B54">
            <w:pPr>
              <w:pStyle w:val="OGUoM"/>
            </w:pPr>
            <w:r>
              <w:t>per cent</w:t>
            </w:r>
          </w:p>
        </w:tc>
        <w:tc>
          <w:tcPr>
            <w:tcW w:w="906" w:type="dxa"/>
            <w:tcBorders>
              <w:bottom w:val="single" w:sz="6" w:space="0" w:color="auto"/>
            </w:tcBorders>
          </w:tcPr>
          <w:p w:rsidR="00B958B1" w:rsidRPr="00F16DCB" w:rsidRDefault="00B958B1" w:rsidP="009F3B54">
            <w:pPr>
              <w:pStyle w:val="OGTableofFigures"/>
            </w:pPr>
            <w:r w:rsidRPr="00F16DCB">
              <w:t>100</w:t>
            </w:r>
          </w:p>
        </w:tc>
        <w:tc>
          <w:tcPr>
            <w:tcW w:w="992" w:type="dxa"/>
            <w:tcBorders>
              <w:bottom w:val="single" w:sz="6" w:space="0" w:color="auto"/>
            </w:tcBorders>
          </w:tcPr>
          <w:p w:rsidR="00B958B1" w:rsidRPr="00F16DCB" w:rsidRDefault="00B958B1" w:rsidP="009F3B54">
            <w:pPr>
              <w:pStyle w:val="OGTableofFigures"/>
            </w:pPr>
            <w:r w:rsidRPr="00F16DCB">
              <w:t>100</w:t>
            </w:r>
          </w:p>
        </w:tc>
        <w:tc>
          <w:tcPr>
            <w:tcW w:w="899" w:type="dxa"/>
            <w:tcBorders>
              <w:bottom w:val="single" w:sz="6" w:space="0" w:color="auto"/>
            </w:tcBorders>
          </w:tcPr>
          <w:p w:rsidR="00B958B1" w:rsidRPr="00F16DCB" w:rsidRDefault="00B958B1" w:rsidP="009F3B54">
            <w:pPr>
              <w:pStyle w:val="OGTableofFigures"/>
            </w:pPr>
            <w:r w:rsidRPr="00F16DCB">
              <w:t>100</w:t>
            </w:r>
          </w:p>
        </w:tc>
        <w:tc>
          <w:tcPr>
            <w:tcW w:w="921" w:type="dxa"/>
            <w:gridSpan w:val="2"/>
            <w:tcBorders>
              <w:bottom w:val="single" w:sz="6" w:space="0" w:color="auto"/>
            </w:tcBorders>
          </w:tcPr>
          <w:p w:rsidR="00B958B1" w:rsidRPr="00F16DCB" w:rsidRDefault="00B958B1" w:rsidP="009F3B54">
            <w:pPr>
              <w:pStyle w:val="OGTableofFigures"/>
            </w:pPr>
            <w:r w:rsidRPr="00F16DCB">
              <w:t>100</w:t>
            </w:r>
          </w:p>
          <w:p w:rsidR="00B958B1" w:rsidRPr="00F16DCB" w:rsidRDefault="00B958B1" w:rsidP="009F3B54">
            <w:pPr>
              <w:pStyle w:val="OGTableofFigures"/>
            </w:pPr>
          </w:p>
        </w:tc>
      </w:tr>
      <w:tr w:rsidR="00B958B1" w:rsidRPr="00F16DCB" w:rsidTr="009F3B54">
        <w:tblPrEx>
          <w:shd w:val="clear" w:color="auto" w:fill="auto"/>
        </w:tblPrEx>
        <w:trPr>
          <w:cantSplit/>
        </w:trPr>
        <w:tc>
          <w:tcPr>
            <w:tcW w:w="3159" w:type="dxa"/>
            <w:gridSpan w:val="2"/>
            <w:tcBorders>
              <w:top w:val="single" w:sz="6" w:space="0" w:color="auto"/>
              <w:bottom w:val="single" w:sz="6" w:space="0" w:color="auto"/>
            </w:tcBorders>
          </w:tcPr>
          <w:p w:rsidR="00B958B1" w:rsidRPr="00F16DCB" w:rsidRDefault="00B958B1" w:rsidP="009F3B54">
            <w:pPr>
              <w:pStyle w:val="OGTabText"/>
            </w:pPr>
            <w:r w:rsidRPr="00F16DCB">
              <w:t>Long</w:t>
            </w:r>
            <w:r w:rsidR="009F0F49">
              <w:noBreakHyphen/>
            </w:r>
            <w:r w:rsidRPr="00F16DCB">
              <w:t>term research projects managed on time</w:t>
            </w:r>
          </w:p>
        </w:tc>
        <w:tc>
          <w:tcPr>
            <w:tcW w:w="899" w:type="dxa"/>
            <w:tcBorders>
              <w:top w:val="single" w:sz="6" w:space="0" w:color="auto"/>
              <w:bottom w:val="single" w:sz="6" w:space="0" w:color="auto"/>
            </w:tcBorders>
          </w:tcPr>
          <w:p w:rsidR="00B958B1" w:rsidRPr="00F16DCB" w:rsidRDefault="00B958B1" w:rsidP="009F3B54">
            <w:pPr>
              <w:pStyle w:val="OGUoM"/>
            </w:pPr>
            <w:r>
              <w:t>per cent</w:t>
            </w:r>
          </w:p>
        </w:tc>
        <w:tc>
          <w:tcPr>
            <w:tcW w:w="906" w:type="dxa"/>
            <w:tcBorders>
              <w:top w:val="single" w:sz="6" w:space="0" w:color="auto"/>
              <w:bottom w:val="single" w:sz="6" w:space="0" w:color="auto"/>
            </w:tcBorders>
          </w:tcPr>
          <w:p w:rsidR="00B958B1" w:rsidRPr="00F16DCB" w:rsidRDefault="00B958B1" w:rsidP="009F3B54">
            <w:pPr>
              <w:pStyle w:val="OGTableofFigures"/>
            </w:pPr>
            <w:r w:rsidRPr="00F16DCB">
              <w:t>100</w:t>
            </w:r>
          </w:p>
        </w:tc>
        <w:tc>
          <w:tcPr>
            <w:tcW w:w="992" w:type="dxa"/>
            <w:tcBorders>
              <w:top w:val="single" w:sz="6" w:space="0" w:color="auto"/>
              <w:bottom w:val="single" w:sz="6" w:space="0" w:color="auto"/>
            </w:tcBorders>
          </w:tcPr>
          <w:p w:rsidR="00B958B1" w:rsidRPr="00F16DCB" w:rsidRDefault="00B958B1" w:rsidP="009F3B54">
            <w:pPr>
              <w:pStyle w:val="OGTableofFigures"/>
            </w:pPr>
            <w:r>
              <w:t>100</w:t>
            </w:r>
          </w:p>
        </w:tc>
        <w:tc>
          <w:tcPr>
            <w:tcW w:w="899" w:type="dxa"/>
            <w:tcBorders>
              <w:top w:val="single" w:sz="6" w:space="0" w:color="auto"/>
              <w:bottom w:val="single" w:sz="6" w:space="0" w:color="auto"/>
            </w:tcBorders>
          </w:tcPr>
          <w:p w:rsidR="00B958B1" w:rsidRPr="00F16DCB" w:rsidRDefault="00B958B1" w:rsidP="009F3B54">
            <w:pPr>
              <w:pStyle w:val="OGTableofFigures"/>
            </w:pPr>
            <w:r w:rsidRPr="00F16DCB">
              <w:t>100</w:t>
            </w:r>
          </w:p>
        </w:tc>
        <w:tc>
          <w:tcPr>
            <w:tcW w:w="921" w:type="dxa"/>
            <w:gridSpan w:val="2"/>
            <w:tcBorders>
              <w:top w:val="single" w:sz="6" w:space="0" w:color="auto"/>
              <w:bottom w:val="single" w:sz="6" w:space="0" w:color="auto"/>
            </w:tcBorders>
          </w:tcPr>
          <w:p w:rsidR="00B958B1" w:rsidRPr="00F16DCB" w:rsidRDefault="00B958B1" w:rsidP="009F3B54">
            <w:pPr>
              <w:pStyle w:val="OGTableofFigures"/>
            </w:pPr>
            <w:r w:rsidRPr="00F16DCB">
              <w:t>100</w:t>
            </w:r>
          </w:p>
          <w:p w:rsidR="00B958B1" w:rsidRPr="00F16DCB" w:rsidRDefault="00B958B1" w:rsidP="009F3B54">
            <w:pPr>
              <w:pStyle w:val="OGTableofFigures"/>
            </w:pPr>
          </w:p>
        </w:tc>
      </w:tr>
      <w:tr w:rsidR="00B958B1" w:rsidRPr="00F16DCB" w:rsidTr="009F3B54">
        <w:tblPrEx>
          <w:shd w:val="clear" w:color="auto" w:fill="auto"/>
        </w:tblPrEx>
        <w:trPr>
          <w:cantSplit/>
        </w:trPr>
        <w:tc>
          <w:tcPr>
            <w:tcW w:w="3159" w:type="dxa"/>
            <w:gridSpan w:val="2"/>
            <w:tcBorders>
              <w:top w:val="single" w:sz="6" w:space="0" w:color="auto"/>
              <w:bottom w:val="single" w:sz="6" w:space="0" w:color="auto"/>
            </w:tcBorders>
          </w:tcPr>
          <w:p w:rsidR="00B958B1" w:rsidRPr="00F16DCB" w:rsidRDefault="00B958B1" w:rsidP="009F3B54">
            <w:pPr>
              <w:pStyle w:val="OGTabText"/>
            </w:pPr>
            <w:r w:rsidRPr="00F16DCB">
              <w:t>Meet financial reporting deadlines</w:t>
            </w:r>
          </w:p>
        </w:tc>
        <w:tc>
          <w:tcPr>
            <w:tcW w:w="899" w:type="dxa"/>
            <w:tcBorders>
              <w:top w:val="single" w:sz="6" w:space="0" w:color="auto"/>
              <w:bottom w:val="single" w:sz="6" w:space="0" w:color="auto"/>
            </w:tcBorders>
          </w:tcPr>
          <w:p w:rsidR="00B958B1" w:rsidRPr="00F16DCB" w:rsidRDefault="00B958B1" w:rsidP="009F3B54">
            <w:pPr>
              <w:pStyle w:val="OGUoM"/>
            </w:pPr>
            <w:r>
              <w:t>per cent</w:t>
            </w:r>
          </w:p>
        </w:tc>
        <w:tc>
          <w:tcPr>
            <w:tcW w:w="906" w:type="dxa"/>
            <w:tcBorders>
              <w:top w:val="single" w:sz="6" w:space="0" w:color="auto"/>
              <w:bottom w:val="single" w:sz="6" w:space="0" w:color="auto"/>
            </w:tcBorders>
          </w:tcPr>
          <w:p w:rsidR="00B958B1" w:rsidRPr="00F16DCB" w:rsidRDefault="00B958B1" w:rsidP="009F3B54">
            <w:pPr>
              <w:pStyle w:val="OGTableofFigures"/>
            </w:pPr>
            <w:r w:rsidRPr="00F16DCB">
              <w:t>100</w:t>
            </w:r>
          </w:p>
        </w:tc>
        <w:tc>
          <w:tcPr>
            <w:tcW w:w="992" w:type="dxa"/>
            <w:tcBorders>
              <w:top w:val="single" w:sz="6" w:space="0" w:color="auto"/>
              <w:bottom w:val="single" w:sz="6" w:space="0" w:color="auto"/>
            </w:tcBorders>
          </w:tcPr>
          <w:p w:rsidR="00B958B1" w:rsidRPr="00F16DCB" w:rsidRDefault="00B958B1" w:rsidP="009F3B54">
            <w:pPr>
              <w:pStyle w:val="OGTableofFigures"/>
            </w:pPr>
            <w:r w:rsidRPr="00F16DCB">
              <w:t>100</w:t>
            </w:r>
          </w:p>
        </w:tc>
        <w:tc>
          <w:tcPr>
            <w:tcW w:w="899" w:type="dxa"/>
            <w:tcBorders>
              <w:top w:val="single" w:sz="6" w:space="0" w:color="auto"/>
              <w:bottom w:val="single" w:sz="6" w:space="0" w:color="auto"/>
            </w:tcBorders>
          </w:tcPr>
          <w:p w:rsidR="00B958B1" w:rsidRPr="00F16DCB" w:rsidRDefault="00B958B1" w:rsidP="009F3B54">
            <w:pPr>
              <w:pStyle w:val="OGTableofFigures"/>
            </w:pPr>
            <w:r w:rsidRPr="00F16DCB">
              <w:t>100</w:t>
            </w:r>
          </w:p>
        </w:tc>
        <w:tc>
          <w:tcPr>
            <w:tcW w:w="921" w:type="dxa"/>
            <w:gridSpan w:val="2"/>
            <w:tcBorders>
              <w:top w:val="single" w:sz="6" w:space="0" w:color="auto"/>
              <w:bottom w:val="single" w:sz="6" w:space="0" w:color="auto"/>
            </w:tcBorders>
          </w:tcPr>
          <w:p w:rsidR="00B958B1" w:rsidRPr="00F16DCB" w:rsidRDefault="00B958B1" w:rsidP="009F3B54">
            <w:pPr>
              <w:pStyle w:val="OGTableofFigures"/>
            </w:pPr>
            <w:r w:rsidRPr="00F16DCB">
              <w:t>100</w:t>
            </w:r>
          </w:p>
          <w:p w:rsidR="00B958B1" w:rsidRPr="00F16DCB" w:rsidRDefault="00B958B1" w:rsidP="009F3B54">
            <w:pPr>
              <w:pStyle w:val="OGTableofFigures"/>
            </w:pPr>
          </w:p>
        </w:tc>
      </w:tr>
      <w:tr w:rsidR="00B958B1" w:rsidRPr="00F16DCB" w:rsidTr="009F3B54">
        <w:tblPrEx>
          <w:shd w:val="clear" w:color="auto" w:fill="auto"/>
        </w:tblPrEx>
        <w:trPr>
          <w:cantSplit/>
        </w:trPr>
        <w:tc>
          <w:tcPr>
            <w:tcW w:w="3159" w:type="dxa"/>
            <w:gridSpan w:val="2"/>
            <w:tcBorders>
              <w:top w:val="single" w:sz="6" w:space="0" w:color="auto"/>
              <w:bottom w:val="single" w:sz="6" w:space="0" w:color="auto"/>
            </w:tcBorders>
          </w:tcPr>
          <w:p w:rsidR="00B958B1" w:rsidRPr="00F16DCB" w:rsidRDefault="00B958B1" w:rsidP="009F3B54">
            <w:pPr>
              <w:pStyle w:val="OGTabText"/>
            </w:pPr>
            <w:r w:rsidRPr="00F16DCB">
              <w:t>Response to correspondence within agreed deadlines</w:t>
            </w:r>
          </w:p>
        </w:tc>
        <w:tc>
          <w:tcPr>
            <w:tcW w:w="899" w:type="dxa"/>
            <w:tcBorders>
              <w:top w:val="single" w:sz="6" w:space="0" w:color="auto"/>
              <w:bottom w:val="single" w:sz="6" w:space="0" w:color="auto"/>
            </w:tcBorders>
          </w:tcPr>
          <w:p w:rsidR="00B958B1" w:rsidRPr="00F16DCB" w:rsidRDefault="00B958B1" w:rsidP="009F3B54">
            <w:pPr>
              <w:pStyle w:val="OGUoM"/>
            </w:pPr>
            <w:r>
              <w:t>per cent</w:t>
            </w:r>
          </w:p>
        </w:tc>
        <w:tc>
          <w:tcPr>
            <w:tcW w:w="906" w:type="dxa"/>
            <w:tcBorders>
              <w:top w:val="single" w:sz="6" w:space="0" w:color="auto"/>
              <w:bottom w:val="single" w:sz="6" w:space="0" w:color="auto"/>
            </w:tcBorders>
          </w:tcPr>
          <w:p w:rsidR="00B958B1" w:rsidRPr="00F16DCB" w:rsidRDefault="00B958B1" w:rsidP="009F3B54">
            <w:pPr>
              <w:pStyle w:val="OGTableofFigures"/>
            </w:pPr>
            <w:r w:rsidRPr="00F16DCB">
              <w:t>85</w:t>
            </w:r>
          </w:p>
        </w:tc>
        <w:tc>
          <w:tcPr>
            <w:tcW w:w="992" w:type="dxa"/>
            <w:tcBorders>
              <w:top w:val="single" w:sz="6" w:space="0" w:color="auto"/>
              <w:bottom w:val="single" w:sz="6" w:space="0" w:color="auto"/>
            </w:tcBorders>
          </w:tcPr>
          <w:p w:rsidR="00B958B1" w:rsidRPr="00F16DCB" w:rsidRDefault="00B958B1" w:rsidP="009F3B54">
            <w:pPr>
              <w:pStyle w:val="OGTableofFigures"/>
            </w:pPr>
            <w:r>
              <w:t>85</w:t>
            </w:r>
          </w:p>
        </w:tc>
        <w:tc>
          <w:tcPr>
            <w:tcW w:w="899" w:type="dxa"/>
            <w:tcBorders>
              <w:top w:val="single" w:sz="6" w:space="0" w:color="auto"/>
              <w:bottom w:val="single" w:sz="6" w:space="0" w:color="auto"/>
            </w:tcBorders>
          </w:tcPr>
          <w:p w:rsidR="00B958B1" w:rsidRPr="00F16DCB" w:rsidRDefault="00B958B1" w:rsidP="009F3B54">
            <w:pPr>
              <w:pStyle w:val="OGTableofFigures"/>
            </w:pPr>
            <w:r w:rsidRPr="00F16DCB">
              <w:t>85</w:t>
            </w:r>
          </w:p>
        </w:tc>
        <w:tc>
          <w:tcPr>
            <w:tcW w:w="921" w:type="dxa"/>
            <w:gridSpan w:val="2"/>
            <w:tcBorders>
              <w:top w:val="single" w:sz="6" w:space="0" w:color="auto"/>
              <w:bottom w:val="single" w:sz="6" w:space="0" w:color="auto"/>
            </w:tcBorders>
          </w:tcPr>
          <w:p w:rsidR="00B958B1" w:rsidRPr="00F16DCB" w:rsidRDefault="00B958B1" w:rsidP="009F3B54">
            <w:pPr>
              <w:pStyle w:val="OGTableofFigures"/>
            </w:pPr>
            <w:r>
              <w:t>79.8</w:t>
            </w:r>
          </w:p>
        </w:tc>
      </w:tr>
      <w:tr w:rsidR="00B958B1" w:rsidRPr="00F16DCB" w:rsidTr="009F3B54">
        <w:tblPrEx>
          <w:shd w:val="clear" w:color="auto" w:fill="auto"/>
        </w:tblPrEx>
        <w:trPr>
          <w:cantSplit/>
        </w:trPr>
        <w:tc>
          <w:tcPr>
            <w:tcW w:w="3159" w:type="dxa"/>
            <w:gridSpan w:val="2"/>
            <w:tcBorders>
              <w:top w:val="single" w:sz="6" w:space="0" w:color="auto"/>
            </w:tcBorders>
          </w:tcPr>
          <w:p w:rsidR="00B958B1" w:rsidRPr="00F16DCB" w:rsidRDefault="00B958B1" w:rsidP="009F3B54">
            <w:pPr>
              <w:pStyle w:val="OGTabHead"/>
              <w:keepNext w:val="0"/>
            </w:pPr>
            <w:r>
              <w:t>Cost</w:t>
            </w:r>
          </w:p>
        </w:tc>
        <w:tc>
          <w:tcPr>
            <w:tcW w:w="899" w:type="dxa"/>
            <w:tcBorders>
              <w:top w:val="single" w:sz="6" w:space="0" w:color="auto"/>
            </w:tcBorders>
          </w:tcPr>
          <w:p w:rsidR="00B958B1" w:rsidRDefault="00B958B1" w:rsidP="009F3B54">
            <w:pPr>
              <w:pStyle w:val="OGUoM"/>
            </w:pPr>
          </w:p>
        </w:tc>
        <w:tc>
          <w:tcPr>
            <w:tcW w:w="906" w:type="dxa"/>
            <w:tcBorders>
              <w:top w:val="single" w:sz="6" w:space="0" w:color="auto"/>
            </w:tcBorders>
          </w:tcPr>
          <w:p w:rsidR="00B958B1" w:rsidRPr="00F16DCB" w:rsidRDefault="00B958B1" w:rsidP="009F3B54">
            <w:pPr>
              <w:pStyle w:val="OGTableofFigures"/>
            </w:pPr>
          </w:p>
        </w:tc>
        <w:tc>
          <w:tcPr>
            <w:tcW w:w="992" w:type="dxa"/>
            <w:tcBorders>
              <w:top w:val="single" w:sz="6" w:space="0" w:color="auto"/>
            </w:tcBorders>
          </w:tcPr>
          <w:p w:rsidR="00B958B1" w:rsidRPr="00F16DCB" w:rsidRDefault="00B958B1" w:rsidP="009F3B54">
            <w:pPr>
              <w:pStyle w:val="OGTableofFigures"/>
            </w:pPr>
          </w:p>
        </w:tc>
        <w:tc>
          <w:tcPr>
            <w:tcW w:w="899" w:type="dxa"/>
            <w:tcBorders>
              <w:top w:val="single" w:sz="6" w:space="0" w:color="auto"/>
            </w:tcBorders>
          </w:tcPr>
          <w:p w:rsidR="00B958B1" w:rsidRPr="00F16DCB" w:rsidRDefault="00B958B1" w:rsidP="009F3B54">
            <w:pPr>
              <w:pStyle w:val="OGTableofFigures"/>
            </w:pPr>
          </w:p>
        </w:tc>
        <w:tc>
          <w:tcPr>
            <w:tcW w:w="921" w:type="dxa"/>
            <w:gridSpan w:val="2"/>
            <w:tcBorders>
              <w:top w:val="single" w:sz="6" w:space="0" w:color="auto"/>
            </w:tcBorders>
          </w:tcPr>
          <w:p w:rsidR="00B958B1" w:rsidRPr="00F16DCB" w:rsidRDefault="00B958B1" w:rsidP="009F3B54">
            <w:pPr>
              <w:pStyle w:val="OGTableofFigures"/>
            </w:pPr>
          </w:p>
        </w:tc>
      </w:tr>
      <w:tr w:rsidR="00B958B1" w:rsidRPr="00F16DCB" w:rsidTr="009F3B54">
        <w:tblPrEx>
          <w:shd w:val="clear" w:color="auto" w:fill="auto"/>
        </w:tblPrEx>
        <w:trPr>
          <w:cantSplit/>
        </w:trPr>
        <w:tc>
          <w:tcPr>
            <w:tcW w:w="3159" w:type="dxa"/>
            <w:gridSpan w:val="2"/>
          </w:tcPr>
          <w:p w:rsidR="00B958B1" w:rsidRPr="00F16DCB" w:rsidRDefault="00B958B1" w:rsidP="009F3B54">
            <w:pPr>
              <w:pStyle w:val="OGTabText"/>
            </w:pPr>
            <w:r>
              <w:t>Total output cost</w:t>
            </w:r>
          </w:p>
        </w:tc>
        <w:tc>
          <w:tcPr>
            <w:tcW w:w="899" w:type="dxa"/>
          </w:tcPr>
          <w:p w:rsidR="00B958B1" w:rsidRPr="00F16DCB" w:rsidRDefault="00B958B1" w:rsidP="009F3B54">
            <w:pPr>
              <w:pStyle w:val="OGUoM"/>
            </w:pPr>
            <w:r>
              <w:t>$ million</w:t>
            </w:r>
          </w:p>
        </w:tc>
        <w:tc>
          <w:tcPr>
            <w:tcW w:w="906" w:type="dxa"/>
          </w:tcPr>
          <w:p w:rsidR="00B958B1" w:rsidRPr="00E61560" w:rsidRDefault="00B958B1" w:rsidP="009F3B54">
            <w:pPr>
              <w:pStyle w:val="OGTableofFigures"/>
            </w:pPr>
            <w:r w:rsidRPr="00E61560">
              <w:t>19.7</w:t>
            </w:r>
          </w:p>
        </w:tc>
        <w:tc>
          <w:tcPr>
            <w:tcW w:w="992" w:type="dxa"/>
          </w:tcPr>
          <w:p w:rsidR="00B958B1" w:rsidRPr="00E61560" w:rsidRDefault="00B958B1" w:rsidP="009F3B54">
            <w:pPr>
              <w:pStyle w:val="OGTableofFigures"/>
            </w:pPr>
            <w:r w:rsidRPr="00E61560">
              <w:t>21.5</w:t>
            </w:r>
          </w:p>
        </w:tc>
        <w:tc>
          <w:tcPr>
            <w:tcW w:w="899" w:type="dxa"/>
          </w:tcPr>
          <w:p w:rsidR="00B958B1" w:rsidRPr="00E61560" w:rsidRDefault="00B958B1" w:rsidP="009F3B54">
            <w:pPr>
              <w:pStyle w:val="OGTableofFigures"/>
            </w:pPr>
            <w:r w:rsidRPr="00E61560">
              <w:t>20.0</w:t>
            </w:r>
          </w:p>
        </w:tc>
        <w:tc>
          <w:tcPr>
            <w:tcW w:w="921" w:type="dxa"/>
            <w:gridSpan w:val="2"/>
          </w:tcPr>
          <w:p w:rsidR="00B958B1" w:rsidRDefault="00B958B1" w:rsidP="009F3B54">
            <w:pPr>
              <w:pStyle w:val="OGTableofFigures"/>
            </w:pPr>
            <w:r>
              <w:t>19.6</w:t>
            </w:r>
          </w:p>
        </w:tc>
      </w:tr>
      <w:tr w:rsidR="00B958B1" w:rsidRPr="00F16DCB" w:rsidTr="009F3B54">
        <w:tblPrEx>
          <w:shd w:val="clear" w:color="auto" w:fill="auto"/>
        </w:tblPrEx>
        <w:trPr>
          <w:cantSplit/>
        </w:trPr>
        <w:tc>
          <w:tcPr>
            <w:tcW w:w="7776" w:type="dxa"/>
            <w:gridSpan w:val="8"/>
          </w:tcPr>
          <w:p w:rsidR="00B958B1" w:rsidRPr="00E61560" w:rsidRDefault="00B958B1" w:rsidP="009F3B54">
            <w:pPr>
              <w:pStyle w:val="OGTableofFigures"/>
              <w:ind w:left="397" w:right="64"/>
              <w:jc w:val="left"/>
            </w:pPr>
            <w:r w:rsidRPr="00547387">
              <w:rPr>
                <w:rFonts w:cs="Calibri"/>
                <w:i/>
                <w:sz w:val="15"/>
                <w:szCs w:val="15"/>
              </w:rPr>
              <w:t>The 2012</w:t>
            </w:r>
            <w:r w:rsidR="009F0F49">
              <w:rPr>
                <w:rFonts w:cs="Calibri"/>
                <w:i/>
                <w:sz w:val="15"/>
                <w:szCs w:val="15"/>
              </w:rPr>
              <w:noBreakHyphen/>
            </w:r>
            <w:r w:rsidRPr="00547387">
              <w:rPr>
                <w:rFonts w:cs="Calibri"/>
                <w:i/>
                <w:sz w:val="15"/>
                <w:szCs w:val="15"/>
              </w:rPr>
              <w:t>13 Expected Outcome is higher than the 2012</w:t>
            </w:r>
            <w:r w:rsidR="009F0F49">
              <w:rPr>
                <w:rFonts w:cs="Calibri"/>
                <w:i/>
                <w:sz w:val="15"/>
                <w:szCs w:val="15"/>
              </w:rPr>
              <w:noBreakHyphen/>
            </w:r>
            <w:r w:rsidRPr="00547387">
              <w:rPr>
                <w:rFonts w:cs="Calibri"/>
                <w:i/>
                <w:sz w:val="15"/>
                <w:szCs w:val="15"/>
              </w:rPr>
              <w:t>13 Target due to internal reprioritisation of resources from the Resource Management Services to Government output following a departmental restructure.</w:t>
            </w:r>
          </w:p>
        </w:tc>
      </w:tr>
      <w:tr w:rsidR="00B958B1" w:rsidRPr="00F16DCB" w:rsidTr="009F3B54">
        <w:tblPrEx>
          <w:shd w:val="clear" w:color="auto" w:fill="auto"/>
        </w:tblPrEx>
        <w:trPr>
          <w:cantSplit/>
        </w:trPr>
        <w:tc>
          <w:tcPr>
            <w:tcW w:w="7776" w:type="dxa"/>
            <w:gridSpan w:val="8"/>
            <w:tcBorders>
              <w:bottom w:val="single" w:sz="12" w:space="0" w:color="auto"/>
            </w:tcBorders>
          </w:tcPr>
          <w:p w:rsidR="00B958B1" w:rsidRPr="00547387" w:rsidRDefault="00B958B1" w:rsidP="009F3B54">
            <w:pPr>
              <w:pStyle w:val="OGTableofFigures"/>
              <w:ind w:left="397" w:right="64"/>
              <w:jc w:val="left"/>
              <w:rPr>
                <w:rFonts w:cs="Calibri"/>
                <w:i/>
                <w:sz w:val="15"/>
                <w:szCs w:val="15"/>
              </w:rPr>
            </w:pPr>
            <w:r>
              <w:rPr>
                <w:rFonts w:cs="Calibri"/>
                <w:i/>
                <w:sz w:val="15"/>
                <w:szCs w:val="15"/>
              </w:rPr>
              <w:t>The lower 2013</w:t>
            </w:r>
            <w:r w:rsidR="009F0F49">
              <w:rPr>
                <w:rFonts w:cs="Calibri"/>
                <w:i/>
                <w:sz w:val="15"/>
                <w:szCs w:val="15"/>
              </w:rPr>
              <w:noBreakHyphen/>
            </w:r>
            <w:r>
              <w:rPr>
                <w:rFonts w:cs="Calibri"/>
                <w:i/>
                <w:sz w:val="15"/>
                <w:szCs w:val="15"/>
              </w:rPr>
              <w:t>14 Target is due to an internal reprioritisation of resources.</w:t>
            </w:r>
          </w:p>
        </w:tc>
      </w:tr>
    </w:tbl>
    <w:p w:rsidR="00B958B1" w:rsidRDefault="00B958B1" w:rsidP="009F3B54">
      <w:pPr>
        <w:pStyle w:val="Source"/>
      </w:pPr>
      <w:r>
        <w:t>Source: Department of Treasury and Finance</w:t>
      </w:r>
    </w:p>
    <w:p w:rsidR="00B958B1" w:rsidRDefault="00B958B1" w:rsidP="009F3B54">
      <w:pPr>
        <w:pStyle w:val="Source"/>
      </w:pPr>
      <w:r>
        <w:fldChar w:fldCharType="begin"/>
      </w:r>
      <w:r>
        <w:instrText xml:space="preserve"> XE “</w:instrText>
      </w:r>
      <w:r w:rsidRPr="00A31402">
        <w:instrText>Department of Treasury and Finance:Strategic Policy Advice</w:instrText>
      </w:r>
      <w:r>
        <w:instrText xml:space="preserve">” \r “BP3DTFStratPolAdvce” </w:instrText>
      </w:r>
      <w:r>
        <w:fldChar w:fldCharType="end"/>
      </w:r>
    </w:p>
    <w:bookmarkEnd w:id="145"/>
    <w:p w:rsidR="00B958B1" w:rsidRPr="00F16DCB" w:rsidRDefault="00B958B1">
      <w:pPr>
        <w:rPr>
          <w:i/>
        </w:rPr>
      </w:pPr>
    </w:p>
    <w:p w:rsidR="00B958B1" w:rsidRPr="00F16DCB" w:rsidRDefault="00B958B1" w:rsidP="009F3B54">
      <w:pPr>
        <w:pStyle w:val="OGHeading1"/>
      </w:pPr>
      <w:r w:rsidRPr="00F16DCB">
        <w:rPr>
          <w:rFonts w:ascii="Garamond" w:hAnsi="Garamond"/>
          <w:sz w:val="22"/>
          <w:szCs w:val="20"/>
        </w:rPr>
        <w:br w:type="page"/>
      </w:r>
      <w:bookmarkStart w:id="146" w:name="BP3DTFFinMgmtSvces"/>
      <w:r w:rsidRPr="00F16DCB">
        <w:t>Financial Management Services</w:t>
      </w:r>
    </w:p>
    <w:p w:rsidR="00B958B1" w:rsidRDefault="00B958B1" w:rsidP="009F3B54">
      <w:pPr>
        <w:pStyle w:val="OGText"/>
        <w:rPr>
          <w:lang w:eastAsia="en-AU"/>
        </w:rPr>
      </w:pPr>
      <w:r>
        <w:rPr>
          <w:lang w:eastAsia="en-AU"/>
        </w:rPr>
        <w:t>These outputs provide financial management services to departments, agencies, Government Business Enterprises (GBEs) and Registered Housing Agencies. These services include:</w:t>
      </w:r>
    </w:p>
    <w:p w:rsidR="00B958B1" w:rsidRDefault="00B958B1" w:rsidP="009F3B54">
      <w:pPr>
        <w:pStyle w:val="OGBullet"/>
        <w:rPr>
          <w:lang w:eastAsia="en-AU"/>
        </w:rPr>
      </w:pPr>
      <w:r>
        <w:rPr>
          <w:lang w:eastAsia="en-AU"/>
        </w:rPr>
        <w:t>managing and forecasting cash balances and central government cash transactions;</w:t>
      </w:r>
    </w:p>
    <w:p w:rsidR="00B958B1" w:rsidRDefault="00B958B1" w:rsidP="009F3B54">
      <w:pPr>
        <w:pStyle w:val="OGBullet"/>
        <w:rPr>
          <w:lang w:eastAsia="en-AU"/>
        </w:rPr>
      </w:pPr>
      <w:r>
        <w:rPr>
          <w:lang w:eastAsia="en-AU"/>
        </w:rPr>
        <w:t>the management of the liabilities of Victoria’s public sector superannuation schemes;</w:t>
      </w:r>
    </w:p>
    <w:p w:rsidR="00B958B1" w:rsidRDefault="00B958B1" w:rsidP="009F3B54">
      <w:pPr>
        <w:pStyle w:val="OGBullet"/>
        <w:rPr>
          <w:lang w:eastAsia="en-AU"/>
        </w:rPr>
      </w:pPr>
      <w:r>
        <w:rPr>
          <w:lang w:eastAsia="en-AU"/>
        </w:rPr>
        <w:t>monitoring the performance of GBEs;</w:t>
      </w:r>
    </w:p>
    <w:p w:rsidR="00B958B1" w:rsidRDefault="00B958B1" w:rsidP="009F3B54">
      <w:pPr>
        <w:pStyle w:val="OGBullet"/>
        <w:rPr>
          <w:lang w:eastAsia="en-AU"/>
        </w:rPr>
      </w:pPr>
      <w:r>
        <w:rPr>
          <w:lang w:eastAsia="en-AU"/>
        </w:rPr>
        <w:t>preparing the State’s consolidated financial and budget related reports;</w:t>
      </w:r>
    </w:p>
    <w:p w:rsidR="00B958B1" w:rsidRDefault="00B958B1" w:rsidP="009F3B54">
      <w:pPr>
        <w:pStyle w:val="OGBullet"/>
        <w:rPr>
          <w:lang w:eastAsia="en-AU"/>
        </w:rPr>
      </w:pPr>
      <w:r>
        <w:rPr>
          <w:lang w:eastAsia="en-AU"/>
        </w:rPr>
        <w:t>providing financial risk management and advice to manage the State’s financial risks;</w:t>
      </w:r>
    </w:p>
    <w:p w:rsidR="00B958B1" w:rsidRDefault="00B958B1" w:rsidP="009F3B54">
      <w:pPr>
        <w:pStyle w:val="OGBullet"/>
        <w:rPr>
          <w:lang w:eastAsia="en-AU"/>
        </w:rPr>
      </w:pPr>
      <w:r>
        <w:rPr>
          <w:lang w:eastAsia="en-AU"/>
        </w:rPr>
        <w:t>reviewing and analysing the performance of departments, with a focus on delivering value for money services to the community; and</w:t>
      </w:r>
    </w:p>
    <w:p w:rsidR="00B958B1" w:rsidRDefault="00B958B1" w:rsidP="009F3B54">
      <w:pPr>
        <w:pStyle w:val="OGBullet"/>
        <w:rPr>
          <w:lang w:eastAsia="en-AU"/>
        </w:rPr>
      </w:pPr>
      <w:r>
        <w:rPr>
          <w:lang w:eastAsia="en-AU"/>
        </w:rPr>
        <w:t>reviewing Registered Housing Agencies.</w:t>
      </w:r>
    </w:p>
    <w:p w:rsidR="00B958B1" w:rsidRDefault="00B958B1" w:rsidP="009F3B54">
      <w:pPr>
        <w:pStyle w:val="OGText"/>
        <w:rPr>
          <w:lang w:eastAsia="en-AU"/>
        </w:rPr>
      </w:pPr>
      <w:r>
        <w:rPr>
          <w:lang w:eastAsia="en-AU"/>
        </w:rPr>
        <w:t xml:space="preserve">By assisting </w:t>
      </w:r>
      <w:r w:rsidRPr="00523465">
        <w:t>government</w:t>
      </w:r>
      <w:r>
        <w:rPr>
          <w:lang w:eastAsia="en-AU"/>
        </w:rPr>
        <w:t xml:space="preserve"> in making sound and informed financial management decisions, these outputs contribute to the department objective of sound financial management of the State’s fiscal resources.</w:t>
      </w:r>
    </w:p>
    <w:tbl>
      <w:tblPr>
        <w:tblStyle w:val="TableGrid"/>
        <w:tblW w:w="7776" w:type="dxa"/>
        <w:tblInd w:w="29" w:type="dxa"/>
        <w:tblLayout w:type="fixed"/>
        <w:tblCellMar>
          <w:left w:w="43" w:type="dxa"/>
          <w:right w:w="43" w:type="dxa"/>
        </w:tblCellMar>
        <w:tblLook w:val="0420" w:firstRow="1" w:lastRow="0" w:firstColumn="0" w:lastColumn="0" w:noHBand="0" w:noVBand="1"/>
      </w:tblPr>
      <w:tblGrid>
        <w:gridCol w:w="3135"/>
        <w:gridCol w:w="13"/>
        <w:gridCol w:w="906"/>
        <w:gridCol w:w="908"/>
        <w:gridCol w:w="995"/>
        <w:gridCol w:w="899"/>
        <w:gridCol w:w="7"/>
        <w:gridCol w:w="913"/>
      </w:tblGrid>
      <w:tr w:rsidR="00B958B1" w:rsidRPr="00F16DCB" w:rsidTr="009F3B54">
        <w:trPr>
          <w:cantSplit/>
          <w:tblHeader/>
        </w:trPr>
        <w:tc>
          <w:tcPr>
            <w:tcW w:w="3148" w:type="dxa"/>
            <w:gridSpan w:val="2"/>
            <w:tcBorders>
              <w:top w:val="single" w:sz="6" w:space="0" w:color="auto"/>
              <w:left w:val="single" w:sz="6" w:space="0" w:color="auto"/>
              <w:bottom w:val="single" w:sz="6" w:space="0" w:color="auto"/>
            </w:tcBorders>
            <w:shd w:val="clear" w:color="auto" w:fill="000000" w:themeFill="text1"/>
          </w:tcPr>
          <w:p w:rsidR="00B958B1" w:rsidRDefault="00B958B1" w:rsidP="009F3B54">
            <w:pPr>
              <w:pStyle w:val="OGTabColLeft"/>
            </w:pPr>
            <w:r>
              <w:rPr>
                <w:shd w:val="clear" w:color="auto" w:fill="000000"/>
              </w:rPr>
              <w:br/>
            </w:r>
            <w:r w:rsidRPr="00F16DCB">
              <w:rPr>
                <w:shd w:val="clear" w:color="auto" w:fill="000000"/>
              </w:rPr>
              <w:t xml:space="preserve">Major </w:t>
            </w:r>
            <w:r w:rsidRPr="00F16DCB">
              <w:t>outputs/deliverables</w:t>
            </w:r>
            <w:r w:rsidRPr="00F16DCB">
              <w:br/>
            </w:r>
            <w:r w:rsidRPr="003600B3">
              <w:rPr>
                <w:b w:val="0"/>
                <w:i/>
                <w:iCs/>
              </w:rPr>
              <w:t>Performance measures</w:t>
            </w:r>
          </w:p>
        </w:tc>
        <w:tc>
          <w:tcPr>
            <w:tcW w:w="906" w:type="dxa"/>
            <w:tcBorders>
              <w:top w:val="single" w:sz="6" w:space="0" w:color="auto"/>
              <w:bottom w:val="single" w:sz="6" w:space="0" w:color="auto"/>
            </w:tcBorders>
            <w:shd w:val="clear" w:color="auto" w:fill="000000" w:themeFill="text1"/>
          </w:tcPr>
          <w:p w:rsidR="00B958B1" w:rsidRDefault="00B958B1" w:rsidP="009F3B54">
            <w:pPr>
              <w:pStyle w:val="OGTabColCentred"/>
            </w:pPr>
            <w:r>
              <w:br/>
            </w:r>
            <w:r w:rsidRPr="00F16DCB">
              <w:t xml:space="preserve">Unit of </w:t>
            </w:r>
            <w:r w:rsidRPr="00F16DCB">
              <w:br/>
              <w:t>measure</w:t>
            </w:r>
          </w:p>
        </w:tc>
        <w:tc>
          <w:tcPr>
            <w:tcW w:w="908" w:type="dxa"/>
            <w:tcBorders>
              <w:top w:val="single" w:sz="6" w:space="0" w:color="auto"/>
              <w:bottom w:val="single" w:sz="6" w:space="0" w:color="auto"/>
            </w:tcBorders>
            <w:shd w:val="clear" w:color="auto" w:fill="000000" w:themeFill="text1"/>
          </w:tcPr>
          <w:p w:rsidR="00B958B1" w:rsidRDefault="00B958B1" w:rsidP="009F3B54">
            <w:pPr>
              <w:pStyle w:val="OGTabColRight"/>
              <w:rPr>
                <w:lang w:eastAsia="en-AU"/>
              </w:rPr>
            </w:pPr>
            <w:r>
              <w:br/>
            </w:r>
            <w:r w:rsidRPr="00F16DCB">
              <w:t>2013</w:t>
            </w:r>
            <w:r w:rsidR="009F0F49">
              <w:noBreakHyphen/>
            </w:r>
            <w:r w:rsidRPr="00F16DCB">
              <w:t xml:space="preserve">14 </w:t>
            </w:r>
            <w:r>
              <w:t>Target</w:t>
            </w:r>
          </w:p>
        </w:tc>
        <w:tc>
          <w:tcPr>
            <w:tcW w:w="995" w:type="dxa"/>
            <w:tcBorders>
              <w:top w:val="single" w:sz="6" w:space="0" w:color="auto"/>
              <w:bottom w:val="single" w:sz="6" w:space="0" w:color="auto"/>
            </w:tcBorders>
            <w:shd w:val="clear" w:color="auto" w:fill="000000" w:themeFill="text1"/>
          </w:tcPr>
          <w:p w:rsidR="00B958B1" w:rsidRDefault="00B958B1" w:rsidP="009F3B54">
            <w:pPr>
              <w:pStyle w:val="OGTabColRight"/>
              <w:rPr>
                <w:lang w:eastAsia="en-AU"/>
              </w:rPr>
            </w:pPr>
            <w:r w:rsidRPr="00F16DCB">
              <w:t>2012</w:t>
            </w:r>
            <w:r w:rsidR="009F0F49">
              <w:noBreakHyphen/>
            </w:r>
            <w:r w:rsidRPr="00F16DCB">
              <w:t xml:space="preserve">13 </w:t>
            </w:r>
            <w:r>
              <w:t>Expected Outcome</w:t>
            </w:r>
          </w:p>
        </w:tc>
        <w:tc>
          <w:tcPr>
            <w:tcW w:w="899" w:type="dxa"/>
            <w:tcBorders>
              <w:top w:val="single" w:sz="6" w:space="0" w:color="auto"/>
              <w:bottom w:val="single" w:sz="6" w:space="0" w:color="auto"/>
            </w:tcBorders>
            <w:shd w:val="clear" w:color="auto" w:fill="000000" w:themeFill="text1"/>
          </w:tcPr>
          <w:p w:rsidR="00B958B1" w:rsidRDefault="00B958B1" w:rsidP="009F3B54">
            <w:pPr>
              <w:pStyle w:val="OGTabColRight"/>
              <w:rPr>
                <w:lang w:eastAsia="en-AU"/>
              </w:rPr>
            </w:pPr>
            <w:r>
              <w:br/>
            </w:r>
            <w:r w:rsidRPr="00F16DCB">
              <w:t>2012</w:t>
            </w:r>
            <w:r w:rsidR="009F0F49">
              <w:noBreakHyphen/>
            </w:r>
            <w:r w:rsidRPr="00F16DCB">
              <w:t xml:space="preserve">13 </w:t>
            </w:r>
            <w:r>
              <w:t>Target</w:t>
            </w:r>
          </w:p>
        </w:tc>
        <w:tc>
          <w:tcPr>
            <w:tcW w:w="920" w:type="dxa"/>
            <w:gridSpan w:val="2"/>
            <w:tcBorders>
              <w:top w:val="single" w:sz="6" w:space="0" w:color="auto"/>
              <w:bottom w:val="single" w:sz="6" w:space="0" w:color="auto"/>
              <w:right w:val="single" w:sz="6" w:space="0" w:color="auto"/>
            </w:tcBorders>
            <w:shd w:val="clear" w:color="auto" w:fill="000000" w:themeFill="text1"/>
          </w:tcPr>
          <w:p w:rsidR="00B958B1" w:rsidRDefault="00B958B1" w:rsidP="009F3B54">
            <w:pPr>
              <w:pStyle w:val="OGTabColRight"/>
              <w:rPr>
                <w:lang w:eastAsia="en-AU"/>
              </w:rPr>
            </w:pPr>
            <w:r>
              <w:br/>
            </w:r>
            <w:r w:rsidRPr="00F16DCB">
              <w:t>2011</w:t>
            </w:r>
            <w:r w:rsidR="009F0F49">
              <w:noBreakHyphen/>
            </w:r>
            <w:r w:rsidRPr="00F16DCB">
              <w:t>12 actual</w:t>
            </w:r>
          </w:p>
        </w:tc>
      </w:tr>
      <w:tr w:rsidR="00B958B1" w:rsidRPr="00F16DCB" w:rsidTr="009F3B54">
        <w:trPr>
          <w:cantSplit/>
        </w:trPr>
        <w:tc>
          <w:tcPr>
            <w:tcW w:w="7776" w:type="dxa"/>
            <w:gridSpan w:val="8"/>
            <w:tcBorders>
              <w:bottom w:val="single" w:sz="6" w:space="0" w:color="auto"/>
            </w:tcBorders>
          </w:tcPr>
          <w:p w:rsidR="00B958B1" w:rsidRDefault="00B958B1" w:rsidP="009F3B54">
            <w:pPr>
              <w:pStyle w:val="OGHeading2"/>
              <w:rPr>
                <w:lang w:eastAsia="en-AU"/>
              </w:rPr>
            </w:pPr>
            <w:r w:rsidRPr="00F16DCB">
              <w:t>Financial Reporting</w:t>
            </w:r>
          </w:p>
        </w:tc>
      </w:tr>
      <w:tr w:rsidR="00B958B1" w:rsidRPr="00F16DCB" w:rsidTr="009F3B54">
        <w:trPr>
          <w:cantSplit/>
        </w:trPr>
        <w:tc>
          <w:tcPr>
            <w:tcW w:w="7776" w:type="dxa"/>
            <w:gridSpan w:val="8"/>
            <w:tcBorders>
              <w:bottom w:val="single" w:sz="6" w:space="0" w:color="auto"/>
            </w:tcBorders>
          </w:tcPr>
          <w:p w:rsidR="00B958B1" w:rsidRDefault="00B958B1" w:rsidP="009F3B54">
            <w:pPr>
              <w:pStyle w:val="OGText"/>
              <w:keepNext w:val="0"/>
              <w:jc w:val="left"/>
              <w:rPr>
                <w:lang w:eastAsia="en-AU"/>
              </w:rPr>
            </w:pPr>
            <w:r>
              <w:rPr>
                <w:lang w:eastAsia="en-AU"/>
              </w:rPr>
              <w:t>This output contributes to the Department’s objective of providing sound financial management of Victoria’s fiscal resources by maintaining the integrity of systems and information for financial planning, management, monitoring and reporting of the State of Victoria through:</w:t>
            </w:r>
          </w:p>
          <w:p w:rsidR="00B958B1" w:rsidRDefault="00B958B1" w:rsidP="009F3B54">
            <w:pPr>
              <w:pStyle w:val="OGBullet"/>
              <w:rPr>
                <w:lang w:eastAsia="en-AU"/>
              </w:rPr>
            </w:pPr>
            <w:r>
              <w:rPr>
                <w:lang w:eastAsia="en-AU"/>
              </w:rPr>
              <w:t>publication of the State Budget and budget related documents;</w:t>
            </w:r>
          </w:p>
          <w:p w:rsidR="00B958B1" w:rsidRDefault="00B958B1" w:rsidP="009F3B54">
            <w:pPr>
              <w:pStyle w:val="OGBullet"/>
              <w:rPr>
                <w:lang w:eastAsia="en-AU"/>
              </w:rPr>
            </w:pPr>
            <w:r>
              <w:rPr>
                <w:lang w:eastAsia="en-AU"/>
              </w:rPr>
              <w:t>reporting, monitoring and publication of financial and non</w:t>
            </w:r>
            <w:r w:rsidR="009F0F49">
              <w:rPr>
                <w:lang w:eastAsia="en-AU"/>
              </w:rPr>
              <w:noBreakHyphen/>
            </w:r>
            <w:r>
              <w:rPr>
                <w:lang w:eastAsia="en-AU"/>
              </w:rPr>
              <w:t xml:space="preserve">financial performance in the Victorian public sector; </w:t>
            </w:r>
          </w:p>
          <w:p w:rsidR="00B958B1" w:rsidRDefault="00B958B1" w:rsidP="009F3B54">
            <w:pPr>
              <w:pStyle w:val="OGBullet"/>
              <w:rPr>
                <w:lang w:eastAsia="en-AU"/>
              </w:rPr>
            </w:pPr>
            <w:r>
              <w:rPr>
                <w:lang w:eastAsia="en-AU"/>
              </w:rPr>
              <w:t>management of the daily cash requirements including investments and borrowings of the Public Account; and</w:t>
            </w:r>
          </w:p>
          <w:p w:rsidR="00B958B1" w:rsidRPr="00F16DCB" w:rsidRDefault="00B958B1" w:rsidP="009F3B54">
            <w:pPr>
              <w:pStyle w:val="OGBullet"/>
            </w:pPr>
            <w:r>
              <w:rPr>
                <w:lang w:eastAsia="en-AU"/>
              </w:rPr>
              <w:t>best practice financial reporting framework, and whole of state management information systems, supporting financial reporting across the Victorian public sector.</w:t>
            </w:r>
          </w:p>
        </w:tc>
      </w:tr>
      <w:tr w:rsidR="00B958B1" w:rsidRPr="00F16DCB" w:rsidTr="009F3B54">
        <w:trPr>
          <w:cantSplit/>
        </w:trPr>
        <w:tc>
          <w:tcPr>
            <w:tcW w:w="3135" w:type="dxa"/>
            <w:tcBorders>
              <w:top w:val="single" w:sz="6" w:space="0" w:color="auto"/>
            </w:tcBorders>
          </w:tcPr>
          <w:p w:rsidR="00B958B1" w:rsidRPr="00F16DCB" w:rsidRDefault="00B958B1" w:rsidP="009F3B54">
            <w:pPr>
              <w:pStyle w:val="OGTabHead"/>
              <w:jc w:val="left"/>
            </w:pPr>
            <w:r w:rsidRPr="00F16DCB">
              <w:t>Quantity</w:t>
            </w:r>
          </w:p>
        </w:tc>
        <w:tc>
          <w:tcPr>
            <w:tcW w:w="919" w:type="dxa"/>
            <w:gridSpan w:val="2"/>
            <w:tcBorders>
              <w:top w:val="single" w:sz="6" w:space="0" w:color="auto"/>
            </w:tcBorders>
          </w:tcPr>
          <w:p w:rsidR="00B958B1" w:rsidRPr="00F16DCB" w:rsidRDefault="00B958B1" w:rsidP="009F3B54">
            <w:pPr>
              <w:pStyle w:val="OGTabHead"/>
            </w:pPr>
          </w:p>
        </w:tc>
        <w:tc>
          <w:tcPr>
            <w:tcW w:w="908" w:type="dxa"/>
            <w:tcBorders>
              <w:top w:val="single" w:sz="6" w:space="0" w:color="auto"/>
            </w:tcBorders>
            <w:shd w:val="clear" w:color="auto" w:fill="D9D9D9"/>
          </w:tcPr>
          <w:p w:rsidR="00B958B1" w:rsidRPr="00F16DCB" w:rsidRDefault="00B958B1" w:rsidP="009F3B54">
            <w:pPr>
              <w:pStyle w:val="OGTabHead"/>
            </w:pPr>
            <w:r w:rsidRPr="00F16DCB">
              <w:t> </w:t>
            </w:r>
          </w:p>
        </w:tc>
        <w:tc>
          <w:tcPr>
            <w:tcW w:w="995" w:type="dxa"/>
            <w:tcBorders>
              <w:top w:val="single" w:sz="6" w:space="0" w:color="auto"/>
            </w:tcBorders>
          </w:tcPr>
          <w:p w:rsidR="00B958B1" w:rsidRPr="00F16DCB" w:rsidRDefault="00B958B1" w:rsidP="009F3B54">
            <w:pPr>
              <w:pStyle w:val="OGTabHead"/>
            </w:pPr>
          </w:p>
        </w:tc>
        <w:tc>
          <w:tcPr>
            <w:tcW w:w="906" w:type="dxa"/>
            <w:gridSpan w:val="2"/>
            <w:tcBorders>
              <w:top w:val="single" w:sz="6" w:space="0" w:color="auto"/>
            </w:tcBorders>
          </w:tcPr>
          <w:p w:rsidR="00B958B1" w:rsidRPr="00F16DCB" w:rsidRDefault="00B958B1" w:rsidP="009F3B54">
            <w:pPr>
              <w:pStyle w:val="OGTabHead"/>
            </w:pPr>
          </w:p>
        </w:tc>
        <w:tc>
          <w:tcPr>
            <w:tcW w:w="913" w:type="dxa"/>
            <w:tcBorders>
              <w:top w:val="single" w:sz="6" w:space="0" w:color="auto"/>
            </w:tcBorders>
          </w:tcPr>
          <w:p w:rsidR="00B958B1" w:rsidRPr="00F16DCB" w:rsidRDefault="00B958B1" w:rsidP="009F3B54">
            <w:pPr>
              <w:pStyle w:val="OGTabHead"/>
            </w:pPr>
          </w:p>
        </w:tc>
      </w:tr>
      <w:tr w:rsidR="00B958B1" w:rsidRPr="00F16DCB" w:rsidTr="009F3B54">
        <w:trPr>
          <w:cantSplit/>
        </w:trPr>
        <w:tc>
          <w:tcPr>
            <w:tcW w:w="3135" w:type="dxa"/>
          </w:tcPr>
          <w:p w:rsidR="00B958B1" w:rsidRPr="00F16DCB" w:rsidRDefault="00B958B1" w:rsidP="009F3B54">
            <w:pPr>
              <w:pStyle w:val="OGTabText"/>
              <w:keepNext/>
              <w:keepLines/>
              <w:jc w:val="left"/>
            </w:pPr>
            <w:r w:rsidRPr="00F16DCB">
              <w:t>Auditor</w:t>
            </w:r>
            <w:r w:rsidR="009F0F49">
              <w:noBreakHyphen/>
            </w:r>
            <w:r w:rsidRPr="00F16DCB">
              <w:t>General qualification relating to</w:t>
            </w:r>
            <w:r>
              <w:t xml:space="preserve"> </w:t>
            </w:r>
            <w:r w:rsidRPr="00F16DCB">
              <w:t>material weaknesses in financial reporting systems and processes</w:t>
            </w:r>
            <w:r>
              <w:t xml:space="preserve"> </w:t>
            </w:r>
            <w:r w:rsidRPr="00F16DCB">
              <w:t xml:space="preserve">for the State of Victoria Financial Report or Estimated Financial Statements </w:t>
            </w:r>
          </w:p>
        </w:tc>
        <w:tc>
          <w:tcPr>
            <w:tcW w:w="919" w:type="dxa"/>
            <w:gridSpan w:val="2"/>
          </w:tcPr>
          <w:p w:rsidR="00B958B1" w:rsidRPr="00F16DCB" w:rsidRDefault="00B958B1" w:rsidP="009F3B54">
            <w:pPr>
              <w:pStyle w:val="OGUoM"/>
              <w:keepNext/>
              <w:keepLines/>
            </w:pPr>
            <w:r w:rsidRPr="00F16DCB">
              <w:t>number</w:t>
            </w:r>
          </w:p>
        </w:tc>
        <w:tc>
          <w:tcPr>
            <w:tcW w:w="908" w:type="dxa"/>
            <w:shd w:val="clear" w:color="auto" w:fill="D9D9D9"/>
          </w:tcPr>
          <w:p w:rsidR="00B958B1" w:rsidRPr="00F16DCB" w:rsidRDefault="00B958B1" w:rsidP="009F3B54">
            <w:pPr>
              <w:pStyle w:val="OGTableofFigures"/>
              <w:keepNext/>
              <w:keepLines/>
            </w:pPr>
            <w:r>
              <w:t>0</w:t>
            </w:r>
          </w:p>
        </w:tc>
        <w:tc>
          <w:tcPr>
            <w:tcW w:w="995" w:type="dxa"/>
          </w:tcPr>
          <w:p w:rsidR="00B958B1" w:rsidRPr="00F16DCB" w:rsidRDefault="00B958B1" w:rsidP="009F3B54">
            <w:pPr>
              <w:pStyle w:val="OGTableofFigures"/>
              <w:keepNext/>
              <w:keepLines/>
            </w:pPr>
            <w:r>
              <w:t>nm</w:t>
            </w:r>
          </w:p>
        </w:tc>
        <w:tc>
          <w:tcPr>
            <w:tcW w:w="906" w:type="dxa"/>
            <w:gridSpan w:val="2"/>
          </w:tcPr>
          <w:p w:rsidR="00B958B1" w:rsidRPr="00F16DCB" w:rsidRDefault="00B958B1" w:rsidP="009F3B54">
            <w:pPr>
              <w:pStyle w:val="OGTableofFigures"/>
              <w:keepNext/>
              <w:keepLines/>
            </w:pPr>
            <w:r>
              <w:t>nm</w:t>
            </w:r>
          </w:p>
        </w:tc>
        <w:tc>
          <w:tcPr>
            <w:tcW w:w="913" w:type="dxa"/>
          </w:tcPr>
          <w:p w:rsidR="00B958B1" w:rsidRPr="00F16DCB" w:rsidRDefault="00B958B1" w:rsidP="009F3B54">
            <w:pPr>
              <w:pStyle w:val="OGTableofFigures"/>
              <w:keepNext/>
              <w:keepLines/>
            </w:pPr>
            <w:r>
              <w:t>nm</w:t>
            </w:r>
          </w:p>
        </w:tc>
      </w:tr>
      <w:tr w:rsidR="00B958B1" w:rsidRPr="00F16DCB" w:rsidTr="009F3B54">
        <w:trPr>
          <w:cantSplit/>
        </w:trPr>
        <w:tc>
          <w:tcPr>
            <w:tcW w:w="7776" w:type="dxa"/>
            <w:gridSpan w:val="8"/>
            <w:tcBorders>
              <w:bottom w:val="single" w:sz="6" w:space="0" w:color="auto"/>
            </w:tcBorders>
          </w:tcPr>
          <w:p w:rsidR="00B958B1" w:rsidRDefault="00B958B1" w:rsidP="009F3B54">
            <w:pPr>
              <w:pStyle w:val="OGTableofFigures"/>
              <w:ind w:left="397" w:right="64"/>
              <w:jc w:val="left"/>
            </w:pPr>
            <w:r w:rsidRPr="00547387">
              <w:rPr>
                <w:rFonts w:cs="Calibri"/>
                <w:i/>
                <w:sz w:val="15"/>
                <w:szCs w:val="15"/>
              </w:rPr>
              <w:t xml:space="preserve">This performance measure </w:t>
            </w:r>
            <w:r>
              <w:rPr>
                <w:rFonts w:cs="Calibri"/>
                <w:i/>
                <w:sz w:val="15"/>
                <w:szCs w:val="15"/>
              </w:rPr>
              <w:t>is proposed to replace</w:t>
            </w:r>
            <w:r w:rsidRPr="00547387">
              <w:rPr>
                <w:rFonts w:cs="Calibri"/>
                <w:i/>
                <w:sz w:val="15"/>
                <w:szCs w:val="15"/>
              </w:rPr>
              <w:t xml:space="preserve"> the 2012</w:t>
            </w:r>
            <w:r w:rsidR="009F0F49">
              <w:rPr>
                <w:rFonts w:cs="Calibri"/>
                <w:i/>
                <w:sz w:val="15"/>
                <w:szCs w:val="15"/>
              </w:rPr>
              <w:noBreakHyphen/>
            </w:r>
            <w:r w:rsidRPr="00547387">
              <w:rPr>
                <w:rFonts w:cs="Calibri"/>
                <w:i/>
                <w:sz w:val="15"/>
                <w:szCs w:val="15"/>
              </w:rPr>
              <w:t>13 performance measure ‘Acceptable (no material weaknesses in financial systems and reporting) Financial Report for the State of Victoria and Estimated Financial Statements audit opinions by the Auditor</w:t>
            </w:r>
            <w:r w:rsidR="009F0F49">
              <w:rPr>
                <w:rFonts w:cs="Calibri"/>
                <w:i/>
                <w:sz w:val="15"/>
                <w:szCs w:val="15"/>
              </w:rPr>
              <w:noBreakHyphen/>
            </w:r>
            <w:r w:rsidRPr="00547387">
              <w:rPr>
                <w:rFonts w:cs="Calibri"/>
                <w:i/>
                <w:sz w:val="15"/>
                <w:szCs w:val="15"/>
              </w:rPr>
              <w:t>General’. The new measure reports on the same activity as the previous measure but the rephrasing and change from a quality measure to a quantity measure reflects a more rigorous approach by setting a nil tolerance for Auditor</w:t>
            </w:r>
            <w:r w:rsidR="009F0F49">
              <w:rPr>
                <w:rFonts w:cs="Calibri"/>
                <w:i/>
                <w:sz w:val="15"/>
                <w:szCs w:val="15"/>
              </w:rPr>
              <w:noBreakHyphen/>
            </w:r>
            <w:r w:rsidRPr="00547387">
              <w:rPr>
                <w:rFonts w:cs="Calibri"/>
                <w:i/>
                <w:sz w:val="15"/>
                <w:szCs w:val="15"/>
              </w:rPr>
              <w:t>General qualifications.</w:t>
            </w:r>
          </w:p>
        </w:tc>
      </w:tr>
      <w:tr w:rsidR="00B958B1" w:rsidRPr="00F16DCB" w:rsidTr="009F3B54">
        <w:trPr>
          <w:cantSplit/>
        </w:trPr>
        <w:tc>
          <w:tcPr>
            <w:tcW w:w="3135" w:type="dxa"/>
            <w:tcBorders>
              <w:top w:val="single" w:sz="6" w:space="0" w:color="auto"/>
              <w:bottom w:val="single" w:sz="6" w:space="0" w:color="auto"/>
            </w:tcBorders>
          </w:tcPr>
          <w:p w:rsidR="00B958B1" w:rsidRPr="00F16DCB" w:rsidRDefault="00B958B1" w:rsidP="009F3B54">
            <w:pPr>
              <w:pStyle w:val="OGTabText"/>
              <w:jc w:val="left"/>
            </w:pPr>
            <w:r w:rsidRPr="00F16DCB">
              <w:t>Estimates reporting</w:t>
            </w:r>
            <w:r>
              <w:t xml:space="preserve"> – </w:t>
            </w:r>
            <w:r w:rsidRPr="00F16DCB">
              <w:t>Budget and Budget Update</w:t>
            </w:r>
          </w:p>
        </w:tc>
        <w:tc>
          <w:tcPr>
            <w:tcW w:w="919" w:type="dxa"/>
            <w:gridSpan w:val="2"/>
            <w:tcBorders>
              <w:top w:val="single" w:sz="6" w:space="0" w:color="auto"/>
              <w:bottom w:val="single" w:sz="6" w:space="0" w:color="auto"/>
            </w:tcBorders>
          </w:tcPr>
          <w:p w:rsidR="00B958B1" w:rsidRPr="00F16DCB" w:rsidRDefault="00B958B1" w:rsidP="009F3B54">
            <w:pPr>
              <w:pStyle w:val="OGUoM"/>
            </w:pPr>
            <w:r w:rsidRPr="00F16DCB">
              <w:t>number</w:t>
            </w:r>
          </w:p>
        </w:tc>
        <w:tc>
          <w:tcPr>
            <w:tcW w:w="908" w:type="dxa"/>
            <w:tcBorders>
              <w:top w:val="single" w:sz="6" w:space="0" w:color="auto"/>
              <w:bottom w:val="single" w:sz="6" w:space="0" w:color="auto"/>
            </w:tcBorders>
            <w:shd w:val="clear" w:color="auto" w:fill="D9D9D9"/>
          </w:tcPr>
          <w:p w:rsidR="00B958B1" w:rsidRPr="00F16DCB" w:rsidRDefault="00B958B1" w:rsidP="009F3B54">
            <w:pPr>
              <w:pStyle w:val="OGTableofFigures"/>
            </w:pPr>
            <w:r w:rsidRPr="00F16DCB">
              <w:t>2</w:t>
            </w:r>
          </w:p>
        </w:tc>
        <w:tc>
          <w:tcPr>
            <w:tcW w:w="995" w:type="dxa"/>
            <w:tcBorders>
              <w:top w:val="single" w:sz="6" w:space="0" w:color="auto"/>
              <w:bottom w:val="single" w:sz="6" w:space="0" w:color="auto"/>
            </w:tcBorders>
          </w:tcPr>
          <w:p w:rsidR="00B958B1" w:rsidRPr="00F16DCB" w:rsidRDefault="00B958B1" w:rsidP="009F3B54">
            <w:pPr>
              <w:pStyle w:val="OGTableofFigures"/>
            </w:pPr>
            <w:r w:rsidRPr="00F16DCB">
              <w:t>2</w:t>
            </w:r>
          </w:p>
        </w:tc>
        <w:tc>
          <w:tcPr>
            <w:tcW w:w="906" w:type="dxa"/>
            <w:gridSpan w:val="2"/>
            <w:tcBorders>
              <w:top w:val="single" w:sz="6" w:space="0" w:color="auto"/>
              <w:bottom w:val="single" w:sz="6" w:space="0" w:color="auto"/>
            </w:tcBorders>
          </w:tcPr>
          <w:p w:rsidR="00B958B1" w:rsidRPr="00F16DCB" w:rsidRDefault="00B958B1" w:rsidP="009F3B54">
            <w:pPr>
              <w:pStyle w:val="OGTableofFigures"/>
            </w:pPr>
            <w:r w:rsidRPr="00F16DCB">
              <w:t>2</w:t>
            </w:r>
          </w:p>
        </w:tc>
        <w:tc>
          <w:tcPr>
            <w:tcW w:w="913" w:type="dxa"/>
            <w:tcBorders>
              <w:top w:val="single" w:sz="6" w:space="0" w:color="auto"/>
              <w:bottom w:val="single" w:sz="6" w:space="0" w:color="auto"/>
            </w:tcBorders>
          </w:tcPr>
          <w:p w:rsidR="00B958B1" w:rsidRPr="00F16DCB" w:rsidRDefault="00B958B1" w:rsidP="009F3B54">
            <w:pPr>
              <w:pStyle w:val="OGTableofFigures"/>
            </w:pPr>
            <w:r w:rsidRPr="00F16DCB">
              <w:t>2</w:t>
            </w:r>
          </w:p>
        </w:tc>
      </w:tr>
      <w:tr w:rsidR="00B958B1" w:rsidRPr="00F16DCB" w:rsidTr="009F3B54">
        <w:trPr>
          <w:cantSplit/>
        </w:trPr>
        <w:tc>
          <w:tcPr>
            <w:tcW w:w="3135" w:type="dxa"/>
            <w:tcBorders>
              <w:top w:val="single" w:sz="6" w:space="0" w:color="auto"/>
            </w:tcBorders>
          </w:tcPr>
          <w:p w:rsidR="00B958B1" w:rsidRPr="00F16DCB" w:rsidRDefault="00B958B1" w:rsidP="009F3B54">
            <w:pPr>
              <w:pStyle w:val="OGTabText"/>
              <w:jc w:val="left"/>
            </w:pPr>
            <w:r w:rsidRPr="00F16DCB">
              <w:t>Financial Performance Reporting</w:t>
            </w:r>
            <w:r>
              <w:t xml:space="preserve"> – </w:t>
            </w:r>
            <w:r w:rsidRPr="00F16DCB">
              <w:t>Annual Financial Report, Mid</w:t>
            </w:r>
            <w:r w:rsidR="009F0F49">
              <w:noBreakHyphen/>
            </w:r>
            <w:r w:rsidRPr="00F16DCB">
              <w:t>Year Financial Report and Quarterly Financial Reports</w:t>
            </w:r>
          </w:p>
        </w:tc>
        <w:tc>
          <w:tcPr>
            <w:tcW w:w="919" w:type="dxa"/>
            <w:gridSpan w:val="2"/>
            <w:tcBorders>
              <w:top w:val="single" w:sz="6" w:space="0" w:color="auto"/>
            </w:tcBorders>
          </w:tcPr>
          <w:p w:rsidR="00B958B1" w:rsidRPr="00F16DCB" w:rsidRDefault="00B958B1" w:rsidP="009F3B54">
            <w:pPr>
              <w:pStyle w:val="OGUoM"/>
            </w:pPr>
            <w:r w:rsidRPr="00F16DCB">
              <w:t>number</w:t>
            </w:r>
          </w:p>
        </w:tc>
        <w:tc>
          <w:tcPr>
            <w:tcW w:w="908" w:type="dxa"/>
            <w:tcBorders>
              <w:top w:val="single" w:sz="6" w:space="0" w:color="auto"/>
            </w:tcBorders>
            <w:shd w:val="clear" w:color="auto" w:fill="D9D9D9"/>
          </w:tcPr>
          <w:p w:rsidR="00B958B1" w:rsidRPr="00F16DCB" w:rsidRDefault="00B958B1" w:rsidP="009F3B54">
            <w:pPr>
              <w:pStyle w:val="OGTableofFigures"/>
            </w:pPr>
            <w:r w:rsidRPr="00F16DCB">
              <w:t>6</w:t>
            </w:r>
          </w:p>
        </w:tc>
        <w:tc>
          <w:tcPr>
            <w:tcW w:w="995" w:type="dxa"/>
            <w:tcBorders>
              <w:top w:val="single" w:sz="6" w:space="0" w:color="auto"/>
            </w:tcBorders>
          </w:tcPr>
          <w:p w:rsidR="00B958B1" w:rsidRPr="00F16DCB" w:rsidRDefault="00B958B1" w:rsidP="009F3B54">
            <w:pPr>
              <w:pStyle w:val="OGTableofFigures"/>
            </w:pPr>
            <w:r w:rsidRPr="00F16DCB">
              <w:t>6</w:t>
            </w:r>
          </w:p>
        </w:tc>
        <w:tc>
          <w:tcPr>
            <w:tcW w:w="906" w:type="dxa"/>
            <w:gridSpan w:val="2"/>
            <w:tcBorders>
              <w:top w:val="single" w:sz="6" w:space="0" w:color="auto"/>
            </w:tcBorders>
          </w:tcPr>
          <w:p w:rsidR="00B958B1" w:rsidRPr="00F16DCB" w:rsidRDefault="00B958B1" w:rsidP="009F3B54">
            <w:pPr>
              <w:pStyle w:val="OGTableofFigures"/>
            </w:pPr>
            <w:r w:rsidRPr="00F16DCB">
              <w:t>6</w:t>
            </w:r>
          </w:p>
        </w:tc>
        <w:tc>
          <w:tcPr>
            <w:tcW w:w="913" w:type="dxa"/>
            <w:tcBorders>
              <w:top w:val="single" w:sz="6" w:space="0" w:color="auto"/>
            </w:tcBorders>
          </w:tcPr>
          <w:p w:rsidR="00B958B1" w:rsidRPr="00F16DCB" w:rsidRDefault="00B958B1" w:rsidP="009F3B54">
            <w:pPr>
              <w:pStyle w:val="OGTableofFigures"/>
            </w:pPr>
            <w:r w:rsidRPr="00F16DCB">
              <w:t>6</w:t>
            </w:r>
          </w:p>
        </w:tc>
      </w:tr>
      <w:tr w:rsidR="00B958B1" w:rsidRPr="00F16DCB" w:rsidTr="009F3B54">
        <w:trPr>
          <w:cantSplit/>
        </w:trPr>
        <w:tc>
          <w:tcPr>
            <w:tcW w:w="3135" w:type="dxa"/>
            <w:tcBorders>
              <w:top w:val="single" w:sz="6" w:space="0" w:color="auto"/>
            </w:tcBorders>
          </w:tcPr>
          <w:p w:rsidR="00B958B1" w:rsidRPr="00F16DCB" w:rsidRDefault="00B958B1" w:rsidP="009F3B54">
            <w:pPr>
              <w:pStyle w:val="OGTabHead"/>
              <w:jc w:val="left"/>
            </w:pPr>
            <w:r w:rsidRPr="00F16DCB">
              <w:t>Quality</w:t>
            </w:r>
          </w:p>
        </w:tc>
        <w:tc>
          <w:tcPr>
            <w:tcW w:w="919" w:type="dxa"/>
            <w:gridSpan w:val="2"/>
            <w:tcBorders>
              <w:top w:val="single" w:sz="6" w:space="0" w:color="auto"/>
            </w:tcBorders>
          </w:tcPr>
          <w:p w:rsidR="00B958B1" w:rsidRPr="00F16DCB" w:rsidRDefault="00B958B1" w:rsidP="009F3B54">
            <w:pPr>
              <w:pStyle w:val="OGTabHead"/>
            </w:pPr>
          </w:p>
        </w:tc>
        <w:tc>
          <w:tcPr>
            <w:tcW w:w="908" w:type="dxa"/>
            <w:tcBorders>
              <w:top w:val="single" w:sz="6" w:space="0" w:color="auto"/>
            </w:tcBorders>
            <w:shd w:val="clear" w:color="auto" w:fill="D9D9D9"/>
          </w:tcPr>
          <w:p w:rsidR="00B958B1" w:rsidRPr="00F16DCB" w:rsidRDefault="00B958B1" w:rsidP="009F3B54">
            <w:pPr>
              <w:pStyle w:val="OGTabHead"/>
            </w:pPr>
            <w:r w:rsidRPr="00F16DCB">
              <w:t> </w:t>
            </w:r>
          </w:p>
        </w:tc>
        <w:tc>
          <w:tcPr>
            <w:tcW w:w="995" w:type="dxa"/>
            <w:tcBorders>
              <w:top w:val="single" w:sz="6" w:space="0" w:color="auto"/>
            </w:tcBorders>
          </w:tcPr>
          <w:p w:rsidR="00B958B1" w:rsidRPr="00F16DCB" w:rsidRDefault="00B958B1" w:rsidP="009F3B54">
            <w:pPr>
              <w:pStyle w:val="OGTabHead"/>
            </w:pPr>
          </w:p>
        </w:tc>
        <w:tc>
          <w:tcPr>
            <w:tcW w:w="906" w:type="dxa"/>
            <w:gridSpan w:val="2"/>
            <w:tcBorders>
              <w:top w:val="single" w:sz="6" w:space="0" w:color="auto"/>
            </w:tcBorders>
          </w:tcPr>
          <w:p w:rsidR="00B958B1" w:rsidRPr="00F16DCB" w:rsidRDefault="00B958B1" w:rsidP="009F3B54">
            <w:pPr>
              <w:pStyle w:val="OGTabHead"/>
            </w:pPr>
          </w:p>
        </w:tc>
        <w:tc>
          <w:tcPr>
            <w:tcW w:w="913" w:type="dxa"/>
            <w:tcBorders>
              <w:top w:val="single" w:sz="6" w:space="0" w:color="auto"/>
            </w:tcBorders>
          </w:tcPr>
          <w:p w:rsidR="00B958B1" w:rsidRPr="00F16DCB" w:rsidRDefault="00B958B1" w:rsidP="009F3B54">
            <w:pPr>
              <w:pStyle w:val="OGTabHead"/>
            </w:pPr>
          </w:p>
        </w:tc>
      </w:tr>
      <w:tr w:rsidR="00B958B1" w:rsidRPr="00F16DCB" w:rsidTr="009F3B54">
        <w:trPr>
          <w:cantSplit/>
        </w:trPr>
        <w:tc>
          <w:tcPr>
            <w:tcW w:w="3135" w:type="dxa"/>
          </w:tcPr>
          <w:p w:rsidR="00B958B1" w:rsidRPr="00F16DCB" w:rsidRDefault="00B958B1" w:rsidP="009F3B54">
            <w:pPr>
              <w:pStyle w:val="OGTabText"/>
              <w:jc w:val="left"/>
            </w:pPr>
            <w:r w:rsidRPr="00F16DCB">
              <w:t>Maintain ISO</w:t>
            </w:r>
            <w:r>
              <w:t> </w:t>
            </w:r>
            <w:r w:rsidRPr="00F16DCB">
              <w:t xml:space="preserve">9001 (Quality Management Systems) certification </w:t>
            </w:r>
          </w:p>
        </w:tc>
        <w:tc>
          <w:tcPr>
            <w:tcW w:w="919" w:type="dxa"/>
            <w:gridSpan w:val="2"/>
          </w:tcPr>
          <w:p w:rsidR="00B958B1" w:rsidRPr="00F16DCB" w:rsidRDefault="00B958B1" w:rsidP="009F3B54">
            <w:pPr>
              <w:pStyle w:val="OGUoM"/>
            </w:pPr>
            <w:r>
              <w:t>per cent</w:t>
            </w:r>
          </w:p>
        </w:tc>
        <w:tc>
          <w:tcPr>
            <w:tcW w:w="908" w:type="dxa"/>
            <w:shd w:val="clear" w:color="auto" w:fill="D9D9D9"/>
          </w:tcPr>
          <w:p w:rsidR="00B958B1" w:rsidRPr="00F16DCB" w:rsidRDefault="00B958B1" w:rsidP="009F3B54">
            <w:pPr>
              <w:pStyle w:val="OGTableofFigures"/>
            </w:pPr>
            <w:r w:rsidRPr="00F16DCB">
              <w:t>100</w:t>
            </w:r>
          </w:p>
        </w:tc>
        <w:tc>
          <w:tcPr>
            <w:tcW w:w="995" w:type="dxa"/>
          </w:tcPr>
          <w:p w:rsidR="00B958B1" w:rsidRPr="00F16DCB" w:rsidRDefault="00B958B1" w:rsidP="009F3B54">
            <w:pPr>
              <w:pStyle w:val="OGTableofFigures"/>
            </w:pPr>
            <w:r>
              <w:t>nm</w:t>
            </w:r>
          </w:p>
        </w:tc>
        <w:tc>
          <w:tcPr>
            <w:tcW w:w="906" w:type="dxa"/>
            <w:gridSpan w:val="2"/>
          </w:tcPr>
          <w:p w:rsidR="00B958B1" w:rsidRPr="00F16DCB" w:rsidRDefault="00B958B1" w:rsidP="009F3B54">
            <w:pPr>
              <w:pStyle w:val="OGTableofFigures"/>
            </w:pPr>
            <w:r>
              <w:t>nm</w:t>
            </w:r>
          </w:p>
        </w:tc>
        <w:tc>
          <w:tcPr>
            <w:tcW w:w="913" w:type="dxa"/>
          </w:tcPr>
          <w:p w:rsidR="00B958B1" w:rsidRPr="00F16DCB" w:rsidRDefault="00B958B1" w:rsidP="009F3B54">
            <w:pPr>
              <w:pStyle w:val="OGTableofFigures"/>
            </w:pPr>
            <w:r>
              <w:t>nm</w:t>
            </w:r>
          </w:p>
        </w:tc>
      </w:tr>
      <w:tr w:rsidR="00B958B1" w:rsidRPr="00F16DCB" w:rsidTr="009F3B54">
        <w:trPr>
          <w:cantSplit/>
        </w:trPr>
        <w:tc>
          <w:tcPr>
            <w:tcW w:w="7776" w:type="dxa"/>
            <w:gridSpan w:val="8"/>
            <w:tcBorders>
              <w:bottom w:val="single" w:sz="6" w:space="0" w:color="auto"/>
            </w:tcBorders>
          </w:tcPr>
          <w:p w:rsidR="00B958B1" w:rsidRPr="00F16DCB" w:rsidRDefault="00B958B1" w:rsidP="009F3B54">
            <w:pPr>
              <w:pStyle w:val="OGTableofFigures"/>
              <w:ind w:left="397" w:right="64"/>
              <w:jc w:val="left"/>
              <w:rPr>
                <w:sz w:val="18"/>
              </w:rPr>
            </w:pPr>
            <w:r w:rsidRPr="00547387">
              <w:rPr>
                <w:rFonts w:cs="Calibri"/>
                <w:i/>
                <w:sz w:val="15"/>
                <w:szCs w:val="15"/>
              </w:rPr>
              <w:t>This performance measure is proposed to replace the 2012</w:t>
            </w:r>
            <w:r w:rsidR="009F0F49">
              <w:rPr>
                <w:rFonts w:cs="Calibri"/>
                <w:i/>
                <w:sz w:val="15"/>
                <w:szCs w:val="15"/>
              </w:rPr>
              <w:noBreakHyphen/>
            </w:r>
            <w:r w:rsidRPr="00547387">
              <w:rPr>
                <w:rFonts w:cs="Calibri"/>
                <w:i/>
                <w:sz w:val="15"/>
                <w:szCs w:val="15"/>
              </w:rPr>
              <w:t>13 performance measure ‘Service Provision Rating (Ministerial survey data).’ It has been replaced to reflect DTF’s commitment to utilise a standardised measure of quality.</w:t>
            </w:r>
          </w:p>
        </w:tc>
      </w:tr>
      <w:tr w:rsidR="00B958B1" w:rsidRPr="00F16DCB" w:rsidTr="009F3B54">
        <w:trPr>
          <w:cantSplit/>
        </w:trPr>
        <w:tc>
          <w:tcPr>
            <w:tcW w:w="3135" w:type="dxa"/>
            <w:tcBorders>
              <w:top w:val="single" w:sz="6" w:space="0" w:color="auto"/>
            </w:tcBorders>
          </w:tcPr>
          <w:p w:rsidR="00B958B1" w:rsidRPr="00F16DCB" w:rsidRDefault="00B958B1" w:rsidP="009F3B54">
            <w:pPr>
              <w:pStyle w:val="OGTabText"/>
              <w:jc w:val="left"/>
            </w:pPr>
            <w:r w:rsidRPr="00F16DCB">
              <w:t>Supporting the financial reporting framework across the VPS (survey data)</w:t>
            </w:r>
          </w:p>
        </w:tc>
        <w:tc>
          <w:tcPr>
            <w:tcW w:w="919" w:type="dxa"/>
            <w:gridSpan w:val="2"/>
            <w:tcBorders>
              <w:top w:val="single" w:sz="6" w:space="0" w:color="auto"/>
            </w:tcBorders>
          </w:tcPr>
          <w:p w:rsidR="00B958B1" w:rsidRPr="00F16DCB" w:rsidRDefault="00B958B1" w:rsidP="009F3B54">
            <w:pPr>
              <w:pStyle w:val="OGUoM"/>
            </w:pPr>
            <w:r>
              <w:t>per cent</w:t>
            </w:r>
          </w:p>
        </w:tc>
        <w:tc>
          <w:tcPr>
            <w:tcW w:w="908" w:type="dxa"/>
            <w:tcBorders>
              <w:top w:val="single" w:sz="6" w:space="0" w:color="auto"/>
            </w:tcBorders>
            <w:shd w:val="clear" w:color="auto" w:fill="D9D9D9"/>
          </w:tcPr>
          <w:p w:rsidR="00B958B1" w:rsidRPr="00F16DCB" w:rsidRDefault="00B958B1" w:rsidP="009F3B54">
            <w:pPr>
              <w:pStyle w:val="OGTableofFigures"/>
            </w:pPr>
            <w:r w:rsidRPr="00F16DCB">
              <w:t>80</w:t>
            </w:r>
          </w:p>
        </w:tc>
        <w:tc>
          <w:tcPr>
            <w:tcW w:w="995" w:type="dxa"/>
            <w:tcBorders>
              <w:top w:val="single" w:sz="6" w:space="0" w:color="auto"/>
            </w:tcBorders>
          </w:tcPr>
          <w:p w:rsidR="00B958B1" w:rsidRPr="00F16DCB" w:rsidRDefault="00B958B1" w:rsidP="009F3B54">
            <w:pPr>
              <w:pStyle w:val="OGTableofFigures"/>
            </w:pPr>
            <w:r>
              <w:t>nm</w:t>
            </w:r>
          </w:p>
        </w:tc>
        <w:tc>
          <w:tcPr>
            <w:tcW w:w="906" w:type="dxa"/>
            <w:gridSpan w:val="2"/>
            <w:tcBorders>
              <w:top w:val="single" w:sz="6" w:space="0" w:color="auto"/>
            </w:tcBorders>
          </w:tcPr>
          <w:p w:rsidR="00B958B1" w:rsidRPr="00F16DCB" w:rsidRDefault="00B958B1" w:rsidP="009F3B54">
            <w:pPr>
              <w:pStyle w:val="OGTableofFigures"/>
            </w:pPr>
            <w:r>
              <w:t>nm</w:t>
            </w:r>
          </w:p>
        </w:tc>
        <w:tc>
          <w:tcPr>
            <w:tcW w:w="913" w:type="dxa"/>
            <w:tcBorders>
              <w:top w:val="single" w:sz="6" w:space="0" w:color="auto"/>
            </w:tcBorders>
          </w:tcPr>
          <w:p w:rsidR="00B958B1" w:rsidRPr="00F16DCB" w:rsidRDefault="00B958B1" w:rsidP="009F3B54">
            <w:pPr>
              <w:pStyle w:val="OGTableofFigures"/>
            </w:pPr>
            <w:r>
              <w:t>nm</w:t>
            </w:r>
          </w:p>
        </w:tc>
      </w:tr>
      <w:tr w:rsidR="00B958B1" w:rsidRPr="00F16DCB" w:rsidTr="009F3B54">
        <w:trPr>
          <w:cantSplit/>
        </w:trPr>
        <w:tc>
          <w:tcPr>
            <w:tcW w:w="7776" w:type="dxa"/>
            <w:gridSpan w:val="8"/>
            <w:tcBorders>
              <w:bottom w:val="single" w:sz="6" w:space="0" w:color="auto"/>
            </w:tcBorders>
          </w:tcPr>
          <w:p w:rsidR="00B958B1" w:rsidRPr="00F16DCB" w:rsidRDefault="00B958B1" w:rsidP="009F3B54">
            <w:pPr>
              <w:pStyle w:val="OGTableofFigures"/>
              <w:ind w:left="397" w:right="64"/>
              <w:jc w:val="left"/>
            </w:pPr>
            <w:r w:rsidRPr="00547387">
              <w:rPr>
                <w:rFonts w:cs="Calibri"/>
                <w:i/>
                <w:sz w:val="15"/>
                <w:szCs w:val="15"/>
              </w:rPr>
              <w:t>New performance measure for 2013</w:t>
            </w:r>
            <w:r w:rsidR="009F0F49">
              <w:rPr>
                <w:rFonts w:cs="Calibri"/>
                <w:i/>
                <w:sz w:val="15"/>
                <w:szCs w:val="15"/>
              </w:rPr>
              <w:noBreakHyphen/>
            </w:r>
            <w:r w:rsidRPr="00547387">
              <w:rPr>
                <w:rFonts w:cs="Calibri"/>
                <w:i/>
                <w:sz w:val="15"/>
                <w:szCs w:val="15"/>
              </w:rPr>
              <w:t>14 to reflect Government priorities for Victoria’s financial reporting framework.</w:t>
            </w:r>
          </w:p>
        </w:tc>
      </w:tr>
      <w:tr w:rsidR="00B958B1" w:rsidRPr="00F16DCB" w:rsidTr="009F3B54">
        <w:trPr>
          <w:cantSplit/>
        </w:trPr>
        <w:tc>
          <w:tcPr>
            <w:tcW w:w="3135" w:type="dxa"/>
            <w:tcBorders>
              <w:top w:val="single" w:sz="6" w:space="0" w:color="auto"/>
            </w:tcBorders>
          </w:tcPr>
          <w:p w:rsidR="00B958B1" w:rsidRPr="00F16DCB" w:rsidRDefault="00B958B1" w:rsidP="009F3B54">
            <w:pPr>
              <w:pStyle w:val="OGTabHead"/>
              <w:jc w:val="left"/>
            </w:pPr>
            <w:r w:rsidRPr="00F16DCB">
              <w:t>Timeliness</w:t>
            </w:r>
          </w:p>
        </w:tc>
        <w:tc>
          <w:tcPr>
            <w:tcW w:w="919" w:type="dxa"/>
            <w:gridSpan w:val="2"/>
            <w:tcBorders>
              <w:top w:val="single" w:sz="6" w:space="0" w:color="auto"/>
            </w:tcBorders>
          </w:tcPr>
          <w:p w:rsidR="00B958B1" w:rsidRPr="00F16DCB" w:rsidRDefault="00B958B1" w:rsidP="009F3B54">
            <w:pPr>
              <w:pStyle w:val="OGTabHead"/>
            </w:pPr>
          </w:p>
        </w:tc>
        <w:tc>
          <w:tcPr>
            <w:tcW w:w="908" w:type="dxa"/>
            <w:tcBorders>
              <w:top w:val="single" w:sz="6" w:space="0" w:color="auto"/>
            </w:tcBorders>
            <w:shd w:val="clear" w:color="auto" w:fill="D9D9D9"/>
          </w:tcPr>
          <w:p w:rsidR="00B958B1" w:rsidRPr="00F16DCB" w:rsidRDefault="00B958B1" w:rsidP="009F3B54">
            <w:pPr>
              <w:pStyle w:val="OGTabHead"/>
            </w:pPr>
            <w:r w:rsidRPr="00F16DCB">
              <w:t> </w:t>
            </w:r>
          </w:p>
        </w:tc>
        <w:tc>
          <w:tcPr>
            <w:tcW w:w="995" w:type="dxa"/>
            <w:tcBorders>
              <w:top w:val="single" w:sz="6" w:space="0" w:color="auto"/>
            </w:tcBorders>
          </w:tcPr>
          <w:p w:rsidR="00B958B1" w:rsidRPr="00F16DCB" w:rsidRDefault="00B958B1" w:rsidP="009F3B54">
            <w:pPr>
              <w:pStyle w:val="OGTabHead"/>
            </w:pPr>
          </w:p>
        </w:tc>
        <w:tc>
          <w:tcPr>
            <w:tcW w:w="906" w:type="dxa"/>
            <w:gridSpan w:val="2"/>
            <w:tcBorders>
              <w:top w:val="single" w:sz="6" w:space="0" w:color="auto"/>
            </w:tcBorders>
          </w:tcPr>
          <w:p w:rsidR="00B958B1" w:rsidRPr="00F16DCB" w:rsidRDefault="00B958B1" w:rsidP="009F3B54">
            <w:pPr>
              <w:pStyle w:val="OGTabHead"/>
            </w:pPr>
          </w:p>
        </w:tc>
        <w:tc>
          <w:tcPr>
            <w:tcW w:w="913" w:type="dxa"/>
            <w:tcBorders>
              <w:top w:val="single" w:sz="6" w:space="0" w:color="auto"/>
            </w:tcBorders>
          </w:tcPr>
          <w:p w:rsidR="00B958B1" w:rsidRPr="00F16DCB" w:rsidRDefault="00B958B1" w:rsidP="009F3B54">
            <w:pPr>
              <w:pStyle w:val="OGTabHead"/>
            </w:pPr>
          </w:p>
        </w:tc>
      </w:tr>
      <w:tr w:rsidR="00B958B1" w:rsidRPr="00F16DCB" w:rsidTr="009F3B54">
        <w:trPr>
          <w:cantSplit/>
        </w:trPr>
        <w:tc>
          <w:tcPr>
            <w:tcW w:w="3135" w:type="dxa"/>
            <w:tcBorders>
              <w:bottom w:val="single" w:sz="6" w:space="0" w:color="auto"/>
            </w:tcBorders>
          </w:tcPr>
          <w:p w:rsidR="00B958B1" w:rsidRPr="00F16DCB" w:rsidRDefault="00B958B1" w:rsidP="009F3B54">
            <w:pPr>
              <w:pStyle w:val="OGTabText"/>
              <w:jc w:val="left"/>
            </w:pPr>
            <w:r w:rsidRPr="00F16DCB">
              <w:t>Annual Budget published by date agreed by Treasurer</w:t>
            </w:r>
          </w:p>
        </w:tc>
        <w:tc>
          <w:tcPr>
            <w:tcW w:w="919" w:type="dxa"/>
            <w:gridSpan w:val="2"/>
            <w:tcBorders>
              <w:bottom w:val="single" w:sz="6" w:space="0" w:color="auto"/>
            </w:tcBorders>
          </w:tcPr>
          <w:p w:rsidR="00B958B1" w:rsidRPr="00F16DCB" w:rsidRDefault="00B958B1" w:rsidP="009F3B54">
            <w:pPr>
              <w:pStyle w:val="OGUoM"/>
            </w:pPr>
            <w:r w:rsidRPr="00F16DCB">
              <w:t>date</w:t>
            </w:r>
          </w:p>
        </w:tc>
        <w:tc>
          <w:tcPr>
            <w:tcW w:w="908" w:type="dxa"/>
            <w:tcBorders>
              <w:bottom w:val="single" w:sz="6" w:space="0" w:color="auto"/>
            </w:tcBorders>
            <w:shd w:val="clear" w:color="auto" w:fill="D9D9D9"/>
          </w:tcPr>
          <w:p w:rsidR="00B958B1" w:rsidRPr="00F16DCB" w:rsidRDefault="00B958B1" w:rsidP="009F3B54">
            <w:pPr>
              <w:pStyle w:val="OGTableofFigures"/>
            </w:pPr>
            <w:r w:rsidRPr="00F16DCB">
              <w:t>May 2014</w:t>
            </w:r>
          </w:p>
        </w:tc>
        <w:tc>
          <w:tcPr>
            <w:tcW w:w="995" w:type="dxa"/>
            <w:tcBorders>
              <w:bottom w:val="single" w:sz="6" w:space="0" w:color="auto"/>
            </w:tcBorders>
          </w:tcPr>
          <w:p w:rsidR="00B958B1" w:rsidRPr="00F16DCB" w:rsidRDefault="00B958B1" w:rsidP="009F3B54">
            <w:pPr>
              <w:pStyle w:val="OGTableofFigures"/>
            </w:pPr>
            <w:r w:rsidRPr="00F16DCB">
              <w:t>7 May 2013</w:t>
            </w:r>
          </w:p>
        </w:tc>
        <w:tc>
          <w:tcPr>
            <w:tcW w:w="906" w:type="dxa"/>
            <w:gridSpan w:val="2"/>
            <w:tcBorders>
              <w:bottom w:val="single" w:sz="6" w:space="0" w:color="auto"/>
            </w:tcBorders>
          </w:tcPr>
          <w:p w:rsidR="00B958B1" w:rsidRPr="00F16DCB" w:rsidRDefault="00B958B1" w:rsidP="009F3B54">
            <w:pPr>
              <w:pStyle w:val="OGTableofFigures"/>
            </w:pPr>
            <w:r w:rsidRPr="00F16DCB">
              <w:t>May 2013</w:t>
            </w:r>
          </w:p>
        </w:tc>
        <w:tc>
          <w:tcPr>
            <w:tcW w:w="913" w:type="dxa"/>
            <w:tcBorders>
              <w:bottom w:val="single" w:sz="6" w:space="0" w:color="auto"/>
            </w:tcBorders>
          </w:tcPr>
          <w:p w:rsidR="00B958B1" w:rsidRPr="00F16DCB" w:rsidRDefault="00B958B1" w:rsidP="009F3B54">
            <w:pPr>
              <w:pStyle w:val="OGTableofFigures"/>
            </w:pPr>
            <w:r w:rsidRPr="00F16DCB">
              <w:t>1 May 2012</w:t>
            </w:r>
          </w:p>
        </w:tc>
      </w:tr>
      <w:tr w:rsidR="00B958B1" w:rsidRPr="00F16DCB" w:rsidTr="009F3B54">
        <w:trPr>
          <w:cantSplit/>
        </w:trPr>
        <w:tc>
          <w:tcPr>
            <w:tcW w:w="3135" w:type="dxa"/>
            <w:tcBorders>
              <w:top w:val="single" w:sz="6" w:space="0" w:color="auto"/>
              <w:bottom w:val="single" w:sz="6" w:space="0" w:color="auto"/>
            </w:tcBorders>
          </w:tcPr>
          <w:p w:rsidR="00B958B1" w:rsidRPr="00F16DCB" w:rsidRDefault="00B958B1" w:rsidP="009F3B54">
            <w:pPr>
              <w:pStyle w:val="OGTabText"/>
              <w:jc w:val="left"/>
            </w:pPr>
            <w:r w:rsidRPr="00F16DCB">
              <w:t>Budget Update</w:t>
            </w:r>
          </w:p>
        </w:tc>
        <w:tc>
          <w:tcPr>
            <w:tcW w:w="919" w:type="dxa"/>
            <w:gridSpan w:val="2"/>
            <w:tcBorders>
              <w:top w:val="single" w:sz="6" w:space="0" w:color="auto"/>
              <w:bottom w:val="single" w:sz="6" w:space="0" w:color="auto"/>
            </w:tcBorders>
          </w:tcPr>
          <w:p w:rsidR="00B958B1" w:rsidRPr="00F16DCB" w:rsidRDefault="00B958B1" w:rsidP="009F3B54">
            <w:pPr>
              <w:pStyle w:val="OGUoM"/>
            </w:pPr>
            <w:r w:rsidRPr="00F16DCB">
              <w:t>date</w:t>
            </w:r>
          </w:p>
        </w:tc>
        <w:tc>
          <w:tcPr>
            <w:tcW w:w="908" w:type="dxa"/>
            <w:tcBorders>
              <w:top w:val="single" w:sz="6" w:space="0" w:color="auto"/>
              <w:bottom w:val="single" w:sz="6" w:space="0" w:color="auto"/>
            </w:tcBorders>
            <w:shd w:val="clear" w:color="auto" w:fill="D9D9D9"/>
          </w:tcPr>
          <w:p w:rsidR="00B958B1" w:rsidRPr="00F16DCB" w:rsidRDefault="00B958B1" w:rsidP="009F3B54">
            <w:pPr>
              <w:pStyle w:val="OGTableofFigures"/>
            </w:pPr>
            <w:r w:rsidRPr="00F16DCB">
              <w:t>15 Dec 2013</w:t>
            </w:r>
          </w:p>
        </w:tc>
        <w:tc>
          <w:tcPr>
            <w:tcW w:w="995" w:type="dxa"/>
            <w:tcBorders>
              <w:top w:val="single" w:sz="6" w:space="0" w:color="auto"/>
              <w:bottom w:val="single" w:sz="6" w:space="0" w:color="auto"/>
            </w:tcBorders>
          </w:tcPr>
          <w:p w:rsidR="00B958B1" w:rsidRPr="00F16DCB" w:rsidRDefault="00B958B1" w:rsidP="009F3B54">
            <w:pPr>
              <w:pStyle w:val="OGTableofFigures"/>
            </w:pPr>
            <w:r w:rsidRPr="00F16DCB">
              <w:t>15 Dec 2012</w:t>
            </w:r>
          </w:p>
        </w:tc>
        <w:tc>
          <w:tcPr>
            <w:tcW w:w="906" w:type="dxa"/>
            <w:gridSpan w:val="2"/>
            <w:tcBorders>
              <w:top w:val="single" w:sz="6" w:space="0" w:color="auto"/>
              <w:bottom w:val="single" w:sz="6" w:space="0" w:color="auto"/>
            </w:tcBorders>
          </w:tcPr>
          <w:p w:rsidR="00B958B1" w:rsidRPr="00F16DCB" w:rsidRDefault="00B958B1" w:rsidP="009F3B54">
            <w:pPr>
              <w:pStyle w:val="OGTableofFigures"/>
            </w:pPr>
            <w:r w:rsidRPr="00F16DCB">
              <w:t>15 Dec 2012</w:t>
            </w:r>
          </w:p>
        </w:tc>
        <w:tc>
          <w:tcPr>
            <w:tcW w:w="913" w:type="dxa"/>
            <w:tcBorders>
              <w:top w:val="single" w:sz="6" w:space="0" w:color="auto"/>
              <w:bottom w:val="single" w:sz="6" w:space="0" w:color="auto"/>
            </w:tcBorders>
          </w:tcPr>
          <w:p w:rsidR="00B958B1" w:rsidRPr="00F16DCB" w:rsidRDefault="00B958B1" w:rsidP="009F3B54">
            <w:pPr>
              <w:pStyle w:val="OGTableofFigures"/>
            </w:pPr>
            <w:r w:rsidRPr="00F16DCB">
              <w:t>15 Dec 2011</w:t>
            </w:r>
          </w:p>
        </w:tc>
      </w:tr>
      <w:tr w:rsidR="00B958B1" w:rsidRPr="00F16DCB" w:rsidTr="009F3B54">
        <w:trPr>
          <w:cantSplit/>
        </w:trPr>
        <w:tc>
          <w:tcPr>
            <w:tcW w:w="3135" w:type="dxa"/>
            <w:tcBorders>
              <w:top w:val="single" w:sz="6" w:space="0" w:color="auto"/>
              <w:bottom w:val="single" w:sz="4" w:space="0" w:color="auto"/>
            </w:tcBorders>
          </w:tcPr>
          <w:p w:rsidR="00B958B1" w:rsidRPr="00F16DCB" w:rsidRDefault="00B958B1" w:rsidP="009F3B54">
            <w:pPr>
              <w:pStyle w:val="OGTabText"/>
              <w:jc w:val="left"/>
            </w:pPr>
            <w:r w:rsidRPr="00F16DCB">
              <w:t>Financial Report for the State of Victoria</w:t>
            </w:r>
          </w:p>
        </w:tc>
        <w:tc>
          <w:tcPr>
            <w:tcW w:w="919" w:type="dxa"/>
            <w:gridSpan w:val="2"/>
            <w:tcBorders>
              <w:top w:val="single" w:sz="6" w:space="0" w:color="auto"/>
              <w:bottom w:val="single" w:sz="4" w:space="0" w:color="auto"/>
            </w:tcBorders>
          </w:tcPr>
          <w:p w:rsidR="00B958B1" w:rsidRPr="00F16DCB" w:rsidRDefault="00B958B1" w:rsidP="009F3B54">
            <w:pPr>
              <w:pStyle w:val="OGUoM"/>
            </w:pPr>
            <w:r w:rsidRPr="00F16DCB">
              <w:t>date</w:t>
            </w:r>
          </w:p>
        </w:tc>
        <w:tc>
          <w:tcPr>
            <w:tcW w:w="908" w:type="dxa"/>
            <w:tcBorders>
              <w:top w:val="single" w:sz="6" w:space="0" w:color="auto"/>
              <w:bottom w:val="single" w:sz="4" w:space="0" w:color="auto"/>
            </w:tcBorders>
            <w:shd w:val="clear" w:color="auto" w:fill="D9D9D9"/>
          </w:tcPr>
          <w:p w:rsidR="00B958B1" w:rsidRPr="00F16DCB" w:rsidRDefault="00B958B1" w:rsidP="009F3B54">
            <w:pPr>
              <w:pStyle w:val="OGTableofFigures"/>
            </w:pPr>
            <w:r w:rsidRPr="00F16DCB">
              <w:t>15 Oct 2013</w:t>
            </w:r>
          </w:p>
        </w:tc>
        <w:tc>
          <w:tcPr>
            <w:tcW w:w="995" w:type="dxa"/>
            <w:tcBorders>
              <w:top w:val="single" w:sz="6" w:space="0" w:color="auto"/>
              <w:bottom w:val="single" w:sz="4" w:space="0" w:color="auto"/>
            </w:tcBorders>
          </w:tcPr>
          <w:p w:rsidR="00B958B1" w:rsidRPr="00F16DCB" w:rsidRDefault="00B958B1" w:rsidP="009F3B54">
            <w:pPr>
              <w:pStyle w:val="OGTableofFigures"/>
            </w:pPr>
            <w:r w:rsidRPr="00F16DCB">
              <w:t>15 Oct 2012</w:t>
            </w:r>
          </w:p>
        </w:tc>
        <w:tc>
          <w:tcPr>
            <w:tcW w:w="906" w:type="dxa"/>
            <w:gridSpan w:val="2"/>
            <w:tcBorders>
              <w:top w:val="single" w:sz="6" w:space="0" w:color="auto"/>
              <w:bottom w:val="single" w:sz="4" w:space="0" w:color="auto"/>
            </w:tcBorders>
          </w:tcPr>
          <w:p w:rsidR="00B958B1" w:rsidRPr="00F16DCB" w:rsidRDefault="00B958B1" w:rsidP="009F3B54">
            <w:pPr>
              <w:pStyle w:val="OGTableofFigures"/>
            </w:pPr>
            <w:r w:rsidRPr="00F16DCB">
              <w:t>15 Oct 2012</w:t>
            </w:r>
          </w:p>
        </w:tc>
        <w:tc>
          <w:tcPr>
            <w:tcW w:w="913" w:type="dxa"/>
            <w:tcBorders>
              <w:top w:val="single" w:sz="6" w:space="0" w:color="auto"/>
              <w:bottom w:val="single" w:sz="4" w:space="0" w:color="auto"/>
            </w:tcBorders>
          </w:tcPr>
          <w:p w:rsidR="00B958B1" w:rsidRPr="00F16DCB" w:rsidRDefault="00B958B1" w:rsidP="009F3B54">
            <w:pPr>
              <w:pStyle w:val="OGTableofFigures"/>
            </w:pPr>
            <w:r w:rsidRPr="00F16DCB">
              <w:t>13 Oct 2011</w:t>
            </w:r>
          </w:p>
        </w:tc>
      </w:tr>
      <w:tr w:rsidR="00B958B1" w:rsidRPr="009B543E" w:rsidTr="009F3B54">
        <w:tblPrEx>
          <w:tblLook w:val="04A0" w:firstRow="1" w:lastRow="0" w:firstColumn="1" w:lastColumn="0" w:noHBand="0" w:noVBand="1"/>
        </w:tblPrEx>
        <w:trPr>
          <w:cantSplit/>
        </w:trPr>
        <w:tc>
          <w:tcPr>
            <w:tcW w:w="3135" w:type="dxa"/>
            <w:tcBorders>
              <w:top w:val="single" w:sz="6" w:space="0" w:color="auto"/>
              <w:bottom w:val="single" w:sz="6" w:space="0" w:color="auto"/>
            </w:tcBorders>
          </w:tcPr>
          <w:p w:rsidR="00B958B1" w:rsidRPr="009B543E" w:rsidRDefault="00B958B1" w:rsidP="009F3B54">
            <w:pPr>
              <w:pStyle w:val="OGTabText"/>
              <w:jc w:val="left"/>
            </w:pPr>
            <w:r w:rsidRPr="009B543E">
              <w:t>Mid</w:t>
            </w:r>
            <w:r w:rsidR="009F0F49">
              <w:noBreakHyphen/>
            </w:r>
            <w:r w:rsidRPr="009B543E">
              <w:t>Year Financial Report</w:t>
            </w:r>
          </w:p>
        </w:tc>
        <w:tc>
          <w:tcPr>
            <w:tcW w:w="919" w:type="dxa"/>
            <w:gridSpan w:val="2"/>
            <w:tcBorders>
              <w:top w:val="single" w:sz="6" w:space="0" w:color="auto"/>
              <w:bottom w:val="single" w:sz="6" w:space="0" w:color="auto"/>
            </w:tcBorders>
          </w:tcPr>
          <w:p w:rsidR="00B958B1" w:rsidRPr="009B543E" w:rsidRDefault="00B958B1" w:rsidP="009F3B54">
            <w:pPr>
              <w:pStyle w:val="OGUoM"/>
            </w:pPr>
            <w:r w:rsidRPr="009B543E">
              <w:t>report date</w:t>
            </w:r>
          </w:p>
        </w:tc>
        <w:tc>
          <w:tcPr>
            <w:tcW w:w="908" w:type="dxa"/>
            <w:tcBorders>
              <w:top w:val="single" w:sz="6" w:space="0" w:color="auto"/>
              <w:bottom w:val="single" w:sz="6" w:space="0" w:color="auto"/>
            </w:tcBorders>
            <w:shd w:val="clear" w:color="auto" w:fill="D9D9D9"/>
          </w:tcPr>
          <w:p w:rsidR="00B958B1" w:rsidRPr="009B543E" w:rsidRDefault="00B958B1" w:rsidP="009F3B54">
            <w:pPr>
              <w:pStyle w:val="OGTableofFigures"/>
            </w:pPr>
            <w:r w:rsidRPr="009B543E">
              <w:t>15 Mar 2014</w:t>
            </w:r>
          </w:p>
        </w:tc>
        <w:tc>
          <w:tcPr>
            <w:tcW w:w="995" w:type="dxa"/>
            <w:tcBorders>
              <w:top w:val="single" w:sz="6" w:space="0" w:color="auto"/>
              <w:bottom w:val="single" w:sz="6" w:space="0" w:color="auto"/>
            </w:tcBorders>
          </w:tcPr>
          <w:p w:rsidR="00B958B1" w:rsidRPr="009B543E" w:rsidRDefault="00B958B1" w:rsidP="009F3B54">
            <w:pPr>
              <w:pStyle w:val="OGTableofFigures"/>
            </w:pPr>
            <w:r w:rsidRPr="009B543E">
              <w:t>15 Mar 2013</w:t>
            </w:r>
          </w:p>
        </w:tc>
        <w:tc>
          <w:tcPr>
            <w:tcW w:w="906" w:type="dxa"/>
            <w:gridSpan w:val="2"/>
            <w:tcBorders>
              <w:top w:val="single" w:sz="6" w:space="0" w:color="auto"/>
              <w:bottom w:val="single" w:sz="6" w:space="0" w:color="auto"/>
            </w:tcBorders>
          </w:tcPr>
          <w:p w:rsidR="00B958B1" w:rsidRPr="009B543E" w:rsidRDefault="00B958B1" w:rsidP="009F3B54">
            <w:pPr>
              <w:pStyle w:val="OGTableofFigures"/>
            </w:pPr>
            <w:r w:rsidRPr="009B543E">
              <w:t>15 Mar 2013</w:t>
            </w:r>
          </w:p>
        </w:tc>
        <w:tc>
          <w:tcPr>
            <w:tcW w:w="913" w:type="dxa"/>
            <w:tcBorders>
              <w:top w:val="single" w:sz="6" w:space="0" w:color="auto"/>
              <w:bottom w:val="single" w:sz="6" w:space="0" w:color="auto"/>
            </w:tcBorders>
          </w:tcPr>
          <w:p w:rsidR="00B958B1" w:rsidRPr="009B543E" w:rsidRDefault="00B958B1" w:rsidP="009F3B54">
            <w:pPr>
              <w:pStyle w:val="OGTableofFigures"/>
            </w:pPr>
            <w:r w:rsidRPr="009B543E">
              <w:t>13 Mar 2012</w:t>
            </w:r>
          </w:p>
        </w:tc>
      </w:tr>
      <w:tr w:rsidR="00B958B1" w:rsidRPr="00F16DCB" w:rsidTr="009F3B54">
        <w:tblPrEx>
          <w:tblLook w:val="04A0" w:firstRow="1" w:lastRow="0" w:firstColumn="1" w:lastColumn="0" w:noHBand="0" w:noVBand="1"/>
        </w:tblPrEx>
        <w:trPr>
          <w:cantSplit/>
        </w:trPr>
        <w:tc>
          <w:tcPr>
            <w:tcW w:w="3148" w:type="dxa"/>
            <w:gridSpan w:val="2"/>
            <w:tcBorders>
              <w:top w:val="single" w:sz="6" w:space="0" w:color="auto"/>
              <w:bottom w:val="single" w:sz="6" w:space="0" w:color="auto"/>
            </w:tcBorders>
          </w:tcPr>
          <w:p w:rsidR="00B958B1" w:rsidRPr="00F16DCB" w:rsidRDefault="00B958B1" w:rsidP="009F3B54">
            <w:pPr>
              <w:pStyle w:val="OGTabText"/>
              <w:jc w:val="left"/>
            </w:pPr>
            <w:r w:rsidRPr="009B543E">
              <w:t>Quarterly</w:t>
            </w:r>
            <w:r w:rsidRPr="00F16DCB">
              <w:t xml:space="preserve"> Financial Reports</w:t>
            </w:r>
          </w:p>
        </w:tc>
        <w:tc>
          <w:tcPr>
            <w:tcW w:w="906" w:type="dxa"/>
            <w:tcBorders>
              <w:top w:val="single" w:sz="6" w:space="0" w:color="auto"/>
              <w:bottom w:val="single" w:sz="6" w:space="0" w:color="auto"/>
            </w:tcBorders>
          </w:tcPr>
          <w:p w:rsidR="00B958B1" w:rsidRPr="00F16DCB" w:rsidRDefault="00B958B1" w:rsidP="009F3B54">
            <w:pPr>
              <w:pStyle w:val="OGUoM"/>
            </w:pPr>
            <w:r w:rsidRPr="00F16DCB">
              <w:t>report date</w:t>
            </w:r>
          </w:p>
        </w:tc>
        <w:tc>
          <w:tcPr>
            <w:tcW w:w="908" w:type="dxa"/>
            <w:tcBorders>
              <w:top w:val="single" w:sz="6" w:space="0" w:color="auto"/>
              <w:bottom w:val="single" w:sz="6" w:space="0" w:color="auto"/>
            </w:tcBorders>
            <w:shd w:val="clear" w:color="auto" w:fill="D9D9D9"/>
          </w:tcPr>
          <w:p w:rsidR="00B958B1" w:rsidRDefault="00B958B1" w:rsidP="009F3B54">
            <w:pPr>
              <w:pStyle w:val="OGTableofFigures"/>
            </w:pPr>
            <w:r w:rsidRPr="00F16DCB">
              <w:t>15 Oct 2013</w:t>
            </w:r>
            <w:r>
              <w:t xml:space="preserve"> </w:t>
            </w:r>
          </w:p>
          <w:p w:rsidR="00B958B1" w:rsidRDefault="00B958B1" w:rsidP="009F3B54">
            <w:pPr>
              <w:pStyle w:val="OGTableofFigures"/>
            </w:pPr>
            <w:r w:rsidRPr="00F16DCB">
              <w:t>15 Nov 2013</w:t>
            </w:r>
            <w:r>
              <w:t xml:space="preserve"> </w:t>
            </w:r>
          </w:p>
          <w:p w:rsidR="00B958B1" w:rsidRDefault="00B958B1" w:rsidP="009F3B54">
            <w:pPr>
              <w:pStyle w:val="OGTableofFigures"/>
            </w:pPr>
            <w:r w:rsidRPr="00F16DCB">
              <w:t>15 Mar 2014</w:t>
            </w:r>
            <w:r>
              <w:t xml:space="preserve"> </w:t>
            </w:r>
          </w:p>
          <w:p w:rsidR="00B958B1" w:rsidRPr="00F16DCB" w:rsidRDefault="00B958B1" w:rsidP="009F3B54">
            <w:pPr>
              <w:pStyle w:val="OGTableofFigures"/>
            </w:pPr>
            <w:r w:rsidRPr="00F16DCB">
              <w:t>15 May 2014</w:t>
            </w:r>
          </w:p>
        </w:tc>
        <w:tc>
          <w:tcPr>
            <w:tcW w:w="995" w:type="dxa"/>
            <w:tcBorders>
              <w:top w:val="single" w:sz="6" w:space="0" w:color="auto"/>
              <w:bottom w:val="single" w:sz="6" w:space="0" w:color="auto"/>
            </w:tcBorders>
          </w:tcPr>
          <w:p w:rsidR="00B958B1" w:rsidRPr="00F16DCB" w:rsidRDefault="00B958B1" w:rsidP="009F3B54">
            <w:pPr>
              <w:pStyle w:val="OGTableofFigures"/>
            </w:pPr>
            <w:r w:rsidRPr="00F16DCB">
              <w:t>15 Oct 2012</w:t>
            </w:r>
          </w:p>
          <w:p w:rsidR="00B958B1" w:rsidRPr="00F16DCB" w:rsidRDefault="00B958B1" w:rsidP="009F3B54">
            <w:pPr>
              <w:pStyle w:val="OGTableofFigures"/>
            </w:pPr>
            <w:r w:rsidRPr="00F16DCB">
              <w:t>15 Nov 2012</w:t>
            </w:r>
          </w:p>
          <w:p w:rsidR="00B958B1" w:rsidRPr="00F16DCB" w:rsidRDefault="00B958B1" w:rsidP="009F3B54">
            <w:pPr>
              <w:pStyle w:val="OGTableofFigures"/>
            </w:pPr>
            <w:r w:rsidRPr="00F16DCB">
              <w:t>15 Mar 2013</w:t>
            </w:r>
          </w:p>
          <w:p w:rsidR="00B958B1" w:rsidRPr="00F16DCB" w:rsidRDefault="00B958B1" w:rsidP="009F3B54">
            <w:pPr>
              <w:pStyle w:val="OGTableofFigures"/>
            </w:pPr>
            <w:r w:rsidRPr="00F16DCB">
              <w:t>7 May 2013</w:t>
            </w:r>
          </w:p>
        </w:tc>
        <w:tc>
          <w:tcPr>
            <w:tcW w:w="906" w:type="dxa"/>
            <w:gridSpan w:val="2"/>
            <w:tcBorders>
              <w:top w:val="single" w:sz="6" w:space="0" w:color="auto"/>
              <w:bottom w:val="single" w:sz="6" w:space="0" w:color="auto"/>
            </w:tcBorders>
          </w:tcPr>
          <w:p w:rsidR="00B958B1" w:rsidRPr="00F16DCB" w:rsidRDefault="00B958B1" w:rsidP="009F3B54">
            <w:pPr>
              <w:pStyle w:val="OGTableofFigures"/>
            </w:pPr>
            <w:r w:rsidRPr="00F16DCB">
              <w:t>15 Oct 2012</w:t>
            </w:r>
          </w:p>
          <w:p w:rsidR="00B958B1" w:rsidRPr="00F16DCB" w:rsidRDefault="00B958B1" w:rsidP="009F3B54">
            <w:pPr>
              <w:pStyle w:val="OGTableofFigures"/>
            </w:pPr>
            <w:r w:rsidRPr="00F16DCB">
              <w:t>15 Nov 2012</w:t>
            </w:r>
          </w:p>
          <w:p w:rsidR="00B958B1" w:rsidRPr="00F16DCB" w:rsidRDefault="00B958B1" w:rsidP="009F3B54">
            <w:pPr>
              <w:pStyle w:val="OGTableofFigures"/>
            </w:pPr>
            <w:r w:rsidRPr="00F16DCB">
              <w:t>15 Mar 2013</w:t>
            </w:r>
          </w:p>
          <w:p w:rsidR="00B958B1" w:rsidRPr="00F16DCB" w:rsidRDefault="00B958B1" w:rsidP="009F3B54">
            <w:pPr>
              <w:pStyle w:val="OGTableofFigures"/>
            </w:pPr>
            <w:r w:rsidRPr="00F16DCB">
              <w:t>15 May 2013</w:t>
            </w:r>
          </w:p>
        </w:tc>
        <w:tc>
          <w:tcPr>
            <w:tcW w:w="913" w:type="dxa"/>
            <w:tcBorders>
              <w:top w:val="single" w:sz="6" w:space="0" w:color="auto"/>
              <w:bottom w:val="single" w:sz="6" w:space="0" w:color="auto"/>
            </w:tcBorders>
          </w:tcPr>
          <w:p w:rsidR="00B958B1" w:rsidRPr="00F16DCB" w:rsidRDefault="00B958B1" w:rsidP="009F3B54">
            <w:pPr>
              <w:pStyle w:val="OGTableofFigures"/>
            </w:pPr>
            <w:r w:rsidRPr="00F16DCB">
              <w:t>13 Oct 2011</w:t>
            </w:r>
          </w:p>
          <w:p w:rsidR="00B958B1" w:rsidRPr="00F16DCB" w:rsidRDefault="00B958B1" w:rsidP="009F3B54">
            <w:pPr>
              <w:pStyle w:val="OGTableofFigures"/>
            </w:pPr>
            <w:r w:rsidRPr="00F16DCB">
              <w:t>10 Nov 2011</w:t>
            </w:r>
          </w:p>
          <w:p w:rsidR="00B958B1" w:rsidRPr="00F16DCB" w:rsidRDefault="00B958B1" w:rsidP="009F3B54">
            <w:pPr>
              <w:pStyle w:val="OGTableofFigures"/>
            </w:pPr>
            <w:r w:rsidRPr="00F16DCB">
              <w:t>13 Mar 2012</w:t>
            </w:r>
          </w:p>
          <w:p w:rsidR="00B958B1" w:rsidRPr="00F16DCB" w:rsidRDefault="00B958B1" w:rsidP="009F3B54">
            <w:pPr>
              <w:pStyle w:val="OGTableofFigures"/>
            </w:pPr>
            <w:r w:rsidRPr="00F16DCB">
              <w:t>1 May 2012</w:t>
            </w:r>
          </w:p>
        </w:tc>
      </w:tr>
      <w:tr w:rsidR="00B958B1" w:rsidRPr="00FA0B8A" w:rsidTr="009F3B54">
        <w:tblPrEx>
          <w:tblLook w:val="04A0" w:firstRow="1" w:lastRow="0" w:firstColumn="1" w:lastColumn="0" w:noHBand="0" w:noVBand="1"/>
        </w:tblPrEx>
        <w:trPr>
          <w:cantSplit/>
        </w:trPr>
        <w:tc>
          <w:tcPr>
            <w:tcW w:w="3148" w:type="dxa"/>
            <w:gridSpan w:val="2"/>
            <w:tcBorders>
              <w:top w:val="single" w:sz="4" w:space="0" w:color="auto"/>
            </w:tcBorders>
          </w:tcPr>
          <w:p w:rsidR="00B958B1" w:rsidRPr="00F16DCB" w:rsidRDefault="00B958B1" w:rsidP="009F3B54">
            <w:pPr>
              <w:pStyle w:val="OGTabHead"/>
              <w:jc w:val="left"/>
            </w:pPr>
            <w:r>
              <w:t>Cost</w:t>
            </w:r>
          </w:p>
        </w:tc>
        <w:tc>
          <w:tcPr>
            <w:tcW w:w="906" w:type="dxa"/>
            <w:tcBorders>
              <w:top w:val="single" w:sz="4" w:space="0" w:color="auto"/>
            </w:tcBorders>
          </w:tcPr>
          <w:p w:rsidR="00B958B1" w:rsidRPr="00FA0B8A" w:rsidRDefault="00B958B1" w:rsidP="009F3B54">
            <w:pPr>
              <w:pStyle w:val="OGUoM"/>
              <w:jc w:val="left"/>
              <w:rPr>
                <w:i/>
              </w:rPr>
            </w:pPr>
          </w:p>
        </w:tc>
        <w:tc>
          <w:tcPr>
            <w:tcW w:w="908" w:type="dxa"/>
            <w:tcBorders>
              <w:top w:val="single" w:sz="4" w:space="0" w:color="auto"/>
            </w:tcBorders>
            <w:shd w:val="clear" w:color="auto" w:fill="D9D9D9"/>
          </w:tcPr>
          <w:p w:rsidR="00B958B1" w:rsidRPr="00FA0B8A" w:rsidRDefault="00B958B1" w:rsidP="009F3B54">
            <w:pPr>
              <w:pStyle w:val="OGTableofFigures"/>
              <w:jc w:val="left"/>
              <w:rPr>
                <w:i/>
              </w:rPr>
            </w:pPr>
          </w:p>
        </w:tc>
        <w:tc>
          <w:tcPr>
            <w:tcW w:w="995" w:type="dxa"/>
            <w:tcBorders>
              <w:top w:val="single" w:sz="4" w:space="0" w:color="auto"/>
            </w:tcBorders>
          </w:tcPr>
          <w:p w:rsidR="00B958B1" w:rsidRPr="00FA0B8A" w:rsidRDefault="00B958B1" w:rsidP="009F3B54">
            <w:pPr>
              <w:pStyle w:val="OGTableofFigures"/>
              <w:jc w:val="left"/>
              <w:rPr>
                <w:i/>
              </w:rPr>
            </w:pPr>
          </w:p>
        </w:tc>
        <w:tc>
          <w:tcPr>
            <w:tcW w:w="906" w:type="dxa"/>
            <w:gridSpan w:val="2"/>
            <w:tcBorders>
              <w:top w:val="single" w:sz="4" w:space="0" w:color="auto"/>
            </w:tcBorders>
          </w:tcPr>
          <w:p w:rsidR="00B958B1" w:rsidRPr="00FA0B8A" w:rsidRDefault="00B958B1" w:rsidP="009F3B54">
            <w:pPr>
              <w:pStyle w:val="OGTableofFigures"/>
              <w:jc w:val="left"/>
              <w:rPr>
                <w:i/>
              </w:rPr>
            </w:pPr>
          </w:p>
        </w:tc>
        <w:tc>
          <w:tcPr>
            <w:tcW w:w="913" w:type="dxa"/>
            <w:tcBorders>
              <w:top w:val="single" w:sz="4" w:space="0" w:color="auto"/>
            </w:tcBorders>
          </w:tcPr>
          <w:p w:rsidR="00B958B1" w:rsidRPr="00FA0B8A" w:rsidRDefault="00B958B1" w:rsidP="009F3B54">
            <w:pPr>
              <w:pStyle w:val="OGTableofFigures"/>
              <w:jc w:val="left"/>
              <w:rPr>
                <w:i/>
              </w:rPr>
            </w:pPr>
          </w:p>
        </w:tc>
      </w:tr>
      <w:tr w:rsidR="00B958B1" w:rsidRPr="002B0132" w:rsidTr="009F3B54">
        <w:tblPrEx>
          <w:tblLook w:val="04A0" w:firstRow="1" w:lastRow="0" w:firstColumn="1" w:lastColumn="0" w:noHBand="0" w:noVBand="1"/>
        </w:tblPrEx>
        <w:trPr>
          <w:cantSplit/>
        </w:trPr>
        <w:tc>
          <w:tcPr>
            <w:tcW w:w="3148" w:type="dxa"/>
            <w:gridSpan w:val="2"/>
          </w:tcPr>
          <w:p w:rsidR="00B958B1" w:rsidRPr="00970B11" w:rsidRDefault="00B958B1" w:rsidP="009F3B54">
            <w:pPr>
              <w:pStyle w:val="TableText0"/>
              <w:spacing w:before="60" w:after="60"/>
              <w:jc w:val="left"/>
              <w:rPr>
                <w:rFonts w:cs="Calibri"/>
                <w:color w:val="auto"/>
                <w:sz w:val="20"/>
                <w:szCs w:val="22"/>
              </w:rPr>
            </w:pPr>
            <w:r>
              <w:rPr>
                <w:rFonts w:cs="Calibri"/>
                <w:color w:val="auto"/>
                <w:sz w:val="20"/>
                <w:szCs w:val="22"/>
              </w:rPr>
              <w:t>Total output cost</w:t>
            </w:r>
          </w:p>
        </w:tc>
        <w:tc>
          <w:tcPr>
            <w:tcW w:w="906" w:type="dxa"/>
          </w:tcPr>
          <w:p w:rsidR="00B958B1" w:rsidRPr="002B0132" w:rsidRDefault="00B958B1" w:rsidP="009F3B54">
            <w:pPr>
              <w:pStyle w:val="TableText0"/>
              <w:spacing w:before="60" w:after="60"/>
              <w:jc w:val="center"/>
              <w:rPr>
                <w:rFonts w:cs="Calibri"/>
                <w:color w:val="auto"/>
                <w:sz w:val="20"/>
                <w:szCs w:val="22"/>
              </w:rPr>
            </w:pPr>
            <w:r>
              <w:rPr>
                <w:rFonts w:cs="Calibri"/>
                <w:color w:val="auto"/>
                <w:sz w:val="20"/>
                <w:szCs w:val="22"/>
              </w:rPr>
              <w:t>$ million</w:t>
            </w:r>
          </w:p>
        </w:tc>
        <w:tc>
          <w:tcPr>
            <w:tcW w:w="908" w:type="dxa"/>
            <w:shd w:val="clear" w:color="auto" w:fill="D9D9D9"/>
          </w:tcPr>
          <w:p w:rsidR="00B958B1" w:rsidRDefault="00B958B1" w:rsidP="009F3B54">
            <w:pPr>
              <w:pStyle w:val="TableText0"/>
              <w:spacing w:before="60" w:after="60"/>
              <w:jc w:val="right"/>
              <w:rPr>
                <w:rFonts w:cs="Calibri"/>
                <w:color w:val="auto"/>
                <w:sz w:val="20"/>
                <w:szCs w:val="22"/>
              </w:rPr>
            </w:pPr>
            <w:r>
              <w:rPr>
                <w:rFonts w:cs="Calibri"/>
                <w:color w:val="auto"/>
                <w:sz w:val="20"/>
                <w:szCs w:val="22"/>
              </w:rPr>
              <w:t>14.7</w:t>
            </w:r>
          </w:p>
        </w:tc>
        <w:tc>
          <w:tcPr>
            <w:tcW w:w="995" w:type="dxa"/>
          </w:tcPr>
          <w:p w:rsidR="00B958B1" w:rsidRDefault="00B958B1" w:rsidP="009F3B54">
            <w:pPr>
              <w:pStyle w:val="TableText0"/>
              <w:spacing w:before="60" w:after="60"/>
              <w:jc w:val="right"/>
              <w:rPr>
                <w:rFonts w:cs="Calibri"/>
                <w:color w:val="auto"/>
                <w:sz w:val="20"/>
                <w:szCs w:val="22"/>
              </w:rPr>
            </w:pPr>
            <w:r>
              <w:rPr>
                <w:rFonts w:cs="Calibri"/>
                <w:color w:val="auto"/>
                <w:sz w:val="20"/>
                <w:szCs w:val="22"/>
              </w:rPr>
              <w:t>15.5</w:t>
            </w:r>
          </w:p>
        </w:tc>
        <w:tc>
          <w:tcPr>
            <w:tcW w:w="906" w:type="dxa"/>
            <w:gridSpan w:val="2"/>
          </w:tcPr>
          <w:p w:rsidR="00B958B1" w:rsidRDefault="00B958B1" w:rsidP="009F3B54">
            <w:pPr>
              <w:pStyle w:val="TableText0"/>
              <w:spacing w:before="60" w:after="60"/>
              <w:jc w:val="right"/>
              <w:rPr>
                <w:rFonts w:cs="Calibri"/>
                <w:color w:val="auto"/>
                <w:sz w:val="20"/>
                <w:szCs w:val="22"/>
              </w:rPr>
            </w:pPr>
            <w:r>
              <w:rPr>
                <w:rFonts w:cs="Calibri"/>
                <w:color w:val="auto"/>
                <w:sz w:val="20"/>
                <w:szCs w:val="22"/>
              </w:rPr>
              <w:t>14.6</w:t>
            </w:r>
          </w:p>
        </w:tc>
        <w:tc>
          <w:tcPr>
            <w:tcW w:w="913" w:type="dxa"/>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12.4</w:t>
            </w:r>
          </w:p>
        </w:tc>
      </w:tr>
      <w:tr w:rsidR="00B958B1" w:rsidRPr="002B0132" w:rsidTr="009F3B54">
        <w:tblPrEx>
          <w:tblLook w:val="04A0" w:firstRow="1" w:lastRow="0" w:firstColumn="1" w:lastColumn="0" w:noHBand="0" w:noVBand="1"/>
        </w:tblPrEx>
        <w:trPr>
          <w:cantSplit/>
        </w:trPr>
        <w:tc>
          <w:tcPr>
            <w:tcW w:w="7776" w:type="dxa"/>
            <w:gridSpan w:val="8"/>
          </w:tcPr>
          <w:p w:rsidR="00B958B1" w:rsidRDefault="00B958B1" w:rsidP="009F3B54">
            <w:pPr>
              <w:pStyle w:val="OGTableofFigures"/>
              <w:ind w:left="397" w:right="64"/>
              <w:jc w:val="left"/>
              <w:rPr>
                <w:rFonts w:cs="Calibri"/>
                <w:szCs w:val="22"/>
              </w:rPr>
            </w:pPr>
            <w:r w:rsidRPr="00547387">
              <w:rPr>
                <w:rFonts w:cs="Calibri"/>
                <w:i/>
                <w:sz w:val="15"/>
                <w:szCs w:val="15"/>
              </w:rPr>
              <w:t>The 2012</w:t>
            </w:r>
            <w:r w:rsidR="009F0F49">
              <w:rPr>
                <w:rFonts w:cs="Calibri"/>
                <w:i/>
                <w:sz w:val="15"/>
                <w:szCs w:val="15"/>
              </w:rPr>
              <w:noBreakHyphen/>
            </w:r>
            <w:r w:rsidRPr="00547387">
              <w:rPr>
                <w:rFonts w:cs="Calibri"/>
                <w:i/>
                <w:sz w:val="15"/>
                <w:szCs w:val="15"/>
              </w:rPr>
              <w:t>13 Expected Outcome is higher than the 2012</w:t>
            </w:r>
            <w:r w:rsidR="009F0F49">
              <w:rPr>
                <w:rFonts w:cs="Calibri"/>
                <w:i/>
                <w:sz w:val="15"/>
                <w:szCs w:val="15"/>
              </w:rPr>
              <w:noBreakHyphen/>
            </w:r>
            <w:r w:rsidRPr="00547387">
              <w:rPr>
                <w:rFonts w:cs="Calibri"/>
                <w:i/>
                <w:sz w:val="15"/>
                <w:szCs w:val="15"/>
              </w:rPr>
              <w:t>13 Target due to an internal reprioritisation of resources from the Financial and Resource Management Frameworks output following a departmental restructure.</w:t>
            </w:r>
          </w:p>
        </w:tc>
      </w:tr>
      <w:tr w:rsidR="00B958B1" w:rsidRPr="002B0132" w:rsidTr="009F3B54">
        <w:tblPrEx>
          <w:tblLook w:val="04A0" w:firstRow="1" w:lastRow="0" w:firstColumn="1" w:lastColumn="0" w:noHBand="0" w:noVBand="1"/>
        </w:tblPrEx>
        <w:trPr>
          <w:cantSplit/>
        </w:trPr>
        <w:tc>
          <w:tcPr>
            <w:tcW w:w="7776" w:type="dxa"/>
            <w:gridSpan w:val="8"/>
          </w:tcPr>
          <w:p w:rsidR="00B958B1" w:rsidRPr="00547387" w:rsidRDefault="00B958B1" w:rsidP="009F3B54">
            <w:pPr>
              <w:pStyle w:val="OGTableofFigures"/>
              <w:ind w:left="397" w:right="64"/>
              <w:jc w:val="left"/>
              <w:rPr>
                <w:rFonts w:cs="Calibri"/>
                <w:i/>
                <w:sz w:val="15"/>
                <w:szCs w:val="15"/>
              </w:rPr>
            </w:pPr>
            <w:r>
              <w:rPr>
                <w:rFonts w:cs="Calibri"/>
                <w:i/>
                <w:sz w:val="15"/>
                <w:szCs w:val="15"/>
              </w:rPr>
              <w:t>The higher 2013</w:t>
            </w:r>
            <w:r w:rsidR="009F0F49">
              <w:rPr>
                <w:rFonts w:cs="Calibri"/>
                <w:i/>
                <w:sz w:val="15"/>
                <w:szCs w:val="15"/>
              </w:rPr>
              <w:noBreakHyphen/>
            </w:r>
            <w:r>
              <w:rPr>
                <w:rFonts w:cs="Calibri"/>
                <w:i/>
                <w:sz w:val="15"/>
                <w:szCs w:val="15"/>
              </w:rPr>
              <w:t>14 Target reflects indexation.</w:t>
            </w:r>
          </w:p>
        </w:tc>
      </w:tr>
      <w:tr w:rsidR="00B958B1" w:rsidRPr="00F16DCB" w:rsidTr="009F3B54">
        <w:tblPrEx>
          <w:tblLook w:val="04A0" w:firstRow="1" w:lastRow="0" w:firstColumn="1" w:lastColumn="0" w:noHBand="0" w:noVBand="1"/>
        </w:tblPrEx>
        <w:trPr>
          <w:cantSplit/>
        </w:trPr>
        <w:tc>
          <w:tcPr>
            <w:tcW w:w="7776" w:type="dxa"/>
            <w:gridSpan w:val="8"/>
            <w:tcBorders>
              <w:top w:val="single" w:sz="6" w:space="0" w:color="auto"/>
            </w:tcBorders>
          </w:tcPr>
          <w:p w:rsidR="00B958B1" w:rsidRPr="00F16DCB" w:rsidRDefault="00B958B1" w:rsidP="009F3B54">
            <w:pPr>
              <w:pStyle w:val="OGHeading2"/>
            </w:pPr>
            <w:r w:rsidRPr="00F16DCB">
              <w:t>GBE Performance Monitoring and Financial Risk Management</w:t>
            </w:r>
          </w:p>
        </w:tc>
      </w:tr>
      <w:tr w:rsidR="00B958B1" w:rsidRPr="00F16DCB" w:rsidTr="009F3B54">
        <w:tblPrEx>
          <w:tblLook w:val="04A0" w:firstRow="1" w:lastRow="0" w:firstColumn="1" w:lastColumn="0" w:noHBand="0" w:noVBand="1"/>
        </w:tblPrEx>
        <w:trPr>
          <w:cantSplit/>
        </w:trPr>
        <w:tc>
          <w:tcPr>
            <w:tcW w:w="7776" w:type="dxa"/>
            <w:gridSpan w:val="8"/>
            <w:tcBorders>
              <w:bottom w:val="single" w:sz="6" w:space="0" w:color="auto"/>
            </w:tcBorders>
          </w:tcPr>
          <w:p w:rsidR="00B958B1" w:rsidRDefault="00B958B1" w:rsidP="009F3B54">
            <w:pPr>
              <w:pStyle w:val="OGText"/>
              <w:jc w:val="left"/>
              <w:rPr>
                <w:lang w:eastAsia="en-AU"/>
              </w:rPr>
            </w:pPr>
            <w:r>
              <w:rPr>
                <w:lang w:eastAsia="en-AU"/>
              </w:rPr>
              <w:t>This output monitors the performance of Government Business Enterprises (GBEs) and Registered Housing Agencies, and manages the State’s financial risk. It contributes to the Department’s objective of ensuring sound financial management of Victoria’s fiscal resources by:</w:t>
            </w:r>
          </w:p>
          <w:p w:rsidR="00B958B1" w:rsidRDefault="00B958B1" w:rsidP="009F3B54">
            <w:pPr>
              <w:pStyle w:val="OGBullet"/>
              <w:jc w:val="left"/>
              <w:rPr>
                <w:lang w:eastAsia="en-AU"/>
              </w:rPr>
            </w:pPr>
            <w:r>
              <w:rPr>
                <w:lang w:eastAsia="en-AU"/>
              </w:rPr>
              <w:t>monitoring and providing advice on the financial and operational performance of GBEs and Registered Housing Agencies;</w:t>
            </w:r>
          </w:p>
          <w:p w:rsidR="00B958B1" w:rsidRDefault="00B958B1" w:rsidP="009F3B54">
            <w:pPr>
              <w:pStyle w:val="OGBullet"/>
              <w:jc w:val="left"/>
              <w:rPr>
                <w:lang w:eastAsia="en-AU"/>
              </w:rPr>
            </w:pPr>
            <w:r>
              <w:rPr>
                <w:lang w:eastAsia="en-AU"/>
              </w:rPr>
              <w:t>developing and implementing prudential risk management and reporting frameworks in respect of Public Financial Corporations (PFCs) and strategies to manage the State’s financial risks;</w:t>
            </w:r>
          </w:p>
          <w:p w:rsidR="00B958B1" w:rsidRDefault="00B958B1" w:rsidP="009F3B54">
            <w:pPr>
              <w:pStyle w:val="OGBullet"/>
              <w:jc w:val="left"/>
              <w:rPr>
                <w:lang w:eastAsia="en-AU"/>
              </w:rPr>
            </w:pPr>
            <w:r>
              <w:rPr>
                <w:lang w:eastAsia="en-AU"/>
              </w:rPr>
              <w:t>overseeing policy and strategies to manage the State’s investment, borrowing, unfunded superannuation and insurance claims obligations and the management of the associated risks; and</w:t>
            </w:r>
          </w:p>
          <w:p w:rsidR="00B958B1" w:rsidRPr="00F16DCB" w:rsidRDefault="00B958B1" w:rsidP="009F3B54">
            <w:pPr>
              <w:pStyle w:val="OGBullet"/>
              <w:jc w:val="left"/>
            </w:pPr>
            <w:r>
              <w:rPr>
                <w:lang w:eastAsia="en-AU"/>
              </w:rPr>
              <w:t>producing budget and financial reporting data for the Public Non</w:t>
            </w:r>
            <w:r w:rsidR="009F0F49">
              <w:rPr>
                <w:lang w:eastAsia="en-AU"/>
              </w:rPr>
              <w:noBreakHyphen/>
            </w:r>
            <w:r>
              <w:rPr>
                <w:lang w:eastAsia="en-AU"/>
              </w:rPr>
              <w:t>Financial Corporation (PNFC) and PFC sectors.</w:t>
            </w:r>
          </w:p>
        </w:tc>
      </w:tr>
      <w:tr w:rsidR="00B958B1" w:rsidRPr="00F16DCB" w:rsidTr="009F3B54">
        <w:tblPrEx>
          <w:tblLook w:val="04A0" w:firstRow="1" w:lastRow="0" w:firstColumn="1" w:lastColumn="0" w:noHBand="0" w:noVBand="1"/>
        </w:tblPrEx>
        <w:trPr>
          <w:cantSplit/>
        </w:trPr>
        <w:tc>
          <w:tcPr>
            <w:tcW w:w="3148" w:type="dxa"/>
            <w:gridSpan w:val="2"/>
            <w:tcBorders>
              <w:top w:val="single" w:sz="6" w:space="0" w:color="auto"/>
            </w:tcBorders>
          </w:tcPr>
          <w:p w:rsidR="00B958B1" w:rsidRPr="00F16DCB" w:rsidRDefault="00B958B1" w:rsidP="009F3B54">
            <w:pPr>
              <w:pStyle w:val="OGTabHead"/>
            </w:pPr>
            <w:r w:rsidRPr="00F16DCB">
              <w:t>Quantity</w:t>
            </w:r>
          </w:p>
        </w:tc>
        <w:tc>
          <w:tcPr>
            <w:tcW w:w="906" w:type="dxa"/>
            <w:tcBorders>
              <w:top w:val="single" w:sz="6" w:space="0" w:color="auto"/>
            </w:tcBorders>
          </w:tcPr>
          <w:p w:rsidR="00B958B1" w:rsidRPr="00F16DCB" w:rsidRDefault="00B958B1" w:rsidP="009F3B54">
            <w:pPr>
              <w:pStyle w:val="OGTabHead"/>
            </w:pPr>
          </w:p>
        </w:tc>
        <w:tc>
          <w:tcPr>
            <w:tcW w:w="908" w:type="dxa"/>
            <w:tcBorders>
              <w:top w:val="single" w:sz="6" w:space="0" w:color="auto"/>
            </w:tcBorders>
            <w:shd w:val="clear" w:color="auto" w:fill="D9D9D9"/>
          </w:tcPr>
          <w:p w:rsidR="00B958B1" w:rsidRPr="00F16DCB" w:rsidRDefault="00B958B1" w:rsidP="009F3B54">
            <w:pPr>
              <w:pStyle w:val="OGTabHead"/>
            </w:pPr>
            <w:r w:rsidRPr="00F16DCB">
              <w:t> </w:t>
            </w:r>
          </w:p>
        </w:tc>
        <w:tc>
          <w:tcPr>
            <w:tcW w:w="995" w:type="dxa"/>
            <w:tcBorders>
              <w:top w:val="single" w:sz="6" w:space="0" w:color="auto"/>
            </w:tcBorders>
          </w:tcPr>
          <w:p w:rsidR="00B958B1" w:rsidRPr="00F16DCB" w:rsidRDefault="00B958B1" w:rsidP="009F3B54">
            <w:pPr>
              <w:pStyle w:val="OGTabHead"/>
            </w:pPr>
          </w:p>
        </w:tc>
        <w:tc>
          <w:tcPr>
            <w:tcW w:w="906" w:type="dxa"/>
            <w:gridSpan w:val="2"/>
            <w:tcBorders>
              <w:top w:val="single" w:sz="6" w:space="0" w:color="auto"/>
            </w:tcBorders>
          </w:tcPr>
          <w:p w:rsidR="00B958B1" w:rsidRPr="00F16DCB" w:rsidRDefault="00B958B1" w:rsidP="009F3B54">
            <w:pPr>
              <w:pStyle w:val="OGTabHead"/>
            </w:pPr>
          </w:p>
        </w:tc>
        <w:tc>
          <w:tcPr>
            <w:tcW w:w="913" w:type="dxa"/>
            <w:tcBorders>
              <w:top w:val="single" w:sz="6" w:space="0" w:color="auto"/>
            </w:tcBorders>
          </w:tcPr>
          <w:p w:rsidR="00B958B1" w:rsidRPr="00F16DCB" w:rsidRDefault="00B958B1" w:rsidP="009F3B54">
            <w:pPr>
              <w:pStyle w:val="OGTabHead"/>
            </w:pPr>
          </w:p>
        </w:tc>
      </w:tr>
      <w:tr w:rsidR="00B958B1" w:rsidRPr="00F16DCB" w:rsidTr="009F3B54">
        <w:tblPrEx>
          <w:tblLook w:val="04A0" w:firstRow="1" w:lastRow="0" w:firstColumn="1" w:lastColumn="0" w:noHBand="0" w:noVBand="1"/>
        </w:tblPrEx>
        <w:trPr>
          <w:cantSplit/>
        </w:trPr>
        <w:tc>
          <w:tcPr>
            <w:tcW w:w="3148" w:type="dxa"/>
            <w:gridSpan w:val="2"/>
          </w:tcPr>
          <w:p w:rsidR="00B958B1" w:rsidRPr="00F16DCB" w:rsidRDefault="00B958B1" w:rsidP="009F3B54">
            <w:pPr>
              <w:pStyle w:val="OGTabText"/>
              <w:jc w:val="left"/>
            </w:pPr>
            <w:r w:rsidRPr="00F16DCB">
              <w:t>Annual performance and compliance review of registered housing agencies</w:t>
            </w:r>
          </w:p>
        </w:tc>
        <w:tc>
          <w:tcPr>
            <w:tcW w:w="906" w:type="dxa"/>
          </w:tcPr>
          <w:p w:rsidR="00B958B1" w:rsidRPr="00F16DCB" w:rsidRDefault="00B958B1" w:rsidP="009F3B54">
            <w:pPr>
              <w:pStyle w:val="TableText0"/>
              <w:spacing w:before="60" w:after="60"/>
              <w:jc w:val="center"/>
              <w:rPr>
                <w:rFonts w:cs="Calibri"/>
                <w:color w:val="auto"/>
                <w:sz w:val="20"/>
                <w:szCs w:val="22"/>
              </w:rPr>
            </w:pPr>
            <w:r w:rsidRPr="00F16DCB">
              <w:rPr>
                <w:rFonts w:cs="Calibri"/>
                <w:color w:val="auto"/>
                <w:sz w:val="20"/>
                <w:szCs w:val="22"/>
              </w:rPr>
              <w:t>number</w:t>
            </w:r>
          </w:p>
        </w:tc>
        <w:tc>
          <w:tcPr>
            <w:tcW w:w="908" w:type="dxa"/>
            <w:shd w:val="clear" w:color="auto" w:fill="D9D9D9"/>
          </w:tcPr>
          <w:p w:rsidR="00B958B1" w:rsidRPr="00F16DCB" w:rsidRDefault="00B958B1" w:rsidP="009F3B54">
            <w:pPr>
              <w:pStyle w:val="OGTableofFigures"/>
            </w:pPr>
            <w:r w:rsidRPr="00F16DCB">
              <w:t xml:space="preserve"> 42</w:t>
            </w:r>
          </w:p>
        </w:tc>
        <w:tc>
          <w:tcPr>
            <w:tcW w:w="995" w:type="dxa"/>
          </w:tcPr>
          <w:p w:rsidR="00B958B1" w:rsidRPr="00F16DCB" w:rsidRDefault="00B958B1" w:rsidP="009F3B54">
            <w:pPr>
              <w:pStyle w:val="OGTableofFigures"/>
            </w:pPr>
            <w:r w:rsidRPr="00F16DCB">
              <w:t>41</w:t>
            </w:r>
          </w:p>
        </w:tc>
        <w:tc>
          <w:tcPr>
            <w:tcW w:w="906" w:type="dxa"/>
            <w:gridSpan w:val="2"/>
          </w:tcPr>
          <w:p w:rsidR="00B958B1" w:rsidRPr="00F16DCB" w:rsidRDefault="00B958B1" w:rsidP="009F3B54">
            <w:pPr>
              <w:pStyle w:val="OGTableofFigures"/>
            </w:pPr>
            <w:r w:rsidRPr="00F16DCB">
              <w:t>41</w:t>
            </w:r>
          </w:p>
        </w:tc>
        <w:tc>
          <w:tcPr>
            <w:tcW w:w="913" w:type="dxa"/>
          </w:tcPr>
          <w:p w:rsidR="00B958B1" w:rsidRPr="00F16DCB" w:rsidRDefault="00B958B1" w:rsidP="009F3B54">
            <w:pPr>
              <w:pStyle w:val="OGTableofFigures"/>
            </w:pPr>
            <w:r w:rsidRPr="00F16DCB">
              <w:t>40</w:t>
            </w:r>
          </w:p>
        </w:tc>
      </w:tr>
      <w:tr w:rsidR="00B958B1" w:rsidRPr="00F16DCB" w:rsidTr="009F3B54">
        <w:tblPrEx>
          <w:tblLook w:val="04A0" w:firstRow="1" w:lastRow="0" w:firstColumn="1" w:lastColumn="0" w:noHBand="0" w:noVBand="1"/>
        </w:tblPrEx>
        <w:trPr>
          <w:cantSplit/>
        </w:trPr>
        <w:tc>
          <w:tcPr>
            <w:tcW w:w="7776" w:type="dxa"/>
            <w:gridSpan w:val="8"/>
            <w:tcBorders>
              <w:bottom w:val="single" w:sz="6" w:space="0" w:color="auto"/>
            </w:tcBorders>
          </w:tcPr>
          <w:p w:rsidR="00B958B1" w:rsidRPr="00F16DCB" w:rsidRDefault="00B958B1" w:rsidP="009F3B54">
            <w:pPr>
              <w:pStyle w:val="OGTableofFigures"/>
              <w:ind w:left="397" w:right="64"/>
              <w:jc w:val="left"/>
            </w:pPr>
            <w:r w:rsidRPr="00547387">
              <w:rPr>
                <w:rFonts w:cs="Calibri"/>
                <w:i/>
                <w:sz w:val="15"/>
                <w:szCs w:val="15"/>
              </w:rPr>
              <w:t>The higher 2013</w:t>
            </w:r>
            <w:r w:rsidR="009F0F49">
              <w:rPr>
                <w:rFonts w:cs="Calibri"/>
                <w:i/>
                <w:sz w:val="15"/>
                <w:szCs w:val="15"/>
              </w:rPr>
              <w:noBreakHyphen/>
            </w:r>
            <w:r w:rsidRPr="00547387">
              <w:rPr>
                <w:rFonts w:cs="Calibri"/>
                <w:i/>
                <w:sz w:val="15"/>
                <w:szCs w:val="15"/>
              </w:rPr>
              <w:t>14 Target reflects the creation in 2012</w:t>
            </w:r>
            <w:r w:rsidR="009F0F49">
              <w:rPr>
                <w:rFonts w:cs="Calibri"/>
                <w:i/>
                <w:sz w:val="15"/>
                <w:szCs w:val="15"/>
              </w:rPr>
              <w:noBreakHyphen/>
            </w:r>
            <w:r w:rsidRPr="00547387">
              <w:rPr>
                <w:rFonts w:cs="Calibri"/>
                <w:i/>
                <w:sz w:val="15"/>
                <w:szCs w:val="15"/>
              </w:rPr>
              <w:t>13 of a new registered housing agency, the Haven Foundation.</w:t>
            </w:r>
          </w:p>
        </w:tc>
      </w:tr>
      <w:tr w:rsidR="00B958B1" w:rsidRPr="00F16DCB" w:rsidTr="009F3B54">
        <w:tblPrEx>
          <w:tblLook w:val="04A0" w:firstRow="1" w:lastRow="0" w:firstColumn="1" w:lastColumn="0" w:noHBand="0" w:noVBand="1"/>
        </w:tblPrEx>
        <w:trPr>
          <w:cantSplit/>
        </w:trPr>
        <w:tc>
          <w:tcPr>
            <w:tcW w:w="3148" w:type="dxa"/>
            <w:gridSpan w:val="2"/>
            <w:tcBorders>
              <w:top w:val="single" w:sz="6" w:space="0" w:color="auto"/>
            </w:tcBorders>
          </w:tcPr>
          <w:p w:rsidR="00B958B1" w:rsidRPr="00F16DCB" w:rsidRDefault="00B958B1" w:rsidP="009F3B54">
            <w:pPr>
              <w:pStyle w:val="OGTabText"/>
            </w:pPr>
            <w:r w:rsidRPr="00F16DCB">
              <w:t>Board appointments</w:t>
            </w:r>
          </w:p>
        </w:tc>
        <w:tc>
          <w:tcPr>
            <w:tcW w:w="906" w:type="dxa"/>
            <w:tcBorders>
              <w:top w:val="single" w:sz="6" w:space="0" w:color="auto"/>
            </w:tcBorders>
          </w:tcPr>
          <w:p w:rsidR="00B958B1" w:rsidRPr="00F16DCB" w:rsidRDefault="00B958B1" w:rsidP="009F3B54">
            <w:pPr>
              <w:pStyle w:val="TableText0"/>
              <w:spacing w:before="60" w:after="60"/>
              <w:jc w:val="center"/>
              <w:rPr>
                <w:rFonts w:cs="Calibri"/>
                <w:color w:val="auto"/>
                <w:sz w:val="20"/>
                <w:szCs w:val="22"/>
              </w:rPr>
            </w:pPr>
            <w:r w:rsidRPr="00F16DCB">
              <w:rPr>
                <w:rFonts w:cs="Calibri"/>
                <w:color w:val="auto"/>
                <w:sz w:val="20"/>
                <w:szCs w:val="22"/>
              </w:rPr>
              <w:t>number</w:t>
            </w:r>
          </w:p>
        </w:tc>
        <w:tc>
          <w:tcPr>
            <w:tcW w:w="908" w:type="dxa"/>
            <w:tcBorders>
              <w:top w:val="single" w:sz="6" w:space="0" w:color="auto"/>
            </w:tcBorders>
            <w:shd w:val="clear" w:color="auto" w:fill="D9D9D9"/>
          </w:tcPr>
          <w:p w:rsidR="00B958B1" w:rsidRPr="00F16DCB" w:rsidRDefault="00B958B1" w:rsidP="009F3B54">
            <w:pPr>
              <w:pStyle w:val="OGTableofFigures"/>
            </w:pPr>
            <w:r w:rsidRPr="00F16DCB">
              <w:t>93</w:t>
            </w:r>
          </w:p>
        </w:tc>
        <w:tc>
          <w:tcPr>
            <w:tcW w:w="995" w:type="dxa"/>
            <w:tcBorders>
              <w:top w:val="single" w:sz="6" w:space="0" w:color="auto"/>
            </w:tcBorders>
          </w:tcPr>
          <w:p w:rsidR="00B958B1" w:rsidRPr="00F16DCB" w:rsidRDefault="00B958B1" w:rsidP="009F3B54">
            <w:pPr>
              <w:pStyle w:val="OGTableofFigures"/>
            </w:pPr>
            <w:r w:rsidRPr="00F16DCB">
              <w:t>101</w:t>
            </w:r>
          </w:p>
        </w:tc>
        <w:tc>
          <w:tcPr>
            <w:tcW w:w="906" w:type="dxa"/>
            <w:gridSpan w:val="2"/>
            <w:tcBorders>
              <w:top w:val="single" w:sz="6" w:space="0" w:color="auto"/>
            </w:tcBorders>
          </w:tcPr>
          <w:p w:rsidR="00B958B1" w:rsidRPr="00F16DCB" w:rsidRDefault="00B958B1" w:rsidP="009F3B54">
            <w:pPr>
              <w:pStyle w:val="OGTableofFigures"/>
            </w:pPr>
            <w:r w:rsidRPr="00F16DCB">
              <w:t>96</w:t>
            </w:r>
          </w:p>
        </w:tc>
        <w:tc>
          <w:tcPr>
            <w:tcW w:w="913" w:type="dxa"/>
            <w:tcBorders>
              <w:top w:val="single" w:sz="6" w:space="0" w:color="auto"/>
            </w:tcBorders>
          </w:tcPr>
          <w:p w:rsidR="00B958B1" w:rsidRPr="00F16DCB" w:rsidRDefault="00B958B1" w:rsidP="009F3B54">
            <w:pPr>
              <w:pStyle w:val="OGTableofFigures"/>
            </w:pPr>
            <w:r w:rsidRPr="00F16DCB">
              <w:t>127</w:t>
            </w:r>
          </w:p>
        </w:tc>
      </w:tr>
      <w:tr w:rsidR="00B958B1" w:rsidRPr="00F16DCB" w:rsidTr="009F3B54">
        <w:tblPrEx>
          <w:tblLook w:val="04A0" w:firstRow="1" w:lastRow="0" w:firstColumn="1" w:lastColumn="0" w:noHBand="0" w:noVBand="1"/>
        </w:tblPrEx>
        <w:trPr>
          <w:cantSplit/>
        </w:trPr>
        <w:tc>
          <w:tcPr>
            <w:tcW w:w="7776" w:type="dxa"/>
            <w:gridSpan w:val="8"/>
            <w:tcBorders>
              <w:bottom w:val="single" w:sz="6" w:space="0" w:color="auto"/>
            </w:tcBorders>
          </w:tcPr>
          <w:p w:rsidR="00B958B1" w:rsidRPr="00547387" w:rsidRDefault="00B958B1" w:rsidP="009F3B54">
            <w:pPr>
              <w:pStyle w:val="OGTableofFigures"/>
              <w:ind w:left="397" w:right="64"/>
              <w:jc w:val="left"/>
              <w:rPr>
                <w:rFonts w:cs="Calibri"/>
                <w:i/>
                <w:sz w:val="15"/>
                <w:szCs w:val="15"/>
              </w:rPr>
            </w:pPr>
            <w:r w:rsidRPr="00547387">
              <w:rPr>
                <w:rFonts w:cs="Calibri"/>
                <w:i/>
                <w:sz w:val="15"/>
                <w:szCs w:val="15"/>
              </w:rPr>
              <w:t>The lower 2013</w:t>
            </w:r>
            <w:r w:rsidR="009F0F49">
              <w:rPr>
                <w:rFonts w:cs="Calibri"/>
                <w:i/>
                <w:sz w:val="15"/>
                <w:szCs w:val="15"/>
              </w:rPr>
              <w:noBreakHyphen/>
            </w:r>
            <w:r w:rsidRPr="00547387">
              <w:rPr>
                <w:rFonts w:cs="Calibri"/>
                <w:i/>
                <w:sz w:val="15"/>
                <w:szCs w:val="15"/>
              </w:rPr>
              <w:t>14 Target reflects a reduction in the number of CenITex board members.</w:t>
            </w:r>
          </w:p>
          <w:p w:rsidR="00B958B1" w:rsidRPr="00F16DCB" w:rsidRDefault="00B958B1" w:rsidP="009F3B54">
            <w:pPr>
              <w:pStyle w:val="OGTableofFigures"/>
              <w:ind w:left="397" w:right="64"/>
              <w:jc w:val="left"/>
            </w:pPr>
            <w:r w:rsidRPr="00547387">
              <w:rPr>
                <w:rFonts w:cs="Calibri"/>
                <w:i/>
                <w:sz w:val="15"/>
                <w:szCs w:val="15"/>
              </w:rPr>
              <w:t>The 2012</w:t>
            </w:r>
            <w:r w:rsidR="009F0F49">
              <w:rPr>
                <w:rFonts w:cs="Calibri"/>
                <w:i/>
                <w:sz w:val="15"/>
                <w:szCs w:val="15"/>
              </w:rPr>
              <w:noBreakHyphen/>
            </w:r>
            <w:r w:rsidRPr="00547387">
              <w:rPr>
                <w:rFonts w:cs="Calibri"/>
                <w:i/>
                <w:sz w:val="15"/>
                <w:szCs w:val="15"/>
              </w:rPr>
              <w:t>13 Expected Outcome is higher than the 2012</w:t>
            </w:r>
            <w:r w:rsidR="009F0F49">
              <w:rPr>
                <w:rFonts w:cs="Calibri"/>
                <w:i/>
                <w:sz w:val="15"/>
                <w:szCs w:val="15"/>
              </w:rPr>
              <w:noBreakHyphen/>
            </w:r>
            <w:r w:rsidRPr="00547387">
              <w:rPr>
                <w:rFonts w:cs="Calibri"/>
                <w:i/>
                <w:sz w:val="15"/>
                <w:szCs w:val="15"/>
              </w:rPr>
              <w:t>13 Target due to the larger number of board appointments than anticipated from the Victorian Fund Management Corporation and the Victorian WorkCover Authority.</w:t>
            </w:r>
          </w:p>
        </w:tc>
      </w:tr>
      <w:tr w:rsidR="00B958B1" w:rsidRPr="00F16DCB" w:rsidTr="009F3B54">
        <w:tblPrEx>
          <w:tblLook w:val="04A0" w:firstRow="1" w:lastRow="0" w:firstColumn="1" w:lastColumn="0" w:noHBand="0" w:noVBand="1"/>
        </w:tblPrEx>
        <w:trPr>
          <w:cantSplit/>
        </w:trPr>
        <w:tc>
          <w:tcPr>
            <w:tcW w:w="3148" w:type="dxa"/>
            <w:gridSpan w:val="2"/>
            <w:tcBorders>
              <w:top w:val="single" w:sz="6" w:space="0" w:color="auto"/>
            </w:tcBorders>
          </w:tcPr>
          <w:p w:rsidR="00B958B1" w:rsidRPr="00F16DCB" w:rsidRDefault="00B958B1" w:rsidP="009F3B54">
            <w:pPr>
              <w:pStyle w:val="OGTabText"/>
              <w:keepNext/>
              <w:jc w:val="left"/>
            </w:pPr>
            <w:r w:rsidRPr="00F16DCB">
              <w:t>Corporate plans reviewed and assessed</w:t>
            </w:r>
            <w:r>
              <w:t>,</w:t>
            </w:r>
            <w:r w:rsidRPr="00F16DCB">
              <w:t xml:space="preserve"> and quarterly performance reports</w:t>
            </w:r>
          </w:p>
        </w:tc>
        <w:tc>
          <w:tcPr>
            <w:tcW w:w="906" w:type="dxa"/>
            <w:tcBorders>
              <w:top w:val="single" w:sz="6" w:space="0" w:color="auto"/>
            </w:tcBorders>
          </w:tcPr>
          <w:p w:rsidR="00B958B1" w:rsidRPr="00F16DCB" w:rsidRDefault="00B958B1" w:rsidP="009F3B54">
            <w:pPr>
              <w:pStyle w:val="TableText0"/>
              <w:keepNext/>
              <w:spacing w:before="60" w:after="60"/>
              <w:jc w:val="center"/>
              <w:rPr>
                <w:rFonts w:cs="Calibri"/>
                <w:color w:val="auto"/>
                <w:sz w:val="20"/>
                <w:szCs w:val="22"/>
              </w:rPr>
            </w:pPr>
            <w:r w:rsidRPr="00F16DCB">
              <w:rPr>
                <w:rFonts w:cs="Calibri"/>
                <w:color w:val="auto"/>
                <w:sz w:val="20"/>
                <w:szCs w:val="22"/>
              </w:rPr>
              <w:t>number</w:t>
            </w:r>
          </w:p>
        </w:tc>
        <w:tc>
          <w:tcPr>
            <w:tcW w:w="908" w:type="dxa"/>
            <w:tcBorders>
              <w:top w:val="single" w:sz="6" w:space="0" w:color="auto"/>
            </w:tcBorders>
            <w:shd w:val="clear" w:color="auto" w:fill="D9D9D9"/>
          </w:tcPr>
          <w:p w:rsidR="00B958B1" w:rsidRPr="00F16DCB" w:rsidRDefault="00B958B1" w:rsidP="009F3B54">
            <w:pPr>
              <w:pStyle w:val="OGTableofFigures"/>
              <w:keepNext/>
            </w:pPr>
            <w:r w:rsidRPr="00F16DCB">
              <w:t>193</w:t>
            </w:r>
          </w:p>
        </w:tc>
        <w:tc>
          <w:tcPr>
            <w:tcW w:w="995" w:type="dxa"/>
            <w:tcBorders>
              <w:top w:val="single" w:sz="6" w:space="0" w:color="auto"/>
            </w:tcBorders>
          </w:tcPr>
          <w:p w:rsidR="00B958B1" w:rsidRPr="00F16DCB" w:rsidRDefault="00B958B1" w:rsidP="009F3B54">
            <w:pPr>
              <w:pStyle w:val="OGTableofFigures"/>
              <w:keepNext/>
            </w:pPr>
            <w:r w:rsidRPr="00F16DCB">
              <w:t>194</w:t>
            </w:r>
          </w:p>
        </w:tc>
        <w:tc>
          <w:tcPr>
            <w:tcW w:w="906" w:type="dxa"/>
            <w:gridSpan w:val="2"/>
            <w:tcBorders>
              <w:top w:val="single" w:sz="6" w:space="0" w:color="auto"/>
            </w:tcBorders>
          </w:tcPr>
          <w:p w:rsidR="00B958B1" w:rsidRPr="00F16DCB" w:rsidRDefault="00B958B1" w:rsidP="009F3B54">
            <w:pPr>
              <w:pStyle w:val="OGTableofFigures"/>
              <w:keepNext/>
            </w:pPr>
            <w:r w:rsidRPr="00F16DCB">
              <w:t>207</w:t>
            </w:r>
          </w:p>
        </w:tc>
        <w:tc>
          <w:tcPr>
            <w:tcW w:w="913" w:type="dxa"/>
            <w:tcBorders>
              <w:top w:val="single" w:sz="6" w:space="0" w:color="auto"/>
            </w:tcBorders>
          </w:tcPr>
          <w:p w:rsidR="00B958B1" w:rsidRPr="00F16DCB" w:rsidRDefault="00B958B1" w:rsidP="009F3B54">
            <w:pPr>
              <w:pStyle w:val="OGTableofFigures"/>
              <w:keepNext/>
            </w:pPr>
            <w:r w:rsidRPr="00F16DCB">
              <w:t>190</w:t>
            </w:r>
          </w:p>
        </w:tc>
      </w:tr>
      <w:tr w:rsidR="00B958B1" w:rsidRPr="00F16DCB" w:rsidTr="009F3B54">
        <w:tblPrEx>
          <w:tblLook w:val="04A0" w:firstRow="1" w:lastRow="0" w:firstColumn="1" w:lastColumn="0" w:noHBand="0" w:noVBand="1"/>
        </w:tblPrEx>
        <w:trPr>
          <w:cantSplit/>
        </w:trPr>
        <w:tc>
          <w:tcPr>
            <w:tcW w:w="7776" w:type="dxa"/>
            <w:gridSpan w:val="8"/>
            <w:tcBorders>
              <w:bottom w:val="single" w:sz="6" w:space="0" w:color="auto"/>
            </w:tcBorders>
          </w:tcPr>
          <w:p w:rsidR="00B958B1" w:rsidRPr="00F16DCB" w:rsidRDefault="00B958B1" w:rsidP="009F3B54">
            <w:pPr>
              <w:pStyle w:val="OGTableofFigures"/>
              <w:ind w:left="397" w:right="64"/>
              <w:jc w:val="left"/>
            </w:pPr>
            <w:r w:rsidRPr="00547387">
              <w:rPr>
                <w:rFonts w:cs="Calibri"/>
                <w:i/>
                <w:sz w:val="15"/>
                <w:szCs w:val="15"/>
              </w:rPr>
              <w:t>The lower 2013</w:t>
            </w:r>
            <w:r w:rsidR="009F0F49">
              <w:rPr>
                <w:rFonts w:cs="Calibri"/>
                <w:i/>
                <w:sz w:val="15"/>
                <w:szCs w:val="15"/>
              </w:rPr>
              <w:noBreakHyphen/>
            </w:r>
            <w:r w:rsidRPr="00547387">
              <w:rPr>
                <w:rFonts w:cs="Calibri"/>
                <w:i/>
                <w:sz w:val="15"/>
                <w:szCs w:val="15"/>
              </w:rPr>
              <w:t>14 Target reflects a reduction in the number of annual reports required to be tabled in Parliament, a reduction in the number of entities whose reports are required to be reviewed, and amended governance arrangements for CenITex. The 2012</w:t>
            </w:r>
            <w:r w:rsidR="009F0F49">
              <w:rPr>
                <w:rFonts w:cs="Calibri"/>
                <w:i/>
                <w:sz w:val="15"/>
                <w:szCs w:val="15"/>
              </w:rPr>
              <w:noBreakHyphen/>
            </w:r>
            <w:r w:rsidRPr="00547387">
              <w:rPr>
                <w:rFonts w:cs="Calibri"/>
                <w:i/>
                <w:sz w:val="15"/>
                <w:szCs w:val="15"/>
              </w:rPr>
              <w:t>13 Expected Outcome is lower than the 2012</w:t>
            </w:r>
            <w:r w:rsidR="009F0F49">
              <w:rPr>
                <w:rFonts w:cs="Calibri"/>
                <w:i/>
                <w:sz w:val="15"/>
                <w:szCs w:val="15"/>
              </w:rPr>
              <w:noBreakHyphen/>
            </w:r>
            <w:r w:rsidRPr="00547387">
              <w:rPr>
                <w:rFonts w:cs="Calibri"/>
                <w:i/>
                <w:sz w:val="15"/>
                <w:szCs w:val="15"/>
              </w:rPr>
              <w:t>13 Target because these changes occurred earlier in the 2012</w:t>
            </w:r>
            <w:r w:rsidR="009F0F49">
              <w:rPr>
                <w:rFonts w:cs="Calibri"/>
                <w:i/>
                <w:sz w:val="15"/>
                <w:szCs w:val="15"/>
              </w:rPr>
              <w:noBreakHyphen/>
            </w:r>
            <w:r w:rsidRPr="00547387">
              <w:rPr>
                <w:rFonts w:cs="Calibri"/>
                <w:i/>
                <w:sz w:val="15"/>
                <w:szCs w:val="15"/>
              </w:rPr>
              <w:t>13 financial year.</w:t>
            </w:r>
          </w:p>
        </w:tc>
      </w:tr>
      <w:tr w:rsidR="00B958B1" w:rsidRPr="00F16DCB" w:rsidTr="009F3B54">
        <w:tblPrEx>
          <w:tblLook w:val="04A0" w:firstRow="1" w:lastRow="0" w:firstColumn="1" w:lastColumn="0" w:noHBand="0" w:noVBand="1"/>
        </w:tblPrEx>
        <w:trPr>
          <w:cantSplit/>
        </w:trPr>
        <w:tc>
          <w:tcPr>
            <w:tcW w:w="3148" w:type="dxa"/>
            <w:gridSpan w:val="2"/>
            <w:tcBorders>
              <w:top w:val="single" w:sz="6" w:space="0" w:color="auto"/>
            </w:tcBorders>
          </w:tcPr>
          <w:p w:rsidR="00B958B1" w:rsidRPr="00F16DCB" w:rsidRDefault="00B958B1" w:rsidP="009F3B54">
            <w:pPr>
              <w:pStyle w:val="OGTabText"/>
            </w:pPr>
            <w:r w:rsidRPr="00F16DCB">
              <w:t>Dividends negotiated</w:t>
            </w:r>
          </w:p>
        </w:tc>
        <w:tc>
          <w:tcPr>
            <w:tcW w:w="906" w:type="dxa"/>
            <w:tcBorders>
              <w:top w:val="single" w:sz="6" w:space="0" w:color="auto"/>
            </w:tcBorders>
          </w:tcPr>
          <w:p w:rsidR="00B958B1" w:rsidRPr="00F16DCB" w:rsidRDefault="00B958B1" w:rsidP="009F3B54">
            <w:pPr>
              <w:pStyle w:val="TableText0"/>
              <w:spacing w:before="60" w:after="60"/>
              <w:jc w:val="center"/>
              <w:rPr>
                <w:rFonts w:cs="Calibri"/>
                <w:color w:val="auto"/>
                <w:sz w:val="20"/>
                <w:szCs w:val="22"/>
              </w:rPr>
            </w:pPr>
            <w:r w:rsidRPr="00F16DCB">
              <w:rPr>
                <w:rFonts w:cs="Calibri"/>
                <w:color w:val="auto"/>
                <w:sz w:val="20"/>
                <w:szCs w:val="22"/>
              </w:rPr>
              <w:t>number</w:t>
            </w:r>
          </w:p>
        </w:tc>
        <w:tc>
          <w:tcPr>
            <w:tcW w:w="908" w:type="dxa"/>
            <w:tcBorders>
              <w:top w:val="single" w:sz="6" w:space="0" w:color="auto"/>
            </w:tcBorders>
            <w:shd w:val="clear" w:color="auto" w:fill="D9D9D9"/>
          </w:tcPr>
          <w:p w:rsidR="00B958B1" w:rsidRPr="00F16DCB" w:rsidRDefault="00B958B1" w:rsidP="009F3B54">
            <w:pPr>
              <w:pStyle w:val="OGTableofFigures"/>
            </w:pPr>
            <w:r w:rsidRPr="00F16DCB">
              <w:t>34</w:t>
            </w:r>
          </w:p>
        </w:tc>
        <w:tc>
          <w:tcPr>
            <w:tcW w:w="995" w:type="dxa"/>
            <w:tcBorders>
              <w:top w:val="single" w:sz="6" w:space="0" w:color="auto"/>
            </w:tcBorders>
          </w:tcPr>
          <w:p w:rsidR="00B958B1" w:rsidRPr="00F16DCB" w:rsidRDefault="00B958B1" w:rsidP="009F3B54">
            <w:pPr>
              <w:pStyle w:val="OGTableofFigures"/>
            </w:pPr>
            <w:r w:rsidRPr="00F16DCB">
              <w:t>32</w:t>
            </w:r>
          </w:p>
        </w:tc>
        <w:tc>
          <w:tcPr>
            <w:tcW w:w="906" w:type="dxa"/>
            <w:gridSpan w:val="2"/>
            <w:tcBorders>
              <w:top w:val="single" w:sz="6" w:space="0" w:color="auto"/>
            </w:tcBorders>
          </w:tcPr>
          <w:p w:rsidR="00B958B1" w:rsidRPr="00F16DCB" w:rsidRDefault="00B958B1" w:rsidP="009F3B54">
            <w:pPr>
              <w:pStyle w:val="OGTableofFigures"/>
            </w:pPr>
            <w:r w:rsidRPr="00F16DCB">
              <w:t>34</w:t>
            </w:r>
          </w:p>
        </w:tc>
        <w:tc>
          <w:tcPr>
            <w:tcW w:w="913" w:type="dxa"/>
            <w:tcBorders>
              <w:top w:val="single" w:sz="6" w:space="0" w:color="auto"/>
            </w:tcBorders>
          </w:tcPr>
          <w:p w:rsidR="00B958B1" w:rsidRPr="00F16DCB" w:rsidRDefault="00B958B1" w:rsidP="009F3B54">
            <w:pPr>
              <w:pStyle w:val="OGTableofFigures"/>
            </w:pPr>
            <w:r w:rsidRPr="00F16DCB">
              <w:t>31</w:t>
            </w:r>
          </w:p>
        </w:tc>
      </w:tr>
      <w:tr w:rsidR="00B958B1" w:rsidRPr="00F16DCB" w:rsidTr="009F3B54">
        <w:tblPrEx>
          <w:tblLook w:val="04A0" w:firstRow="1" w:lastRow="0" w:firstColumn="1" w:lastColumn="0" w:noHBand="0" w:noVBand="1"/>
        </w:tblPrEx>
        <w:trPr>
          <w:cantSplit/>
        </w:trPr>
        <w:tc>
          <w:tcPr>
            <w:tcW w:w="7776" w:type="dxa"/>
            <w:gridSpan w:val="8"/>
            <w:tcBorders>
              <w:bottom w:val="single" w:sz="6" w:space="0" w:color="auto"/>
            </w:tcBorders>
          </w:tcPr>
          <w:p w:rsidR="00B958B1" w:rsidRPr="00F16DCB" w:rsidRDefault="00B958B1" w:rsidP="009F3B54">
            <w:pPr>
              <w:pStyle w:val="OGTableofFigures"/>
              <w:ind w:left="397" w:right="64"/>
              <w:jc w:val="left"/>
            </w:pPr>
            <w:r w:rsidRPr="00547387">
              <w:rPr>
                <w:rFonts w:cs="Calibri"/>
                <w:i/>
                <w:sz w:val="15"/>
                <w:szCs w:val="15"/>
              </w:rPr>
              <w:t>The 2012</w:t>
            </w:r>
            <w:r w:rsidR="009F0F49">
              <w:rPr>
                <w:rFonts w:cs="Calibri"/>
                <w:i/>
                <w:sz w:val="15"/>
                <w:szCs w:val="15"/>
              </w:rPr>
              <w:noBreakHyphen/>
            </w:r>
            <w:r w:rsidRPr="00547387">
              <w:rPr>
                <w:rFonts w:cs="Calibri"/>
                <w:i/>
                <w:sz w:val="15"/>
                <w:szCs w:val="15"/>
              </w:rPr>
              <w:t>13 Expected Outcome is lower than the 2012</w:t>
            </w:r>
            <w:r w:rsidR="009F0F49">
              <w:rPr>
                <w:rFonts w:cs="Calibri"/>
                <w:i/>
                <w:sz w:val="15"/>
                <w:szCs w:val="15"/>
              </w:rPr>
              <w:noBreakHyphen/>
            </w:r>
            <w:r w:rsidRPr="00547387">
              <w:rPr>
                <w:rFonts w:cs="Calibri"/>
                <w:i/>
                <w:sz w:val="15"/>
                <w:szCs w:val="15"/>
              </w:rPr>
              <w:t>13 Target due to dividends not being taken from two entities.</w:t>
            </w:r>
          </w:p>
        </w:tc>
      </w:tr>
      <w:tr w:rsidR="00B958B1" w:rsidRPr="00F16DCB" w:rsidTr="009F3B54">
        <w:tblPrEx>
          <w:tblLook w:val="04A0" w:firstRow="1" w:lastRow="0" w:firstColumn="1" w:lastColumn="0" w:noHBand="0" w:noVBand="1"/>
        </w:tblPrEx>
        <w:trPr>
          <w:cantSplit/>
        </w:trPr>
        <w:tc>
          <w:tcPr>
            <w:tcW w:w="3148" w:type="dxa"/>
            <w:gridSpan w:val="2"/>
            <w:tcBorders>
              <w:top w:val="single" w:sz="6" w:space="0" w:color="auto"/>
              <w:bottom w:val="single" w:sz="6" w:space="0" w:color="auto"/>
            </w:tcBorders>
          </w:tcPr>
          <w:p w:rsidR="00B958B1" w:rsidRPr="00F16DCB" w:rsidRDefault="00B958B1" w:rsidP="009F3B54">
            <w:pPr>
              <w:pStyle w:val="OGTabText"/>
              <w:jc w:val="left"/>
            </w:pPr>
            <w:r w:rsidRPr="00F16DCB">
              <w:t>Manage the review process for the State</w:t>
            </w:r>
            <w:r>
              <w:t>’</w:t>
            </w:r>
            <w:r w:rsidRPr="00F16DCB">
              <w:t>s credit rating</w:t>
            </w:r>
          </w:p>
        </w:tc>
        <w:tc>
          <w:tcPr>
            <w:tcW w:w="906" w:type="dxa"/>
            <w:tcBorders>
              <w:top w:val="single" w:sz="6" w:space="0" w:color="auto"/>
              <w:bottom w:val="single" w:sz="6" w:space="0" w:color="auto"/>
            </w:tcBorders>
          </w:tcPr>
          <w:p w:rsidR="00B958B1" w:rsidRPr="00F16DCB" w:rsidRDefault="00B958B1" w:rsidP="009F3B54">
            <w:pPr>
              <w:pStyle w:val="TableText0"/>
              <w:spacing w:before="60" w:after="60"/>
              <w:jc w:val="center"/>
              <w:rPr>
                <w:rFonts w:cs="Calibri"/>
                <w:color w:val="auto"/>
                <w:sz w:val="20"/>
                <w:szCs w:val="22"/>
              </w:rPr>
            </w:pPr>
            <w:r w:rsidRPr="00F16DCB">
              <w:rPr>
                <w:rFonts w:cs="Calibri"/>
                <w:color w:val="auto"/>
                <w:sz w:val="20"/>
                <w:szCs w:val="22"/>
              </w:rPr>
              <w:t>number</w:t>
            </w:r>
          </w:p>
        </w:tc>
        <w:tc>
          <w:tcPr>
            <w:tcW w:w="908" w:type="dxa"/>
            <w:tcBorders>
              <w:top w:val="single" w:sz="6" w:space="0" w:color="auto"/>
              <w:bottom w:val="single" w:sz="6" w:space="0" w:color="auto"/>
            </w:tcBorders>
            <w:shd w:val="clear" w:color="auto" w:fill="D9D9D9"/>
          </w:tcPr>
          <w:p w:rsidR="00B958B1" w:rsidRPr="00F16DCB" w:rsidRDefault="00B958B1" w:rsidP="009F3B54">
            <w:pPr>
              <w:pStyle w:val="OGTableofFigures"/>
            </w:pPr>
            <w:r w:rsidRPr="00F16DCB">
              <w:t>2</w:t>
            </w:r>
          </w:p>
        </w:tc>
        <w:tc>
          <w:tcPr>
            <w:tcW w:w="995" w:type="dxa"/>
            <w:tcBorders>
              <w:top w:val="single" w:sz="6" w:space="0" w:color="auto"/>
              <w:bottom w:val="single" w:sz="6" w:space="0" w:color="auto"/>
            </w:tcBorders>
          </w:tcPr>
          <w:p w:rsidR="00B958B1" w:rsidRPr="00F16DCB" w:rsidRDefault="00B958B1" w:rsidP="009F3B54">
            <w:pPr>
              <w:pStyle w:val="OGTableofFigures"/>
            </w:pPr>
            <w:r w:rsidRPr="00F16DCB">
              <w:t>2</w:t>
            </w:r>
          </w:p>
        </w:tc>
        <w:tc>
          <w:tcPr>
            <w:tcW w:w="906" w:type="dxa"/>
            <w:gridSpan w:val="2"/>
            <w:tcBorders>
              <w:top w:val="single" w:sz="6" w:space="0" w:color="auto"/>
              <w:bottom w:val="single" w:sz="6" w:space="0" w:color="auto"/>
            </w:tcBorders>
          </w:tcPr>
          <w:p w:rsidR="00B958B1" w:rsidRPr="00F16DCB" w:rsidRDefault="00B958B1" w:rsidP="009F3B54">
            <w:pPr>
              <w:pStyle w:val="OGTableofFigures"/>
            </w:pPr>
            <w:r w:rsidRPr="00F16DCB">
              <w:t>2</w:t>
            </w:r>
          </w:p>
        </w:tc>
        <w:tc>
          <w:tcPr>
            <w:tcW w:w="913" w:type="dxa"/>
            <w:tcBorders>
              <w:top w:val="single" w:sz="6" w:space="0" w:color="auto"/>
              <w:bottom w:val="single" w:sz="6" w:space="0" w:color="auto"/>
            </w:tcBorders>
          </w:tcPr>
          <w:p w:rsidR="00B958B1" w:rsidRPr="00F16DCB" w:rsidRDefault="00B958B1" w:rsidP="009F3B54">
            <w:pPr>
              <w:pStyle w:val="OGTableofFigures"/>
            </w:pPr>
            <w:r w:rsidRPr="00F16DCB">
              <w:t>2</w:t>
            </w:r>
          </w:p>
        </w:tc>
      </w:tr>
      <w:tr w:rsidR="00B958B1" w:rsidRPr="00F16DCB" w:rsidTr="009F3B54">
        <w:tblPrEx>
          <w:tblLook w:val="04A0" w:firstRow="1" w:lastRow="0" w:firstColumn="1" w:lastColumn="0" w:noHBand="0" w:noVBand="1"/>
        </w:tblPrEx>
        <w:trPr>
          <w:cantSplit/>
        </w:trPr>
        <w:tc>
          <w:tcPr>
            <w:tcW w:w="3148" w:type="dxa"/>
            <w:gridSpan w:val="2"/>
            <w:tcBorders>
              <w:top w:val="single" w:sz="6" w:space="0" w:color="auto"/>
              <w:bottom w:val="single" w:sz="6" w:space="0" w:color="auto"/>
            </w:tcBorders>
          </w:tcPr>
          <w:p w:rsidR="00B958B1" w:rsidRPr="00F16DCB" w:rsidRDefault="00B958B1" w:rsidP="009F3B54">
            <w:pPr>
              <w:pStyle w:val="OGTabText"/>
              <w:jc w:val="left"/>
            </w:pPr>
            <w:r w:rsidRPr="00F16DCB">
              <w:br w:type="page"/>
              <w:t>Review of financial position of business entities</w:t>
            </w:r>
          </w:p>
        </w:tc>
        <w:tc>
          <w:tcPr>
            <w:tcW w:w="906" w:type="dxa"/>
            <w:tcBorders>
              <w:top w:val="single" w:sz="6" w:space="0" w:color="auto"/>
              <w:bottom w:val="single" w:sz="6" w:space="0" w:color="auto"/>
            </w:tcBorders>
          </w:tcPr>
          <w:p w:rsidR="00B958B1" w:rsidRPr="00F16DCB" w:rsidRDefault="00B958B1" w:rsidP="009F3B54">
            <w:pPr>
              <w:pStyle w:val="TableText0"/>
              <w:spacing w:before="60" w:after="60"/>
              <w:jc w:val="center"/>
              <w:rPr>
                <w:rFonts w:cs="Calibri"/>
                <w:color w:val="auto"/>
                <w:sz w:val="20"/>
                <w:szCs w:val="22"/>
              </w:rPr>
            </w:pPr>
            <w:r w:rsidRPr="00F16DCB">
              <w:rPr>
                <w:rFonts w:cs="Calibri"/>
                <w:color w:val="auto"/>
                <w:sz w:val="20"/>
                <w:szCs w:val="22"/>
              </w:rPr>
              <w:t>number</w:t>
            </w:r>
          </w:p>
        </w:tc>
        <w:tc>
          <w:tcPr>
            <w:tcW w:w="908" w:type="dxa"/>
            <w:tcBorders>
              <w:top w:val="single" w:sz="6" w:space="0" w:color="auto"/>
              <w:bottom w:val="single" w:sz="6" w:space="0" w:color="auto"/>
            </w:tcBorders>
            <w:shd w:val="clear" w:color="auto" w:fill="D9D9D9"/>
          </w:tcPr>
          <w:p w:rsidR="00B958B1" w:rsidRPr="00F16DCB" w:rsidRDefault="00B958B1" w:rsidP="009F3B54">
            <w:pPr>
              <w:pStyle w:val="OGTableofFigures"/>
            </w:pPr>
            <w:r w:rsidRPr="00F16DCB">
              <w:t>12</w:t>
            </w:r>
          </w:p>
        </w:tc>
        <w:tc>
          <w:tcPr>
            <w:tcW w:w="995" w:type="dxa"/>
            <w:tcBorders>
              <w:top w:val="single" w:sz="6" w:space="0" w:color="auto"/>
              <w:bottom w:val="single" w:sz="6" w:space="0" w:color="auto"/>
            </w:tcBorders>
          </w:tcPr>
          <w:p w:rsidR="00B958B1" w:rsidRPr="00F16DCB" w:rsidRDefault="00B958B1" w:rsidP="009F3B54">
            <w:pPr>
              <w:pStyle w:val="OGTableofFigures"/>
            </w:pPr>
            <w:r w:rsidRPr="00F16DCB">
              <w:t>12</w:t>
            </w:r>
          </w:p>
        </w:tc>
        <w:tc>
          <w:tcPr>
            <w:tcW w:w="906" w:type="dxa"/>
            <w:gridSpan w:val="2"/>
            <w:tcBorders>
              <w:top w:val="single" w:sz="6" w:space="0" w:color="auto"/>
              <w:bottom w:val="single" w:sz="6" w:space="0" w:color="auto"/>
            </w:tcBorders>
          </w:tcPr>
          <w:p w:rsidR="00B958B1" w:rsidRPr="00F16DCB" w:rsidRDefault="00B958B1" w:rsidP="009F3B54">
            <w:pPr>
              <w:pStyle w:val="OGTableofFigures"/>
            </w:pPr>
            <w:r w:rsidRPr="00F16DCB">
              <w:t>12</w:t>
            </w:r>
          </w:p>
        </w:tc>
        <w:tc>
          <w:tcPr>
            <w:tcW w:w="913" w:type="dxa"/>
            <w:tcBorders>
              <w:top w:val="single" w:sz="6" w:space="0" w:color="auto"/>
              <w:bottom w:val="single" w:sz="6" w:space="0" w:color="auto"/>
            </w:tcBorders>
          </w:tcPr>
          <w:p w:rsidR="00B958B1" w:rsidRPr="00F16DCB" w:rsidRDefault="00B958B1" w:rsidP="009F3B54">
            <w:pPr>
              <w:pStyle w:val="OGTableofFigures"/>
            </w:pPr>
            <w:r w:rsidRPr="00F16DCB">
              <w:t>12</w:t>
            </w:r>
          </w:p>
        </w:tc>
      </w:tr>
      <w:tr w:rsidR="00B958B1" w:rsidRPr="00F16DCB" w:rsidTr="009F3B54">
        <w:tblPrEx>
          <w:tblLook w:val="04A0" w:firstRow="1" w:lastRow="0" w:firstColumn="1" w:lastColumn="0" w:noHBand="0" w:noVBand="1"/>
        </w:tblPrEx>
        <w:trPr>
          <w:cantSplit/>
        </w:trPr>
        <w:tc>
          <w:tcPr>
            <w:tcW w:w="3148" w:type="dxa"/>
            <w:gridSpan w:val="2"/>
            <w:tcBorders>
              <w:top w:val="single" w:sz="6" w:space="0" w:color="auto"/>
            </w:tcBorders>
          </w:tcPr>
          <w:p w:rsidR="00B958B1" w:rsidRPr="00F16DCB" w:rsidRDefault="00B958B1" w:rsidP="009F3B54">
            <w:pPr>
              <w:pStyle w:val="OGTabText"/>
              <w:jc w:val="left"/>
            </w:pPr>
            <w:r w:rsidRPr="00F16DCB">
              <w:t>Provide financial policy advice on borrowings, investments, superannuation issues and prudential supervision</w:t>
            </w:r>
          </w:p>
        </w:tc>
        <w:tc>
          <w:tcPr>
            <w:tcW w:w="906" w:type="dxa"/>
            <w:tcBorders>
              <w:top w:val="single" w:sz="6" w:space="0" w:color="auto"/>
            </w:tcBorders>
          </w:tcPr>
          <w:p w:rsidR="00B958B1" w:rsidRPr="00F16DCB" w:rsidRDefault="00B958B1" w:rsidP="009F3B54">
            <w:pPr>
              <w:pStyle w:val="TableText0"/>
              <w:spacing w:before="60" w:after="60"/>
              <w:jc w:val="center"/>
              <w:rPr>
                <w:rFonts w:cs="Calibri"/>
                <w:color w:val="auto"/>
                <w:sz w:val="20"/>
                <w:szCs w:val="22"/>
              </w:rPr>
            </w:pPr>
            <w:r w:rsidRPr="00F16DCB">
              <w:rPr>
                <w:rFonts w:cs="Calibri"/>
                <w:color w:val="auto"/>
                <w:sz w:val="20"/>
                <w:szCs w:val="22"/>
              </w:rPr>
              <w:t>number</w:t>
            </w:r>
          </w:p>
        </w:tc>
        <w:tc>
          <w:tcPr>
            <w:tcW w:w="908" w:type="dxa"/>
            <w:tcBorders>
              <w:top w:val="single" w:sz="6" w:space="0" w:color="auto"/>
            </w:tcBorders>
            <w:shd w:val="clear" w:color="auto" w:fill="D9D9D9"/>
          </w:tcPr>
          <w:p w:rsidR="00B958B1" w:rsidRPr="00F16DCB" w:rsidRDefault="00B958B1" w:rsidP="009F3B54">
            <w:pPr>
              <w:pStyle w:val="OGTableofFigures"/>
            </w:pPr>
            <w:r w:rsidRPr="00F16DCB">
              <w:t>88</w:t>
            </w:r>
          </w:p>
        </w:tc>
        <w:tc>
          <w:tcPr>
            <w:tcW w:w="995" w:type="dxa"/>
            <w:tcBorders>
              <w:top w:val="single" w:sz="6" w:space="0" w:color="auto"/>
            </w:tcBorders>
          </w:tcPr>
          <w:p w:rsidR="00B958B1" w:rsidRPr="00F16DCB" w:rsidRDefault="00B958B1" w:rsidP="009F3B54">
            <w:pPr>
              <w:pStyle w:val="OGTableofFigures"/>
            </w:pPr>
            <w:r w:rsidRPr="00F16DCB">
              <w:t>123</w:t>
            </w:r>
          </w:p>
        </w:tc>
        <w:tc>
          <w:tcPr>
            <w:tcW w:w="906" w:type="dxa"/>
            <w:gridSpan w:val="2"/>
            <w:tcBorders>
              <w:top w:val="single" w:sz="6" w:space="0" w:color="auto"/>
            </w:tcBorders>
          </w:tcPr>
          <w:p w:rsidR="00B958B1" w:rsidRPr="00F16DCB" w:rsidRDefault="00B958B1" w:rsidP="009F3B54">
            <w:pPr>
              <w:pStyle w:val="OGTableofFigures"/>
            </w:pPr>
            <w:r w:rsidRPr="00F16DCB">
              <w:t>80</w:t>
            </w:r>
          </w:p>
        </w:tc>
        <w:tc>
          <w:tcPr>
            <w:tcW w:w="913" w:type="dxa"/>
            <w:tcBorders>
              <w:top w:val="single" w:sz="6" w:space="0" w:color="auto"/>
            </w:tcBorders>
          </w:tcPr>
          <w:p w:rsidR="00B958B1" w:rsidRPr="00F16DCB" w:rsidRDefault="00B958B1" w:rsidP="009F3B54">
            <w:pPr>
              <w:pStyle w:val="OGTableofFigures"/>
            </w:pPr>
            <w:r w:rsidRPr="00F16DCB">
              <w:t>104</w:t>
            </w:r>
          </w:p>
        </w:tc>
      </w:tr>
      <w:tr w:rsidR="00B958B1" w:rsidRPr="00F16DCB" w:rsidTr="009F3B54">
        <w:tblPrEx>
          <w:tblLook w:val="04A0" w:firstRow="1" w:lastRow="0" w:firstColumn="1" w:lastColumn="0" w:noHBand="0" w:noVBand="1"/>
        </w:tblPrEx>
        <w:trPr>
          <w:cantSplit/>
        </w:trPr>
        <w:tc>
          <w:tcPr>
            <w:tcW w:w="7776" w:type="dxa"/>
            <w:gridSpan w:val="8"/>
            <w:tcBorders>
              <w:bottom w:val="single" w:sz="6" w:space="0" w:color="auto"/>
            </w:tcBorders>
          </w:tcPr>
          <w:p w:rsidR="00B958B1" w:rsidRPr="00547387" w:rsidRDefault="00B958B1" w:rsidP="009F3B54">
            <w:pPr>
              <w:pStyle w:val="OGTableofFigures"/>
              <w:ind w:left="397" w:right="64"/>
              <w:jc w:val="left"/>
              <w:rPr>
                <w:rFonts w:cs="Calibri"/>
                <w:i/>
                <w:sz w:val="15"/>
                <w:szCs w:val="15"/>
              </w:rPr>
            </w:pPr>
            <w:r w:rsidRPr="00547387">
              <w:rPr>
                <w:rFonts w:cs="Calibri"/>
                <w:i/>
                <w:sz w:val="15"/>
                <w:szCs w:val="15"/>
              </w:rPr>
              <w:t>This performance measure replaces the 2012</w:t>
            </w:r>
            <w:r w:rsidR="009F0F49">
              <w:rPr>
                <w:rFonts w:cs="Calibri"/>
                <w:i/>
                <w:sz w:val="15"/>
                <w:szCs w:val="15"/>
              </w:rPr>
              <w:noBreakHyphen/>
            </w:r>
            <w:r w:rsidRPr="00547387">
              <w:rPr>
                <w:rFonts w:cs="Calibri"/>
                <w:i/>
                <w:sz w:val="15"/>
                <w:szCs w:val="15"/>
              </w:rPr>
              <w:t>13 performance measure ‘Provide financial policy advice on borrowings, investments, and superannuation issues and prudential supervision’. The 2013</w:t>
            </w:r>
            <w:r w:rsidR="009F0F49">
              <w:rPr>
                <w:rFonts w:cs="Calibri"/>
                <w:i/>
                <w:sz w:val="15"/>
                <w:szCs w:val="15"/>
              </w:rPr>
              <w:noBreakHyphen/>
            </w:r>
            <w:r w:rsidRPr="00547387">
              <w:rPr>
                <w:rFonts w:cs="Calibri"/>
                <w:i/>
                <w:sz w:val="15"/>
                <w:szCs w:val="15"/>
              </w:rPr>
              <w:t>14 performance measure reports on the same as the 2012</w:t>
            </w:r>
            <w:r w:rsidR="009F0F49">
              <w:rPr>
                <w:rFonts w:cs="Calibri"/>
                <w:i/>
                <w:sz w:val="15"/>
                <w:szCs w:val="15"/>
              </w:rPr>
              <w:noBreakHyphen/>
            </w:r>
            <w:r w:rsidRPr="00547387">
              <w:rPr>
                <w:rFonts w:cs="Calibri"/>
                <w:i/>
                <w:sz w:val="15"/>
                <w:szCs w:val="15"/>
              </w:rPr>
              <w:t xml:space="preserve">13 measure; however its title has been amended for increased clarity. </w:t>
            </w:r>
          </w:p>
          <w:p w:rsidR="00B958B1" w:rsidRPr="00547387" w:rsidRDefault="00B958B1" w:rsidP="009F3B54">
            <w:pPr>
              <w:pStyle w:val="OGTableofFigures"/>
              <w:ind w:left="397" w:right="64"/>
              <w:jc w:val="left"/>
              <w:rPr>
                <w:rFonts w:cs="Calibri"/>
                <w:i/>
                <w:sz w:val="15"/>
                <w:szCs w:val="15"/>
              </w:rPr>
            </w:pPr>
            <w:r w:rsidRPr="00547387">
              <w:rPr>
                <w:rFonts w:cs="Calibri"/>
                <w:i/>
                <w:sz w:val="15"/>
                <w:szCs w:val="15"/>
              </w:rPr>
              <w:t>The higher 2013</w:t>
            </w:r>
            <w:r w:rsidR="009F0F49">
              <w:rPr>
                <w:rFonts w:cs="Calibri"/>
                <w:i/>
                <w:sz w:val="15"/>
                <w:szCs w:val="15"/>
              </w:rPr>
              <w:noBreakHyphen/>
            </w:r>
            <w:r w:rsidRPr="00547387">
              <w:rPr>
                <w:rFonts w:cs="Calibri"/>
                <w:i/>
                <w:sz w:val="15"/>
                <w:szCs w:val="15"/>
              </w:rPr>
              <w:t>14 Target reflects an expectation that additional policy advice on superannuation investments will be required during 2013</w:t>
            </w:r>
            <w:r w:rsidR="009F0F49">
              <w:rPr>
                <w:rFonts w:cs="Calibri"/>
                <w:i/>
                <w:sz w:val="15"/>
                <w:szCs w:val="15"/>
              </w:rPr>
              <w:noBreakHyphen/>
            </w:r>
            <w:r w:rsidRPr="00547387">
              <w:rPr>
                <w:rFonts w:cs="Calibri"/>
                <w:i/>
                <w:sz w:val="15"/>
                <w:szCs w:val="15"/>
              </w:rPr>
              <w:t>14.</w:t>
            </w:r>
          </w:p>
          <w:p w:rsidR="00B958B1" w:rsidRPr="00F16DCB" w:rsidRDefault="00B958B1" w:rsidP="009F3B54">
            <w:pPr>
              <w:pStyle w:val="OGTableofFigures"/>
              <w:ind w:left="397" w:right="64"/>
              <w:jc w:val="left"/>
              <w:rPr>
                <w:szCs w:val="22"/>
              </w:rPr>
            </w:pPr>
            <w:r w:rsidRPr="00547387">
              <w:rPr>
                <w:rFonts w:cs="Calibri"/>
                <w:i/>
                <w:sz w:val="15"/>
                <w:szCs w:val="15"/>
              </w:rPr>
              <w:t>The 2012</w:t>
            </w:r>
            <w:r w:rsidR="009F0F49">
              <w:rPr>
                <w:rFonts w:cs="Calibri"/>
                <w:i/>
                <w:sz w:val="15"/>
                <w:szCs w:val="15"/>
              </w:rPr>
              <w:noBreakHyphen/>
            </w:r>
            <w:r w:rsidRPr="00547387">
              <w:rPr>
                <w:rFonts w:cs="Calibri"/>
                <w:i/>
                <w:sz w:val="15"/>
                <w:szCs w:val="15"/>
              </w:rPr>
              <w:t>13 Expected Outcome is higher than the 2012</w:t>
            </w:r>
            <w:r w:rsidR="009F0F49">
              <w:rPr>
                <w:rFonts w:cs="Calibri"/>
                <w:i/>
                <w:sz w:val="15"/>
                <w:szCs w:val="15"/>
              </w:rPr>
              <w:noBreakHyphen/>
            </w:r>
            <w:r w:rsidRPr="00547387">
              <w:rPr>
                <w:rFonts w:cs="Calibri"/>
                <w:i/>
                <w:sz w:val="15"/>
                <w:szCs w:val="15"/>
              </w:rPr>
              <w:t>13 Target due to a large number of issues requiring briefings.</w:t>
            </w:r>
          </w:p>
        </w:tc>
      </w:tr>
      <w:tr w:rsidR="00B958B1" w:rsidRPr="00F16DCB" w:rsidTr="009F3B54">
        <w:tblPrEx>
          <w:tblLook w:val="04A0" w:firstRow="1" w:lastRow="0" w:firstColumn="1" w:lastColumn="0" w:noHBand="0" w:noVBand="1"/>
        </w:tblPrEx>
        <w:trPr>
          <w:cantSplit/>
        </w:trPr>
        <w:tc>
          <w:tcPr>
            <w:tcW w:w="3148" w:type="dxa"/>
            <w:gridSpan w:val="2"/>
            <w:tcBorders>
              <w:top w:val="single" w:sz="6" w:space="0" w:color="auto"/>
              <w:bottom w:val="single" w:sz="6" w:space="0" w:color="auto"/>
            </w:tcBorders>
          </w:tcPr>
          <w:p w:rsidR="00B958B1" w:rsidRPr="00F16DCB" w:rsidRDefault="00B958B1" w:rsidP="009F3B54">
            <w:pPr>
              <w:pStyle w:val="OGTabText"/>
              <w:jc w:val="left"/>
            </w:pPr>
            <w:r w:rsidRPr="00F16DCB">
              <w:t>Provision of Budget Sector debt, public authority income and superannuation estimates and analysis and commentary on the</w:t>
            </w:r>
            <w:r>
              <w:t xml:space="preserve"> PNFC and PFC sectors for whole</w:t>
            </w:r>
            <w:r w:rsidR="009F0F49">
              <w:noBreakHyphen/>
            </w:r>
            <w:r>
              <w:t>of</w:t>
            </w:r>
            <w:r w:rsidR="009F0F49">
              <w:noBreakHyphen/>
            </w:r>
            <w:r w:rsidRPr="00F16DCB">
              <w:t>government published financial reports</w:t>
            </w:r>
          </w:p>
        </w:tc>
        <w:tc>
          <w:tcPr>
            <w:tcW w:w="906" w:type="dxa"/>
            <w:tcBorders>
              <w:top w:val="single" w:sz="6" w:space="0" w:color="auto"/>
              <w:bottom w:val="single" w:sz="6" w:space="0" w:color="auto"/>
            </w:tcBorders>
          </w:tcPr>
          <w:p w:rsidR="00B958B1" w:rsidRPr="00F16DCB" w:rsidRDefault="00B958B1" w:rsidP="009F3B54">
            <w:pPr>
              <w:pStyle w:val="TableText0"/>
              <w:spacing w:before="60" w:after="60"/>
              <w:jc w:val="center"/>
              <w:rPr>
                <w:rFonts w:cs="Calibri"/>
                <w:color w:val="auto"/>
                <w:sz w:val="20"/>
                <w:szCs w:val="22"/>
              </w:rPr>
            </w:pPr>
            <w:r w:rsidRPr="00F16DCB">
              <w:rPr>
                <w:rFonts w:cs="Calibri"/>
                <w:color w:val="auto"/>
                <w:sz w:val="20"/>
                <w:szCs w:val="22"/>
              </w:rPr>
              <w:t>number</w:t>
            </w:r>
          </w:p>
        </w:tc>
        <w:tc>
          <w:tcPr>
            <w:tcW w:w="908" w:type="dxa"/>
            <w:tcBorders>
              <w:top w:val="single" w:sz="6" w:space="0" w:color="auto"/>
              <w:bottom w:val="single" w:sz="6" w:space="0" w:color="auto"/>
            </w:tcBorders>
            <w:shd w:val="clear" w:color="auto" w:fill="D9D9D9"/>
          </w:tcPr>
          <w:p w:rsidR="00B958B1" w:rsidRPr="00F16DCB" w:rsidRDefault="00B958B1" w:rsidP="009F3B54">
            <w:pPr>
              <w:pStyle w:val="OGTableofFigures"/>
            </w:pPr>
            <w:r w:rsidRPr="00F16DCB">
              <w:t>6</w:t>
            </w:r>
          </w:p>
        </w:tc>
        <w:tc>
          <w:tcPr>
            <w:tcW w:w="995" w:type="dxa"/>
            <w:tcBorders>
              <w:top w:val="single" w:sz="6" w:space="0" w:color="auto"/>
              <w:bottom w:val="single" w:sz="6" w:space="0" w:color="auto"/>
            </w:tcBorders>
          </w:tcPr>
          <w:p w:rsidR="00B958B1" w:rsidRPr="00F16DCB" w:rsidRDefault="00B958B1" w:rsidP="009F3B54">
            <w:pPr>
              <w:pStyle w:val="OGTableofFigures"/>
            </w:pPr>
            <w:r w:rsidRPr="00F16DCB">
              <w:t>6</w:t>
            </w:r>
          </w:p>
        </w:tc>
        <w:tc>
          <w:tcPr>
            <w:tcW w:w="906" w:type="dxa"/>
            <w:gridSpan w:val="2"/>
            <w:tcBorders>
              <w:top w:val="single" w:sz="6" w:space="0" w:color="auto"/>
              <w:bottom w:val="single" w:sz="6" w:space="0" w:color="auto"/>
            </w:tcBorders>
          </w:tcPr>
          <w:p w:rsidR="00B958B1" w:rsidRPr="00F16DCB" w:rsidRDefault="00B958B1" w:rsidP="009F3B54">
            <w:pPr>
              <w:pStyle w:val="OGTableofFigures"/>
            </w:pPr>
            <w:r w:rsidRPr="00F16DCB">
              <w:t>6</w:t>
            </w:r>
          </w:p>
        </w:tc>
        <w:tc>
          <w:tcPr>
            <w:tcW w:w="913" w:type="dxa"/>
            <w:tcBorders>
              <w:top w:val="single" w:sz="6" w:space="0" w:color="auto"/>
              <w:bottom w:val="single" w:sz="6" w:space="0" w:color="auto"/>
            </w:tcBorders>
          </w:tcPr>
          <w:p w:rsidR="00B958B1" w:rsidRPr="00F16DCB" w:rsidRDefault="00B958B1" w:rsidP="009F3B54">
            <w:pPr>
              <w:pStyle w:val="OGTableofFigures"/>
            </w:pPr>
            <w:r w:rsidRPr="00F16DCB">
              <w:t>7</w:t>
            </w:r>
          </w:p>
        </w:tc>
      </w:tr>
      <w:tr w:rsidR="00B958B1" w:rsidRPr="00F16DCB" w:rsidTr="009F3B54">
        <w:tblPrEx>
          <w:tblLook w:val="04A0" w:firstRow="1" w:lastRow="0" w:firstColumn="1" w:lastColumn="0" w:noHBand="0" w:noVBand="1"/>
        </w:tblPrEx>
        <w:trPr>
          <w:cantSplit/>
        </w:trPr>
        <w:tc>
          <w:tcPr>
            <w:tcW w:w="3148" w:type="dxa"/>
            <w:gridSpan w:val="2"/>
            <w:tcBorders>
              <w:top w:val="single" w:sz="6" w:space="0" w:color="auto"/>
            </w:tcBorders>
          </w:tcPr>
          <w:p w:rsidR="00B958B1" w:rsidRPr="00F16DCB" w:rsidRDefault="00B958B1" w:rsidP="009F3B54">
            <w:pPr>
              <w:pStyle w:val="OGTabHead"/>
              <w:keepNext w:val="0"/>
            </w:pPr>
            <w:r w:rsidRPr="00F16DCB">
              <w:t>Quality</w:t>
            </w:r>
          </w:p>
        </w:tc>
        <w:tc>
          <w:tcPr>
            <w:tcW w:w="906" w:type="dxa"/>
            <w:tcBorders>
              <w:top w:val="single" w:sz="6" w:space="0" w:color="auto"/>
            </w:tcBorders>
          </w:tcPr>
          <w:p w:rsidR="00B958B1" w:rsidRPr="00F16DCB" w:rsidRDefault="00B958B1" w:rsidP="009F3B54">
            <w:pPr>
              <w:pStyle w:val="OGTabHead"/>
              <w:keepNext w:val="0"/>
            </w:pPr>
          </w:p>
        </w:tc>
        <w:tc>
          <w:tcPr>
            <w:tcW w:w="908" w:type="dxa"/>
            <w:tcBorders>
              <w:top w:val="single" w:sz="6" w:space="0" w:color="auto"/>
            </w:tcBorders>
            <w:shd w:val="clear" w:color="auto" w:fill="D9D9D9"/>
          </w:tcPr>
          <w:p w:rsidR="00B958B1" w:rsidRPr="00F16DCB" w:rsidRDefault="00B958B1" w:rsidP="009F3B54">
            <w:pPr>
              <w:pStyle w:val="OGTableofFigures"/>
            </w:pPr>
            <w:r w:rsidRPr="00F16DCB">
              <w:t> </w:t>
            </w:r>
          </w:p>
        </w:tc>
        <w:tc>
          <w:tcPr>
            <w:tcW w:w="995" w:type="dxa"/>
            <w:tcBorders>
              <w:top w:val="single" w:sz="6" w:space="0" w:color="auto"/>
            </w:tcBorders>
          </w:tcPr>
          <w:p w:rsidR="00B958B1" w:rsidRPr="00F16DCB" w:rsidRDefault="00B958B1" w:rsidP="009F3B54">
            <w:pPr>
              <w:pStyle w:val="OGTableofFigures"/>
            </w:pPr>
          </w:p>
        </w:tc>
        <w:tc>
          <w:tcPr>
            <w:tcW w:w="906" w:type="dxa"/>
            <w:gridSpan w:val="2"/>
            <w:tcBorders>
              <w:top w:val="single" w:sz="6" w:space="0" w:color="auto"/>
            </w:tcBorders>
          </w:tcPr>
          <w:p w:rsidR="00B958B1" w:rsidRPr="00F16DCB" w:rsidRDefault="00B958B1" w:rsidP="009F3B54">
            <w:pPr>
              <w:pStyle w:val="OGTableofFigures"/>
            </w:pPr>
          </w:p>
        </w:tc>
        <w:tc>
          <w:tcPr>
            <w:tcW w:w="913" w:type="dxa"/>
            <w:tcBorders>
              <w:top w:val="single" w:sz="6" w:space="0" w:color="auto"/>
            </w:tcBorders>
          </w:tcPr>
          <w:p w:rsidR="00B958B1" w:rsidRPr="00F16DCB" w:rsidRDefault="00B958B1" w:rsidP="009F3B54">
            <w:pPr>
              <w:pStyle w:val="OGTableofFigures"/>
            </w:pPr>
          </w:p>
        </w:tc>
      </w:tr>
      <w:tr w:rsidR="00B958B1" w:rsidRPr="00F16DCB" w:rsidTr="009F3B54">
        <w:tblPrEx>
          <w:tblLook w:val="04A0" w:firstRow="1" w:lastRow="0" w:firstColumn="1" w:lastColumn="0" w:noHBand="0" w:noVBand="1"/>
        </w:tblPrEx>
        <w:trPr>
          <w:cantSplit/>
        </w:trPr>
        <w:tc>
          <w:tcPr>
            <w:tcW w:w="3148" w:type="dxa"/>
            <w:gridSpan w:val="2"/>
          </w:tcPr>
          <w:p w:rsidR="00B958B1" w:rsidRPr="00F16DCB" w:rsidRDefault="00B958B1" w:rsidP="009F3B54">
            <w:pPr>
              <w:pStyle w:val="OGTabText"/>
              <w:jc w:val="left"/>
            </w:pPr>
            <w:r w:rsidRPr="00F16DCB">
              <w:t>Maintain ISO</w:t>
            </w:r>
            <w:r>
              <w:t> </w:t>
            </w:r>
            <w:r w:rsidRPr="00F16DCB">
              <w:t xml:space="preserve">9001 (Quality Management Systems) certification </w:t>
            </w:r>
          </w:p>
        </w:tc>
        <w:tc>
          <w:tcPr>
            <w:tcW w:w="906" w:type="dxa"/>
          </w:tcPr>
          <w:p w:rsidR="00B958B1" w:rsidRPr="00F16DCB" w:rsidRDefault="00B958B1" w:rsidP="009F3B54">
            <w:pPr>
              <w:pStyle w:val="TableText0"/>
              <w:spacing w:before="60" w:after="60"/>
              <w:jc w:val="center"/>
              <w:rPr>
                <w:rFonts w:cs="Calibri"/>
                <w:color w:val="auto"/>
                <w:sz w:val="20"/>
                <w:szCs w:val="22"/>
              </w:rPr>
            </w:pPr>
            <w:r>
              <w:rPr>
                <w:rFonts w:cs="Calibri"/>
                <w:color w:val="auto"/>
                <w:sz w:val="20"/>
                <w:szCs w:val="22"/>
              </w:rPr>
              <w:t>per cent</w:t>
            </w:r>
          </w:p>
        </w:tc>
        <w:tc>
          <w:tcPr>
            <w:tcW w:w="908" w:type="dxa"/>
            <w:shd w:val="clear" w:color="auto" w:fill="D9D9D9"/>
          </w:tcPr>
          <w:p w:rsidR="00B958B1" w:rsidRPr="00F16DCB" w:rsidRDefault="00B958B1" w:rsidP="009F3B54">
            <w:pPr>
              <w:pStyle w:val="OGTableofFigures"/>
            </w:pPr>
            <w:r w:rsidRPr="00F16DCB">
              <w:t>100</w:t>
            </w:r>
          </w:p>
        </w:tc>
        <w:tc>
          <w:tcPr>
            <w:tcW w:w="995" w:type="dxa"/>
          </w:tcPr>
          <w:p w:rsidR="00B958B1" w:rsidRPr="00F16DCB" w:rsidRDefault="00B958B1" w:rsidP="009F3B54">
            <w:pPr>
              <w:pStyle w:val="OGTableofFigures"/>
            </w:pPr>
            <w:r>
              <w:t>nm</w:t>
            </w:r>
          </w:p>
        </w:tc>
        <w:tc>
          <w:tcPr>
            <w:tcW w:w="906" w:type="dxa"/>
            <w:gridSpan w:val="2"/>
          </w:tcPr>
          <w:p w:rsidR="00B958B1" w:rsidRPr="00F16DCB" w:rsidRDefault="00B958B1" w:rsidP="009F3B54">
            <w:pPr>
              <w:pStyle w:val="OGTableofFigures"/>
            </w:pPr>
            <w:r>
              <w:t>nm</w:t>
            </w:r>
          </w:p>
        </w:tc>
        <w:tc>
          <w:tcPr>
            <w:tcW w:w="913" w:type="dxa"/>
          </w:tcPr>
          <w:p w:rsidR="00B958B1" w:rsidRPr="00F16DCB" w:rsidRDefault="00B958B1" w:rsidP="009F3B54">
            <w:pPr>
              <w:pStyle w:val="OGTableofFigures"/>
            </w:pPr>
            <w:r>
              <w:t>nm</w:t>
            </w:r>
            <w:r w:rsidRPr="00F16DCB">
              <w:t xml:space="preserve"> </w:t>
            </w:r>
          </w:p>
        </w:tc>
      </w:tr>
      <w:tr w:rsidR="00B958B1" w:rsidRPr="00F16DCB" w:rsidTr="009F3B54">
        <w:tblPrEx>
          <w:tblLook w:val="04A0" w:firstRow="1" w:lastRow="0" w:firstColumn="1" w:lastColumn="0" w:noHBand="0" w:noVBand="1"/>
        </w:tblPrEx>
        <w:trPr>
          <w:cantSplit/>
        </w:trPr>
        <w:tc>
          <w:tcPr>
            <w:tcW w:w="7776" w:type="dxa"/>
            <w:gridSpan w:val="8"/>
            <w:tcBorders>
              <w:bottom w:val="single" w:sz="6" w:space="0" w:color="auto"/>
            </w:tcBorders>
          </w:tcPr>
          <w:p w:rsidR="00B958B1" w:rsidRPr="00F16DCB" w:rsidRDefault="00B958B1" w:rsidP="009F3B54">
            <w:pPr>
              <w:pStyle w:val="OGTableofFigures"/>
              <w:ind w:left="397" w:right="64"/>
              <w:jc w:val="left"/>
              <w:rPr>
                <w:sz w:val="18"/>
              </w:rPr>
            </w:pPr>
            <w:r w:rsidRPr="00547387">
              <w:rPr>
                <w:rFonts w:cs="Calibri"/>
                <w:i/>
                <w:sz w:val="15"/>
                <w:szCs w:val="15"/>
              </w:rPr>
              <w:t>This performance measure is proposed to replace the 2012</w:t>
            </w:r>
            <w:r w:rsidR="009F0F49">
              <w:rPr>
                <w:rFonts w:cs="Calibri"/>
                <w:i/>
                <w:sz w:val="15"/>
                <w:szCs w:val="15"/>
              </w:rPr>
              <w:noBreakHyphen/>
            </w:r>
            <w:r w:rsidRPr="00547387">
              <w:rPr>
                <w:rFonts w:cs="Calibri"/>
                <w:i/>
                <w:sz w:val="15"/>
                <w:szCs w:val="15"/>
              </w:rPr>
              <w:t>13 performance measure ‘Service Provision Rating (Ministerial survey data).’ It has been replaced to reflect DTF’s commitment to utilise a standardised measure of quality.</w:t>
            </w:r>
          </w:p>
        </w:tc>
      </w:tr>
      <w:tr w:rsidR="00B958B1" w:rsidRPr="00F16DCB" w:rsidTr="009F3B54">
        <w:tblPrEx>
          <w:tblLook w:val="04A0" w:firstRow="1" w:lastRow="0" w:firstColumn="1" w:lastColumn="0" w:noHBand="0" w:noVBand="1"/>
        </w:tblPrEx>
        <w:trPr>
          <w:cantSplit/>
        </w:trPr>
        <w:tc>
          <w:tcPr>
            <w:tcW w:w="3148" w:type="dxa"/>
            <w:gridSpan w:val="2"/>
            <w:tcBorders>
              <w:top w:val="single" w:sz="6" w:space="0" w:color="auto"/>
            </w:tcBorders>
          </w:tcPr>
          <w:p w:rsidR="00B958B1" w:rsidRPr="00F16DCB" w:rsidRDefault="00B958B1" w:rsidP="009F3B54">
            <w:pPr>
              <w:pStyle w:val="OGTabHead"/>
              <w:keepNext w:val="0"/>
            </w:pPr>
            <w:r w:rsidRPr="00F16DCB">
              <w:t>Timeliness</w:t>
            </w:r>
          </w:p>
        </w:tc>
        <w:tc>
          <w:tcPr>
            <w:tcW w:w="906" w:type="dxa"/>
            <w:tcBorders>
              <w:top w:val="single" w:sz="6" w:space="0" w:color="auto"/>
            </w:tcBorders>
          </w:tcPr>
          <w:p w:rsidR="00B958B1" w:rsidRPr="00F16DCB" w:rsidRDefault="00B958B1" w:rsidP="009F3B54">
            <w:pPr>
              <w:pStyle w:val="OGTabHead"/>
              <w:keepNext w:val="0"/>
            </w:pPr>
          </w:p>
        </w:tc>
        <w:tc>
          <w:tcPr>
            <w:tcW w:w="908" w:type="dxa"/>
            <w:tcBorders>
              <w:top w:val="single" w:sz="6" w:space="0" w:color="auto"/>
            </w:tcBorders>
            <w:shd w:val="clear" w:color="auto" w:fill="D9D9D9"/>
          </w:tcPr>
          <w:p w:rsidR="00B958B1" w:rsidRPr="00F16DCB" w:rsidRDefault="00B958B1" w:rsidP="009F3B54">
            <w:pPr>
              <w:pStyle w:val="OGTableofFigures"/>
            </w:pPr>
            <w:r w:rsidRPr="00F16DCB">
              <w:t> </w:t>
            </w:r>
          </w:p>
        </w:tc>
        <w:tc>
          <w:tcPr>
            <w:tcW w:w="995" w:type="dxa"/>
            <w:tcBorders>
              <w:top w:val="single" w:sz="6" w:space="0" w:color="auto"/>
            </w:tcBorders>
          </w:tcPr>
          <w:p w:rsidR="00B958B1" w:rsidRPr="00F16DCB" w:rsidRDefault="00B958B1" w:rsidP="009F3B54">
            <w:pPr>
              <w:pStyle w:val="OGTableofFigures"/>
            </w:pPr>
          </w:p>
        </w:tc>
        <w:tc>
          <w:tcPr>
            <w:tcW w:w="906" w:type="dxa"/>
            <w:gridSpan w:val="2"/>
            <w:tcBorders>
              <w:top w:val="single" w:sz="6" w:space="0" w:color="auto"/>
            </w:tcBorders>
          </w:tcPr>
          <w:p w:rsidR="00B958B1" w:rsidRPr="00F16DCB" w:rsidRDefault="00B958B1" w:rsidP="009F3B54">
            <w:pPr>
              <w:pStyle w:val="OGTableofFigures"/>
            </w:pPr>
          </w:p>
        </w:tc>
        <w:tc>
          <w:tcPr>
            <w:tcW w:w="913" w:type="dxa"/>
            <w:tcBorders>
              <w:top w:val="single" w:sz="6" w:space="0" w:color="auto"/>
            </w:tcBorders>
          </w:tcPr>
          <w:p w:rsidR="00B958B1" w:rsidRPr="00F16DCB" w:rsidRDefault="00B958B1" w:rsidP="009F3B54">
            <w:pPr>
              <w:pStyle w:val="OGTableofFigures"/>
            </w:pPr>
          </w:p>
        </w:tc>
      </w:tr>
      <w:tr w:rsidR="00B958B1" w:rsidRPr="00F16DCB" w:rsidTr="009F3B54">
        <w:tblPrEx>
          <w:tblLook w:val="04A0" w:firstRow="1" w:lastRow="0" w:firstColumn="1" w:lastColumn="0" w:noHBand="0" w:noVBand="1"/>
        </w:tblPrEx>
        <w:trPr>
          <w:cantSplit/>
        </w:trPr>
        <w:tc>
          <w:tcPr>
            <w:tcW w:w="3148" w:type="dxa"/>
            <w:gridSpan w:val="2"/>
            <w:tcBorders>
              <w:bottom w:val="single" w:sz="6" w:space="0" w:color="auto"/>
            </w:tcBorders>
          </w:tcPr>
          <w:p w:rsidR="00B958B1" w:rsidRPr="00F16DCB" w:rsidRDefault="00B958B1" w:rsidP="009F3B54">
            <w:pPr>
              <w:pStyle w:val="OGTabText"/>
              <w:jc w:val="left"/>
            </w:pPr>
            <w:r w:rsidRPr="00F16DCB">
              <w:t>Analysis and review of corporate plans, quarterly performance reports within 3 months of receipt</w:t>
            </w:r>
          </w:p>
        </w:tc>
        <w:tc>
          <w:tcPr>
            <w:tcW w:w="906" w:type="dxa"/>
            <w:tcBorders>
              <w:bottom w:val="single" w:sz="6" w:space="0" w:color="auto"/>
            </w:tcBorders>
          </w:tcPr>
          <w:p w:rsidR="00B958B1" w:rsidRPr="00F16DCB" w:rsidRDefault="00B958B1" w:rsidP="009F3B54">
            <w:pPr>
              <w:pStyle w:val="TableText0"/>
              <w:spacing w:before="60" w:after="60"/>
              <w:jc w:val="center"/>
              <w:rPr>
                <w:rFonts w:cs="Calibri"/>
                <w:color w:val="auto"/>
                <w:sz w:val="20"/>
                <w:szCs w:val="22"/>
              </w:rPr>
            </w:pPr>
            <w:r>
              <w:rPr>
                <w:rFonts w:cs="Calibri"/>
                <w:color w:val="auto"/>
                <w:sz w:val="20"/>
                <w:szCs w:val="22"/>
              </w:rPr>
              <w:t>per cent</w:t>
            </w:r>
          </w:p>
        </w:tc>
        <w:tc>
          <w:tcPr>
            <w:tcW w:w="908" w:type="dxa"/>
            <w:tcBorders>
              <w:bottom w:val="single" w:sz="6" w:space="0" w:color="auto"/>
            </w:tcBorders>
            <w:shd w:val="clear" w:color="auto" w:fill="D9D9D9"/>
          </w:tcPr>
          <w:p w:rsidR="00B958B1" w:rsidRPr="00F16DCB" w:rsidRDefault="00B958B1" w:rsidP="009F3B54">
            <w:pPr>
              <w:pStyle w:val="OGTableofFigures"/>
            </w:pPr>
            <w:r w:rsidRPr="00F16DCB">
              <w:t>90</w:t>
            </w:r>
          </w:p>
        </w:tc>
        <w:tc>
          <w:tcPr>
            <w:tcW w:w="995" w:type="dxa"/>
            <w:tcBorders>
              <w:bottom w:val="single" w:sz="6" w:space="0" w:color="auto"/>
            </w:tcBorders>
          </w:tcPr>
          <w:p w:rsidR="00B958B1" w:rsidRPr="00F16DCB" w:rsidRDefault="00B958B1" w:rsidP="009F3B54">
            <w:pPr>
              <w:pStyle w:val="OGTableofFigures"/>
            </w:pPr>
            <w:r>
              <w:t>90</w:t>
            </w:r>
          </w:p>
        </w:tc>
        <w:tc>
          <w:tcPr>
            <w:tcW w:w="906" w:type="dxa"/>
            <w:gridSpan w:val="2"/>
            <w:tcBorders>
              <w:bottom w:val="single" w:sz="6" w:space="0" w:color="auto"/>
            </w:tcBorders>
          </w:tcPr>
          <w:p w:rsidR="00B958B1" w:rsidRPr="00F16DCB" w:rsidRDefault="00B958B1" w:rsidP="009F3B54">
            <w:pPr>
              <w:pStyle w:val="OGTableofFigures"/>
            </w:pPr>
            <w:r w:rsidRPr="00F16DCB">
              <w:t>90</w:t>
            </w:r>
          </w:p>
        </w:tc>
        <w:tc>
          <w:tcPr>
            <w:tcW w:w="913" w:type="dxa"/>
            <w:tcBorders>
              <w:bottom w:val="single" w:sz="6" w:space="0" w:color="auto"/>
            </w:tcBorders>
          </w:tcPr>
          <w:p w:rsidR="00B958B1" w:rsidRPr="00F16DCB" w:rsidRDefault="00B958B1" w:rsidP="009F3B54">
            <w:pPr>
              <w:pStyle w:val="OGTableofFigures"/>
            </w:pPr>
            <w:r w:rsidRPr="00F16DCB">
              <w:t>90</w:t>
            </w:r>
          </w:p>
        </w:tc>
      </w:tr>
      <w:tr w:rsidR="00B958B1" w:rsidRPr="00F16DCB" w:rsidTr="009F3B54">
        <w:tblPrEx>
          <w:tblLook w:val="04A0" w:firstRow="1" w:lastRow="0" w:firstColumn="1" w:lastColumn="0" w:noHBand="0" w:noVBand="1"/>
        </w:tblPrEx>
        <w:trPr>
          <w:cantSplit/>
        </w:trPr>
        <w:tc>
          <w:tcPr>
            <w:tcW w:w="3148" w:type="dxa"/>
            <w:gridSpan w:val="2"/>
            <w:tcBorders>
              <w:top w:val="single" w:sz="6" w:space="0" w:color="auto"/>
              <w:bottom w:val="single" w:sz="6" w:space="0" w:color="auto"/>
            </w:tcBorders>
          </w:tcPr>
          <w:p w:rsidR="00B958B1" w:rsidRPr="00F16DCB" w:rsidRDefault="00B958B1" w:rsidP="009F3B54">
            <w:pPr>
              <w:pStyle w:val="OGTabText"/>
              <w:jc w:val="left"/>
            </w:pPr>
            <w:r w:rsidRPr="00F16DCB">
              <w:t>Board appointments approved within agreed timelines</w:t>
            </w:r>
          </w:p>
        </w:tc>
        <w:tc>
          <w:tcPr>
            <w:tcW w:w="906" w:type="dxa"/>
            <w:tcBorders>
              <w:top w:val="single" w:sz="6" w:space="0" w:color="auto"/>
              <w:bottom w:val="single" w:sz="6" w:space="0" w:color="auto"/>
            </w:tcBorders>
          </w:tcPr>
          <w:p w:rsidR="00B958B1" w:rsidRPr="00F16DCB" w:rsidRDefault="00B958B1" w:rsidP="009F3B54">
            <w:pPr>
              <w:pStyle w:val="TableText0"/>
              <w:spacing w:before="60" w:after="60"/>
              <w:jc w:val="center"/>
              <w:rPr>
                <w:rFonts w:cs="Calibri"/>
                <w:color w:val="auto"/>
                <w:sz w:val="20"/>
                <w:szCs w:val="22"/>
              </w:rPr>
            </w:pPr>
            <w:r>
              <w:rPr>
                <w:rFonts w:cs="Calibri"/>
                <w:color w:val="auto"/>
                <w:sz w:val="20"/>
                <w:szCs w:val="22"/>
              </w:rPr>
              <w:t>per cent</w:t>
            </w:r>
          </w:p>
        </w:tc>
        <w:tc>
          <w:tcPr>
            <w:tcW w:w="908" w:type="dxa"/>
            <w:tcBorders>
              <w:top w:val="single" w:sz="6" w:space="0" w:color="auto"/>
              <w:bottom w:val="single" w:sz="6" w:space="0" w:color="auto"/>
            </w:tcBorders>
            <w:shd w:val="clear" w:color="auto" w:fill="D9D9D9"/>
          </w:tcPr>
          <w:p w:rsidR="00B958B1" w:rsidRPr="00F16DCB" w:rsidRDefault="00B958B1" w:rsidP="009F3B54">
            <w:pPr>
              <w:pStyle w:val="OGTableofFigures"/>
            </w:pPr>
            <w:r w:rsidRPr="00F16DCB">
              <w:t>100</w:t>
            </w:r>
          </w:p>
        </w:tc>
        <w:tc>
          <w:tcPr>
            <w:tcW w:w="995" w:type="dxa"/>
            <w:tcBorders>
              <w:top w:val="single" w:sz="6" w:space="0" w:color="auto"/>
              <w:bottom w:val="single" w:sz="6" w:space="0" w:color="auto"/>
            </w:tcBorders>
          </w:tcPr>
          <w:p w:rsidR="00B958B1" w:rsidRPr="00F16DCB" w:rsidRDefault="00B958B1" w:rsidP="009F3B54">
            <w:pPr>
              <w:pStyle w:val="OGTableofFigures"/>
            </w:pPr>
            <w:r>
              <w:t>100</w:t>
            </w:r>
          </w:p>
        </w:tc>
        <w:tc>
          <w:tcPr>
            <w:tcW w:w="906" w:type="dxa"/>
            <w:gridSpan w:val="2"/>
            <w:tcBorders>
              <w:top w:val="single" w:sz="6" w:space="0" w:color="auto"/>
              <w:bottom w:val="single" w:sz="6" w:space="0" w:color="auto"/>
            </w:tcBorders>
          </w:tcPr>
          <w:p w:rsidR="00B958B1" w:rsidRPr="00F16DCB" w:rsidRDefault="00B958B1" w:rsidP="009F3B54">
            <w:pPr>
              <w:pStyle w:val="OGTableofFigures"/>
            </w:pPr>
            <w:r w:rsidRPr="00F16DCB">
              <w:t>100</w:t>
            </w:r>
          </w:p>
        </w:tc>
        <w:tc>
          <w:tcPr>
            <w:tcW w:w="913" w:type="dxa"/>
            <w:tcBorders>
              <w:top w:val="single" w:sz="6" w:space="0" w:color="auto"/>
              <w:bottom w:val="single" w:sz="6" w:space="0" w:color="auto"/>
            </w:tcBorders>
          </w:tcPr>
          <w:p w:rsidR="00B958B1" w:rsidRPr="00F16DCB" w:rsidRDefault="00B958B1" w:rsidP="009F3B54">
            <w:pPr>
              <w:pStyle w:val="OGTableofFigures"/>
            </w:pPr>
            <w:r w:rsidRPr="00F16DCB">
              <w:t>100</w:t>
            </w:r>
          </w:p>
        </w:tc>
      </w:tr>
      <w:tr w:rsidR="00B958B1" w:rsidRPr="00F16DCB" w:rsidTr="009F3B54">
        <w:tblPrEx>
          <w:tblLook w:val="04A0" w:firstRow="1" w:lastRow="0" w:firstColumn="1" w:lastColumn="0" w:noHBand="0" w:noVBand="1"/>
        </w:tblPrEx>
        <w:trPr>
          <w:cantSplit/>
        </w:trPr>
        <w:tc>
          <w:tcPr>
            <w:tcW w:w="3148" w:type="dxa"/>
            <w:gridSpan w:val="2"/>
            <w:tcBorders>
              <w:top w:val="single" w:sz="6" w:space="0" w:color="auto"/>
              <w:bottom w:val="single" w:sz="6" w:space="0" w:color="auto"/>
            </w:tcBorders>
          </w:tcPr>
          <w:p w:rsidR="00B958B1" w:rsidRPr="00F16DCB" w:rsidRDefault="00B958B1" w:rsidP="009F3B54">
            <w:pPr>
              <w:pStyle w:val="OGTabText"/>
              <w:pageBreakBefore/>
              <w:jc w:val="left"/>
            </w:pPr>
            <w:r w:rsidRPr="00F16DCB">
              <w:t>Dates met for dividend payments</w:t>
            </w:r>
          </w:p>
        </w:tc>
        <w:tc>
          <w:tcPr>
            <w:tcW w:w="906" w:type="dxa"/>
            <w:tcBorders>
              <w:top w:val="single" w:sz="6" w:space="0" w:color="auto"/>
              <w:bottom w:val="single" w:sz="6" w:space="0" w:color="auto"/>
            </w:tcBorders>
          </w:tcPr>
          <w:p w:rsidR="00B958B1" w:rsidRPr="00F16DCB" w:rsidRDefault="00B958B1" w:rsidP="009F3B54">
            <w:pPr>
              <w:pStyle w:val="TableText0"/>
              <w:spacing w:before="60" w:after="60"/>
              <w:jc w:val="center"/>
              <w:rPr>
                <w:rFonts w:cs="Calibri"/>
                <w:color w:val="auto"/>
                <w:sz w:val="20"/>
                <w:szCs w:val="22"/>
              </w:rPr>
            </w:pPr>
            <w:r>
              <w:rPr>
                <w:rFonts w:cs="Calibri"/>
                <w:color w:val="auto"/>
                <w:sz w:val="20"/>
                <w:szCs w:val="22"/>
              </w:rPr>
              <w:t>per cent</w:t>
            </w:r>
          </w:p>
        </w:tc>
        <w:tc>
          <w:tcPr>
            <w:tcW w:w="908" w:type="dxa"/>
            <w:tcBorders>
              <w:top w:val="single" w:sz="6" w:space="0" w:color="auto"/>
              <w:bottom w:val="single" w:sz="6" w:space="0" w:color="auto"/>
            </w:tcBorders>
            <w:shd w:val="clear" w:color="auto" w:fill="D9D9D9"/>
          </w:tcPr>
          <w:p w:rsidR="00B958B1" w:rsidRPr="00F16DCB" w:rsidRDefault="00B958B1" w:rsidP="009F3B54">
            <w:pPr>
              <w:pStyle w:val="OGTableofFigures"/>
            </w:pPr>
            <w:r w:rsidRPr="00F16DCB">
              <w:t>100</w:t>
            </w:r>
          </w:p>
        </w:tc>
        <w:tc>
          <w:tcPr>
            <w:tcW w:w="995" w:type="dxa"/>
            <w:tcBorders>
              <w:top w:val="single" w:sz="6" w:space="0" w:color="auto"/>
              <w:bottom w:val="single" w:sz="6" w:space="0" w:color="auto"/>
            </w:tcBorders>
          </w:tcPr>
          <w:p w:rsidR="00B958B1" w:rsidRPr="00F16DCB" w:rsidRDefault="00B958B1" w:rsidP="009F3B54">
            <w:pPr>
              <w:pStyle w:val="OGTableofFigures"/>
            </w:pPr>
            <w:r>
              <w:t>100</w:t>
            </w:r>
          </w:p>
        </w:tc>
        <w:tc>
          <w:tcPr>
            <w:tcW w:w="906" w:type="dxa"/>
            <w:gridSpan w:val="2"/>
            <w:tcBorders>
              <w:top w:val="single" w:sz="6" w:space="0" w:color="auto"/>
              <w:bottom w:val="single" w:sz="6" w:space="0" w:color="auto"/>
            </w:tcBorders>
          </w:tcPr>
          <w:p w:rsidR="00B958B1" w:rsidRPr="00F16DCB" w:rsidRDefault="00B958B1" w:rsidP="009F3B54">
            <w:pPr>
              <w:pStyle w:val="OGTableofFigures"/>
            </w:pPr>
            <w:r w:rsidRPr="00F16DCB">
              <w:t>100</w:t>
            </w:r>
          </w:p>
        </w:tc>
        <w:tc>
          <w:tcPr>
            <w:tcW w:w="913" w:type="dxa"/>
            <w:tcBorders>
              <w:top w:val="single" w:sz="6" w:space="0" w:color="auto"/>
              <w:bottom w:val="single" w:sz="6" w:space="0" w:color="auto"/>
            </w:tcBorders>
          </w:tcPr>
          <w:p w:rsidR="00B958B1" w:rsidRPr="00F16DCB" w:rsidRDefault="00B958B1" w:rsidP="009F3B54">
            <w:pPr>
              <w:pStyle w:val="OGTableofFigures"/>
            </w:pPr>
            <w:r w:rsidRPr="00F16DCB">
              <w:t>100</w:t>
            </w:r>
          </w:p>
        </w:tc>
      </w:tr>
      <w:tr w:rsidR="00B958B1" w:rsidRPr="00F16DCB" w:rsidTr="009F3B54">
        <w:tblPrEx>
          <w:tblLook w:val="04A0" w:firstRow="1" w:lastRow="0" w:firstColumn="1" w:lastColumn="0" w:noHBand="0" w:noVBand="1"/>
        </w:tblPrEx>
        <w:trPr>
          <w:cantSplit/>
        </w:trPr>
        <w:tc>
          <w:tcPr>
            <w:tcW w:w="3148" w:type="dxa"/>
            <w:gridSpan w:val="2"/>
            <w:tcBorders>
              <w:top w:val="single" w:sz="6" w:space="0" w:color="auto"/>
            </w:tcBorders>
          </w:tcPr>
          <w:p w:rsidR="00B958B1" w:rsidRPr="00FF24FC" w:rsidRDefault="00B958B1" w:rsidP="009F3B54">
            <w:pPr>
              <w:pStyle w:val="OGTabHead"/>
              <w:keepNext w:val="0"/>
            </w:pPr>
            <w:r w:rsidRPr="00FF24FC">
              <w:t>Cost</w:t>
            </w:r>
          </w:p>
        </w:tc>
        <w:tc>
          <w:tcPr>
            <w:tcW w:w="906" w:type="dxa"/>
            <w:tcBorders>
              <w:top w:val="single" w:sz="6" w:space="0" w:color="auto"/>
            </w:tcBorders>
          </w:tcPr>
          <w:p w:rsidR="00B958B1" w:rsidRPr="00FF24FC" w:rsidRDefault="00B958B1" w:rsidP="009F3B54">
            <w:pPr>
              <w:pStyle w:val="TableText0"/>
              <w:spacing w:before="60" w:after="60"/>
              <w:jc w:val="center"/>
              <w:rPr>
                <w:i/>
                <w:color w:val="auto"/>
                <w:sz w:val="20"/>
                <w:szCs w:val="18"/>
                <w:lang w:eastAsia="en-US"/>
              </w:rPr>
            </w:pPr>
          </w:p>
        </w:tc>
        <w:tc>
          <w:tcPr>
            <w:tcW w:w="908" w:type="dxa"/>
            <w:tcBorders>
              <w:top w:val="single" w:sz="6" w:space="0" w:color="auto"/>
            </w:tcBorders>
            <w:shd w:val="clear" w:color="auto" w:fill="D9D9D9"/>
          </w:tcPr>
          <w:p w:rsidR="00B958B1" w:rsidRPr="00FF24FC" w:rsidRDefault="00B958B1" w:rsidP="009F3B54">
            <w:pPr>
              <w:pStyle w:val="TableText0"/>
              <w:spacing w:before="60" w:after="60"/>
              <w:jc w:val="right"/>
              <w:rPr>
                <w:i/>
                <w:color w:val="auto"/>
                <w:sz w:val="20"/>
                <w:szCs w:val="18"/>
                <w:lang w:eastAsia="en-US"/>
              </w:rPr>
            </w:pPr>
          </w:p>
        </w:tc>
        <w:tc>
          <w:tcPr>
            <w:tcW w:w="995" w:type="dxa"/>
            <w:tcBorders>
              <w:top w:val="single" w:sz="6" w:space="0" w:color="auto"/>
            </w:tcBorders>
          </w:tcPr>
          <w:p w:rsidR="00B958B1" w:rsidRPr="00FF24FC" w:rsidRDefault="00B958B1" w:rsidP="009F3B54">
            <w:pPr>
              <w:pStyle w:val="TableText0"/>
              <w:spacing w:before="60" w:after="60"/>
              <w:jc w:val="right"/>
              <w:rPr>
                <w:i/>
                <w:color w:val="auto"/>
                <w:sz w:val="20"/>
                <w:szCs w:val="18"/>
                <w:lang w:eastAsia="en-US"/>
              </w:rPr>
            </w:pPr>
          </w:p>
        </w:tc>
        <w:tc>
          <w:tcPr>
            <w:tcW w:w="906" w:type="dxa"/>
            <w:gridSpan w:val="2"/>
            <w:tcBorders>
              <w:top w:val="single" w:sz="6" w:space="0" w:color="auto"/>
            </w:tcBorders>
          </w:tcPr>
          <w:p w:rsidR="00B958B1" w:rsidRPr="00FF24FC" w:rsidRDefault="00B958B1" w:rsidP="009F3B54">
            <w:pPr>
              <w:pStyle w:val="TableText0"/>
              <w:spacing w:before="60" w:after="60"/>
              <w:jc w:val="right"/>
              <w:rPr>
                <w:i/>
                <w:color w:val="auto"/>
                <w:sz w:val="20"/>
                <w:szCs w:val="18"/>
                <w:lang w:eastAsia="en-US"/>
              </w:rPr>
            </w:pPr>
          </w:p>
        </w:tc>
        <w:tc>
          <w:tcPr>
            <w:tcW w:w="913" w:type="dxa"/>
            <w:tcBorders>
              <w:top w:val="single" w:sz="6" w:space="0" w:color="auto"/>
            </w:tcBorders>
          </w:tcPr>
          <w:p w:rsidR="00B958B1" w:rsidRPr="00FF24FC" w:rsidRDefault="00B958B1" w:rsidP="009F3B54">
            <w:pPr>
              <w:pStyle w:val="TableText0"/>
              <w:spacing w:before="60" w:after="60"/>
              <w:jc w:val="right"/>
              <w:rPr>
                <w:i/>
                <w:color w:val="auto"/>
                <w:sz w:val="20"/>
                <w:szCs w:val="18"/>
                <w:lang w:eastAsia="en-US"/>
              </w:rPr>
            </w:pPr>
          </w:p>
        </w:tc>
      </w:tr>
      <w:tr w:rsidR="00B958B1" w:rsidRPr="00F16DCB" w:rsidTr="009F3B54">
        <w:tblPrEx>
          <w:tblLook w:val="04A0" w:firstRow="1" w:lastRow="0" w:firstColumn="1" w:lastColumn="0" w:noHBand="0" w:noVBand="1"/>
        </w:tblPrEx>
        <w:trPr>
          <w:cantSplit/>
        </w:trPr>
        <w:tc>
          <w:tcPr>
            <w:tcW w:w="3148" w:type="dxa"/>
            <w:gridSpan w:val="2"/>
          </w:tcPr>
          <w:p w:rsidR="00B958B1" w:rsidRPr="002B0132" w:rsidRDefault="00B958B1" w:rsidP="009F3B54">
            <w:pPr>
              <w:pStyle w:val="OGTabText"/>
              <w:jc w:val="left"/>
            </w:pPr>
            <w:r>
              <w:t>Total output cost</w:t>
            </w:r>
          </w:p>
        </w:tc>
        <w:tc>
          <w:tcPr>
            <w:tcW w:w="906" w:type="dxa"/>
          </w:tcPr>
          <w:p w:rsidR="00B958B1" w:rsidRPr="002B0132" w:rsidRDefault="00B958B1" w:rsidP="009F3B54">
            <w:pPr>
              <w:pStyle w:val="TableText0"/>
              <w:spacing w:before="60" w:after="60"/>
              <w:jc w:val="center"/>
              <w:rPr>
                <w:rFonts w:cs="Calibri"/>
                <w:color w:val="auto"/>
                <w:sz w:val="20"/>
                <w:szCs w:val="22"/>
              </w:rPr>
            </w:pPr>
            <w:r>
              <w:rPr>
                <w:rFonts w:cs="Calibri"/>
                <w:color w:val="auto"/>
                <w:sz w:val="20"/>
                <w:szCs w:val="22"/>
              </w:rPr>
              <w:t>$ million</w:t>
            </w:r>
          </w:p>
        </w:tc>
        <w:tc>
          <w:tcPr>
            <w:tcW w:w="908" w:type="dxa"/>
            <w:shd w:val="clear" w:color="auto" w:fill="D9D9D9"/>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6.8</w:t>
            </w:r>
          </w:p>
        </w:tc>
        <w:tc>
          <w:tcPr>
            <w:tcW w:w="995" w:type="dxa"/>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7.7</w:t>
            </w:r>
          </w:p>
        </w:tc>
        <w:tc>
          <w:tcPr>
            <w:tcW w:w="906" w:type="dxa"/>
            <w:gridSpan w:val="2"/>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7.3</w:t>
            </w:r>
          </w:p>
        </w:tc>
        <w:tc>
          <w:tcPr>
            <w:tcW w:w="913" w:type="dxa"/>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7.1</w:t>
            </w:r>
          </w:p>
        </w:tc>
      </w:tr>
      <w:tr w:rsidR="00B958B1" w:rsidRPr="00F16DCB" w:rsidTr="009F3B54">
        <w:tblPrEx>
          <w:tblLook w:val="04A0" w:firstRow="1" w:lastRow="0" w:firstColumn="1" w:lastColumn="0" w:noHBand="0" w:noVBand="1"/>
        </w:tblPrEx>
        <w:trPr>
          <w:cantSplit/>
        </w:trPr>
        <w:tc>
          <w:tcPr>
            <w:tcW w:w="7776" w:type="dxa"/>
            <w:gridSpan w:val="8"/>
            <w:tcBorders>
              <w:bottom w:val="single" w:sz="12" w:space="0" w:color="auto"/>
            </w:tcBorders>
          </w:tcPr>
          <w:p w:rsidR="00B958B1" w:rsidRPr="00547387" w:rsidRDefault="00B958B1" w:rsidP="009F3B54">
            <w:pPr>
              <w:pStyle w:val="OGTableofFigures"/>
              <w:ind w:left="397" w:right="64"/>
              <w:jc w:val="left"/>
              <w:rPr>
                <w:rFonts w:cs="Calibri"/>
                <w:i/>
                <w:sz w:val="15"/>
                <w:szCs w:val="15"/>
              </w:rPr>
            </w:pPr>
            <w:r w:rsidRPr="00547387">
              <w:rPr>
                <w:rFonts w:cs="Calibri"/>
                <w:i/>
                <w:sz w:val="15"/>
                <w:szCs w:val="15"/>
              </w:rPr>
              <w:t>The 2012</w:t>
            </w:r>
            <w:r w:rsidR="009F0F49">
              <w:rPr>
                <w:rFonts w:cs="Calibri"/>
                <w:i/>
                <w:sz w:val="15"/>
                <w:szCs w:val="15"/>
              </w:rPr>
              <w:noBreakHyphen/>
            </w:r>
            <w:r w:rsidRPr="00547387">
              <w:rPr>
                <w:rFonts w:cs="Calibri"/>
                <w:i/>
                <w:sz w:val="15"/>
                <w:szCs w:val="15"/>
              </w:rPr>
              <w:t>13 Expected Outcome is higher than the 2012</w:t>
            </w:r>
            <w:r w:rsidR="009F0F49">
              <w:rPr>
                <w:rFonts w:cs="Calibri"/>
                <w:i/>
                <w:sz w:val="15"/>
                <w:szCs w:val="15"/>
              </w:rPr>
              <w:noBreakHyphen/>
            </w:r>
            <w:r w:rsidRPr="00547387">
              <w:rPr>
                <w:rFonts w:cs="Calibri"/>
                <w:i/>
                <w:sz w:val="15"/>
                <w:szCs w:val="15"/>
              </w:rPr>
              <w:t>13 Target due to one</w:t>
            </w:r>
            <w:r w:rsidR="009F0F49">
              <w:rPr>
                <w:rFonts w:cs="Calibri"/>
                <w:i/>
                <w:sz w:val="15"/>
                <w:szCs w:val="15"/>
              </w:rPr>
              <w:noBreakHyphen/>
            </w:r>
            <w:r w:rsidRPr="00547387">
              <w:rPr>
                <w:rFonts w:cs="Calibri"/>
                <w:i/>
                <w:sz w:val="15"/>
                <w:szCs w:val="15"/>
              </w:rPr>
              <w:t>off funding for ICT delivery analysis.</w:t>
            </w:r>
          </w:p>
          <w:p w:rsidR="00B958B1" w:rsidRPr="00AB15A2" w:rsidRDefault="00B958B1" w:rsidP="009F3B54">
            <w:pPr>
              <w:pStyle w:val="OGTableofFigures"/>
              <w:ind w:left="397" w:right="64"/>
              <w:jc w:val="left"/>
            </w:pPr>
            <w:r w:rsidRPr="00547387">
              <w:rPr>
                <w:rFonts w:cs="Calibri"/>
                <w:i/>
                <w:sz w:val="15"/>
                <w:szCs w:val="15"/>
              </w:rPr>
              <w:t>The 2013</w:t>
            </w:r>
            <w:r w:rsidR="009F0F49">
              <w:rPr>
                <w:rFonts w:cs="Calibri"/>
                <w:i/>
                <w:sz w:val="15"/>
                <w:szCs w:val="15"/>
              </w:rPr>
              <w:noBreakHyphen/>
            </w:r>
            <w:r w:rsidRPr="00547387">
              <w:rPr>
                <w:rFonts w:cs="Calibri"/>
                <w:i/>
                <w:sz w:val="15"/>
                <w:szCs w:val="15"/>
              </w:rPr>
              <w:t>14 Target is lower than the 2012</w:t>
            </w:r>
            <w:r w:rsidR="009F0F49">
              <w:rPr>
                <w:rFonts w:cs="Calibri"/>
                <w:i/>
                <w:sz w:val="15"/>
                <w:szCs w:val="15"/>
              </w:rPr>
              <w:noBreakHyphen/>
            </w:r>
            <w:r w:rsidRPr="00547387">
              <w:rPr>
                <w:rFonts w:cs="Calibri"/>
                <w:i/>
                <w:sz w:val="15"/>
                <w:szCs w:val="15"/>
              </w:rPr>
              <w:t>13 Target due to efficiencies generated from internal reprioritisation for ICT delivery analysis.</w:t>
            </w:r>
          </w:p>
        </w:tc>
      </w:tr>
    </w:tbl>
    <w:p w:rsidR="00B958B1" w:rsidRDefault="00B958B1" w:rsidP="009F3B54">
      <w:pPr>
        <w:pStyle w:val="Source"/>
      </w:pPr>
      <w:r>
        <w:t>Source: Department of Treasury and Finance</w:t>
      </w:r>
    </w:p>
    <w:p w:rsidR="00B958B1" w:rsidRDefault="00B958B1" w:rsidP="009F3B54">
      <w:pPr>
        <w:pStyle w:val="Source"/>
      </w:pPr>
      <w:r>
        <w:fldChar w:fldCharType="begin"/>
      </w:r>
      <w:r>
        <w:instrText xml:space="preserve"> XE "</w:instrText>
      </w:r>
      <w:r w:rsidRPr="00EE7DDB">
        <w:instrText>Department of Treasury and Finance:Financial Management Services</w:instrText>
      </w:r>
      <w:r>
        <w:instrText xml:space="preserve">" \r "BP3DTFStratPolAdvce" </w:instrText>
      </w:r>
      <w:r>
        <w:fldChar w:fldCharType="end"/>
      </w:r>
    </w:p>
    <w:bookmarkEnd w:id="146"/>
    <w:p w:rsidR="00B958B1" w:rsidRPr="00F16DCB" w:rsidRDefault="00B958B1" w:rsidP="009F3B54"/>
    <w:p w:rsidR="00B958B1" w:rsidRPr="00F16DCB" w:rsidRDefault="00B958B1" w:rsidP="009F3B54">
      <w:pPr>
        <w:pStyle w:val="OGHeading1"/>
      </w:pPr>
      <w:r w:rsidRPr="00F16DCB">
        <w:br w:type="page"/>
      </w:r>
      <w:bookmarkStart w:id="147" w:name="BP3DTFRiskMgmtSvces"/>
      <w:r w:rsidRPr="00F16DCB">
        <w:t>Risk Management Services</w:t>
      </w:r>
    </w:p>
    <w:p w:rsidR="00B958B1" w:rsidRDefault="00B958B1" w:rsidP="009F3B54">
      <w:pPr>
        <w:pStyle w:val="OGText"/>
        <w:rPr>
          <w:lang w:eastAsia="en-AU"/>
        </w:rPr>
      </w:pPr>
      <w:r>
        <w:rPr>
          <w:lang w:eastAsia="en-AU"/>
        </w:rPr>
        <w:t>This output provides risk management advice and information on frameworks to Ministers, departments and private infrastructure partners to manage the Government’s exposure to commercial and infrastructure project risks.</w:t>
      </w:r>
    </w:p>
    <w:p w:rsidR="00B958B1" w:rsidRPr="00F16DCB" w:rsidRDefault="00B958B1" w:rsidP="009F3B54">
      <w:pPr>
        <w:pStyle w:val="OGText"/>
        <w:rPr>
          <w:lang w:eastAsia="en-AU"/>
        </w:rPr>
      </w:pPr>
      <w:r>
        <w:rPr>
          <w:lang w:eastAsia="en-AU"/>
        </w:rPr>
        <w:t>By providing advice on frameworks to manage commercial and infrastructure project risks, this output contributes to the departmental objective of driving improvement in public sector asset management and the delivery of infrastructure to benefit all Victorians.</w:t>
      </w:r>
    </w:p>
    <w:tbl>
      <w:tblPr>
        <w:tblStyle w:val="TableGrid"/>
        <w:tblW w:w="7776" w:type="dxa"/>
        <w:tblInd w:w="29" w:type="dxa"/>
        <w:tblLayout w:type="fixed"/>
        <w:tblCellMar>
          <w:left w:w="43" w:type="dxa"/>
          <w:right w:w="43" w:type="dxa"/>
        </w:tblCellMar>
        <w:tblLook w:val="04A0" w:firstRow="1" w:lastRow="0" w:firstColumn="1" w:lastColumn="0" w:noHBand="0" w:noVBand="1"/>
      </w:tblPr>
      <w:tblGrid>
        <w:gridCol w:w="3144"/>
        <w:gridCol w:w="9"/>
        <w:gridCol w:w="906"/>
        <w:gridCol w:w="906"/>
        <w:gridCol w:w="992"/>
        <w:gridCol w:w="898"/>
        <w:gridCol w:w="8"/>
        <w:gridCol w:w="913"/>
      </w:tblGrid>
      <w:tr w:rsidR="00B958B1" w:rsidRPr="00F16DCB" w:rsidTr="009F3B54">
        <w:trPr>
          <w:cantSplit/>
          <w:tblHeader/>
        </w:trPr>
        <w:tc>
          <w:tcPr>
            <w:tcW w:w="3153" w:type="dxa"/>
            <w:gridSpan w:val="2"/>
            <w:tcBorders>
              <w:top w:val="single" w:sz="6" w:space="0" w:color="auto"/>
              <w:left w:val="single" w:sz="6" w:space="0" w:color="auto"/>
              <w:bottom w:val="single" w:sz="6" w:space="0" w:color="auto"/>
            </w:tcBorders>
            <w:shd w:val="clear" w:color="auto" w:fill="000000" w:themeFill="text1"/>
          </w:tcPr>
          <w:p w:rsidR="00B958B1" w:rsidRDefault="00B958B1" w:rsidP="009F3B54">
            <w:pPr>
              <w:pStyle w:val="OGTabColLeft"/>
            </w:pPr>
            <w:r>
              <w:rPr>
                <w:shd w:val="clear" w:color="auto" w:fill="000000"/>
              </w:rPr>
              <w:br/>
            </w:r>
            <w:r w:rsidRPr="00F16DCB">
              <w:rPr>
                <w:shd w:val="clear" w:color="auto" w:fill="000000"/>
              </w:rPr>
              <w:t xml:space="preserve">Major </w:t>
            </w:r>
            <w:r w:rsidRPr="00F16DCB">
              <w:t>outputs/deliverables</w:t>
            </w:r>
            <w:r w:rsidRPr="00F16DCB">
              <w:br/>
            </w:r>
            <w:r w:rsidRPr="00E26AF5">
              <w:rPr>
                <w:b w:val="0"/>
                <w:i/>
                <w:iCs/>
              </w:rPr>
              <w:t>Performance measures</w:t>
            </w:r>
          </w:p>
        </w:tc>
        <w:tc>
          <w:tcPr>
            <w:tcW w:w="906" w:type="dxa"/>
            <w:tcBorders>
              <w:top w:val="single" w:sz="6" w:space="0" w:color="auto"/>
              <w:bottom w:val="single" w:sz="6" w:space="0" w:color="auto"/>
            </w:tcBorders>
            <w:shd w:val="clear" w:color="auto" w:fill="000000" w:themeFill="text1"/>
            <w:vAlign w:val="bottom"/>
          </w:tcPr>
          <w:p w:rsidR="00B958B1" w:rsidRPr="00F16DCB" w:rsidRDefault="00B958B1" w:rsidP="009F3B54">
            <w:pPr>
              <w:pStyle w:val="OGTabColCentred"/>
            </w:pPr>
            <w:r w:rsidRPr="00F16DCB">
              <w:t xml:space="preserve">Unit of </w:t>
            </w:r>
            <w:r w:rsidRPr="00F16DCB">
              <w:br/>
              <w:t>measure</w:t>
            </w:r>
          </w:p>
        </w:tc>
        <w:tc>
          <w:tcPr>
            <w:tcW w:w="906" w:type="dxa"/>
            <w:tcBorders>
              <w:top w:val="single" w:sz="6" w:space="0" w:color="auto"/>
              <w:bottom w:val="single" w:sz="6" w:space="0" w:color="auto"/>
            </w:tcBorders>
            <w:shd w:val="clear" w:color="auto" w:fill="000000" w:themeFill="text1"/>
          </w:tcPr>
          <w:p w:rsidR="00B958B1" w:rsidRDefault="00B958B1" w:rsidP="009F3B54">
            <w:pPr>
              <w:pStyle w:val="OGTabColRight"/>
            </w:pPr>
            <w:r>
              <w:br/>
            </w:r>
            <w:r w:rsidRPr="00F16DCB">
              <w:t>2013</w:t>
            </w:r>
            <w:r w:rsidR="009F0F49">
              <w:noBreakHyphen/>
            </w:r>
            <w:r w:rsidRPr="00F16DCB">
              <w:t xml:space="preserve">14 </w:t>
            </w:r>
            <w:r>
              <w:t>Target</w:t>
            </w:r>
          </w:p>
        </w:tc>
        <w:tc>
          <w:tcPr>
            <w:tcW w:w="992" w:type="dxa"/>
            <w:tcBorders>
              <w:top w:val="single" w:sz="6" w:space="0" w:color="auto"/>
              <w:bottom w:val="single" w:sz="6" w:space="0" w:color="auto"/>
            </w:tcBorders>
            <w:shd w:val="clear" w:color="auto" w:fill="000000" w:themeFill="text1"/>
          </w:tcPr>
          <w:p w:rsidR="00B958B1" w:rsidRDefault="00B958B1" w:rsidP="009F3B54">
            <w:pPr>
              <w:pStyle w:val="OGTabColRight"/>
            </w:pPr>
            <w:r w:rsidRPr="00F16DCB">
              <w:t>2012</w:t>
            </w:r>
            <w:r w:rsidR="009F0F49">
              <w:noBreakHyphen/>
            </w:r>
            <w:r w:rsidRPr="00F16DCB">
              <w:t xml:space="preserve">13 </w:t>
            </w:r>
            <w:r>
              <w:t>Expected Outcome</w:t>
            </w:r>
          </w:p>
        </w:tc>
        <w:tc>
          <w:tcPr>
            <w:tcW w:w="898" w:type="dxa"/>
            <w:tcBorders>
              <w:top w:val="single" w:sz="6" w:space="0" w:color="auto"/>
              <w:bottom w:val="single" w:sz="6" w:space="0" w:color="auto"/>
            </w:tcBorders>
            <w:shd w:val="clear" w:color="auto" w:fill="000000" w:themeFill="text1"/>
          </w:tcPr>
          <w:p w:rsidR="00B958B1" w:rsidRDefault="00B958B1" w:rsidP="009F3B54">
            <w:pPr>
              <w:pStyle w:val="OGTabColRight"/>
            </w:pPr>
            <w:r>
              <w:br/>
            </w:r>
            <w:r w:rsidRPr="00F16DCB">
              <w:t>2012</w:t>
            </w:r>
            <w:r w:rsidR="009F0F49">
              <w:noBreakHyphen/>
            </w:r>
            <w:r w:rsidRPr="00F16DCB">
              <w:t xml:space="preserve">13 </w:t>
            </w:r>
            <w:r>
              <w:t>Target</w:t>
            </w:r>
          </w:p>
        </w:tc>
        <w:tc>
          <w:tcPr>
            <w:tcW w:w="921" w:type="dxa"/>
            <w:gridSpan w:val="2"/>
            <w:tcBorders>
              <w:top w:val="single" w:sz="6" w:space="0" w:color="auto"/>
              <w:bottom w:val="single" w:sz="6" w:space="0" w:color="auto"/>
              <w:right w:val="single" w:sz="6" w:space="0" w:color="auto"/>
            </w:tcBorders>
            <w:shd w:val="clear" w:color="auto" w:fill="000000" w:themeFill="text1"/>
          </w:tcPr>
          <w:p w:rsidR="00B958B1" w:rsidRDefault="00B958B1" w:rsidP="009F3B54">
            <w:pPr>
              <w:pStyle w:val="OGTabColRight"/>
            </w:pPr>
            <w:r>
              <w:br/>
            </w:r>
            <w:r w:rsidRPr="00F16DCB">
              <w:t>2011</w:t>
            </w:r>
            <w:r w:rsidR="009F0F49">
              <w:noBreakHyphen/>
            </w:r>
            <w:r w:rsidRPr="00F16DCB">
              <w:t>12 actual</w:t>
            </w:r>
          </w:p>
        </w:tc>
      </w:tr>
      <w:tr w:rsidR="00B958B1" w:rsidRPr="00F16DCB" w:rsidTr="009F3B54">
        <w:trPr>
          <w:cantSplit/>
        </w:trPr>
        <w:tc>
          <w:tcPr>
            <w:tcW w:w="7776" w:type="dxa"/>
            <w:gridSpan w:val="8"/>
            <w:tcBorders>
              <w:bottom w:val="single" w:sz="6" w:space="0" w:color="auto"/>
            </w:tcBorders>
          </w:tcPr>
          <w:p w:rsidR="00B958B1" w:rsidRDefault="00B958B1" w:rsidP="009F3B54">
            <w:pPr>
              <w:pStyle w:val="OGHeading2"/>
              <w:rPr>
                <w:lang w:eastAsia="en-AU"/>
              </w:rPr>
            </w:pPr>
            <w:r w:rsidRPr="00F16DCB">
              <w:t>Land and Infrastructure Investment Management</w:t>
            </w:r>
          </w:p>
        </w:tc>
      </w:tr>
      <w:tr w:rsidR="00B958B1" w:rsidRPr="00F16DCB" w:rsidTr="009F3B54">
        <w:trPr>
          <w:cantSplit/>
        </w:trPr>
        <w:tc>
          <w:tcPr>
            <w:tcW w:w="7776" w:type="dxa"/>
            <w:gridSpan w:val="8"/>
            <w:tcBorders>
              <w:bottom w:val="single" w:sz="6" w:space="0" w:color="auto"/>
            </w:tcBorders>
          </w:tcPr>
          <w:p w:rsidR="00B958B1" w:rsidRDefault="00B958B1" w:rsidP="009F3B54">
            <w:pPr>
              <w:pStyle w:val="OGText"/>
              <w:jc w:val="left"/>
              <w:rPr>
                <w:lang w:eastAsia="en-AU"/>
              </w:rPr>
            </w:pPr>
            <w:r>
              <w:rPr>
                <w:lang w:eastAsia="en-AU"/>
              </w:rPr>
              <w:t>This output covers the provision of land and infrastructure advice and assistance to departments, Ministers and senior DTF management. It contributes to the Department’s objective of driving improvement in public sector asset management and the delivery of infrastructure by providing advice and assistance on:</w:t>
            </w:r>
          </w:p>
          <w:p w:rsidR="00B958B1" w:rsidRDefault="00B958B1" w:rsidP="009F3B54">
            <w:pPr>
              <w:pStyle w:val="OGBullet"/>
              <w:rPr>
                <w:lang w:eastAsia="en-AU"/>
              </w:rPr>
            </w:pPr>
            <w:r>
              <w:rPr>
                <w:lang w:eastAsia="en-AU"/>
              </w:rPr>
              <w:t xml:space="preserve">land </w:t>
            </w:r>
            <w:r w:rsidRPr="007E1BD0">
              <w:t>purchases</w:t>
            </w:r>
            <w:r>
              <w:rPr>
                <w:lang w:eastAsia="en-AU"/>
              </w:rPr>
              <w:t>, sales, facilitation, leasing and management of contaminated sites;</w:t>
            </w:r>
          </w:p>
          <w:p w:rsidR="00B958B1" w:rsidRDefault="00B958B1" w:rsidP="009F3B54">
            <w:pPr>
              <w:pStyle w:val="OGBullet"/>
              <w:rPr>
                <w:lang w:eastAsia="en-AU"/>
              </w:rPr>
            </w:pPr>
            <w:r>
              <w:rPr>
                <w:lang w:eastAsia="en-AU"/>
              </w:rPr>
              <w:t>feasibility studies, business cases, procurement processes and contractual management of major projects and commercial transactions;</w:t>
            </w:r>
          </w:p>
          <w:p w:rsidR="00B958B1" w:rsidRDefault="00B958B1" w:rsidP="009F3B54">
            <w:pPr>
              <w:pStyle w:val="OGBullet"/>
              <w:rPr>
                <w:lang w:eastAsia="en-AU"/>
              </w:rPr>
            </w:pPr>
            <w:r>
              <w:rPr>
                <w:lang w:eastAsia="en-AU"/>
              </w:rPr>
              <w:t>policy to support project generation, development and delivery;</w:t>
            </w:r>
          </w:p>
          <w:p w:rsidR="00B958B1" w:rsidRDefault="00B958B1" w:rsidP="009F3B54">
            <w:pPr>
              <w:pStyle w:val="OGBullet"/>
              <w:rPr>
                <w:lang w:eastAsia="en-AU"/>
              </w:rPr>
            </w:pPr>
            <w:r>
              <w:rPr>
                <w:lang w:eastAsia="en-AU"/>
              </w:rPr>
              <w:t>development and implementation of services including policy, procedures and training in practices which govern new infrastructure investment; and</w:t>
            </w:r>
          </w:p>
          <w:p w:rsidR="00B958B1" w:rsidRPr="00F16DCB" w:rsidRDefault="00B958B1" w:rsidP="009F3B54">
            <w:pPr>
              <w:pStyle w:val="OGBullet"/>
            </w:pPr>
            <w:r>
              <w:rPr>
                <w:lang w:eastAsia="en-AU"/>
              </w:rPr>
              <w:t>medium to long</w:t>
            </w:r>
            <w:r w:rsidR="009F0F49">
              <w:rPr>
                <w:lang w:eastAsia="en-AU"/>
              </w:rPr>
              <w:noBreakHyphen/>
            </w:r>
            <w:r>
              <w:rPr>
                <w:lang w:eastAsia="en-AU"/>
              </w:rPr>
              <w:t>term asset investment planning and processes for investment decision making.</w:t>
            </w:r>
          </w:p>
        </w:tc>
      </w:tr>
      <w:tr w:rsidR="00B958B1" w:rsidRPr="00F16DCB" w:rsidTr="009F3B54">
        <w:trPr>
          <w:cantSplit/>
        </w:trPr>
        <w:tc>
          <w:tcPr>
            <w:tcW w:w="3144" w:type="dxa"/>
            <w:tcBorders>
              <w:top w:val="single" w:sz="6" w:space="0" w:color="auto"/>
            </w:tcBorders>
          </w:tcPr>
          <w:p w:rsidR="00B958B1" w:rsidRPr="00F16DCB" w:rsidRDefault="00B958B1" w:rsidP="009F3B54">
            <w:pPr>
              <w:pStyle w:val="OGTabHead"/>
            </w:pPr>
            <w:r w:rsidRPr="00F16DCB">
              <w:t>Quantity</w:t>
            </w:r>
          </w:p>
        </w:tc>
        <w:tc>
          <w:tcPr>
            <w:tcW w:w="915" w:type="dxa"/>
            <w:gridSpan w:val="2"/>
            <w:tcBorders>
              <w:top w:val="single" w:sz="6" w:space="0" w:color="auto"/>
            </w:tcBorders>
          </w:tcPr>
          <w:p w:rsidR="00B958B1" w:rsidRPr="00F16DCB" w:rsidRDefault="00B958B1" w:rsidP="009F3B54">
            <w:pPr>
              <w:pStyle w:val="OGTabHead"/>
            </w:pPr>
          </w:p>
        </w:tc>
        <w:tc>
          <w:tcPr>
            <w:tcW w:w="906" w:type="dxa"/>
            <w:tcBorders>
              <w:top w:val="single" w:sz="6" w:space="0" w:color="auto"/>
            </w:tcBorders>
            <w:shd w:val="clear" w:color="auto" w:fill="D9D9D9"/>
          </w:tcPr>
          <w:p w:rsidR="00B958B1" w:rsidRPr="00F16DCB" w:rsidRDefault="00B958B1" w:rsidP="009F3B54">
            <w:pPr>
              <w:pStyle w:val="OGTabHead"/>
            </w:pPr>
            <w:r w:rsidRPr="00F16DCB">
              <w:t> </w:t>
            </w:r>
          </w:p>
        </w:tc>
        <w:tc>
          <w:tcPr>
            <w:tcW w:w="992" w:type="dxa"/>
            <w:tcBorders>
              <w:top w:val="single" w:sz="6" w:space="0" w:color="auto"/>
            </w:tcBorders>
          </w:tcPr>
          <w:p w:rsidR="00B958B1" w:rsidRPr="00F16DCB" w:rsidRDefault="00B958B1" w:rsidP="009F3B54">
            <w:pPr>
              <w:pStyle w:val="OGTabHead"/>
            </w:pPr>
          </w:p>
        </w:tc>
        <w:tc>
          <w:tcPr>
            <w:tcW w:w="906" w:type="dxa"/>
            <w:gridSpan w:val="2"/>
            <w:tcBorders>
              <w:top w:val="single" w:sz="6" w:space="0" w:color="auto"/>
            </w:tcBorders>
          </w:tcPr>
          <w:p w:rsidR="00B958B1" w:rsidRPr="00F16DCB" w:rsidRDefault="00B958B1" w:rsidP="009F3B54">
            <w:pPr>
              <w:pStyle w:val="OGTabHead"/>
            </w:pPr>
          </w:p>
        </w:tc>
        <w:tc>
          <w:tcPr>
            <w:tcW w:w="913" w:type="dxa"/>
            <w:tcBorders>
              <w:top w:val="single" w:sz="6" w:space="0" w:color="auto"/>
            </w:tcBorders>
          </w:tcPr>
          <w:p w:rsidR="00B958B1" w:rsidRPr="00F16DCB" w:rsidRDefault="00B958B1" w:rsidP="009F3B54">
            <w:pPr>
              <w:pStyle w:val="OGTabHead"/>
            </w:pPr>
          </w:p>
        </w:tc>
      </w:tr>
      <w:tr w:rsidR="00B958B1" w:rsidRPr="00F16DCB" w:rsidTr="009F3B54">
        <w:trPr>
          <w:cantSplit/>
        </w:trPr>
        <w:tc>
          <w:tcPr>
            <w:tcW w:w="3144" w:type="dxa"/>
          </w:tcPr>
          <w:p w:rsidR="00B958B1" w:rsidRPr="00EA00B7" w:rsidRDefault="00B958B1" w:rsidP="009F3B54">
            <w:pPr>
              <w:pStyle w:val="OGTabText"/>
              <w:jc w:val="left"/>
            </w:pPr>
            <w:r w:rsidRPr="00EA00B7">
              <w:t>Provision of commercial and risk management advice on infrastructure and commercial projects (including projects identified as high value high risk) which facilitates sound investment and minimises risks</w:t>
            </w:r>
          </w:p>
        </w:tc>
        <w:tc>
          <w:tcPr>
            <w:tcW w:w="915" w:type="dxa"/>
            <w:gridSpan w:val="2"/>
          </w:tcPr>
          <w:p w:rsidR="00B958B1" w:rsidRPr="00F16DCB" w:rsidRDefault="00B958B1" w:rsidP="009F3B54">
            <w:pPr>
              <w:pStyle w:val="OGUoM"/>
            </w:pPr>
            <w:r w:rsidRPr="00F16DCB">
              <w:t>Weighted number</w:t>
            </w:r>
          </w:p>
        </w:tc>
        <w:tc>
          <w:tcPr>
            <w:tcW w:w="906" w:type="dxa"/>
            <w:shd w:val="clear" w:color="auto" w:fill="D9D9D9"/>
          </w:tcPr>
          <w:p w:rsidR="00B958B1" w:rsidRPr="00F16DCB" w:rsidRDefault="00B958B1" w:rsidP="009F3B54">
            <w:pPr>
              <w:pStyle w:val="OGTableofFigures"/>
            </w:pPr>
            <w:r>
              <w:t>320</w:t>
            </w:r>
          </w:p>
        </w:tc>
        <w:tc>
          <w:tcPr>
            <w:tcW w:w="992" w:type="dxa"/>
          </w:tcPr>
          <w:p w:rsidR="00B958B1" w:rsidRPr="00F16DCB" w:rsidRDefault="00B958B1" w:rsidP="009F3B54">
            <w:pPr>
              <w:pStyle w:val="OGTableofFigures"/>
            </w:pPr>
            <w:r w:rsidRPr="00F16DCB">
              <w:t>406</w:t>
            </w:r>
          </w:p>
        </w:tc>
        <w:tc>
          <w:tcPr>
            <w:tcW w:w="906" w:type="dxa"/>
            <w:gridSpan w:val="2"/>
          </w:tcPr>
          <w:p w:rsidR="00B958B1" w:rsidRPr="00F16DCB" w:rsidRDefault="00B958B1" w:rsidP="009F3B54">
            <w:pPr>
              <w:pStyle w:val="OGTableofFigures"/>
            </w:pPr>
            <w:r w:rsidRPr="00F16DCB">
              <w:t>320</w:t>
            </w:r>
          </w:p>
        </w:tc>
        <w:tc>
          <w:tcPr>
            <w:tcW w:w="913" w:type="dxa"/>
          </w:tcPr>
          <w:p w:rsidR="00B958B1" w:rsidRPr="00F16DCB" w:rsidRDefault="00B958B1" w:rsidP="009F3B54">
            <w:pPr>
              <w:pStyle w:val="OGTableofFigures"/>
            </w:pPr>
            <w:r w:rsidRPr="00F16DCB">
              <w:t>461</w:t>
            </w:r>
          </w:p>
        </w:tc>
      </w:tr>
      <w:tr w:rsidR="00B958B1" w:rsidRPr="00F16DCB" w:rsidTr="009F3B54">
        <w:trPr>
          <w:cantSplit/>
        </w:trPr>
        <w:tc>
          <w:tcPr>
            <w:tcW w:w="7776" w:type="dxa"/>
            <w:gridSpan w:val="8"/>
            <w:tcBorders>
              <w:bottom w:val="single" w:sz="6" w:space="0" w:color="auto"/>
            </w:tcBorders>
          </w:tcPr>
          <w:p w:rsidR="00B958B1" w:rsidRDefault="00B958B1" w:rsidP="009F3B54">
            <w:pPr>
              <w:pStyle w:val="OGTableofFigures"/>
              <w:ind w:left="397" w:right="64"/>
              <w:jc w:val="left"/>
              <w:rPr>
                <w:rFonts w:cs="Calibri"/>
                <w:i/>
                <w:sz w:val="15"/>
                <w:szCs w:val="15"/>
              </w:rPr>
            </w:pPr>
            <w:r w:rsidRPr="00547387">
              <w:rPr>
                <w:rFonts w:cs="Calibri"/>
                <w:i/>
                <w:sz w:val="15"/>
                <w:szCs w:val="15"/>
              </w:rPr>
              <w:t>This performance measure renames the 2012</w:t>
            </w:r>
            <w:r w:rsidR="009F0F49">
              <w:rPr>
                <w:rFonts w:cs="Calibri"/>
                <w:i/>
                <w:sz w:val="15"/>
                <w:szCs w:val="15"/>
              </w:rPr>
              <w:noBreakHyphen/>
            </w:r>
            <w:r w:rsidRPr="00547387">
              <w:rPr>
                <w:rFonts w:cs="Calibri"/>
                <w:i/>
                <w:sz w:val="15"/>
                <w:szCs w:val="15"/>
              </w:rPr>
              <w:t>13 performance measure ‘Commercial and risk management advice on project milestones (including projects identified as high value high risk) which facilitate infrastructure and which minimises Government’s exposure to risk’. The new measure reports on the same activity as the previous measure; however, its title has been amended for increased clarity.</w:t>
            </w:r>
          </w:p>
          <w:p w:rsidR="00B958B1" w:rsidRPr="00F16DCB" w:rsidRDefault="00B958B1" w:rsidP="009F3B54">
            <w:pPr>
              <w:pStyle w:val="OGTableofFigures"/>
              <w:ind w:left="397" w:right="64"/>
              <w:jc w:val="left"/>
              <w:rPr>
                <w:b/>
                <w:szCs w:val="22"/>
              </w:rPr>
            </w:pPr>
            <w:r w:rsidRPr="00547387">
              <w:rPr>
                <w:rFonts w:cs="Calibri"/>
                <w:i/>
                <w:sz w:val="15"/>
                <w:szCs w:val="15"/>
              </w:rPr>
              <w:t>The 2012</w:t>
            </w:r>
            <w:r w:rsidR="009F0F49">
              <w:rPr>
                <w:rFonts w:cs="Calibri"/>
                <w:i/>
                <w:sz w:val="15"/>
                <w:szCs w:val="15"/>
              </w:rPr>
              <w:noBreakHyphen/>
            </w:r>
            <w:r w:rsidRPr="00547387">
              <w:rPr>
                <w:rFonts w:cs="Calibri"/>
                <w:i/>
                <w:sz w:val="15"/>
                <w:szCs w:val="15"/>
              </w:rPr>
              <w:t>13 Expected Outcome is higher than the 2012</w:t>
            </w:r>
            <w:r w:rsidR="009F0F49">
              <w:rPr>
                <w:rFonts w:cs="Calibri"/>
                <w:i/>
                <w:sz w:val="15"/>
                <w:szCs w:val="15"/>
              </w:rPr>
              <w:noBreakHyphen/>
            </w:r>
            <w:r w:rsidRPr="00547387">
              <w:rPr>
                <w:rFonts w:cs="Calibri"/>
                <w:i/>
                <w:sz w:val="15"/>
                <w:szCs w:val="15"/>
              </w:rPr>
              <w:t>13 Target due to additional briefing requirements for current projects.</w:t>
            </w:r>
          </w:p>
        </w:tc>
      </w:tr>
      <w:tr w:rsidR="00B958B1" w:rsidRPr="00F16DCB" w:rsidTr="009F3B54">
        <w:trPr>
          <w:cantSplit/>
        </w:trPr>
        <w:tc>
          <w:tcPr>
            <w:tcW w:w="3153" w:type="dxa"/>
            <w:gridSpan w:val="2"/>
            <w:tcBorders>
              <w:top w:val="single" w:sz="6" w:space="0" w:color="auto"/>
            </w:tcBorders>
          </w:tcPr>
          <w:p w:rsidR="00B958B1" w:rsidRPr="00F16DCB" w:rsidRDefault="00B958B1" w:rsidP="009F3B54">
            <w:pPr>
              <w:pStyle w:val="OGTabText"/>
              <w:keepNext/>
              <w:jc w:val="left"/>
            </w:pPr>
            <w:r w:rsidRPr="00F16DCB">
              <w:t>Capacity to develop and implement policies, procedures and training to govern and build capability to deliver infrastructure investment</w:t>
            </w:r>
          </w:p>
        </w:tc>
        <w:tc>
          <w:tcPr>
            <w:tcW w:w="906" w:type="dxa"/>
            <w:tcBorders>
              <w:top w:val="single" w:sz="6" w:space="0" w:color="auto"/>
            </w:tcBorders>
          </w:tcPr>
          <w:p w:rsidR="00B958B1" w:rsidRPr="00F16DCB" w:rsidRDefault="00B958B1" w:rsidP="009F3B54">
            <w:pPr>
              <w:pStyle w:val="OGUoM"/>
              <w:keepNext/>
            </w:pPr>
            <w:r>
              <w:t>w</w:t>
            </w:r>
            <w:r w:rsidRPr="00F16DCB">
              <w:t>eighted number</w:t>
            </w:r>
          </w:p>
        </w:tc>
        <w:tc>
          <w:tcPr>
            <w:tcW w:w="906" w:type="dxa"/>
            <w:tcBorders>
              <w:top w:val="single" w:sz="6" w:space="0" w:color="auto"/>
            </w:tcBorders>
            <w:shd w:val="clear" w:color="auto" w:fill="D9D9D9"/>
          </w:tcPr>
          <w:p w:rsidR="00B958B1" w:rsidRPr="00F16DCB" w:rsidRDefault="00B958B1" w:rsidP="009F3B54">
            <w:pPr>
              <w:pStyle w:val="OGTableofFigures"/>
              <w:keepNext/>
            </w:pPr>
            <w:r w:rsidRPr="00F16DCB">
              <w:t>41</w:t>
            </w:r>
          </w:p>
        </w:tc>
        <w:tc>
          <w:tcPr>
            <w:tcW w:w="992" w:type="dxa"/>
            <w:tcBorders>
              <w:top w:val="single" w:sz="6" w:space="0" w:color="auto"/>
            </w:tcBorders>
          </w:tcPr>
          <w:p w:rsidR="00B958B1" w:rsidRPr="00F16DCB" w:rsidRDefault="00B958B1" w:rsidP="009F3B54">
            <w:pPr>
              <w:pStyle w:val="OGTableofFigures"/>
              <w:keepNext/>
            </w:pPr>
            <w:r w:rsidRPr="00F16DCB">
              <w:t>66</w:t>
            </w:r>
          </w:p>
        </w:tc>
        <w:tc>
          <w:tcPr>
            <w:tcW w:w="906" w:type="dxa"/>
            <w:gridSpan w:val="2"/>
            <w:tcBorders>
              <w:top w:val="single" w:sz="6" w:space="0" w:color="auto"/>
            </w:tcBorders>
          </w:tcPr>
          <w:p w:rsidR="00B958B1" w:rsidRPr="00F16DCB" w:rsidRDefault="00B958B1" w:rsidP="009F3B54">
            <w:pPr>
              <w:pStyle w:val="OGTableofFigures"/>
              <w:keepNext/>
            </w:pPr>
            <w:r w:rsidRPr="00F16DCB">
              <w:t>40</w:t>
            </w:r>
          </w:p>
        </w:tc>
        <w:tc>
          <w:tcPr>
            <w:tcW w:w="913" w:type="dxa"/>
            <w:tcBorders>
              <w:top w:val="single" w:sz="6" w:space="0" w:color="auto"/>
            </w:tcBorders>
          </w:tcPr>
          <w:p w:rsidR="00B958B1" w:rsidRPr="00F16DCB" w:rsidRDefault="00B958B1" w:rsidP="009F3B54">
            <w:pPr>
              <w:pStyle w:val="OGTableofFigures"/>
              <w:keepNext/>
            </w:pPr>
            <w:r w:rsidRPr="00F16DCB">
              <w:t>95</w:t>
            </w:r>
          </w:p>
        </w:tc>
      </w:tr>
      <w:tr w:rsidR="00B958B1" w:rsidRPr="00F16DCB" w:rsidTr="009F3B54">
        <w:trPr>
          <w:cantSplit/>
        </w:trPr>
        <w:tc>
          <w:tcPr>
            <w:tcW w:w="7776" w:type="dxa"/>
            <w:gridSpan w:val="8"/>
          </w:tcPr>
          <w:p w:rsidR="00B958B1" w:rsidRPr="00547387" w:rsidRDefault="00B958B1" w:rsidP="009F3B54">
            <w:pPr>
              <w:pStyle w:val="OGTableofFigures"/>
              <w:ind w:left="397" w:right="64"/>
              <w:jc w:val="left"/>
              <w:rPr>
                <w:rFonts w:cs="Calibri"/>
                <w:i/>
                <w:sz w:val="15"/>
                <w:szCs w:val="15"/>
              </w:rPr>
            </w:pPr>
            <w:r w:rsidRPr="00547387">
              <w:rPr>
                <w:rFonts w:cs="Calibri"/>
                <w:i/>
                <w:sz w:val="15"/>
                <w:szCs w:val="15"/>
              </w:rPr>
              <w:t>This performance measure renames the 2012</w:t>
            </w:r>
            <w:r w:rsidR="009F0F49">
              <w:rPr>
                <w:rFonts w:cs="Calibri"/>
                <w:i/>
                <w:sz w:val="15"/>
                <w:szCs w:val="15"/>
              </w:rPr>
              <w:noBreakHyphen/>
            </w:r>
            <w:r w:rsidRPr="00547387">
              <w:rPr>
                <w:rFonts w:cs="Calibri"/>
                <w:i/>
                <w:sz w:val="15"/>
                <w:szCs w:val="15"/>
              </w:rPr>
              <w:t>13 performance measure ‘Development and implementation of services including policy, procedures and training in practices which govern new infrastructure investment’. The new measure reports on the same activity as the previous measure; however, its title has been amended for increased clarity.</w:t>
            </w:r>
          </w:p>
          <w:p w:rsidR="00B958B1" w:rsidRPr="00F16DCB" w:rsidRDefault="00B958B1" w:rsidP="009F3B54">
            <w:pPr>
              <w:pStyle w:val="OGTableofFigures"/>
              <w:ind w:left="397" w:right="64"/>
              <w:jc w:val="left"/>
            </w:pPr>
            <w:r w:rsidRPr="00547387">
              <w:rPr>
                <w:rFonts w:cs="Calibri"/>
                <w:i/>
                <w:sz w:val="15"/>
                <w:szCs w:val="15"/>
              </w:rPr>
              <w:t>The 2012</w:t>
            </w:r>
            <w:r w:rsidR="009F0F49">
              <w:rPr>
                <w:rFonts w:cs="Calibri"/>
                <w:i/>
                <w:sz w:val="15"/>
                <w:szCs w:val="15"/>
              </w:rPr>
              <w:noBreakHyphen/>
            </w:r>
            <w:r w:rsidRPr="00547387">
              <w:rPr>
                <w:rFonts w:cs="Calibri"/>
                <w:i/>
                <w:sz w:val="15"/>
                <w:szCs w:val="15"/>
              </w:rPr>
              <w:t>13 Expected Outcome is higher than the 2012</w:t>
            </w:r>
            <w:r w:rsidR="009F0F49">
              <w:rPr>
                <w:rFonts w:cs="Calibri"/>
                <w:i/>
                <w:sz w:val="15"/>
                <w:szCs w:val="15"/>
              </w:rPr>
              <w:noBreakHyphen/>
            </w:r>
            <w:r w:rsidRPr="00547387">
              <w:rPr>
                <w:rFonts w:cs="Calibri"/>
                <w:i/>
                <w:sz w:val="15"/>
                <w:szCs w:val="15"/>
              </w:rPr>
              <w:t>13 Target due to additional presentation requirements.</w:t>
            </w:r>
          </w:p>
        </w:tc>
      </w:tr>
      <w:tr w:rsidR="00B958B1" w:rsidRPr="00F16DCB" w:rsidTr="009F3B54">
        <w:trPr>
          <w:cantSplit/>
        </w:trPr>
        <w:tc>
          <w:tcPr>
            <w:tcW w:w="7776" w:type="dxa"/>
            <w:gridSpan w:val="8"/>
            <w:tcBorders>
              <w:bottom w:val="single" w:sz="6" w:space="0" w:color="auto"/>
            </w:tcBorders>
          </w:tcPr>
          <w:p w:rsidR="00B958B1" w:rsidRPr="00547387" w:rsidRDefault="00B958B1" w:rsidP="009F3B54">
            <w:pPr>
              <w:pStyle w:val="OGTableofFigures"/>
              <w:ind w:left="397" w:right="64"/>
              <w:jc w:val="left"/>
              <w:rPr>
                <w:rFonts w:cs="Calibri"/>
                <w:i/>
                <w:sz w:val="15"/>
                <w:szCs w:val="15"/>
              </w:rPr>
            </w:pPr>
            <w:r>
              <w:rPr>
                <w:rFonts w:cs="Calibri"/>
                <w:i/>
                <w:sz w:val="15"/>
                <w:szCs w:val="15"/>
              </w:rPr>
              <w:t>The higher 2013</w:t>
            </w:r>
            <w:r w:rsidR="009F0F49">
              <w:rPr>
                <w:rFonts w:cs="Calibri"/>
                <w:i/>
                <w:sz w:val="15"/>
                <w:szCs w:val="15"/>
              </w:rPr>
              <w:noBreakHyphen/>
            </w:r>
            <w:r>
              <w:rPr>
                <w:rFonts w:cs="Calibri"/>
                <w:i/>
                <w:sz w:val="15"/>
                <w:szCs w:val="15"/>
              </w:rPr>
              <w:t>14 Target reflects an expectation of additional presentation requirements.</w:t>
            </w:r>
          </w:p>
        </w:tc>
      </w:tr>
      <w:tr w:rsidR="00B958B1" w:rsidRPr="00F16DCB" w:rsidTr="009F3B54">
        <w:trPr>
          <w:cantSplit/>
        </w:trPr>
        <w:tc>
          <w:tcPr>
            <w:tcW w:w="3153" w:type="dxa"/>
            <w:gridSpan w:val="2"/>
            <w:tcBorders>
              <w:top w:val="single" w:sz="6" w:space="0" w:color="auto"/>
            </w:tcBorders>
          </w:tcPr>
          <w:p w:rsidR="00B958B1" w:rsidRPr="00F16DCB" w:rsidRDefault="00B958B1" w:rsidP="009F3B54">
            <w:pPr>
              <w:pStyle w:val="OGTabText"/>
              <w:jc w:val="left"/>
            </w:pPr>
            <w:r w:rsidRPr="00F16DCB">
              <w:t>Gateway reviews undertaken to minimise Government</w:t>
            </w:r>
            <w:r>
              <w:t>’</w:t>
            </w:r>
            <w:r w:rsidRPr="00F16DCB">
              <w:t>s exposure to project risks</w:t>
            </w:r>
          </w:p>
        </w:tc>
        <w:tc>
          <w:tcPr>
            <w:tcW w:w="906" w:type="dxa"/>
            <w:tcBorders>
              <w:top w:val="single" w:sz="6" w:space="0" w:color="auto"/>
            </w:tcBorders>
          </w:tcPr>
          <w:p w:rsidR="00B958B1" w:rsidRPr="00F16DCB" w:rsidRDefault="00B958B1" w:rsidP="009F3B54">
            <w:pPr>
              <w:pStyle w:val="OGUoM"/>
            </w:pPr>
            <w:r>
              <w:t>w</w:t>
            </w:r>
            <w:r w:rsidRPr="00F16DCB">
              <w:t>eighted number</w:t>
            </w:r>
          </w:p>
        </w:tc>
        <w:tc>
          <w:tcPr>
            <w:tcW w:w="906" w:type="dxa"/>
            <w:tcBorders>
              <w:top w:val="single" w:sz="6" w:space="0" w:color="auto"/>
            </w:tcBorders>
            <w:shd w:val="clear" w:color="auto" w:fill="D9D9D9"/>
          </w:tcPr>
          <w:p w:rsidR="00B958B1" w:rsidRPr="00F16DCB" w:rsidRDefault="00B958B1" w:rsidP="009F3B54">
            <w:pPr>
              <w:pStyle w:val="OGTableofFigures"/>
            </w:pPr>
            <w:r w:rsidRPr="00F16DCB">
              <w:t>50</w:t>
            </w:r>
          </w:p>
        </w:tc>
        <w:tc>
          <w:tcPr>
            <w:tcW w:w="992" w:type="dxa"/>
            <w:tcBorders>
              <w:top w:val="single" w:sz="6" w:space="0" w:color="auto"/>
            </w:tcBorders>
          </w:tcPr>
          <w:p w:rsidR="00B958B1" w:rsidRPr="00F16DCB" w:rsidRDefault="00B958B1" w:rsidP="009F3B54">
            <w:pPr>
              <w:pStyle w:val="OGTableofFigures"/>
            </w:pPr>
            <w:r w:rsidRPr="00F16DCB">
              <w:t>46</w:t>
            </w:r>
          </w:p>
        </w:tc>
        <w:tc>
          <w:tcPr>
            <w:tcW w:w="906" w:type="dxa"/>
            <w:gridSpan w:val="2"/>
            <w:tcBorders>
              <w:top w:val="single" w:sz="6" w:space="0" w:color="auto"/>
            </w:tcBorders>
          </w:tcPr>
          <w:p w:rsidR="00B958B1" w:rsidRPr="00F16DCB" w:rsidRDefault="00B958B1" w:rsidP="009F3B54">
            <w:pPr>
              <w:pStyle w:val="OGTableofFigures"/>
            </w:pPr>
            <w:r w:rsidRPr="00F16DCB">
              <w:t>70</w:t>
            </w:r>
          </w:p>
        </w:tc>
        <w:tc>
          <w:tcPr>
            <w:tcW w:w="913" w:type="dxa"/>
            <w:tcBorders>
              <w:top w:val="single" w:sz="6" w:space="0" w:color="auto"/>
            </w:tcBorders>
          </w:tcPr>
          <w:p w:rsidR="00B958B1" w:rsidRPr="00F16DCB" w:rsidRDefault="00B958B1" w:rsidP="009F3B54">
            <w:pPr>
              <w:pStyle w:val="OGTableofFigures"/>
            </w:pPr>
            <w:r w:rsidRPr="00F16DCB">
              <w:t>57</w:t>
            </w:r>
          </w:p>
        </w:tc>
      </w:tr>
      <w:tr w:rsidR="00B958B1" w:rsidRPr="00F16DCB" w:rsidTr="009F3B54">
        <w:trPr>
          <w:cantSplit/>
        </w:trPr>
        <w:tc>
          <w:tcPr>
            <w:tcW w:w="7776" w:type="dxa"/>
            <w:gridSpan w:val="8"/>
            <w:tcBorders>
              <w:bottom w:val="single" w:sz="6" w:space="0" w:color="auto"/>
            </w:tcBorders>
          </w:tcPr>
          <w:p w:rsidR="00B958B1" w:rsidRPr="00547387" w:rsidRDefault="00B958B1" w:rsidP="009F3B54">
            <w:pPr>
              <w:pStyle w:val="OGTableofFigures"/>
              <w:ind w:left="397" w:right="64"/>
              <w:jc w:val="left"/>
              <w:rPr>
                <w:rFonts w:cs="Calibri"/>
                <w:i/>
                <w:sz w:val="15"/>
                <w:szCs w:val="15"/>
              </w:rPr>
            </w:pPr>
            <w:r w:rsidRPr="00547387">
              <w:rPr>
                <w:rFonts w:cs="Calibri"/>
                <w:i/>
                <w:sz w:val="15"/>
                <w:szCs w:val="15"/>
              </w:rPr>
              <w:t>The 2012</w:t>
            </w:r>
            <w:r w:rsidR="009F0F49">
              <w:rPr>
                <w:rFonts w:cs="Calibri"/>
                <w:i/>
                <w:sz w:val="15"/>
                <w:szCs w:val="15"/>
              </w:rPr>
              <w:noBreakHyphen/>
            </w:r>
            <w:r w:rsidRPr="00547387">
              <w:rPr>
                <w:rFonts w:cs="Calibri"/>
                <w:i/>
                <w:sz w:val="15"/>
                <w:szCs w:val="15"/>
              </w:rPr>
              <w:t>13 Expected Outcome is lower than the 2012</w:t>
            </w:r>
            <w:r w:rsidR="009F0F49">
              <w:rPr>
                <w:rFonts w:cs="Calibri"/>
                <w:i/>
                <w:sz w:val="15"/>
                <w:szCs w:val="15"/>
              </w:rPr>
              <w:noBreakHyphen/>
            </w:r>
            <w:r w:rsidRPr="00547387">
              <w:rPr>
                <w:rFonts w:cs="Calibri"/>
                <w:i/>
                <w:sz w:val="15"/>
                <w:szCs w:val="15"/>
              </w:rPr>
              <w:t>13 Target due to the concentration of activity on more complex projects.</w:t>
            </w:r>
          </w:p>
          <w:p w:rsidR="00B958B1" w:rsidRPr="00F16DCB" w:rsidRDefault="00B958B1" w:rsidP="009F3B54">
            <w:pPr>
              <w:pStyle w:val="OGTableofFigures"/>
              <w:ind w:left="397" w:right="64"/>
              <w:jc w:val="left"/>
            </w:pPr>
            <w:r w:rsidRPr="00547387">
              <w:rPr>
                <w:rFonts w:cs="Calibri"/>
                <w:i/>
                <w:sz w:val="15"/>
                <w:szCs w:val="15"/>
              </w:rPr>
              <w:t>The lower 2013</w:t>
            </w:r>
            <w:r w:rsidR="009F0F49">
              <w:rPr>
                <w:rFonts w:cs="Calibri"/>
                <w:i/>
                <w:sz w:val="15"/>
                <w:szCs w:val="15"/>
              </w:rPr>
              <w:noBreakHyphen/>
            </w:r>
            <w:r w:rsidRPr="00547387">
              <w:rPr>
                <w:rFonts w:cs="Calibri"/>
                <w:i/>
                <w:sz w:val="15"/>
                <w:szCs w:val="15"/>
              </w:rPr>
              <w:t>14 Target also reflects the expected ongoing concentration of activity on more complex projects</w:t>
            </w:r>
          </w:p>
        </w:tc>
      </w:tr>
      <w:tr w:rsidR="00B958B1" w:rsidRPr="00F16DCB" w:rsidTr="009F3B54">
        <w:trPr>
          <w:cantSplit/>
        </w:trPr>
        <w:tc>
          <w:tcPr>
            <w:tcW w:w="3153" w:type="dxa"/>
            <w:gridSpan w:val="2"/>
            <w:tcBorders>
              <w:top w:val="single" w:sz="6" w:space="0" w:color="auto"/>
            </w:tcBorders>
          </w:tcPr>
          <w:p w:rsidR="00B958B1" w:rsidRPr="00F16DCB" w:rsidRDefault="00B958B1" w:rsidP="009F3B54">
            <w:pPr>
              <w:pStyle w:val="OGTabText"/>
              <w:jc w:val="left"/>
            </w:pPr>
            <w:r w:rsidRPr="00F16DCB">
              <w:t>Revenue from sale of surplus Government land including Crown land</w:t>
            </w:r>
          </w:p>
        </w:tc>
        <w:tc>
          <w:tcPr>
            <w:tcW w:w="906" w:type="dxa"/>
            <w:tcBorders>
              <w:top w:val="single" w:sz="6" w:space="0" w:color="auto"/>
            </w:tcBorders>
          </w:tcPr>
          <w:p w:rsidR="00B958B1" w:rsidRPr="00F16DCB" w:rsidRDefault="00B958B1" w:rsidP="009F3B54">
            <w:pPr>
              <w:pStyle w:val="OGUoM"/>
            </w:pPr>
            <w:r>
              <w:t>$ million</w:t>
            </w:r>
          </w:p>
        </w:tc>
        <w:tc>
          <w:tcPr>
            <w:tcW w:w="906" w:type="dxa"/>
            <w:tcBorders>
              <w:top w:val="single" w:sz="6" w:space="0" w:color="auto"/>
            </w:tcBorders>
            <w:shd w:val="clear" w:color="auto" w:fill="D9D9D9"/>
          </w:tcPr>
          <w:p w:rsidR="00B958B1" w:rsidRPr="00F16DCB" w:rsidRDefault="00B958B1" w:rsidP="009F3B54">
            <w:pPr>
              <w:pStyle w:val="OGTableofFigures"/>
            </w:pPr>
            <w:r w:rsidRPr="00F16DCB">
              <w:t>82</w:t>
            </w:r>
          </w:p>
        </w:tc>
        <w:tc>
          <w:tcPr>
            <w:tcW w:w="992" w:type="dxa"/>
            <w:tcBorders>
              <w:top w:val="single" w:sz="6" w:space="0" w:color="auto"/>
            </w:tcBorders>
          </w:tcPr>
          <w:p w:rsidR="00B958B1" w:rsidRPr="00F16DCB" w:rsidRDefault="00B958B1" w:rsidP="009F3B54">
            <w:pPr>
              <w:pStyle w:val="OGTableofFigures"/>
            </w:pPr>
            <w:r w:rsidRPr="00F16DCB">
              <w:t>176</w:t>
            </w:r>
          </w:p>
        </w:tc>
        <w:tc>
          <w:tcPr>
            <w:tcW w:w="906" w:type="dxa"/>
            <w:gridSpan w:val="2"/>
            <w:tcBorders>
              <w:top w:val="single" w:sz="6" w:space="0" w:color="auto"/>
            </w:tcBorders>
          </w:tcPr>
          <w:p w:rsidR="00B958B1" w:rsidRPr="00F16DCB" w:rsidRDefault="00B958B1" w:rsidP="009F3B54">
            <w:pPr>
              <w:pStyle w:val="OGTableofFigures"/>
            </w:pPr>
            <w:r w:rsidRPr="00F16DCB">
              <w:t>176</w:t>
            </w:r>
          </w:p>
        </w:tc>
        <w:tc>
          <w:tcPr>
            <w:tcW w:w="913" w:type="dxa"/>
            <w:tcBorders>
              <w:top w:val="single" w:sz="6" w:space="0" w:color="auto"/>
            </w:tcBorders>
          </w:tcPr>
          <w:p w:rsidR="00B958B1" w:rsidRPr="00F16DCB" w:rsidRDefault="00B958B1" w:rsidP="009F3B54">
            <w:pPr>
              <w:pStyle w:val="OGTableofFigures"/>
            </w:pPr>
            <w:r>
              <w:t>30.2</w:t>
            </w:r>
          </w:p>
        </w:tc>
      </w:tr>
      <w:tr w:rsidR="00B958B1" w:rsidRPr="00F16DCB" w:rsidTr="009F3B54">
        <w:trPr>
          <w:cantSplit/>
        </w:trPr>
        <w:tc>
          <w:tcPr>
            <w:tcW w:w="7776" w:type="dxa"/>
            <w:gridSpan w:val="8"/>
            <w:tcBorders>
              <w:bottom w:val="single" w:sz="6" w:space="0" w:color="auto"/>
            </w:tcBorders>
          </w:tcPr>
          <w:p w:rsidR="00B958B1" w:rsidRPr="00F16DCB" w:rsidRDefault="00B958B1" w:rsidP="009F3B54">
            <w:pPr>
              <w:pStyle w:val="OGTableofFigures"/>
              <w:ind w:left="397" w:right="64"/>
              <w:jc w:val="left"/>
            </w:pPr>
            <w:r w:rsidRPr="00547387">
              <w:rPr>
                <w:rFonts w:cs="Calibri"/>
                <w:i/>
                <w:sz w:val="15"/>
                <w:szCs w:val="15"/>
              </w:rPr>
              <w:t>The lower 2013</w:t>
            </w:r>
            <w:r w:rsidR="009F0F49">
              <w:rPr>
                <w:rFonts w:cs="Calibri"/>
                <w:i/>
                <w:sz w:val="15"/>
                <w:szCs w:val="15"/>
              </w:rPr>
              <w:noBreakHyphen/>
            </w:r>
            <w:r w:rsidRPr="00547387">
              <w:rPr>
                <w:rFonts w:cs="Calibri"/>
                <w:i/>
                <w:sz w:val="15"/>
                <w:szCs w:val="15"/>
              </w:rPr>
              <w:t>14 Target reflects the effect of a large one</w:t>
            </w:r>
            <w:r w:rsidR="009F0F49">
              <w:rPr>
                <w:rFonts w:cs="Calibri"/>
                <w:i/>
                <w:sz w:val="15"/>
                <w:szCs w:val="15"/>
              </w:rPr>
              <w:noBreakHyphen/>
            </w:r>
            <w:r w:rsidRPr="00547387">
              <w:rPr>
                <w:rFonts w:cs="Calibri"/>
                <w:i/>
                <w:sz w:val="15"/>
                <w:szCs w:val="15"/>
              </w:rPr>
              <w:t>off parcel of land included in the 2012</w:t>
            </w:r>
            <w:r w:rsidR="009F0F49">
              <w:rPr>
                <w:rFonts w:cs="Calibri"/>
                <w:i/>
                <w:sz w:val="15"/>
                <w:szCs w:val="15"/>
              </w:rPr>
              <w:noBreakHyphen/>
            </w:r>
            <w:r w:rsidRPr="00547387">
              <w:rPr>
                <w:rFonts w:cs="Calibri"/>
                <w:i/>
                <w:sz w:val="15"/>
                <w:szCs w:val="15"/>
              </w:rPr>
              <w:t>13 Target.</w:t>
            </w:r>
          </w:p>
        </w:tc>
      </w:tr>
      <w:tr w:rsidR="00B958B1" w:rsidRPr="00F16DCB" w:rsidTr="009F3B54">
        <w:trPr>
          <w:cantSplit/>
        </w:trPr>
        <w:tc>
          <w:tcPr>
            <w:tcW w:w="3153" w:type="dxa"/>
            <w:gridSpan w:val="2"/>
            <w:tcBorders>
              <w:top w:val="single" w:sz="6" w:space="0" w:color="auto"/>
            </w:tcBorders>
          </w:tcPr>
          <w:p w:rsidR="00B958B1" w:rsidRPr="00F16DCB" w:rsidRDefault="00B958B1" w:rsidP="009F3B54">
            <w:pPr>
              <w:pStyle w:val="OGTabText"/>
              <w:jc w:val="left"/>
            </w:pPr>
            <w:r w:rsidRPr="00F16DCB">
              <w:t>Attendance on building sites (site</w:t>
            </w:r>
            <w:r>
              <w:t> </w:t>
            </w:r>
            <w:r w:rsidRPr="00F16DCB">
              <w:t xml:space="preserve">visits, inspections, audits) </w:t>
            </w:r>
          </w:p>
        </w:tc>
        <w:tc>
          <w:tcPr>
            <w:tcW w:w="906" w:type="dxa"/>
            <w:tcBorders>
              <w:top w:val="single" w:sz="6" w:space="0" w:color="auto"/>
            </w:tcBorders>
          </w:tcPr>
          <w:p w:rsidR="00B958B1" w:rsidRPr="00F16DCB" w:rsidRDefault="00B958B1" w:rsidP="009F3B54">
            <w:pPr>
              <w:pStyle w:val="OGUoM"/>
            </w:pPr>
            <w:r w:rsidRPr="00F16DCB">
              <w:t>number</w:t>
            </w:r>
          </w:p>
        </w:tc>
        <w:tc>
          <w:tcPr>
            <w:tcW w:w="906" w:type="dxa"/>
            <w:tcBorders>
              <w:top w:val="single" w:sz="6" w:space="0" w:color="auto"/>
            </w:tcBorders>
            <w:shd w:val="clear" w:color="auto" w:fill="D9D9D9"/>
          </w:tcPr>
          <w:p w:rsidR="00B958B1" w:rsidRPr="00F16DCB" w:rsidRDefault="00B958B1" w:rsidP="009F3B54">
            <w:pPr>
              <w:pStyle w:val="OGTableofFigures"/>
            </w:pPr>
            <w:r w:rsidRPr="00F16DCB">
              <w:t>40</w:t>
            </w:r>
          </w:p>
        </w:tc>
        <w:tc>
          <w:tcPr>
            <w:tcW w:w="992" w:type="dxa"/>
            <w:tcBorders>
              <w:top w:val="single" w:sz="6" w:space="0" w:color="auto"/>
            </w:tcBorders>
          </w:tcPr>
          <w:p w:rsidR="00B958B1" w:rsidRPr="00F16DCB" w:rsidRDefault="00B958B1" w:rsidP="009F3B54">
            <w:pPr>
              <w:pStyle w:val="OGTableofFigures"/>
            </w:pPr>
            <w:r>
              <w:t>nm</w:t>
            </w:r>
          </w:p>
        </w:tc>
        <w:tc>
          <w:tcPr>
            <w:tcW w:w="906" w:type="dxa"/>
            <w:gridSpan w:val="2"/>
            <w:tcBorders>
              <w:top w:val="single" w:sz="6" w:space="0" w:color="auto"/>
            </w:tcBorders>
          </w:tcPr>
          <w:p w:rsidR="00B958B1" w:rsidRPr="00F16DCB" w:rsidRDefault="00B958B1" w:rsidP="009F3B54">
            <w:pPr>
              <w:pStyle w:val="OGTableofFigures"/>
            </w:pPr>
            <w:r>
              <w:t>nm</w:t>
            </w:r>
          </w:p>
        </w:tc>
        <w:tc>
          <w:tcPr>
            <w:tcW w:w="913" w:type="dxa"/>
            <w:tcBorders>
              <w:top w:val="single" w:sz="6" w:space="0" w:color="auto"/>
            </w:tcBorders>
          </w:tcPr>
          <w:p w:rsidR="00B958B1" w:rsidRPr="00F16DCB" w:rsidRDefault="00B958B1" w:rsidP="009F3B54">
            <w:pPr>
              <w:pStyle w:val="OGTableofFigures"/>
            </w:pPr>
            <w:r>
              <w:t>nm</w:t>
            </w:r>
          </w:p>
        </w:tc>
      </w:tr>
      <w:tr w:rsidR="00B958B1" w:rsidRPr="00F16DCB" w:rsidTr="009F3B54">
        <w:trPr>
          <w:cantSplit/>
        </w:trPr>
        <w:tc>
          <w:tcPr>
            <w:tcW w:w="7776" w:type="dxa"/>
            <w:gridSpan w:val="8"/>
            <w:tcBorders>
              <w:bottom w:val="single" w:sz="6" w:space="0" w:color="auto"/>
            </w:tcBorders>
          </w:tcPr>
          <w:p w:rsidR="00B958B1" w:rsidRPr="00F16DCB" w:rsidRDefault="00B958B1" w:rsidP="009F3B54">
            <w:pPr>
              <w:pStyle w:val="OGTableofFigures"/>
              <w:ind w:left="397" w:right="64"/>
              <w:jc w:val="left"/>
              <w:rPr>
                <w:sz w:val="18"/>
              </w:rPr>
            </w:pPr>
            <w:r w:rsidRPr="00547387">
              <w:rPr>
                <w:rFonts w:cs="Calibri"/>
                <w:i/>
                <w:sz w:val="15"/>
                <w:szCs w:val="15"/>
              </w:rPr>
              <w:t>New performance measure for 2013</w:t>
            </w:r>
            <w:r w:rsidR="009F0F49">
              <w:rPr>
                <w:rFonts w:cs="Calibri"/>
                <w:i/>
                <w:sz w:val="15"/>
                <w:szCs w:val="15"/>
              </w:rPr>
              <w:noBreakHyphen/>
            </w:r>
            <w:r w:rsidRPr="00547387">
              <w:rPr>
                <w:rFonts w:cs="Calibri"/>
                <w:i/>
                <w:sz w:val="15"/>
                <w:szCs w:val="15"/>
              </w:rPr>
              <w:t>14 to reflect Government priorities regarding the Victorian Code of Compliance for the Building and Construction Industry.</w:t>
            </w:r>
          </w:p>
        </w:tc>
      </w:tr>
      <w:tr w:rsidR="00B958B1" w:rsidRPr="00F16DCB" w:rsidTr="009F3B54">
        <w:trPr>
          <w:cantSplit/>
        </w:trPr>
        <w:tc>
          <w:tcPr>
            <w:tcW w:w="3153" w:type="dxa"/>
            <w:gridSpan w:val="2"/>
            <w:tcBorders>
              <w:top w:val="single" w:sz="6" w:space="0" w:color="auto"/>
            </w:tcBorders>
          </w:tcPr>
          <w:p w:rsidR="00B958B1" w:rsidRPr="00F16DCB" w:rsidRDefault="00B958B1" w:rsidP="009F3B54">
            <w:pPr>
              <w:pStyle w:val="OGTabHead"/>
            </w:pPr>
            <w:r w:rsidRPr="00F16DCB">
              <w:t>Quality</w:t>
            </w:r>
          </w:p>
        </w:tc>
        <w:tc>
          <w:tcPr>
            <w:tcW w:w="906" w:type="dxa"/>
            <w:tcBorders>
              <w:top w:val="single" w:sz="6" w:space="0" w:color="auto"/>
            </w:tcBorders>
          </w:tcPr>
          <w:p w:rsidR="00B958B1" w:rsidRPr="00F16DCB" w:rsidRDefault="00B958B1" w:rsidP="009F3B54">
            <w:pPr>
              <w:pStyle w:val="OGTabHead"/>
            </w:pPr>
          </w:p>
        </w:tc>
        <w:tc>
          <w:tcPr>
            <w:tcW w:w="906" w:type="dxa"/>
            <w:tcBorders>
              <w:top w:val="single" w:sz="6" w:space="0" w:color="auto"/>
            </w:tcBorders>
            <w:shd w:val="clear" w:color="auto" w:fill="D9D9D9"/>
          </w:tcPr>
          <w:p w:rsidR="00B958B1" w:rsidRPr="00F16DCB" w:rsidRDefault="00B958B1" w:rsidP="009F3B54">
            <w:pPr>
              <w:pStyle w:val="OGTabHead"/>
            </w:pPr>
            <w:r w:rsidRPr="00F16DCB">
              <w:t> </w:t>
            </w:r>
          </w:p>
        </w:tc>
        <w:tc>
          <w:tcPr>
            <w:tcW w:w="992" w:type="dxa"/>
            <w:tcBorders>
              <w:top w:val="single" w:sz="6" w:space="0" w:color="auto"/>
            </w:tcBorders>
          </w:tcPr>
          <w:p w:rsidR="00B958B1" w:rsidRPr="00F16DCB" w:rsidRDefault="00B958B1" w:rsidP="009F3B54">
            <w:pPr>
              <w:pStyle w:val="OGTabHead"/>
            </w:pPr>
          </w:p>
        </w:tc>
        <w:tc>
          <w:tcPr>
            <w:tcW w:w="906" w:type="dxa"/>
            <w:gridSpan w:val="2"/>
            <w:tcBorders>
              <w:top w:val="single" w:sz="6" w:space="0" w:color="auto"/>
            </w:tcBorders>
          </w:tcPr>
          <w:p w:rsidR="00B958B1" w:rsidRPr="00F16DCB" w:rsidRDefault="00B958B1" w:rsidP="009F3B54">
            <w:pPr>
              <w:pStyle w:val="OGTabHead"/>
            </w:pPr>
          </w:p>
        </w:tc>
        <w:tc>
          <w:tcPr>
            <w:tcW w:w="913" w:type="dxa"/>
            <w:tcBorders>
              <w:top w:val="single" w:sz="6" w:space="0" w:color="auto"/>
            </w:tcBorders>
          </w:tcPr>
          <w:p w:rsidR="00B958B1" w:rsidRPr="00F16DCB" w:rsidRDefault="00B958B1" w:rsidP="009F3B54">
            <w:pPr>
              <w:pStyle w:val="OGTabHead"/>
            </w:pPr>
          </w:p>
        </w:tc>
      </w:tr>
      <w:tr w:rsidR="00B958B1" w:rsidRPr="00F16DCB" w:rsidTr="009F3B54">
        <w:trPr>
          <w:cantSplit/>
        </w:trPr>
        <w:tc>
          <w:tcPr>
            <w:tcW w:w="3153" w:type="dxa"/>
            <w:gridSpan w:val="2"/>
          </w:tcPr>
          <w:p w:rsidR="00B958B1" w:rsidRPr="00F16DCB" w:rsidRDefault="00B958B1" w:rsidP="009F3B54">
            <w:pPr>
              <w:pStyle w:val="OGTabText"/>
              <w:jc w:val="left"/>
              <w:rPr>
                <w:i/>
              </w:rPr>
            </w:pPr>
            <w:r w:rsidRPr="00F16DCB">
              <w:t xml:space="preserve">Workplace Relations Management Plan assessments completed within three working days </w:t>
            </w:r>
          </w:p>
        </w:tc>
        <w:tc>
          <w:tcPr>
            <w:tcW w:w="906" w:type="dxa"/>
          </w:tcPr>
          <w:p w:rsidR="00B958B1" w:rsidRPr="00F16DCB" w:rsidRDefault="00B958B1" w:rsidP="009F3B54">
            <w:pPr>
              <w:pStyle w:val="OGUoM"/>
            </w:pPr>
            <w:r>
              <w:t>per cent</w:t>
            </w:r>
          </w:p>
        </w:tc>
        <w:tc>
          <w:tcPr>
            <w:tcW w:w="906" w:type="dxa"/>
            <w:shd w:val="clear" w:color="auto" w:fill="D9D9D9"/>
          </w:tcPr>
          <w:p w:rsidR="00B958B1" w:rsidRPr="00F16DCB" w:rsidRDefault="00B958B1" w:rsidP="009F3B54">
            <w:pPr>
              <w:pStyle w:val="OGTableofFigures"/>
            </w:pPr>
            <w:r w:rsidRPr="00F16DCB">
              <w:t>95</w:t>
            </w:r>
          </w:p>
        </w:tc>
        <w:tc>
          <w:tcPr>
            <w:tcW w:w="992" w:type="dxa"/>
          </w:tcPr>
          <w:p w:rsidR="00B958B1" w:rsidRPr="00F16DCB" w:rsidRDefault="00B958B1" w:rsidP="009F3B54">
            <w:pPr>
              <w:pStyle w:val="OGTableofFigures"/>
            </w:pPr>
            <w:r>
              <w:t>nm</w:t>
            </w:r>
          </w:p>
        </w:tc>
        <w:tc>
          <w:tcPr>
            <w:tcW w:w="906" w:type="dxa"/>
            <w:gridSpan w:val="2"/>
          </w:tcPr>
          <w:p w:rsidR="00B958B1" w:rsidRPr="00F16DCB" w:rsidRDefault="00B958B1" w:rsidP="009F3B54">
            <w:pPr>
              <w:pStyle w:val="OGTableofFigures"/>
            </w:pPr>
            <w:r>
              <w:t>nm</w:t>
            </w:r>
          </w:p>
        </w:tc>
        <w:tc>
          <w:tcPr>
            <w:tcW w:w="913" w:type="dxa"/>
          </w:tcPr>
          <w:p w:rsidR="00B958B1" w:rsidRPr="00F16DCB" w:rsidRDefault="00B958B1" w:rsidP="009F3B54">
            <w:pPr>
              <w:pStyle w:val="OGTableofFigures"/>
            </w:pPr>
            <w:r>
              <w:t>nm</w:t>
            </w:r>
          </w:p>
        </w:tc>
      </w:tr>
      <w:tr w:rsidR="00B958B1" w:rsidRPr="00F16DCB" w:rsidTr="009F3B54">
        <w:trPr>
          <w:cantSplit/>
        </w:trPr>
        <w:tc>
          <w:tcPr>
            <w:tcW w:w="7776" w:type="dxa"/>
            <w:gridSpan w:val="8"/>
            <w:tcBorders>
              <w:bottom w:val="single" w:sz="6" w:space="0" w:color="auto"/>
            </w:tcBorders>
          </w:tcPr>
          <w:p w:rsidR="00B958B1" w:rsidRPr="00F16DCB" w:rsidRDefault="00B958B1" w:rsidP="009F3B54">
            <w:pPr>
              <w:pStyle w:val="OGTableofFigures"/>
              <w:ind w:left="397" w:right="64"/>
              <w:jc w:val="left"/>
            </w:pPr>
            <w:r w:rsidRPr="00547387">
              <w:rPr>
                <w:rFonts w:cs="Calibri"/>
                <w:i/>
                <w:sz w:val="15"/>
                <w:szCs w:val="15"/>
              </w:rPr>
              <w:t>New performance measure for 2013</w:t>
            </w:r>
            <w:r w:rsidR="009F0F49">
              <w:rPr>
                <w:rFonts w:cs="Calibri"/>
                <w:i/>
                <w:sz w:val="15"/>
                <w:szCs w:val="15"/>
              </w:rPr>
              <w:noBreakHyphen/>
            </w:r>
            <w:r w:rsidRPr="00547387">
              <w:rPr>
                <w:rFonts w:cs="Calibri"/>
                <w:i/>
                <w:sz w:val="15"/>
                <w:szCs w:val="15"/>
              </w:rPr>
              <w:t>14 to reflect Government priorities regarding the Victorian Code of Compliance for the Building and Construction Industry.</w:t>
            </w:r>
          </w:p>
        </w:tc>
      </w:tr>
      <w:tr w:rsidR="00B958B1" w:rsidRPr="00F16DCB" w:rsidTr="009F3B54">
        <w:trPr>
          <w:cantSplit/>
        </w:trPr>
        <w:tc>
          <w:tcPr>
            <w:tcW w:w="3153" w:type="dxa"/>
            <w:gridSpan w:val="2"/>
            <w:tcBorders>
              <w:top w:val="single" w:sz="6" w:space="0" w:color="auto"/>
            </w:tcBorders>
          </w:tcPr>
          <w:p w:rsidR="00B958B1" w:rsidRPr="00F16DCB" w:rsidRDefault="00B958B1" w:rsidP="009F3B54">
            <w:pPr>
              <w:pStyle w:val="OGTabText"/>
              <w:jc w:val="left"/>
            </w:pPr>
            <w:r w:rsidRPr="00F16DCB">
              <w:t>Maintain ISO</w:t>
            </w:r>
            <w:r>
              <w:t> </w:t>
            </w:r>
            <w:r w:rsidRPr="00F16DCB">
              <w:t xml:space="preserve">9001 (Quality Management Systems) certification </w:t>
            </w:r>
          </w:p>
        </w:tc>
        <w:tc>
          <w:tcPr>
            <w:tcW w:w="906" w:type="dxa"/>
            <w:tcBorders>
              <w:top w:val="single" w:sz="6" w:space="0" w:color="auto"/>
            </w:tcBorders>
          </w:tcPr>
          <w:p w:rsidR="00B958B1" w:rsidRPr="00F16DCB" w:rsidRDefault="00B958B1" w:rsidP="009F3B54">
            <w:pPr>
              <w:pStyle w:val="OGUoM"/>
            </w:pPr>
            <w:r>
              <w:t>per cent</w:t>
            </w:r>
          </w:p>
        </w:tc>
        <w:tc>
          <w:tcPr>
            <w:tcW w:w="906" w:type="dxa"/>
            <w:tcBorders>
              <w:top w:val="single" w:sz="6" w:space="0" w:color="auto"/>
            </w:tcBorders>
            <w:shd w:val="clear" w:color="auto" w:fill="D9D9D9"/>
          </w:tcPr>
          <w:p w:rsidR="00B958B1" w:rsidRPr="00F16DCB" w:rsidRDefault="00B958B1" w:rsidP="009F3B54">
            <w:pPr>
              <w:pStyle w:val="OGTableofFigures"/>
            </w:pPr>
            <w:r w:rsidRPr="00F16DCB">
              <w:t>100</w:t>
            </w:r>
          </w:p>
        </w:tc>
        <w:tc>
          <w:tcPr>
            <w:tcW w:w="992" w:type="dxa"/>
            <w:tcBorders>
              <w:top w:val="single" w:sz="6" w:space="0" w:color="auto"/>
            </w:tcBorders>
          </w:tcPr>
          <w:p w:rsidR="00B958B1" w:rsidRPr="00F16DCB" w:rsidRDefault="00B958B1" w:rsidP="009F3B54">
            <w:pPr>
              <w:pStyle w:val="OGTableofFigures"/>
            </w:pPr>
            <w:r>
              <w:t>nm</w:t>
            </w:r>
          </w:p>
        </w:tc>
        <w:tc>
          <w:tcPr>
            <w:tcW w:w="906" w:type="dxa"/>
            <w:gridSpan w:val="2"/>
            <w:tcBorders>
              <w:top w:val="single" w:sz="6" w:space="0" w:color="auto"/>
            </w:tcBorders>
          </w:tcPr>
          <w:p w:rsidR="00B958B1" w:rsidRPr="00F16DCB" w:rsidRDefault="00B958B1" w:rsidP="009F3B54">
            <w:pPr>
              <w:pStyle w:val="OGTableofFigures"/>
            </w:pPr>
            <w:r>
              <w:t>nm</w:t>
            </w:r>
          </w:p>
        </w:tc>
        <w:tc>
          <w:tcPr>
            <w:tcW w:w="913" w:type="dxa"/>
            <w:tcBorders>
              <w:top w:val="single" w:sz="6" w:space="0" w:color="auto"/>
            </w:tcBorders>
          </w:tcPr>
          <w:p w:rsidR="00B958B1" w:rsidRPr="00F16DCB" w:rsidRDefault="00B958B1" w:rsidP="009F3B54">
            <w:pPr>
              <w:pStyle w:val="OGTableofFigures"/>
            </w:pPr>
            <w:r>
              <w:t>nm</w:t>
            </w:r>
          </w:p>
        </w:tc>
      </w:tr>
      <w:tr w:rsidR="00B958B1" w:rsidRPr="00F16DCB" w:rsidTr="009F3B54">
        <w:trPr>
          <w:cantSplit/>
        </w:trPr>
        <w:tc>
          <w:tcPr>
            <w:tcW w:w="7776" w:type="dxa"/>
            <w:gridSpan w:val="8"/>
            <w:tcBorders>
              <w:bottom w:val="single" w:sz="6" w:space="0" w:color="auto"/>
            </w:tcBorders>
          </w:tcPr>
          <w:p w:rsidR="00B958B1" w:rsidRPr="00F16DCB" w:rsidRDefault="00B958B1" w:rsidP="009F3B54">
            <w:pPr>
              <w:pStyle w:val="OGTableofFigures"/>
              <w:ind w:left="397" w:right="64"/>
              <w:jc w:val="left"/>
              <w:rPr>
                <w:sz w:val="18"/>
              </w:rPr>
            </w:pPr>
            <w:r w:rsidRPr="00547387">
              <w:rPr>
                <w:rFonts w:cs="Calibri"/>
                <w:i/>
                <w:sz w:val="15"/>
                <w:szCs w:val="15"/>
              </w:rPr>
              <w:t>This performance measure is proposed to replace the 2012</w:t>
            </w:r>
            <w:r w:rsidR="009F0F49">
              <w:rPr>
                <w:rFonts w:cs="Calibri"/>
                <w:i/>
                <w:sz w:val="15"/>
                <w:szCs w:val="15"/>
              </w:rPr>
              <w:noBreakHyphen/>
            </w:r>
            <w:r w:rsidRPr="00547387">
              <w:rPr>
                <w:rFonts w:cs="Calibri"/>
                <w:i/>
                <w:sz w:val="15"/>
                <w:szCs w:val="15"/>
              </w:rPr>
              <w:t>13 performance measure ‘Service Provision Rating (Ministerial survey data).’ It has been replaced to reflect DTF’s commitment to utilise a standardised measure of quality.</w:t>
            </w:r>
          </w:p>
        </w:tc>
      </w:tr>
      <w:tr w:rsidR="00B958B1" w:rsidRPr="00F16DCB" w:rsidTr="009F3B54">
        <w:trPr>
          <w:cantSplit/>
        </w:trPr>
        <w:tc>
          <w:tcPr>
            <w:tcW w:w="3153" w:type="dxa"/>
            <w:gridSpan w:val="2"/>
            <w:tcBorders>
              <w:top w:val="single" w:sz="6" w:space="0" w:color="auto"/>
            </w:tcBorders>
          </w:tcPr>
          <w:p w:rsidR="00B958B1" w:rsidRPr="00F16DCB" w:rsidRDefault="00B958B1" w:rsidP="009F3B54">
            <w:pPr>
              <w:pStyle w:val="OGTabHead"/>
            </w:pPr>
            <w:r>
              <w:t>Cost</w:t>
            </w:r>
          </w:p>
        </w:tc>
        <w:tc>
          <w:tcPr>
            <w:tcW w:w="906" w:type="dxa"/>
            <w:tcBorders>
              <w:top w:val="single" w:sz="6" w:space="0" w:color="auto"/>
            </w:tcBorders>
          </w:tcPr>
          <w:p w:rsidR="00B958B1" w:rsidRDefault="00B958B1" w:rsidP="009F3B54">
            <w:pPr>
              <w:pStyle w:val="OGTabHead"/>
            </w:pPr>
          </w:p>
        </w:tc>
        <w:tc>
          <w:tcPr>
            <w:tcW w:w="906" w:type="dxa"/>
            <w:tcBorders>
              <w:top w:val="single" w:sz="6" w:space="0" w:color="auto"/>
            </w:tcBorders>
            <w:shd w:val="clear" w:color="auto" w:fill="D9D9D9"/>
          </w:tcPr>
          <w:p w:rsidR="00B958B1" w:rsidRPr="00F16DCB" w:rsidRDefault="00B958B1" w:rsidP="009F3B54">
            <w:pPr>
              <w:pStyle w:val="OGTabHead"/>
            </w:pPr>
          </w:p>
        </w:tc>
        <w:tc>
          <w:tcPr>
            <w:tcW w:w="992" w:type="dxa"/>
            <w:tcBorders>
              <w:top w:val="single" w:sz="6" w:space="0" w:color="auto"/>
            </w:tcBorders>
          </w:tcPr>
          <w:p w:rsidR="00B958B1" w:rsidRDefault="00B958B1" w:rsidP="009F3B54">
            <w:pPr>
              <w:pStyle w:val="OGTabHead"/>
            </w:pPr>
          </w:p>
        </w:tc>
        <w:tc>
          <w:tcPr>
            <w:tcW w:w="906" w:type="dxa"/>
            <w:gridSpan w:val="2"/>
            <w:tcBorders>
              <w:top w:val="single" w:sz="6" w:space="0" w:color="auto"/>
            </w:tcBorders>
          </w:tcPr>
          <w:p w:rsidR="00B958B1" w:rsidRDefault="00B958B1" w:rsidP="009F3B54">
            <w:pPr>
              <w:pStyle w:val="OGTabHead"/>
            </w:pPr>
          </w:p>
        </w:tc>
        <w:tc>
          <w:tcPr>
            <w:tcW w:w="913" w:type="dxa"/>
            <w:tcBorders>
              <w:top w:val="single" w:sz="6" w:space="0" w:color="auto"/>
            </w:tcBorders>
          </w:tcPr>
          <w:p w:rsidR="00B958B1" w:rsidRDefault="00B958B1" w:rsidP="009F3B54">
            <w:pPr>
              <w:pStyle w:val="OGTabHead"/>
            </w:pPr>
          </w:p>
        </w:tc>
      </w:tr>
      <w:tr w:rsidR="00B958B1" w:rsidRPr="00F16DCB" w:rsidTr="009F3B54">
        <w:trPr>
          <w:cantSplit/>
        </w:trPr>
        <w:tc>
          <w:tcPr>
            <w:tcW w:w="3153" w:type="dxa"/>
            <w:gridSpan w:val="2"/>
          </w:tcPr>
          <w:p w:rsidR="00B958B1" w:rsidRPr="002B0132" w:rsidRDefault="00B958B1" w:rsidP="009F3B54">
            <w:pPr>
              <w:pStyle w:val="TableText0"/>
              <w:spacing w:before="60" w:after="60"/>
              <w:rPr>
                <w:rFonts w:cs="Calibri"/>
                <w:color w:val="auto"/>
                <w:sz w:val="20"/>
                <w:szCs w:val="22"/>
              </w:rPr>
            </w:pPr>
            <w:r>
              <w:rPr>
                <w:rFonts w:cs="Calibri"/>
                <w:color w:val="auto"/>
                <w:sz w:val="20"/>
                <w:szCs w:val="22"/>
              </w:rPr>
              <w:t>Total output cost</w:t>
            </w:r>
          </w:p>
        </w:tc>
        <w:tc>
          <w:tcPr>
            <w:tcW w:w="906" w:type="dxa"/>
          </w:tcPr>
          <w:p w:rsidR="00B958B1" w:rsidRPr="002B0132" w:rsidRDefault="00B958B1" w:rsidP="009F3B54">
            <w:pPr>
              <w:pStyle w:val="TableText0"/>
              <w:spacing w:before="60" w:after="60"/>
              <w:jc w:val="center"/>
              <w:rPr>
                <w:rFonts w:cs="Calibri"/>
                <w:color w:val="auto"/>
                <w:sz w:val="20"/>
                <w:szCs w:val="22"/>
              </w:rPr>
            </w:pPr>
            <w:r>
              <w:rPr>
                <w:rFonts w:cs="Calibri"/>
                <w:color w:val="auto"/>
                <w:sz w:val="20"/>
                <w:szCs w:val="22"/>
              </w:rPr>
              <w:t>$ million</w:t>
            </w:r>
          </w:p>
        </w:tc>
        <w:tc>
          <w:tcPr>
            <w:tcW w:w="906" w:type="dxa"/>
            <w:shd w:val="clear" w:color="auto" w:fill="D9D9D9"/>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28.2</w:t>
            </w:r>
          </w:p>
        </w:tc>
        <w:tc>
          <w:tcPr>
            <w:tcW w:w="992" w:type="dxa"/>
          </w:tcPr>
          <w:p w:rsidR="00B958B1" w:rsidRDefault="00B958B1" w:rsidP="009F3B54">
            <w:pPr>
              <w:pStyle w:val="TableText0"/>
              <w:spacing w:before="60" w:after="60"/>
              <w:jc w:val="right"/>
              <w:rPr>
                <w:rFonts w:cs="Calibri"/>
                <w:color w:val="auto"/>
                <w:sz w:val="20"/>
                <w:szCs w:val="22"/>
              </w:rPr>
            </w:pPr>
            <w:r>
              <w:rPr>
                <w:rFonts w:cs="Calibri"/>
                <w:color w:val="auto"/>
                <w:sz w:val="20"/>
                <w:szCs w:val="22"/>
              </w:rPr>
              <w:t>29.2</w:t>
            </w:r>
          </w:p>
        </w:tc>
        <w:tc>
          <w:tcPr>
            <w:tcW w:w="906" w:type="dxa"/>
            <w:gridSpan w:val="2"/>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24.9</w:t>
            </w:r>
          </w:p>
        </w:tc>
        <w:tc>
          <w:tcPr>
            <w:tcW w:w="913" w:type="dxa"/>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22.6</w:t>
            </w:r>
          </w:p>
        </w:tc>
      </w:tr>
      <w:tr w:rsidR="00B958B1" w:rsidRPr="00F16DCB" w:rsidTr="009F3B54">
        <w:trPr>
          <w:cantSplit/>
        </w:trPr>
        <w:tc>
          <w:tcPr>
            <w:tcW w:w="7776" w:type="dxa"/>
            <w:gridSpan w:val="8"/>
            <w:tcBorders>
              <w:bottom w:val="single" w:sz="12" w:space="0" w:color="auto"/>
            </w:tcBorders>
          </w:tcPr>
          <w:p w:rsidR="00B958B1" w:rsidRPr="00547387" w:rsidRDefault="00B958B1" w:rsidP="009F3B54">
            <w:pPr>
              <w:pStyle w:val="OGTableofFigures"/>
              <w:ind w:left="397" w:right="64"/>
              <w:jc w:val="left"/>
              <w:rPr>
                <w:rFonts w:cs="Calibri"/>
                <w:i/>
                <w:sz w:val="15"/>
                <w:szCs w:val="15"/>
              </w:rPr>
            </w:pPr>
            <w:r w:rsidRPr="00547387">
              <w:rPr>
                <w:rFonts w:cs="Calibri"/>
                <w:i/>
                <w:sz w:val="15"/>
                <w:szCs w:val="15"/>
              </w:rPr>
              <w:t>The 2012</w:t>
            </w:r>
            <w:r w:rsidR="009F0F49">
              <w:rPr>
                <w:rFonts w:cs="Calibri"/>
                <w:i/>
                <w:sz w:val="15"/>
                <w:szCs w:val="15"/>
              </w:rPr>
              <w:noBreakHyphen/>
            </w:r>
            <w:r w:rsidRPr="00547387">
              <w:rPr>
                <w:rFonts w:cs="Calibri"/>
                <w:i/>
                <w:sz w:val="15"/>
                <w:szCs w:val="15"/>
              </w:rPr>
              <w:t>13 Expected Outcome is higher than the 2012</w:t>
            </w:r>
            <w:r w:rsidR="009F0F49">
              <w:rPr>
                <w:rFonts w:cs="Calibri"/>
                <w:i/>
                <w:sz w:val="15"/>
                <w:szCs w:val="15"/>
              </w:rPr>
              <w:noBreakHyphen/>
            </w:r>
            <w:r w:rsidRPr="00547387">
              <w:rPr>
                <w:rFonts w:cs="Calibri"/>
                <w:i/>
                <w:sz w:val="15"/>
                <w:szCs w:val="15"/>
              </w:rPr>
              <w:t>13 Target due to one</w:t>
            </w:r>
            <w:r w:rsidR="009F0F49">
              <w:rPr>
                <w:rFonts w:cs="Calibri"/>
                <w:i/>
                <w:sz w:val="15"/>
                <w:szCs w:val="15"/>
              </w:rPr>
              <w:noBreakHyphen/>
            </w:r>
            <w:r w:rsidRPr="00547387">
              <w:rPr>
                <w:rFonts w:cs="Calibri"/>
                <w:i/>
                <w:sz w:val="15"/>
                <w:szCs w:val="15"/>
              </w:rPr>
              <w:t>off funding for Government landholding policies and practices, grade separated junctions and the myki review project.</w:t>
            </w:r>
          </w:p>
          <w:p w:rsidR="00B958B1" w:rsidRPr="00036564" w:rsidRDefault="00B958B1" w:rsidP="009F3B54">
            <w:pPr>
              <w:pStyle w:val="OGTableofFigures"/>
              <w:ind w:left="397" w:right="64"/>
              <w:jc w:val="left"/>
              <w:rPr>
                <w:highlight w:val="yellow"/>
              </w:rPr>
            </w:pPr>
            <w:r w:rsidRPr="00547387">
              <w:rPr>
                <w:rFonts w:cs="Calibri"/>
                <w:i/>
                <w:sz w:val="15"/>
                <w:szCs w:val="15"/>
              </w:rPr>
              <w:t>The 2013</w:t>
            </w:r>
            <w:r w:rsidR="009F0F49">
              <w:rPr>
                <w:rFonts w:cs="Calibri"/>
                <w:i/>
                <w:sz w:val="15"/>
                <w:szCs w:val="15"/>
              </w:rPr>
              <w:noBreakHyphen/>
            </w:r>
            <w:r w:rsidRPr="00547387">
              <w:rPr>
                <w:rFonts w:cs="Calibri"/>
                <w:i/>
                <w:sz w:val="15"/>
                <w:szCs w:val="15"/>
              </w:rPr>
              <w:t>14 Target is higher than the 2012</w:t>
            </w:r>
            <w:r w:rsidR="009F0F49">
              <w:rPr>
                <w:rFonts w:cs="Calibri"/>
                <w:i/>
                <w:sz w:val="15"/>
                <w:szCs w:val="15"/>
              </w:rPr>
              <w:noBreakHyphen/>
            </w:r>
            <w:r w:rsidRPr="00547387">
              <w:rPr>
                <w:rFonts w:cs="Calibri"/>
                <w:i/>
                <w:sz w:val="15"/>
                <w:szCs w:val="15"/>
              </w:rPr>
              <w:t>13 Target as a result of the reprioritisation of resources towards this output group in line with Government priorities.</w:t>
            </w:r>
          </w:p>
        </w:tc>
      </w:tr>
    </w:tbl>
    <w:p w:rsidR="00B958B1" w:rsidRDefault="00B958B1" w:rsidP="009F3B54">
      <w:pPr>
        <w:pStyle w:val="Source"/>
      </w:pPr>
      <w:r>
        <w:t>Source: Department of Treasury and Finance</w:t>
      </w:r>
    </w:p>
    <w:p w:rsidR="00B958B1" w:rsidRDefault="00B958B1" w:rsidP="009F3B54">
      <w:pPr>
        <w:pStyle w:val="Source"/>
      </w:pPr>
      <w:r>
        <w:fldChar w:fldCharType="begin"/>
      </w:r>
      <w:r>
        <w:instrText xml:space="preserve"> XE "</w:instrText>
      </w:r>
      <w:r w:rsidRPr="00033910">
        <w:instrText>Department of Treasury and Finance:Risk Management Services</w:instrText>
      </w:r>
      <w:r>
        <w:instrText xml:space="preserve">" \r "BP3DTFRiskMgmtSvces" </w:instrText>
      </w:r>
      <w:r>
        <w:fldChar w:fldCharType="end"/>
      </w:r>
    </w:p>
    <w:bookmarkEnd w:id="147"/>
    <w:p w:rsidR="00B958B1" w:rsidRPr="00F16DCB" w:rsidRDefault="00B958B1" w:rsidP="009F3B54"/>
    <w:p w:rsidR="00B958B1" w:rsidRPr="00F16DCB" w:rsidRDefault="00B958B1" w:rsidP="009F3B54">
      <w:pPr>
        <w:pStyle w:val="OGHeading1"/>
      </w:pPr>
      <w:r w:rsidRPr="00F16DCB">
        <w:br w:type="page"/>
      </w:r>
      <w:bookmarkStart w:id="148" w:name="BP3DTFResMgmtSvces"/>
      <w:r w:rsidRPr="00F16DCB">
        <w:t>Resource Management Services</w:t>
      </w:r>
    </w:p>
    <w:p w:rsidR="00B958B1" w:rsidRDefault="00B958B1" w:rsidP="009F3B54">
      <w:pPr>
        <w:pStyle w:val="OGText"/>
        <w:rPr>
          <w:lang w:eastAsia="en-AU"/>
        </w:rPr>
      </w:pPr>
      <w:r>
        <w:rPr>
          <w:lang w:eastAsia="en-AU"/>
        </w:rPr>
        <w:t>This output assists the Government in administering and coordinating the provision of whole of government services.</w:t>
      </w:r>
    </w:p>
    <w:p w:rsidR="00B958B1" w:rsidRDefault="00B958B1" w:rsidP="009F3B54">
      <w:pPr>
        <w:pStyle w:val="OGText"/>
        <w:rPr>
          <w:lang w:eastAsia="en-AU"/>
        </w:rPr>
      </w:pPr>
      <w:r>
        <w:rPr>
          <w:lang w:eastAsia="en-AU"/>
        </w:rPr>
        <w:t>By maximising value in purchasing decisions and providing professional management of substantial government assets, this output contributes to the departmental objectives of:</w:t>
      </w:r>
    </w:p>
    <w:p w:rsidR="00B958B1" w:rsidRDefault="00B958B1" w:rsidP="009F3B54">
      <w:pPr>
        <w:pStyle w:val="OGBullet"/>
        <w:jc w:val="both"/>
        <w:rPr>
          <w:lang w:eastAsia="en-AU"/>
        </w:rPr>
      </w:pPr>
      <w:r>
        <w:rPr>
          <w:lang w:eastAsia="en-AU"/>
        </w:rPr>
        <w:t>sound financial management of the State’s fiscal resources; and</w:t>
      </w:r>
    </w:p>
    <w:p w:rsidR="00B958B1" w:rsidRPr="00F16DCB" w:rsidRDefault="00B958B1" w:rsidP="009F3B54">
      <w:pPr>
        <w:pStyle w:val="OGBullet"/>
        <w:jc w:val="both"/>
        <w:rPr>
          <w:lang w:eastAsia="en-AU"/>
        </w:rPr>
      </w:pPr>
      <w:r>
        <w:rPr>
          <w:lang w:eastAsia="en-AU"/>
        </w:rPr>
        <w:t>delivering efficient whole of government common services to the Victorian public sector.</w:t>
      </w:r>
    </w:p>
    <w:tbl>
      <w:tblPr>
        <w:tblStyle w:val="TableGrid"/>
        <w:tblW w:w="7776" w:type="dxa"/>
        <w:tblInd w:w="29" w:type="dxa"/>
        <w:tblLayout w:type="fixed"/>
        <w:tblCellMar>
          <w:left w:w="43" w:type="dxa"/>
          <w:right w:w="43" w:type="dxa"/>
        </w:tblCellMar>
        <w:tblLook w:val="04A0" w:firstRow="1" w:lastRow="0" w:firstColumn="1" w:lastColumn="0" w:noHBand="0" w:noVBand="1"/>
      </w:tblPr>
      <w:tblGrid>
        <w:gridCol w:w="3152"/>
        <w:gridCol w:w="906"/>
        <w:gridCol w:w="907"/>
        <w:gridCol w:w="993"/>
        <w:gridCol w:w="897"/>
        <w:gridCol w:w="10"/>
        <w:gridCol w:w="911"/>
      </w:tblGrid>
      <w:tr w:rsidR="00B958B1" w:rsidRPr="00F16DCB" w:rsidTr="009F3B54">
        <w:trPr>
          <w:cantSplit/>
          <w:tblHeader/>
        </w:trPr>
        <w:tc>
          <w:tcPr>
            <w:tcW w:w="3152" w:type="dxa"/>
            <w:tcBorders>
              <w:top w:val="single" w:sz="6" w:space="0" w:color="auto"/>
              <w:left w:val="single" w:sz="6" w:space="0" w:color="auto"/>
              <w:bottom w:val="single" w:sz="6" w:space="0" w:color="auto"/>
            </w:tcBorders>
            <w:shd w:val="clear" w:color="auto" w:fill="000000"/>
          </w:tcPr>
          <w:p w:rsidR="00B958B1" w:rsidRDefault="00B958B1" w:rsidP="009F3B54">
            <w:pPr>
              <w:pStyle w:val="OGTabColLeft"/>
            </w:pPr>
            <w:r>
              <w:rPr>
                <w:shd w:val="clear" w:color="auto" w:fill="000000"/>
              </w:rPr>
              <w:br/>
            </w:r>
            <w:r w:rsidRPr="00F16DCB">
              <w:rPr>
                <w:shd w:val="clear" w:color="auto" w:fill="000000"/>
              </w:rPr>
              <w:t xml:space="preserve">Major </w:t>
            </w:r>
            <w:r w:rsidRPr="00F16DCB">
              <w:t>outputs/deliverables</w:t>
            </w:r>
            <w:r w:rsidRPr="00F16DCB">
              <w:br/>
            </w:r>
            <w:r w:rsidRPr="00E26AF5">
              <w:rPr>
                <w:b w:val="0"/>
                <w:i/>
                <w:iCs/>
              </w:rPr>
              <w:t>Performance measures</w:t>
            </w:r>
          </w:p>
        </w:tc>
        <w:tc>
          <w:tcPr>
            <w:tcW w:w="906" w:type="dxa"/>
            <w:tcBorders>
              <w:top w:val="single" w:sz="6" w:space="0" w:color="auto"/>
              <w:bottom w:val="single" w:sz="6" w:space="0" w:color="auto"/>
            </w:tcBorders>
            <w:shd w:val="clear" w:color="auto" w:fill="000000"/>
            <w:vAlign w:val="bottom"/>
          </w:tcPr>
          <w:p w:rsidR="00B958B1" w:rsidRPr="00F16DCB" w:rsidRDefault="00B958B1" w:rsidP="009F3B54">
            <w:pPr>
              <w:pStyle w:val="OGTabColCentred"/>
            </w:pPr>
            <w:r w:rsidRPr="00F16DCB">
              <w:t xml:space="preserve">Unit of </w:t>
            </w:r>
            <w:r w:rsidRPr="00F16DCB">
              <w:br/>
              <w:t>measure</w:t>
            </w:r>
          </w:p>
        </w:tc>
        <w:tc>
          <w:tcPr>
            <w:tcW w:w="907" w:type="dxa"/>
            <w:tcBorders>
              <w:top w:val="single" w:sz="6" w:space="0" w:color="auto"/>
              <w:bottom w:val="single" w:sz="6" w:space="0" w:color="auto"/>
            </w:tcBorders>
            <w:shd w:val="clear" w:color="auto" w:fill="000000"/>
          </w:tcPr>
          <w:p w:rsidR="00B958B1" w:rsidRDefault="00B958B1" w:rsidP="009F3B54">
            <w:pPr>
              <w:pStyle w:val="OGTabColRight"/>
            </w:pPr>
            <w:r>
              <w:br/>
            </w:r>
            <w:r w:rsidRPr="00F16DCB">
              <w:t>2013</w:t>
            </w:r>
            <w:r w:rsidR="009F0F49">
              <w:noBreakHyphen/>
            </w:r>
            <w:r w:rsidRPr="00F16DCB">
              <w:t xml:space="preserve">14 </w:t>
            </w:r>
            <w:r>
              <w:t>Target</w:t>
            </w:r>
          </w:p>
        </w:tc>
        <w:tc>
          <w:tcPr>
            <w:tcW w:w="993" w:type="dxa"/>
            <w:tcBorders>
              <w:top w:val="single" w:sz="6" w:space="0" w:color="auto"/>
              <w:bottom w:val="single" w:sz="6" w:space="0" w:color="auto"/>
            </w:tcBorders>
            <w:shd w:val="clear" w:color="auto" w:fill="000000"/>
          </w:tcPr>
          <w:p w:rsidR="00B958B1" w:rsidRDefault="00B958B1" w:rsidP="009F3B54">
            <w:pPr>
              <w:pStyle w:val="OGTabColRight"/>
            </w:pPr>
            <w:r w:rsidRPr="00F16DCB">
              <w:t>2012</w:t>
            </w:r>
            <w:r w:rsidR="009F0F49">
              <w:noBreakHyphen/>
            </w:r>
            <w:r w:rsidRPr="00F16DCB">
              <w:t xml:space="preserve">13 </w:t>
            </w:r>
            <w:r>
              <w:t>Expected Outcome</w:t>
            </w:r>
          </w:p>
        </w:tc>
        <w:tc>
          <w:tcPr>
            <w:tcW w:w="897" w:type="dxa"/>
            <w:tcBorders>
              <w:top w:val="single" w:sz="6" w:space="0" w:color="auto"/>
              <w:bottom w:val="single" w:sz="6" w:space="0" w:color="auto"/>
            </w:tcBorders>
            <w:shd w:val="clear" w:color="auto" w:fill="000000"/>
          </w:tcPr>
          <w:p w:rsidR="00B958B1" w:rsidRDefault="00B958B1" w:rsidP="009F3B54">
            <w:pPr>
              <w:pStyle w:val="OGTabColRight"/>
            </w:pPr>
            <w:r>
              <w:br/>
            </w:r>
            <w:r w:rsidRPr="00F16DCB">
              <w:t>2012</w:t>
            </w:r>
            <w:r w:rsidR="009F0F49">
              <w:noBreakHyphen/>
            </w:r>
            <w:r w:rsidRPr="00F16DCB">
              <w:t xml:space="preserve">13 </w:t>
            </w:r>
            <w:r>
              <w:t>Target</w:t>
            </w:r>
          </w:p>
        </w:tc>
        <w:tc>
          <w:tcPr>
            <w:tcW w:w="921" w:type="dxa"/>
            <w:gridSpan w:val="2"/>
            <w:tcBorders>
              <w:top w:val="single" w:sz="6" w:space="0" w:color="auto"/>
              <w:bottom w:val="single" w:sz="6" w:space="0" w:color="auto"/>
              <w:right w:val="single" w:sz="6" w:space="0" w:color="auto"/>
            </w:tcBorders>
            <w:shd w:val="clear" w:color="auto" w:fill="000000"/>
          </w:tcPr>
          <w:p w:rsidR="00B958B1" w:rsidRDefault="00B958B1" w:rsidP="009F3B54">
            <w:pPr>
              <w:pStyle w:val="OGTabColRight"/>
            </w:pPr>
            <w:r>
              <w:br/>
            </w:r>
            <w:r w:rsidRPr="00F16DCB">
              <w:t>2011</w:t>
            </w:r>
            <w:r w:rsidR="009F0F49">
              <w:noBreakHyphen/>
            </w:r>
            <w:r w:rsidRPr="00F16DCB">
              <w:t>12 actual</w:t>
            </w:r>
          </w:p>
        </w:tc>
      </w:tr>
      <w:tr w:rsidR="00B958B1" w:rsidRPr="00F16DCB" w:rsidTr="009F3B54">
        <w:trPr>
          <w:cantSplit/>
        </w:trPr>
        <w:tc>
          <w:tcPr>
            <w:tcW w:w="7776" w:type="dxa"/>
            <w:gridSpan w:val="7"/>
            <w:tcBorders>
              <w:bottom w:val="single" w:sz="6" w:space="0" w:color="auto"/>
            </w:tcBorders>
          </w:tcPr>
          <w:p w:rsidR="00B958B1" w:rsidRPr="00437674" w:rsidRDefault="00B958B1" w:rsidP="009F3B54">
            <w:pPr>
              <w:pStyle w:val="OGHeading2"/>
            </w:pPr>
            <w:r w:rsidRPr="00F16DCB">
              <w:t>Resource Management Services to Government</w:t>
            </w:r>
          </w:p>
        </w:tc>
      </w:tr>
      <w:tr w:rsidR="00B958B1" w:rsidRPr="00F16DCB" w:rsidTr="009F3B54">
        <w:trPr>
          <w:cantSplit/>
        </w:trPr>
        <w:tc>
          <w:tcPr>
            <w:tcW w:w="7776" w:type="dxa"/>
            <w:gridSpan w:val="7"/>
            <w:tcBorders>
              <w:bottom w:val="single" w:sz="6" w:space="0" w:color="auto"/>
            </w:tcBorders>
          </w:tcPr>
          <w:p w:rsidR="00B958B1" w:rsidRDefault="00B958B1" w:rsidP="009F3B54">
            <w:pPr>
              <w:pStyle w:val="OGText"/>
              <w:jc w:val="left"/>
              <w:rPr>
                <w:lang w:eastAsia="en-AU"/>
              </w:rPr>
            </w:pPr>
            <w:r>
              <w:rPr>
                <w:lang w:eastAsia="en-AU"/>
              </w:rPr>
              <w:t>This output delivers whole of government services, policies and initiatives in areas including procurement, fleet and accommodation.</w:t>
            </w:r>
          </w:p>
          <w:p w:rsidR="00B958B1" w:rsidRDefault="00B958B1" w:rsidP="009F3B54">
            <w:pPr>
              <w:pStyle w:val="OGText"/>
              <w:jc w:val="left"/>
              <w:rPr>
                <w:lang w:eastAsia="en-AU"/>
              </w:rPr>
            </w:pPr>
            <w:r>
              <w:rPr>
                <w:lang w:eastAsia="en-AU"/>
              </w:rPr>
              <w:t>The output contributes to the Department’s objective of delivering efficient whole of government common services to the Victorian public sector by:</w:t>
            </w:r>
          </w:p>
          <w:p w:rsidR="00B958B1" w:rsidRDefault="00B958B1" w:rsidP="009F3B54">
            <w:pPr>
              <w:pStyle w:val="OGBullet"/>
              <w:jc w:val="left"/>
              <w:rPr>
                <w:lang w:eastAsia="en-AU"/>
              </w:rPr>
            </w:pPr>
            <w:r>
              <w:rPr>
                <w:lang w:eastAsia="en-AU"/>
              </w:rPr>
              <w:t>developing and maintaining a framework of whole of government policies, standards and guidelines which promote the efficient and effective use of common services including procurement, fleet and accommodation;</w:t>
            </w:r>
          </w:p>
          <w:p w:rsidR="00B958B1" w:rsidRDefault="00B958B1" w:rsidP="009F3B54">
            <w:pPr>
              <w:pStyle w:val="OGBullet"/>
              <w:jc w:val="left"/>
              <w:rPr>
                <w:lang w:eastAsia="en-AU"/>
              </w:rPr>
            </w:pPr>
            <w:r>
              <w:rPr>
                <w:lang w:eastAsia="en-AU"/>
              </w:rPr>
              <w:t>implementing a program of whole of government procurement and contract management to ensure optimum benefit to government;</w:t>
            </w:r>
          </w:p>
          <w:p w:rsidR="00B958B1" w:rsidRDefault="00B958B1" w:rsidP="009F3B54">
            <w:pPr>
              <w:pStyle w:val="OGBullet"/>
              <w:jc w:val="left"/>
              <w:rPr>
                <w:lang w:eastAsia="en-AU"/>
              </w:rPr>
            </w:pPr>
            <w:r>
              <w:rPr>
                <w:lang w:eastAsia="en-AU"/>
              </w:rPr>
              <w:t>supporting the operations of the Victorian Government Procurement Board, facilitating the approval of major government procurements and developing procurement capability across government; and</w:t>
            </w:r>
          </w:p>
          <w:p w:rsidR="00B958B1" w:rsidRPr="00F16DCB" w:rsidRDefault="00B958B1" w:rsidP="009F3B54">
            <w:pPr>
              <w:pStyle w:val="OGBullet"/>
              <w:jc w:val="left"/>
            </w:pPr>
            <w:r>
              <w:rPr>
                <w:lang w:eastAsia="en-AU"/>
              </w:rPr>
              <w:t>providing whole of government fleet and accommodation.</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Head"/>
            </w:pPr>
            <w:r w:rsidRPr="00F16DCB">
              <w:t>Quantity</w:t>
            </w:r>
          </w:p>
        </w:tc>
        <w:tc>
          <w:tcPr>
            <w:tcW w:w="906" w:type="dxa"/>
            <w:tcBorders>
              <w:top w:val="single" w:sz="6" w:space="0" w:color="auto"/>
            </w:tcBorders>
          </w:tcPr>
          <w:p w:rsidR="00B958B1" w:rsidRPr="00F16DCB" w:rsidRDefault="00B958B1" w:rsidP="009F3B54">
            <w:pPr>
              <w:pStyle w:val="OGTabHead"/>
            </w:pPr>
          </w:p>
        </w:tc>
        <w:tc>
          <w:tcPr>
            <w:tcW w:w="907" w:type="dxa"/>
            <w:tcBorders>
              <w:top w:val="single" w:sz="6" w:space="0" w:color="auto"/>
            </w:tcBorders>
            <w:shd w:val="clear" w:color="auto" w:fill="D9D9D9"/>
          </w:tcPr>
          <w:p w:rsidR="00B958B1" w:rsidRPr="00F16DCB" w:rsidRDefault="00B958B1" w:rsidP="009F3B54">
            <w:pPr>
              <w:pStyle w:val="OGTabHead"/>
            </w:pPr>
            <w:r w:rsidRPr="00F16DCB">
              <w:t> </w:t>
            </w:r>
          </w:p>
        </w:tc>
        <w:tc>
          <w:tcPr>
            <w:tcW w:w="993" w:type="dxa"/>
            <w:tcBorders>
              <w:top w:val="single" w:sz="6" w:space="0" w:color="auto"/>
            </w:tcBorders>
          </w:tcPr>
          <w:p w:rsidR="00B958B1" w:rsidRPr="00F16DCB" w:rsidRDefault="00B958B1" w:rsidP="009F3B54">
            <w:pPr>
              <w:pStyle w:val="OGTabHead"/>
            </w:pPr>
          </w:p>
        </w:tc>
        <w:tc>
          <w:tcPr>
            <w:tcW w:w="907" w:type="dxa"/>
            <w:gridSpan w:val="2"/>
            <w:tcBorders>
              <w:top w:val="single" w:sz="6" w:space="0" w:color="auto"/>
            </w:tcBorders>
          </w:tcPr>
          <w:p w:rsidR="00B958B1" w:rsidRPr="00F16DCB" w:rsidRDefault="00B958B1" w:rsidP="009F3B54">
            <w:pPr>
              <w:pStyle w:val="OGTabHead"/>
            </w:pPr>
          </w:p>
        </w:tc>
        <w:tc>
          <w:tcPr>
            <w:tcW w:w="911" w:type="dxa"/>
            <w:tcBorders>
              <w:top w:val="single" w:sz="6" w:space="0" w:color="auto"/>
            </w:tcBorders>
          </w:tcPr>
          <w:p w:rsidR="00B958B1" w:rsidRPr="00F16DCB" w:rsidRDefault="00B958B1" w:rsidP="009F3B54">
            <w:pPr>
              <w:pStyle w:val="OGTabHead"/>
            </w:pPr>
          </w:p>
        </w:tc>
      </w:tr>
      <w:tr w:rsidR="00B958B1" w:rsidRPr="00F16DCB" w:rsidTr="009F3B54">
        <w:trPr>
          <w:cantSplit/>
        </w:trPr>
        <w:tc>
          <w:tcPr>
            <w:tcW w:w="3152" w:type="dxa"/>
          </w:tcPr>
          <w:p w:rsidR="00B958B1" w:rsidRPr="00F16DCB" w:rsidRDefault="00B958B1" w:rsidP="009F3B54">
            <w:pPr>
              <w:pStyle w:val="OGTabText"/>
              <w:jc w:val="left"/>
            </w:pPr>
            <w:r w:rsidRPr="00F16DCB">
              <w:t>Briefs provided on services to government</w:t>
            </w:r>
          </w:p>
        </w:tc>
        <w:tc>
          <w:tcPr>
            <w:tcW w:w="906" w:type="dxa"/>
          </w:tcPr>
          <w:p w:rsidR="00B958B1" w:rsidRPr="00F16DCB" w:rsidRDefault="00B958B1" w:rsidP="009F3B54">
            <w:pPr>
              <w:pStyle w:val="OGUoM"/>
            </w:pPr>
            <w:r w:rsidRPr="00F16DCB">
              <w:t>number</w:t>
            </w:r>
          </w:p>
        </w:tc>
        <w:tc>
          <w:tcPr>
            <w:tcW w:w="907" w:type="dxa"/>
            <w:shd w:val="clear" w:color="auto" w:fill="D9D9D9"/>
          </w:tcPr>
          <w:p w:rsidR="00B958B1" w:rsidRPr="00F16DCB" w:rsidRDefault="00B958B1" w:rsidP="009F3B54">
            <w:pPr>
              <w:pStyle w:val="OGTableofFigures"/>
            </w:pPr>
            <w:r w:rsidRPr="00F16DCB">
              <w:t>60</w:t>
            </w:r>
          </w:p>
        </w:tc>
        <w:tc>
          <w:tcPr>
            <w:tcW w:w="993" w:type="dxa"/>
          </w:tcPr>
          <w:p w:rsidR="00B958B1" w:rsidRPr="00F16DCB" w:rsidRDefault="00B958B1" w:rsidP="009F3B54">
            <w:pPr>
              <w:pStyle w:val="OGTableofFigures"/>
            </w:pPr>
            <w:r>
              <w:t>70</w:t>
            </w:r>
          </w:p>
        </w:tc>
        <w:tc>
          <w:tcPr>
            <w:tcW w:w="907" w:type="dxa"/>
            <w:gridSpan w:val="2"/>
          </w:tcPr>
          <w:p w:rsidR="00B958B1" w:rsidRPr="00F16DCB" w:rsidRDefault="00B958B1" w:rsidP="009F3B54">
            <w:pPr>
              <w:pStyle w:val="OGTableofFigures"/>
            </w:pPr>
            <w:r w:rsidRPr="00F16DCB">
              <w:t>60</w:t>
            </w:r>
          </w:p>
        </w:tc>
        <w:tc>
          <w:tcPr>
            <w:tcW w:w="911" w:type="dxa"/>
          </w:tcPr>
          <w:p w:rsidR="00B958B1" w:rsidRPr="00F16DCB" w:rsidRDefault="00B958B1" w:rsidP="009F3B54">
            <w:pPr>
              <w:pStyle w:val="OGTableofFigures"/>
            </w:pPr>
            <w:r w:rsidRPr="00F16DCB">
              <w:t>131</w:t>
            </w:r>
          </w:p>
        </w:tc>
      </w:tr>
      <w:tr w:rsidR="00B958B1" w:rsidRPr="00F16DCB" w:rsidTr="009F3B54">
        <w:trPr>
          <w:cantSplit/>
        </w:trPr>
        <w:tc>
          <w:tcPr>
            <w:tcW w:w="7776" w:type="dxa"/>
            <w:gridSpan w:val="7"/>
            <w:tcBorders>
              <w:bottom w:val="single" w:sz="6" w:space="0" w:color="auto"/>
            </w:tcBorders>
          </w:tcPr>
          <w:p w:rsidR="00B958B1" w:rsidRPr="00F16DCB" w:rsidRDefault="00B958B1" w:rsidP="009F3B54">
            <w:pPr>
              <w:pStyle w:val="OGTableofFigures"/>
              <w:ind w:left="397" w:right="64"/>
              <w:jc w:val="left"/>
            </w:pPr>
            <w:r w:rsidRPr="00547387">
              <w:rPr>
                <w:rFonts w:cs="Calibri"/>
                <w:i/>
                <w:sz w:val="15"/>
                <w:szCs w:val="15"/>
              </w:rPr>
              <w:t>The 2012</w:t>
            </w:r>
            <w:r w:rsidR="009F0F49">
              <w:rPr>
                <w:rFonts w:cs="Calibri"/>
                <w:i/>
                <w:sz w:val="15"/>
                <w:szCs w:val="15"/>
              </w:rPr>
              <w:noBreakHyphen/>
            </w:r>
            <w:r w:rsidRPr="00547387">
              <w:rPr>
                <w:rFonts w:cs="Calibri"/>
                <w:i/>
                <w:sz w:val="15"/>
                <w:szCs w:val="15"/>
              </w:rPr>
              <w:t>13 Expected Outcome is higher than the 2012</w:t>
            </w:r>
            <w:r w:rsidR="009F0F49">
              <w:rPr>
                <w:rFonts w:cs="Calibri"/>
                <w:i/>
                <w:sz w:val="15"/>
                <w:szCs w:val="15"/>
              </w:rPr>
              <w:noBreakHyphen/>
            </w:r>
            <w:r w:rsidRPr="00547387">
              <w:rPr>
                <w:rFonts w:cs="Calibri"/>
                <w:i/>
                <w:sz w:val="15"/>
                <w:szCs w:val="15"/>
              </w:rPr>
              <w:t>13 Target due to a higher number of briefs being required than anticipated.</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Text"/>
              <w:jc w:val="left"/>
            </w:pPr>
            <w:r w:rsidRPr="00F16DCB">
              <w:t>Evaluation and decision on existing or potential whole of Victorian government contracts within agreed timelines</w:t>
            </w:r>
          </w:p>
        </w:tc>
        <w:tc>
          <w:tcPr>
            <w:tcW w:w="906" w:type="dxa"/>
            <w:tcBorders>
              <w:top w:val="single" w:sz="6" w:space="0" w:color="auto"/>
            </w:tcBorders>
          </w:tcPr>
          <w:p w:rsidR="00B958B1" w:rsidRPr="00F16DCB" w:rsidRDefault="00B958B1" w:rsidP="009F3B54">
            <w:pPr>
              <w:pStyle w:val="OGUoM"/>
            </w:pPr>
            <w:r w:rsidRPr="00F16DCB">
              <w:t>number</w:t>
            </w:r>
          </w:p>
        </w:tc>
        <w:tc>
          <w:tcPr>
            <w:tcW w:w="907" w:type="dxa"/>
            <w:tcBorders>
              <w:top w:val="single" w:sz="6" w:space="0" w:color="auto"/>
            </w:tcBorders>
            <w:shd w:val="clear" w:color="auto" w:fill="D9D9D9"/>
          </w:tcPr>
          <w:p w:rsidR="00B958B1" w:rsidRPr="00F16DCB" w:rsidRDefault="00B958B1" w:rsidP="009F3B54">
            <w:pPr>
              <w:pStyle w:val="OGTableofFigures"/>
            </w:pPr>
            <w:r w:rsidRPr="00F16DCB">
              <w:t>15</w:t>
            </w:r>
          </w:p>
          <w:p w:rsidR="00B958B1" w:rsidRPr="00F16DCB" w:rsidRDefault="00B958B1" w:rsidP="009F3B54">
            <w:pPr>
              <w:pStyle w:val="OGTableofFigures"/>
            </w:pPr>
          </w:p>
        </w:tc>
        <w:tc>
          <w:tcPr>
            <w:tcW w:w="993" w:type="dxa"/>
            <w:tcBorders>
              <w:top w:val="single" w:sz="6" w:space="0" w:color="auto"/>
            </w:tcBorders>
          </w:tcPr>
          <w:p w:rsidR="00B958B1" w:rsidRPr="00F16DCB" w:rsidRDefault="00B958B1" w:rsidP="009F3B54">
            <w:pPr>
              <w:pStyle w:val="OGTableofFigures"/>
            </w:pPr>
            <w:r w:rsidRPr="00F16DCB">
              <w:t>16</w:t>
            </w:r>
          </w:p>
        </w:tc>
        <w:tc>
          <w:tcPr>
            <w:tcW w:w="907" w:type="dxa"/>
            <w:gridSpan w:val="2"/>
            <w:tcBorders>
              <w:top w:val="single" w:sz="6" w:space="0" w:color="auto"/>
            </w:tcBorders>
          </w:tcPr>
          <w:p w:rsidR="00B958B1" w:rsidRPr="00F16DCB" w:rsidRDefault="00B958B1" w:rsidP="009F3B54">
            <w:pPr>
              <w:pStyle w:val="OGTableofFigures"/>
            </w:pPr>
            <w:r w:rsidRPr="00F16DCB">
              <w:t>14</w:t>
            </w:r>
          </w:p>
          <w:p w:rsidR="00B958B1" w:rsidRPr="00F16DCB" w:rsidRDefault="00B958B1" w:rsidP="009F3B54">
            <w:pPr>
              <w:pStyle w:val="OGTableofFigures"/>
            </w:pPr>
          </w:p>
        </w:tc>
        <w:tc>
          <w:tcPr>
            <w:tcW w:w="911" w:type="dxa"/>
            <w:tcBorders>
              <w:top w:val="single" w:sz="6" w:space="0" w:color="auto"/>
            </w:tcBorders>
          </w:tcPr>
          <w:p w:rsidR="00B958B1" w:rsidRPr="00F16DCB" w:rsidRDefault="00B958B1" w:rsidP="009F3B54">
            <w:pPr>
              <w:pStyle w:val="OGTableofFigures"/>
            </w:pPr>
            <w:r w:rsidRPr="00F16DCB">
              <w:t>20</w:t>
            </w:r>
          </w:p>
          <w:p w:rsidR="00B958B1" w:rsidRPr="00F16DCB" w:rsidRDefault="00B958B1" w:rsidP="009F3B54">
            <w:pPr>
              <w:pStyle w:val="OGTableofFigures"/>
            </w:pPr>
          </w:p>
        </w:tc>
      </w:tr>
      <w:tr w:rsidR="00B958B1" w:rsidRPr="00F16DCB" w:rsidTr="009F3B54">
        <w:trPr>
          <w:cantSplit/>
        </w:trPr>
        <w:tc>
          <w:tcPr>
            <w:tcW w:w="7776" w:type="dxa"/>
            <w:gridSpan w:val="7"/>
            <w:tcBorders>
              <w:bottom w:val="single" w:sz="6" w:space="0" w:color="auto"/>
            </w:tcBorders>
          </w:tcPr>
          <w:p w:rsidR="00B958B1" w:rsidRPr="00547387" w:rsidRDefault="00B958B1" w:rsidP="009F3B54">
            <w:pPr>
              <w:pStyle w:val="OGTableofFigures"/>
              <w:ind w:left="397" w:right="64"/>
              <w:jc w:val="left"/>
              <w:rPr>
                <w:rFonts w:cs="Calibri"/>
                <w:i/>
                <w:sz w:val="15"/>
                <w:szCs w:val="15"/>
              </w:rPr>
            </w:pPr>
            <w:r w:rsidRPr="00547387">
              <w:rPr>
                <w:rFonts w:cs="Calibri"/>
                <w:i/>
                <w:sz w:val="15"/>
                <w:szCs w:val="15"/>
              </w:rPr>
              <w:t>This performance measure is proposed to replace the 2012</w:t>
            </w:r>
            <w:r w:rsidR="009F0F49">
              <w:rPr>
                <w:rFonts w:cs="Calibri"/>
                <w:i/>
                <w:sz w:val="15"/>
                <w:szCs w:val="15"/>
              </w:rPr>
              <w:noBreakHyphen/>
            </w:r>
            <w:r w:rsidRPr="00547387">
              <w:rPr>
                <w:rFonts w:cs="Calibri"/>
                <w:i/>
                <w:sz w:val="15"/>
                <w:szCs w:val="15"/>
              </w:rPr>
              <w:t>13 performance measure ‘Establishment or renewal of whole of government contracts’. The 2012</w:t>
            </w:r>
            <w:r w:rsidR="009F0F49">
              <w:rPr>
                <w:rFonts w:cs="Calibri"/>
                <w:i/>
                <w:sz w:val="15"/>
                <w:szCs w:val="15"/>
              </w:rPr>
              <w:noBreakHyphen/>
            </w:r>
            <w:r w:rsidRPr="00547387">
              <w:rPr>
                <w:rFonts w:cs="Calibri"/>
                <w:i/>
                <w:sz w:val="15"/>
                <w:szCs w:val="15"/>
              </w:rPr>
              <w:t>13 measure has been replaced to more accurately reflect the activity undertaken.</w:t>
            </w:r>
          </w:p>
          <w:p w:rsidR="00B958B1" w:rsidRPr="00547387" w:rsidRDefault="00B958B1" w:rsidP="009F3B54">
            <w:pPr>
              <w:pStyle w:val="OGTableofFigures"/>
              <w:ind w:left="397" w:right="64"/>
              <w:jc w:val="left"/>
              <w:rPr>
                <w:rFonts w:cs="Calibri"/>
                <w:i/>
                <w:sz w:val="15"/>
                <w:szCs w:val="15"/>
              </w:rPr>
            </w:pPr>
            <w:r w:rsidRPr="00547387">
              <w:rPr>
                <w:rFonts w:cs="Calibri"/>
                <w:i/>
                <w:sz w:val="15"/>
                <w:szCs w:val="15"/>
              </w:rPr>
              <w:t>The 2012</w:t>
            </w:r>
            <w:r w:rsidR="009F0F49">
              <w:rPr>
                <w:rFonts w:cs="Calibri"/>
                <w:i/>
                <w:sz w:val="15"/>
                <w:szCs w:val="15"/>
              </w:rPr>
              <w:noBreakHyphen/>
            </w:r>
            <w:r w:rsidRPr="00547387">
              <w:rPr>
                <w:rFonts w:cs="Calibri"/>
                <w:i/>
                <w:sz w:val="15"/>
                <w:szCs w:val="15"/>
              </w:rPr>
              <w:t>13 Expected Outcome is higher than the 2012</w:t>
            </w:r>
            <w:r w:rsidR="009F0F49">
              <w:rPr>
                <w:rFonts w:cs="Calibri"/>
                <w:i/>
                <w:sz w:val="15"/>
                <w:szCs w:val="15"/>
              </w:rPr>
              <w:noBreakHyphen/>
            </w:r>
            <w:r w:rsidRPr="00547387">
              <w:rPr>
                <w:rFonts w:cs="Calibri"/>
                <w:i/>
                <w:sz w:val="15"/>
                <w:szCs w:val="15"/>
              </w:rPr>
              <w:t xml:space="preserve">13 Target due to additional contract renewals being included in the output’s annual work program. </w:t>
            </w:r>
          </w:p>
          <w:p w:rsidR="00B958B1" w:rsidRPr="00F16DCB" w:rsidRDefault="00B958B1" w:rsidP="009F3B54">
            <w:pPr>
              <w:pStyle w:val="OGTableofFigures"/>
              <w:ind w:left="397" w:right="64"/>
              <w:jc w:val="left"/>
            </w:pPr>
            <w:r w:rsidRPr="00547387">
              <w:rPr>
                <w:rFonts w:cs="Calibri"/>
                <w:i/>
                <w:sz w:val="15"/>
                <w:szCs w:val="15"/>
              </w:rPr>
              <w:t>The higher 2013</w:t>
            </w:r>
            <w:r w:rsidR="009F0F49">
              <w:rPr>
                <w:rFonts w:cs="Calibri"/>
                <w:i/>
                <w:sz w:val="15"/>
                <w:szCs w:val="15"/>
              </w:rPr>
              <w:noBreakHyphen/>
            </w:r>
            <w:r w:rsidRPr="00547387">
              <w:rPr>
                <w:rFonts w:cs="Calibri"/>
                <w:i/>
                <w:sz w:val="15"/>
                <w:szCs w:val="15"/>
              </w:rPr>
              <w:t>14 Target reflects additional contract renewals being included in the output’s annual work program.</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Text"/>
            </w:pPr>
            <w:r w:rsidRPr="00F16DCB">
              <w:t>Total accommodation cost</w:t>
            </w:r>
          </w:p>
        </w:tc>
        <w:tc>
          <w:tcPr>
            <w:tcW w:w="906" w:type="dxa"/>
            <w:tcBorders>
              <w:top w:val="single" w:sz="6" w:space="0" w:color="auto"/>
            </w:tcBorders>
          </w:tcPr>
          <w:p w:rsidR="00B958B1" w:rsidRPr="00F16DCB" w:rsidRDefault="00B958B1" w:rsidP="009F3B54">
            <w:pPr>
              <w:pStyle w:val="OGUoM"/>
            </w:pPr>
            <w:r w:rsidRPr="00F16DCB">
              <w:t>$</w:t>
            </w:r>
            <w:r>
              <w:t> </w:t>
            </w:r>
            <w:r w:rsidRPr="00F16DCB">
              <w:t>per square metre per year</w:t>
            </w:r>
          </w:p>
        </w:tc>
        <w:tc>
          <w:tcPr>
            <w:tcW w:w="907" w:type="dxa"/>
            <w:tcBorders>
              <w:top w:val="single" w:sz="6" w:space="0" w:color="auto"/>
            </w:tcBorders>
            <w:shd w:val="clear" w:color="auto" w:fill="D9D9D9"/>
          </w:tcPr>
          <w:p w:rsidR="00B958B1" w:rsidRPr="00F16DCB" w:rsidRDefault="00B958B1" w:rsidP="009F3B54">
            <w:pPr>
              <w:pStyle w:val="OGTableofFigures"/>
            </w:pPr>
            <w:r w:rsidRPr="00F16DCB">
              <w:t>410</w:t>
            </w:r>
          </w:p>
          <w:p w:rsidR="00B958B1" w:rsidRPr="00F16DCB" w:rsidRDefault="00B958B1" w:rsidP="009F3B54">
            <w:pPr>
              <w:pStyle w:val="OGTableofFigures"/>
            </w:pPr>
          </w:p>
        </w:tc>
        <w:tc>
          <w:tcPr>
            <w:tcW w:w="993" w:type="dxa"/>
            <w:tcBorders>
              <w:top w:val="single" w:sz="6" w:space="0" w:color="auto"/>
            </w:tcBorders>
          </w:tcPr>
          <w:p w:rsidR="00B958B1" w:rsidRPr="00F16DCB" w:rsidRDefault="00B958B1" w:rsidP="009F3B54">
            <w:pPr>
              <w:pStyle w:val="OGTableofFigures"/>
            </w:pPr>
            <w:r w:rsidRPr="00F16DCB">
              <w:t>381.5</w:t>
            </w:r>
          </w:p>
        </w:tc>
        <w:tc>
          <w:tcPr>
            <w:tcW w:w="907" w:type="dxa"/>
            <w:gridSpan w:val="2"/>
            <w:tcBorders>
              <w:top w:val="single" w:sz="6" w:space="0" w:color="auto"/>
            </w:tcBorders>
          </w:tcPr>
          <w:p w:rsidR="00B958B1" w:rsidRPr="00F16DCB" w:rsidRDefault="00B958B1" w:rsidP="009F3B54">
            <w:pPr>
              <w:pStyle w:val="OGTableofFigures"/>
            </w:pPr>
            <w:r w:rsidRPr="00F16DCB">
              <w:t>410</w:t>
            </w:r>
          </w:p>
          <w:p w:rsidR="00B958B1" w:rsidRPr="00F16DCB" w:rsidRDefault="00B958B1" w:rsidP="009F3B54">
            <w:pPr>
              <w:pStyle w:val="OGTableofFigures"/>
            </w:pPr>
          </w:p>
        </w:tc>
        <w:tc>
          <w:tcPr>
            <w:tcW w:w="911" w:type="dxa"/>
            <w:tcBorders>
              <w:top w:val="single" w:sz="6" w:space="0" w:color="auto"/>
            </w:tcBorders>
          </w:tcPr>
          <w:p w:rsidR="00B958B1" w:rsidRPr="00F16DCB" w:rsidRDefault="00B958B1" w:rsidP="009F3B54">
            <w:pPr>
              <w:pStyle w:val="OGTableofFigures"/>
            </w:pPr>
            <w:r w:rsidRPr="00F16DCB">
              <w:t>347</w:t>
            </w:r>
          </w:p>
          <w:p w:rsidR="00B958B1" w:rsidRPr="00F16DCB" w:rsidRDefault="00B958B1" w:rsidP="009F3B54">
            <w:pPr>
              <w:pStyle w:val="OGTableofFigures"/>
            </w:pPr>
          </w:p>
        </w:tc>
      </w:tr>
      <w:tr w:rsidR="00B958B1" w:rsidRPr="00F16DCB" w:rsidTr="009F3B54">
        <w:trPr>
          <w:cantSplit/>
        </w:trPr>
        <w:tc>
          <w:tcPr>
            <w:tcW w:w="7776" w:type="dxa"/>
            <w:gridSpan w:val="7"/>
            <w:tcBorders>
              <w:bottom w:val="single" w:sz="6" w:space="0" w:color="auto"/>
            </w:tcBorders>
          </w:tcPr>
          <w:p w:rsidR="00B958B1" w:rsidRPr="00F16DCB" w:rsidRDefault="00B958B1" w:rsidP="009F3B54">
            <w:pPr>
              <w:pStyle w:val="OGTableofFigures"/>
              <w:ind w:left="397" w:right="64"/>
              <w:jc w:val="left"/>
            </w:pPr>
            <w:r w:rsidRPr="00547387">
              <w:rPr>
                <w:rFonts w:cs="Calibri"/>
                <w:i/>
                <w:sz w:val="15"/>
                <w:szCs w:val="15"/>
              </w:rPr>
              <w:t>The 2012</w:t>
            </w:r>
            <w:r w:rsidR="009F0F49">
              <w:rPr>
                <w:rFonts w:cs="Calibri"/>
                <w:i/>
                <w:sz w:val="15"/>
                <w:szCs w:val="15"/>
              </w:rPr>
              <w:noBreakHyphen/>
            </w:r>
            <w:r w:rsidRPr="00547387">
              <w:rPr>
                <w:rFonts w:cs="Calibri"/>
                <w:i/>
                <w:sz w:val="15"/>
                <w:szCs w:val="15"/>
              </w:rPr>
              <w:t>13 Expected Outcome is lower than the 2012</w:t>
            </w:r>
            <w:r w:rsidR="009F0F49">
              <w:rPr>
                <w:rFonts w:cs="Calibri"/>
                <w:i/>
                <w:sz w:val="15"/>
                <w:szCs w:val="15"/>
              </w:rPr>
              <w:noBreakHyphen/>
            </w:r>
            <w:r w:rsidRPr="00547387">
              <w:rPr>
                <w:rFonts w:cs="Calibri"/>
                <w:i/>
                <w:sz w:val="15"/>
                <w:szCs w:val="15"/>
              </w:rPr>
              <w:t>13 Target because commercial office rent incentive levels remained higher than expected during the year, and because building energy cost increases were not as high as forecast.</w:t>
            </w:r>
          </w:p>
        </w:tc>
      </w:tr>
      <w:tr w:rsidR="00B958B1" w:rsidRPr="00F16DCB" w:rsidTr="009F3B54">
        <w:trPr>
          <w:cantSplit/>
        </w:trPr>
        <w:tc>
          <w:tcPr>
            <w:tcW w:w="3152" w:type="dxa"/>
            <w:tcBorders>
              <w:top w:val="single" w:sz="6" w:space="0" w:color="auto"/>
              <w:bottom w:val="single" w:sz="6" w:space="0" w:color="auto"/>
            </w:tcBorders>
          </w:tcPr>
          <w:p w:rsidR="00B958B1" w:rsidRPr="00F16DCB" w:rsidRDefault="00B958B1" w:rsidP="009F3B54">
            <w:pPr>
              <w:pStyle w:val="OGTabText"/>
            </w:pPr>
            <w:r w:rsidRPr="00F16DCB">
              <w:t>Workspace ratio</w:t>
            </w:r>
          </w:p>
        </w:tc>
        <w:tc>
          <w:tcPr>
            <w:tcW w:w="906" w:type="dxa"/>
            <w:tcBorders>
              <w:top w:val="single" w:sz="6" w:space="0" w:color="auto"/>
              <w:bottom w:val="single" w:sz="6" w:space="0" w:color="auto"/>
            </w:tcBorders>
          </w:tcPr>
          <w:p w:rsidR="00B958B1" w:rsidRPr="00F16DCB" w:rsidRDefault="00B958B1" w:rsidP="009F3B54">
            <w:pPr>
              <w:pStyle w:val="OGUoM"/>
            </w:pPr>
            <w:r w:rsidRPr="00F16DCB">
              <w:t>Square metre per FTE</w:t>
            </w:r>
          </w:p>
        </w:tc>
        <w:tc>
          <w:tcPr>
            <w:tcW w:w="907" w:type="dxa"/>
            <w:tcBorders>
              <w:top w:val="single" w:sz="6" w:space="0" w:color="auto"/>
              <w:bottom w:val="single" w:sz="6" w:space="0" w:color="auto"/>
            </w:tcBorders>
            <w:shd w:val="clear" w:color="auto" w:fill="D9D9D9"/>
          </w:tcPr>
          <w:p w:rsidR="00B958B1" w:rsidRPr="00F16DCB" w:rsidRDefault="00B958B1" w:rsidP="009F3B54">
            <w:pPr>
              <w:pStyle w:val="OGTableofFigures"/>
            </w:pPr>
            <w:r w:rsidRPr="00F16DCB">
              <w:t>15</w:t>
            </w:r>
          </w:p>
        </w:tc>
        <w:tc>
          <w:tcPr>
            <w:tcW w:w="993" w:type="dxa"/>
            <w:tcBorders>
              <w:top w:val="single" w:sz="6" w:space="0" w:color="auto"/>
              <w:bottom w:val="single" w:sz="6" w:space="0" w:color="auto"/>
            </w:tcBorders>
          </w:tcPr>
          <w:p w:rsidR="00B958B1" w:rsidRPr="00F16DCB" w:rsidRDefault="00B958B1" w:rsidP="009F3B54">
            <w:pPr>
              <w:pStyle w:val="OGTableofFigures"/>
            </w:pPr>
            <w:r w:rsidRPr="00F16DCB">
              <w:t>15.9</w:t>
            </w:r>
          </w:p>
        </w:tc>
        <w:tc>
          <w:tcPr>
            <w:tcW w:w="907" w:type="dxa"/>
            <w:gridSpan w:val="2"/>
            <w:tcBorders>
              <w:top w:val="single" w:sz="6" w:space="0" w:color="auto"/>
              <w:bottom w:val="single" w:sz="6" w:space="0" w:color="auto"/>
            </w:tcBorders>
          </w:tcPr>
          <w:p w:rsidR="00B958B1" w:rsidRPr="00F16DCB" w:rsidRDefault="00B958B1" w:rsidP="009F3B54">
            <w:pPr>
              <w:pStyle w:val="OGTableofFigures"/>
            </w:pPr>
            <w:r w:rsidRPr="00F16DCB">
              <w:t>15</w:t>
            </w:r>
          </w:p>
        </w:tc>
        <w:tc>
          <w:tcPr>
            <w:tcW w:w="911" w:type="dxa"/>
            <w:tcBorders>
              <w:top w:val="single" w:sz="6" w:space="0" w:color="auto"/>
              <w:bottom w:val="single" w:sz="6" w:space="0" w:color="auto"/>
            </w:tcBorders>
          </w:tcPr>
          <w:p w:rsidR="00B958B1" w:rsidRPr="00F16DCB" w:rsidRDefault="00B958B1" w:rsidP="009F3B54">
            <w:pPr>
              <w:pStyle w:val="OGTableofFigures"/>
            </w:pPr>
            <w:r w:rsidRPr="00F16DCB">
              <w:t>15.9</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Head"/>
            </w:pPr>
            <w:r w:rsidRPr="00F16DCB">
              <w:t>Quality</w:t>
            </w:r>
          </w:p>
        </w:tc>
        <w:tc>
          <w:tcPr>
            <w:tcW w:w="906" w:type="dxa"/>
            <w:tcBorders>
              <w:top w:val="single" w:sz="6" w:space="0" w:color="auto"/>
            </w:tcBorders>
          </w:tcPr>
          <w:p w:rsidR="00B958B1" w:rsidRPr="00F16DCB" w:rsidRDefault="00B958B1" w:rsidP="009F3B54">
            <w:pPr>
              <w:pStyle w:val="OGTabHead"/>
            </w:pPr>
          </w:p>
        </w:tc>
        <w:tc>
          <w:tcPr>
            <w:tcW w:w="907" w:type="dxa"/>
            <w:tcBorders>
              <w:top w:val="single" w:sz="6" w:space="0" w:color="auto"/>
            </w:tcBorders>
            <w:shd w:val="clear" w:color="auto" w:fill="D9D9D9"/>
          </w:tcPr>
          <w:p w:rsidR="00B958B1" w:rsidRPr="00F16DCB" w:rsidRDefault="00B958B1" w:rsidP="009F3B54">
            <w:pPr>
              <w:pStyle w:val="OGTabHead"/>
            </w:pPr>
            <w:r w:rsidRPr="00F16DCB">
              <w:t> </w:t>
            </w:r>
          </w:p>
        </w:tc>
        <w:tc>
          <w:tcPr>
            <w:tcW w:w="993" w:type="dxa"/>
            <w:tcBorders>
              <w:top w:val="single" w:sz="6" w:space="0" w:color="auto"/>
            </w:tcBorders>
          </w:tcPr>
          <w:p w:rsidR="00B958B1" w:rsidRPr="00F16DCB" w:rsidRDefault="00B958B1" w:rsidP="009F3B54">
            <w:pPr>
              <w:pStyle w:val="OGTabHead"/>
            </w:pPr>
          </w:p>
        </w:tc>
        <w:tc>
          <w:tcPr>
            <w:tcW w:w="907" w:type="dxa"/>
            <w:gridSpan w:val="2"/>
            <w:tcBorders>
              <w:top w:val="single" w:sz="6" w:space="0" w:color="auto"/>
            </w:tcBorders>
          </w:tcPr>
          <w:p w:rsidR="00B958B1" w:rsidRPr="00F16DCB" w:rsidRDefault="00B958B1" w:rsidP="009F3B54">
            <w:pPr>
              <w:pStyle w:val="OGTabHead"/>
            </w:pPr>
          </w:p>
        </w:tc>
        <w:tc>
          <w:tcPr>
            <w:tcW w:w="911" w:type="dxa"/>
            <w:tcBorders>
              <w:top w:val="single" w:sz="6" w:space="0" w:color="auto"/>
            </w:tcBorders>
          </w:tcPr>
          <w:p w:rsidR="00B958B1" w:rsidRPr="00F16DCB" w:rsidRDefault="00B958B1" w:rsidP="009F3B54">
            <w:pPr>
              <w:pStyle w:val="OGTabHead"/>
            </w:pPr>
          </w:p>
        </w:tc>
      </w:tr>
      <w:tr w:rsidR="00B958B1" w:rsidRPr="00F16DCB" w:rsidTr="009F3B54">
        <w:trPr>
          <w:cantSplit/>
        </w:trPr>
        <w:tc>
          <w:tcPr>
            <w:tcW w:w="3152" w:type="dxa"/>
          </w:tcPr>
          <w:p w:rsidR="00B958B1" w:rsidRPr="00F16DCB" w:rsidRDefault="00B958B1" w:rsidP="009F3B54">
            <w:pPr>
              <w:pStyle w:val="OGTabText"/>
              <w:jc w:val="left"/>
            </w:pPr>
            <w:r w:rsidRPr="00F16DCB">
              <w:t>Client agencies</w:t>
            </w:r>
            <w:r>
              <w:t>’</w:t>
            </w:r>
            <w:r w:rsidRPr="00F16DCB">
              <w:t xml:space="preserve"> satisfaction with the services provided by the Shared Services Provider </w:t>
            </w:r>
          </w:p>
        </w:tc>
        <w:tc>
          <w:tcPr>
            <w:tcW w:w="906" w:type="dxa"/>
          </w:tcPr>
          <w:p w:rsidR="00B958B1" w:rsidRPr="00F16DCB" w:rsidRDefault="00B958B1" w:rsidP="009F3B54">
            <w:pPr>
              <w:pStyle w:val="OGUoM"/>
            </w:pPr>
            <w:r>
              <w:t>per cent</w:t>
            </w:r>
          </w:p>
        </w:tc>
        <w:tc>
          <w:tcPr>
            <w:tcW w:w="907" w:type="dxa"/>
            <w:shd w:val="clear" w:color="auto" w:fill="D9D9D9"/>
          </w:tcPr>
          <w:p w:rsidR="00B958B1" w:rsidRPr="00F16DCB" w:rsidRDefault="00B958B1" w:rsidP="009F3B54">
            <w:pPr>
              <w:pStyle w:val="OGTableofFigures"/>
            </w:pPr>
            <w:r w:rsidRPr="00F16DCB">
              <w:t>70</w:t>
            </w:r>
          </w:p>
        </w:tc>
        <w:tc>
          <w:tcPr>
            <w:tcW w:w="993" w:type="dxa"/>
          </w:tcPr>
          <w:p w:rsidR="00B958B1" w:rsidRPr="00F16DCB" w:rsidRDefault="00B958B1" w:rsidP="009F3B54">
            <w:pPr>
              <w:pStyle w:val="OGTableofFigures"/>
            </w:pPr>
            <w:r>
              <w:t>nm</w:t>
            </w:r>
          </w:p>
        </w:tc>
        <w:tc>
          <w:tcPr>
            <w:tcW w:w="907" w:type="dxa"/>
            <w:gridSpan w:val="2"/>
          </w:tcPr>
          <w:p w:rsidR="00B958B1" w:rsidRPr="00F16DCB" w:rsidRDefault="00B958B1" w:rsidP="009F3B54">
            <w:pPr>
              <w:pStyle w:val="OGTableofFigures"/>
            </w:pPr>
            <w:r>
              <w:t>nm</w:t>
            </w:r>
          </w:p>
        </w:tc>
        <w:tc>
          <w:tcPr>
            <w:tcW w:w="911" w:type="dxa"/>
          </w:tcPr>
          <w:p w:rsidR="00B958B1" w:rsidRPr="00F16DCB" w:rsidRDefault="00B958B1" w:rsidP="009F3B54">
            <w:pPr>
              <w:pStyle w:val="OGTableofFigures"/>
            </w:pPr>
            <w:r>
              <w:t>nm</w:t>
            </w:r>
          </w:p>
        </w:tc>
      </w:tr>
      <w:tr w:rsidR="00B958B1" w:rsidRPr="00F16DCB" w:rsidTr="009F3B54">
        <w:trPr>
          <w:cantSplit/>
        </w:trPr>
        <w:tc>
          <w:tcPr>
            <w:tcW w:w="7776" w:type="dxa"/>
            <w:gridSpan w:val="7"/>
            <w:tcBorders>
              <w:bottom w:val="single" w:sz="6" w:space="0" w:color="auto"/>
            </w:tcBorders>
          </w:tcPr>
          <w:p w:rsidR="00B958B1" w:rsidRPr="00F16DCB" w:rsidRDefault="00B958B1" w:rsidP="009F3B54">
            <w:pPr>
              <w:pStyle w:val="OGTableofFigures"/>
              <w:ind w:left="397" w:right="64"/>
              <w:jc w:val="left"/>
              <w:rPr>
                <w:szCs w:val="22"/>
              </w:rPr>
            </w:pPr>
            <w:r w:rsidRPr="00547387">
              <w:rPr>
                <w:rFonts w:cs="Calibri"/>
                <w:i/>
                <w:sz w:val="15"/>
                <w:szCs w:val="15"/>
              </w:rPr>
              <w:t>New performance measure for 2013</w:t>
            </w:r>
            <w:r w:rsidR="009F0F49">
              <w:rPr>
                <w:rFonts w:cs="Calibri"/>
                <w:i/>
                <w:sz w:val="15"/>
                <w:szCs w:val="15"/>
              </w:rPr>
              <w:noBreakHyphen/>
            </w:r>
            <w:r w:rsidRPr="00547387">
              <w:rPr>
                <w:rFonts w:cs="Calibri"/>
                <w:i/>
                <w:sz w:val="15"/>
                <w:szCs w:val="15"/>
              </w:rPr>
              <w:t>14 to reflect Government priorities regarding resource management services.</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Text"/>
              <w:jc w:val="left"/>
            </w:pPr>
            <w:r w:rsidRPr="00F16DCB">
              <w:t>Maintain ISO</w:t>
            </w:r>
            <w:r>
              <w:t> </w:t>
            </w:r>
            <w:r w:rsidRPr="00F16DCB">
              <w:t xml:space="preserve">9001 (Quality Management Systems) Certification </w:t>
            </w:r>
          </w:p>
        </w:tc>
        <w:tc>
          <w:tcPr>
            <w:tcW w:w="906" w:type="dxa"/>
            <w:tcBorders>
              <w:top w:val="single" w:sz="6" w:space="0" w:color="auto"/>
            </w:tcBorders>
          </w:tcPr>
          <w:p w:rsidR="00B958B1" w:rsidRPr="00F16DCB" w:rsidRDefault="00B958B1" w:rsidP="009F3B54">
            <w:pPr>
              <w:pStyle w:val="OGUoM"/>
            </w:pPr>
            <w:r>
              <w:t>per cent</w:t>
            </w:r>
          </w:p>
        </w:tc>
        <w:tc>
          <w:tcPr>
            <w:tcW w:w="907" w:type="dxa"/>
            <w:tcBorders>
              <w:top w:val="single" w:sz="6" w:space="0" w:color="auto"/>
            </w:tcBorders>
            <w:shd w:val="clear" w:color="auto" w:fill="D9D9D9"/>
          </w:tcPr>
          <w:p w:rsidR="00B958B1" w:rsidRPr="00F16DCB" w:rsidRDefault="00B958B1" w:rsidP="009F3B54">
            <w:pPr>
              <w:pStyle w:val="OGTableofFigures"/>
            </w:pPr>
            <w:r w:rsidRPr="00F16DCB">
              <w:t>100</w:t>
            </w:r>
          </w:p>
        </w:tc>
        <w:tc>
          <w:tcPr>
            <w:tcW w:w="993" w:type="dxa"/>
            <w:tcBorders>
              <w:top w:val="single" w:sz="6" w:space="0" w:color="auto"/>
            </w:tcBorders>
          </w:tcPr>
          <w:p w:rsidR="00B958B1" w:rsidRPr="00F16DCB" w:rsidRDefault="00B958B1" w:rsidP="009F3B54">
            <w:pPr>
              <w:pStyle w:val="OGTableofFigures"/>
            </w:pPr>
            <w:r>
              <w:t>nm</w:t>
            </w:r>
          </w:p>
        </w:tc>
        <w:tc>
          <w:tcPr>
            <w:tcW w:w="907" w:type="dxa"/>
            <w:gridSpan w:val="2"/>
            <w:tcBorders>
              <w:top w:val="single" w:sz="6" w:space="0" w:color="auto"/>
            </w:tcBorders>
          </w:tcPr>
          <w:p w:rsidR="00B958B1" w:rsidRPr="00F16DCB" w:rsidRDefault="00B958B1" w:rsidP="009F3B54">
            <w:pPr>
              <w:pStyle w:val="OGTableofFigures"/>
            </w:pPr>
            <w:r>
              <w:t>nm</w:t>
            </w:r>
          </w:p>
        </w:tc>
        <w:tc>
          <w:tcPr>
            <w:tcW w:w="911" w:type="dxa"/>
            <w:tcBorders>
              <w:top w:val="single" w:sz="6" w:space="0" w:color="auto"/>
            </w:tcBorders>
          </w:tcPr>
          <w:p w:rsidR="00B958B1" w:rsidRPr="00F16DCB" w:rsidRDefault="00B958B1" w:rsidP="009F3B54">
            <w:pPr>
              <w:pStyle w:val="OGTableofFigures"/>
            </w:pPr>
            <w:r>
              <w:t>nm</w:t>
            </w:r>
            <w:r w:rsidRPr="00F16DCB">
              <w:t xml:space="preserve"> </w:t>
            </w:r>
          </w:p>
        </w:tc>
      </w:tr>
      <w:tr w:rsidR="00B958B1" w:rsidRPr="00F16DCB" w:rsidTr="009F3B54">
        <w:trPr>
          <w:cantSplit/>
        </w:trPr>
        <w:tc>
          <w:tcPr>
            <w:tcW w:w="7776" w:type="dxa"/>
            <w:gridSpan w:val="7"/>
            <w:tcBorders>
              <w:bottom w:val="single" w:sz="6" w:space="0" w:color="auto"/>
            </w:tcBorders>
          </w:tcPr>
          <w:p w:rsidR="00B958B1" w:rsidRPr="00F16DCB" w:rsidRDefault="00B958B1" w:rsidP="009F3B54">
            <w:pPr>
              <w:pStyle w:val="OGTableofFigures"/>
              <w:ind w:left="397" w:right="64"/>
              <w:jc w:val="left"/>
            </w:pPr>
            <w:r w:rsidRPr="00547387">
              <w:rPr>
                <w:rFonts w:cs="Calibri"/>
                <w:i/>
                <w:sz w:val="15"/>
                <w:szCs w:val="15"/>
              </w:rPr>
              <w:t>This performance measure is proposed to replace the 2012</w:t>
            </w:r>
            <w:r w:rsidR="009F0F49">
              <w:rPr>
                <w:rFonts w:cs="Calibri"/>
                <w:i/>
                <w:sz w:val="15"/>
                <w:szCs w:val="15"/>
              </w:rPr>
              <w:noBreakHyphen/>
            </w:r>
            <w:r w:rsidRPr="00547387">
              <w:rPr>
                <w:rFonts w:cs="Calibri"/>
                <w:i/>
                <w:sz w:val="15"/>
                <w:szCs w:val="15"/>
              </w:rPr>
              <w:t>13 performance measure ‘Service Provision Rating (Ministerial survey data).’ It has been replaced to reflect DTF’s commitment to utilise a standardised measure of quality.</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Text"/>
              <w:jc w:val="left"/>
            </w:pPr>
            <w:r w:rsidRPr="00F16DCB">
              <w:t>Benefits delivered as a percentage of Managed Spend, including reduced and avoided costs</w:t>
            </w:r>
          </w:p>
        </w:tc>
        <w:tc>
          <w:tcPr>
            <w:tcW w:w="906" w:type="dxa"/>
            <w:tcBorders>
              <w:top w:val="single" w:sz="6" w:space="0" w:color="auto"/>
            </w:tcBorders>
          </w:tcPr>
          <w:p w:rsidR="00B958B1" w:rsidRPr="00F16DCB" w:rsidRDefault="00B958B1" w:rsidP="009F3B54">
            <w:pPr>
              <w:pStyle w:val="TableText0"/>
              <w:spacing w:before="60" w:after="60"/>
              <w:jc w:val="center"/>
              <w:rPr>
                <w:rFonts w:cs="Calibri"/>
                <w:color w:val="auto"/>
                <w:sz w:val="20"/>
                <w:szCs w:val="22"/>
              </w:rPr>
            </w:pPr>
            <w:r>
              <w:rPr>
                <w:rFonts w:cs="Calibri"/>
                <w:color w:val="auto"/>
                <w:sz w:val="20"/>
                <w:szCs w:val="22"/>
              </w:rPr>
              <w:t>per cent</w:t>
            </w:r>
          </w:p>
        </w:tc>
        <w:tc>
          <w:tcPr>
            <w:tcW w:w="907" w:type="dxa"/>
            <w:tcBorders>
              <w:top w:val="single" w:sz="6" w:space="0" w:color="auto"/>
            </w:tcBorders>
            <w:shd w:val="clear" w:color="auto" w:fill="D9D9D9"/>
          </w:tcPr>
          <w:p w:rsidR="00B958B1" w:rsidRPr="00F16DCB" w:rsidRDefault="00B958B1" w:rsidP="009F3B54">
            <w:pPr>
              <w:pStyle w:val="OGTableofFigures"/>
            </w:pPr>
            <w:r>
              <w:t>5</w:t>
            </w:r>
          </w:p>
        </w:tc>
        <w:tc>
          <w:tcPr>
            <w:tcW w:w="993" w:type="dxa"/>
            <w:tcBorders>
              <w:top w:val="single" w:sz="6" w:space="0" w:color="auto"/>
            </w:tcBorders>
          </w:tcPr>
          <w:p w:rsidR="00B958B1" w:rsidRPr="00F16DCB" w:rsidRDefault="00B958B1" w:rsidP="009F3B54">
            <w:pPr>
              <w:pStyle w:val="OGTableofFigures"/>
            </w:pPr>
            <w:r>
              <w:t>nm</w:t>
            </w:r>
          </w:p>
        </w:tc>
        <w:tc>
          <w:tcPr>
            <w:tcW w:w="907" w:type="dxa"/>
            <w:gridSpan w:val="2"/>
            <w:tcBorders>
              <w:top w:val="single" w:sz="6" w:space="0" w:color="auto"/>
            </w:tcBorders>
          </w:tcPr>
          <w:p w:rsidR="00B958B1" w:rsidRPr="00F16DCB" w:rsidRDefault="00B958B1" w:rsidP="009F3B54">
            <w:pPr>
              <w:pStyle w:val="OGTableofFigures"/>
            </w:pPr>
            <w:r>
              <w:t>nm</w:t>
            </w:r>
          </w:p>
        </w:tc>
        <w:tc>
          <w:tcPr>
            <w:tcW w:w="911" w:type="dxa"/>
            <w:tcBorders>
              <w:top w:val="single" w:sz="6" w:space="0" w:color="auto"/>
            </w:tcBorders>
          </w:tcPr>
          <w:p w:rsidR="00B958B1" w:rsidRPr="00F16DCB" w:rsidRDefault="00B958B1" w:rsidP="009F3B54">
            <w:pPr>
              <w:pStyle w:val="OGTableofFigures"/>
            </w:pPr>
            <w:r>
              <w:t>nm</w:t>
            </w:r>
          </w:p>
        </w:tc>
      </w:tr>
      <w:tr w:rsidR="00B958B1" w:rsidRPr="00F16DCB" w:rsidTr="009F3B54">
        <w:trPr>
          <w:cantSplit/>
        </w:trPr>
        <w:tc>
          <w:tcPr>
            <w:tcW w:w="7776" w:type="dxa"/>
            <w:gridSpan w:val="7"/>
            <w:tcBorders>
              <w:bottom w:val="single" w:sz="6" w:space="0" w:color="auto"/>
            </w:tcBorders>
          </w:tcPr>
          <w:p w:rsidR="00B958B1" w:rsidRDefault="00B958B1" w:rsidP="009F3B54">
            <w:pPr>
              <w:pStyle w:val="OGTableofFigures"/>
              <w:ind w:left="397" w:right="64"/>
              <w:jc w:val="left"/>
            </w:pPr>
            <w:r w:rsidRPr="00547387">
              <w:rPr>
                <w:rFonts w:cs="Calibri"/>
                <w:i/>
                <w:sz w:val="15"/>
                <w:szCs w:val="15"/>
              </w:rPr>
              <w:t>New performance measure for 2013</w:t>
            </w:r>
            <w:r w:rsidR="009F0F49">
              <w:rPr>
                <w:rFonts w:cs="Calibri"/>
                <w:i/>
                <w:sz w:val="15"/>
                <w:szCs w:val="15"/>
              </w:rPr>
              <w:noBreakHyphen/>
            </w:r>
            <w:r w:rsidRPr="00547387">
              <w:rPr>
                <w:rFonts w:cs="Calibri"/>
                <w:i/>
                <w:sz w:val="15"/>
                <w:szCs w:val="15"/>
              </w:rPr>
              <w:t>14 to reflect Government priorities regarding resource management services.</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Text"/>
            </w:pPr>
            <w:r>
              <w:t>Cost</w:t>
            </w:r>
          </w:p>
        </w:tc>
        <w:tc>
          <w:tcPr>
            <w:tcW w:w="906" w:type="dxa"/>
            <w:tcBorders>
              <w:top w:val="single" w:sz="6" w:space="0" w:color="auto"/>
            </w:tcBorders>
          </w:tcPr>
          <w:p w:rsidR="00B958B1" w:rsidRDefault="00B958B1" w:rsidP="009F3B54">
            <w:pPr>
              <w:pStyle w:val="TableText0"/>
              <w:spacing w:before="60" w:after="60"/>
              <w:jc w:val="center"/>
              <w:rPr>
                <w:rFonts w:cs="Calibri"/>
                <w:color w:val="auto"/>
                <w:sz w:val="20"/>
                <w:szCs w:val="22"/>
              </w:rPr>
            </w:pPr>
          </w:p>
        </w:tc>
        <w:tc>
          <w:tcPr>
            <w:tcW w:w="907" w:type="dxa"/>
            <w:tcBorders>
              <w:top w:val="single" w:sz="6" w:space="0" w:color="auto"/>
            </w:tcBorders>
            <w:shd w:val="clear" w:color="auto" w:fill="D9D9D9"/>
          </w:tcPr>
          <w:p w:rsidR="00B958B1" w:rsidRPr="00F16DCB" w:rsidRDefault="00B958B1" w:rsidP="009F3B54">
            <w:pPr>
              <w:pStyle w:val="OGTableofFigures"/>
            </w:pPr>
          </w:p>
        </w:tc>
        <w:tc>
          <w:tcPr>
            <w:tcW w:w="993" w:type="dxa"/>
            <w:tcBorders>
              <w:top w:val="single" w:sz="6" w:space="0" w:color="auto"/>
            </w:tcBorders>
          </w:tcPr>
          <w:p w:rsidR="00B958B1" w:rsidRDefault="00B958B1" w:rsidP="009F3B54">
            <w:pPr>
              <w:pStyle w:val="OGTableofFigures"/>
            </w:pPr>
          </w:p>
        </w:tc>
        <w:tc>
          <w:tcPr>
            <w:tcW w:w="907" w:type="dxa"/>
            <w:gridSpan w:val="2"/>
            <w:tcBorders>
              <w:top w:val="single" w:sz="6" w:space="0" w:color="auto"/>
            </w:tcBorders>
          </w:tcPr>
          <w:p w:rsidR="00B958B1" w:rsidRDefault="00B958B1" w:rsidP="009F3B54">
            <w:pPr>
              <w:pStyle w:val="OGTableofFigures"/>
            </w:pPr>
          </w:p>
        </w:tc>
        <w:tc>
          <w:tcPr>
            <w:tcW w:w="911" w:type="dxa"/>
            <w:tcBorders>
              <w:top w:val="single" w:sz="6" w:space="0" w:color="auto"/>
            </w:tcBorders>
          </w:tcPr>
          <w:p w:rsidR="00B958B1" w:rsidRDefault="00B958B1" w:rsidP="009F3B54">
            <w:pPr>
              <w:pStyle w:val="OGTableofFigures"/>
            </w:pPr>
          </w:p>
        </w:tc>
      </w:tr>
      <w:tr w:rsidR="00B958B1" w:rsidRPr="00F16DCB" w:rsidTr="009F3B54">
        <w:trPr>
          <w:cantSplit/>
        </w:trPr>
        <w:tc>
          <w:tcPr>
            <w:tcW w:w="3152" w:type="dxa"/>
          </w:tcPr>
          <w:p w:rsidR="00B958B1" w:rsidRPr="002B0132" w:rsidRDefault="00B958B1" w:rsidP="009F3B54">
            <w:pPr>
              <w:pStyle w:val="TableText0"/>
              <w:spacing w:before="60" w:after="60"/>
              <w:rPr>
                <w:rFonts w:cs="Calibri"/>
                <w:color w:val="auto"/>
                <w:sz w:val="20"/>
                <w:szCs w:val="22"/>
              </w:rPr>
            </w:pPr>
            <w:r>
              <w:rPr>
                <w:rFonts w:cs="Calibri"/>
                <w:color w:val="auto"/>
                <w:sz w:val="20"/>
                <w:szCs w:val="22"/>
              </w:rPr>
              <w:t>Total output cost</w:t>
            </w:r>
          </w:p>
        </w:tc>
        <w:tc>
          <w:tcPr>
            <w:tcW w:w="906" w:type="dxa"/>
          </w:tcPr>
          <w:p w:rsidR="00B958B1" w:rsidRPr="002B0132" w:rsidRDefault="00B958B1" w:rsidP="009F3B54">
            <w:pPr>
              <w:pStyle w:val="TableText0"/>
              <w:spacing w:before="60" w:after="60"/>
              <w:jc w:val="center"/>
              <w:rPr>
                <w:rFonts w:cs="Calibri"/>
                <w:color w:val="auto"/>
                <w:sz w:val="20"/>
                <w:szCs w:val="22"/>
              </w:rPr>
            </w:pPr>
            <w:r>
              <w:rPr>
                <w:rFonts w:cs="Calibri"/>
                <w:color w:val="auto"/>
                <w:sz w:val="20"/>
                <w:szCs w:val="22"/>
              </w:rPr>
              <w:t>$ million</w:t>
            </w:r>
          </w:p>
        </w:tc>
        <w:tc>
          <w:tcPr>
            <w:tcW w:w="907" w:type="dxa"/>
            <w:shd w:val="clear" w:color="auto" w:fill="D9D9D9"/>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45.3</w:t>
            </w:r>
          </w:p>
        </w:tc>
        <w:tc>
          <w:tcPr>
            <w:tcW w:w="993" w:type="dxa"/>
          </w:tcPr>
          <w:p w:rsidR="00B958B1" w:rsidRDefault="00B958B1" w:rsidP="009F3B54">
            <w:pPr>
              <w:pStyle w:val="TableText0"/>
              <w:spacing w:before="60" w:after="60"/>
              <w:jc w:val="right"/>
              <w:rPr>
                <w:rFonts w:cs="Calibri"/>
                <w:color w:val="auto"/>
                <w:sz w:val="20"/>
                <w:szCs w:val="22"/>
              </w:rPr>
            </w:pPr>
            <w:r>
              <w:rPr>
                <w:rFonts w:cs="Calibri"/>
                <w:color w:val="auto"/>
                <w:sz w:val="20"/>
                <w:szCs w:val="22"/>
              </w:rPr>
              <w:t>44.8</w:t>
            </w:r>
          </w:p>
        </w:tc>
        <w:tc>
          <w:tcPr>
            <w:tcW w:w="907" w:type="dxa"/>
            <w:gridSpan w:val="2"/>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57.2</w:t>
            </w:r>
          </w:p>
        </w:tc>
        <w:tc>
          <w:tcPr>
            <w:tcW w:w="911" w:type="dxa"/>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50.7</w:t>
            </w:r>
          </w:p>
        </w:tc>
      </w:tr>
      <w:tr w:rsidR="00B958B1" w:rsidRPr="00F16DCB" w:rsidTr="009F3B54">
        <w:trPr>
          <w:cantSplit/>
        </w:trPr>
        <w:tc>
          <w:tcPr>
            <w:tcW w:w="7776" w:type="dxa"/>
            <w:gridSpan w:val="7"/>
            <w:tcBorders>
              <w:bottom w:val="single" w:sz="12" w:space="0" w:color="auto"/>
            </w:tcBorders>
          </w:tcPr>
          <w:p w:rsidR="00B958B1" w:rsidRPr="00547387" w:rsidRDefault="00B958B1" w:rsidP="009F3B54">
            <w:pPr>
              <w:pStyle w:val="OGTableofFigures"/>
              <w:ind w:left="397" w:right="64"/>
              <w:jc w:val="left"/>
              <w:rPr>
                <w:rFonts w:cs="Calibri"/>
                <w:i/>
                <w:sz w:val="15"/>
                <w:szCs w:val="15"/>
              </w:rPr>
            </w:pPr>
            <w:r w:rsidRPr="00547387">
              <w:rPr>
                <w:rFonts w:cs="Calibri"/>
                <w:i/>
                <w:sz w:val="15"/>
                <w:szCs w:val="15"/>
              </w:rPr>
              <w:t>The 2012</w:t>
            </w:r>
            <w:r w:rsidR="009F0F49">
              <w:rPr>
                <w:rFonts w:cs="Calibri"/>
                <w:i/>
                <w:sz w:val="15"/>
                <w:szCs w:val="15"/>
              </w:rPr>
              <w:noBreakHyphen/>
            </w:r>
            <w:r w:rsidRPr="00547387">
              <w:rPr>
                <w:rFonts w:cs="Calibri"/>
                <w:i/>
                <w:sz w:val="15"/>
                <w:szCs w:val="15"/>
              </w:rPr>
              <w:t>13 Expected Outcome is lower than the 2012</w:t>
            </w:r>
            <w:r w:rsidR="009F0F49">
              <w:rPr>
                <w:rFonts w:cs="Calibri"/>
                <w:i/>
                <w:sz w:val="15"/>
                <w:szCs w:val="15"/>
              </w:rPr>
              <w:noBreakHyphen/>
            </w:r>
            <w:r w:rsidRPr="00547387">
              <w:rPr>
                <w:rFonts w:cs="Calibri"/>
                <w:i/>
                <w:sz w:val="15"/>
                <w:szCs w:val="15"/>
              </w:rPr>
              <w:t xml:space="preserve">13 Target due to cessation of the Efficient Technology Initiative and the reprioritisation of resources towards the Land and Infrastructure Investment Management output in accordance with Government priorities. </w:t>
            </w:r>
          </w:p>
          <w:p w:rsidR="00B958B1" w:rsidRPr="00F16DCB" w:rsidRDefault="00B958B1" w:rsidP="009F3B54">
            <w:pPr>
              <w:pStyle w:val="OGTableofFigures"/>
              <w:ind w:left="397" w:right="64"/>
              <w:jc w:val="left"/>
            </w:pPr>
            <w:r w:rsidRPr="00547387">
              <w:rPr>
                <w:rFonts w:cs="Calibri"/>
                <w:i/>
                <w:sz w:val="15"/>
                <w:szCs w:val="15"/>
              </w:rPr>
              <w:t>The lower 2013</w:t>
            </w:r>
            <w:r w:rsidR="009F0F49">
              <w:rPr>
                <w:rFonts w:cs="Calibri"/>
                <w:i/>
                <w:sz w:val="15"/>
                <w:szCs w:val="15"/>
              </w:rPr>
              <w:noBreakHyphen/>
            </w:r>
            <w:r w:rsidRPr="00547387">
              <w:rPr>
                <w:rFonts w:cs="Calibri"/>
                <w:i/>
                <w:sz w:val="15"/>
                <w:szCs w:val="15"/>
              </w:rPr>
              <w:t>14 Target reflects the transfer of whole</w:t>
            </w:r>
            <w:r w:rsidR="009F0F49">
              <w:rPr>
                <w:rFonts w:cs="Calibri"/>
                <w:i/>
                <w:sz w:val="15"/>
                <w:szCs w:val="15"/>
              </w:rPr>
              <w:noBreakHyphen/>
            </w:r>
            <w:r w:rsidRPr="00547387">
              <w:rPr>
                <w:rFonts w:cs="Calibri"/>
                <w:i/>
                <w:sz w:val="15"/>
                <w:szCs w:val="15"/>
              </w:rPr>
              <w:t>of</w:t>
            </w:r>
            <w:r w:rsidR="009F0F49">
              <w:rPr>
                <w:rFonts w:cs="Calibri"/>
                <w:i/>
                <w:sz w:val="15"/>
                <w:szCs w:val="15"/>
              </w:rPr>
              <w:noBreakHyphen/>
            </w:r>
            <w:r w:rsidRPr="00547387">
              <w:rPr>
                <w:rFonts w:cs="Calibri"/>
                <w:i/>
                <w:sz w:val="15"/>
                <w:szCs w:val="15"/>
              </w:rPr>
              <w:t>government ICT functions to the Department of State Development, Business and Innovation through machinery</w:t>
            </w:r>
            <w:r w:rsidR="009F0F49">
              <w:rPr>
                <w:rFonts w:cs="Calibri"/>
                <w:i/>
                <w:sz w:val="15"/>
                <w:szCs w:val="15"/>
              </w:rPr>
              <w:noBreakHyphen/>
            </w:r>
            <w:r w:rsidRPr="00547387">
              <w:rPr>
                <w:rFonts w:cs="Calibri"/>
                <w:i/>
                <w:sz w:val="15"/>
                <w:szCs w:val="15"/>
              </w:rPr>
              <w:t>of</w:t>
            </w:r>
            <w:r w:rsidR="009F0F49">
              <w:rPr>
                <w:rFonts w:cs="Calibri"/>
                <w:i/>
                <w:sz w:val="15"/>
                <w:szCs w:val="15"/>
              </w:rPr>
              <w:noBreakHyphen/>
            </w:r>
            <w:r w:rsidRPr="00547387">
              <w:rPr>
                <w:rFonts w:cs="Calibri"/>
                <w:i/>
                <w:sz w:val="15"/>
                <w:szCs w:val="15"/>
              </w:rPr>
              <w:t>government changes.</w:t>
            </w:r>
          </w:p>
        </w:tc>
      </w:tr>
    </w:tbl>
    <w:p w:rsidR="00B958B1" w:rsidRDefault="00B958B1" w:rsidP="009F3B54">
      <w:pPr>
        <w:pStyle w:val="Source"/>
      </w:pPr>
      <w:r>
        <w:t>Source: Department of Treasury and Finance</w:t>
      </w:r>
    </w:p>
    <w:p w:rsidR="00B958B1" w:rsidRDefault="00B958B1" w:rsidP="009F3B54">
      <w:pPr>
        <w:pStyle w:val="Source"/>
      </w:pPr>
      <w:r>
        <w:fldChar w:fldCharType="begin"/>
      </w:r>
      <w:r>
        <w:instrText xml:space="preserve"> XE "</w:instrText>
      </w:r>
      <w:r w:rsidRPr="002923E3">
        <w:instrText>Department of Treasury and Finance:Resource Management Services</w:instrText>
      </w:r>
      <w:r>
        <w:instrText xml:space="preserve">" \r "BP3DTFResMgmtSvces" </w:instrText>
      </w:r>
      <w:r>
        <w:fldChar w:fldCharType="end"/>
      </w:r>
    </w:p>
    <w:bookmarkEnd w:id="148"/>
    <w:p w:rsidR="00B958B1" w:rsidRPr="00F16DCB" w:rsidRDefault="00B958B1" w:rsidP="009F3B54">
      <w:pPr>
        <w:pStyle w:val="OGHeading1"/>
      </w:pPr>
      <w:r w:rsidRPr="00F16DCB">
        <w:br w:type="page"/>
      </w:r>
      <w:bookmarkStart w:id="149" w:name="BP3DTFRegulatorySvces"/>
      <w:r w:rsidRPr="00F16DCB">
        <w:t>Regulatory Services</w:t>
      </w:r>
    </w:p>
    <w:p w:rsidR="00B958B1" w:rsidRDefault="00B958B1" w:rsidP="009F3B54">
      <w:pPr>
        <w:pStyle w:val="OGText"/>
        <w:rPr>
          <w:lang w:eastAsia="en-AU"/>
        </w:rPr>
      </w:pPr>
      <w:r>
        <w:rPr>
          <w:lang w:eastAsia="en-AU"/>
        </w:rPr>
        <w:t xml:space="preserve">These outputs regulate utilities and other regulated markets in Victoria, and provide advice on ways the Government can improve the business environment. </w:t>
      </w:r>
    </w:p>
    <w:p w:rsidR="00B958B1" w:rsidRPr="00F16DCB" w:rsidRDefault="00B958B1" w:rsidP="009F3B54">
      <w:pPr>
        <w:pStyle w:val="OGText"/>
        <w:rPr>
          <w:lang w:eastAsia="en-AU"/>
        </w:rPr>
      </w:pPr>
      <w:r>
        <w:rPr>
          <w:lang w:eastAsia="en-AU"/>
        </w:rPr>
        <w:t>By informing Government on ways to create a competitive business environment and by efficiently regulating utilities and other specified markets to protect the long</w:t>
      </w:r>
      <w:r w:rsidR="009F0F49">
        <w:rPr>
          <w:lang w:eastAsia="en-AU"/>
        </w:rPr>
        <w:noBreakHyphen/>
      </w:r>
      <w:r>
        <w:rPr>
          <w:lang w:eastAsia="en-AU"/>
        </w:rPr>
        <w:t>term interests of Victorian consumers with regard to price, quality and reliability of essential services, these outputs contribute to the departmental objective of guiding government actions to increase Victoria’s productivity and competitiveness.</w:t>
      </w:r>
    </w:p>
    <w:tbl>
      <w:tblPr>
        <w:tblStyle w:val="TableGrid"/>
        <w:tblW w:w="7776" w:type="dxa"/>
        <w:tblInd w:w="29" w:type="dxa"/>
        <w:tblLayout w:type="fixed"/>
        <w:tblCellMar>
          <w:left w:w="43" w:type="dxa"/>
          <w:right w:w="43" w:type="dxa"/>
        </w:tblCellMar>
        <w:tblLook w:val="04A0" w:firstRow="1" w:lastRow="0" w:firstColumn="1" w:lastColumn="0" w:noHBand="0" w:noVBand="1"/>
      </w:tblPr>
      <w:tblGrid>
        <w:gridCol w:w="3152"/>
        <w:gridCol w:w="906"/>
        <w:gridCol w:w="907"/>
        <w:gridCol w:w="993"/>
        <w:gridCol w:w="897"/>
        <w:gridCol w:w="10"/>
        <w:gridCol w:w="911"/>
      </w:tblGrid>
      <w:tr w:rsidR="00B958B1" w:rsidRPr="00F16DCB" w:rsidTr="009F3B54">
        <w:trPr>
          <w:cantSplit/>
          <w:tblHeader/>
        </w:trPr>
        <w:tc>
          <w:tcPr>
            <w:tcW w:w="3152" w:type="dxa"/>
            <w:tcBorders>
              <w:top w:val="single" w:sz="6" w:space="0" w:color="auto"/>
              <w:left w:val="single" w:sz="6" w:space="0" w:color="auto"/>
              <w:bottom w:val="single" w:sz="6" w:space="0" w:color="auto"/>
            </w:tcBorders>
            <w:shd w:val="clear" w:color="auto" w:fill="000000"/>
          </w:tcPr>
          <w:p w:rsidR="00B958B1" w:rsidRDefault="00B958B1" w:rsidP="009F3B54">
            <w:pPr>
              <w:pStyle w:val="OGTabColLeft"/>
            </w:pPr>
            <w:r>
              <w:rPr>
                <w:shd w:val="clear" w:color="auto" w:fill="000000"/>
              </w:rPr>
              <w:br/>
            </w:r>
            <w:r w:rsidRPr="00F16DCB">
              <w:rPr>
                <w:shd w:val="clear" w:color="auto" w:fill="000000"/>
              </w:rPr>
              <w:t xml:space="preserve">Major </w:t>
            </w:r>
            <w:r w:rsidRPr="00F16DCB">
              <w:t>outputs/deliverables</w:t>
            </w:r>
            <w:r w:rsidRPr="00F16DCB">
              <w:br/>
            </w:r>
            <w:r w:rsidRPr="00E26AF5">
              <w:rPr>
                <w:b w:val="0"/>
                <w:i/>
                <w:iCs/>
              </w:rPr>
              <w:t>Performance measures</w:t>
            </w:r>
          </w:p>
        </w:tc>
        <w:tc>
          <w:tcPr>
            <w:tcW w:w="906" w:type="dxa"/>
            <w:tcBorders>
              <w:top w:val="single" w:sz="6" w:space="0" w:color="auto"/>
              <w:bottom w:val="single" w:sz="6" w:space="0" w:color="auto"/>
            </w:tcBorders>
            <w:shd w:val="clear" w:color="auto" w:fill="000000"/>
            <w:vAlign w:val="bottom"/>
          </w:tcPr>
          <w:p w:rsidR="00B958B1" w:rsidRPr="00F16DCB" w:rsidRDefault="00B958B1" w:rsidP="009F3B54">
            <w:pPr>
              <w:pStyle w:val="OGTabColCentred"/>
            </w:pPr>
            <w:r w:rsidRPr="00F16DCB">
              <w:t xml:space="preserve">Unit of </w:t>
            </w:r>
            <w:r w:rsidRPr="00F16DCB">
              <w:br/>
              <w:t>measure</w:t>
            </w:r>
          </w:p>
        </w:tc>
        <w:tc>
          <w:tcPr>
            <w:tcW w:w="907" w:type="dxa"/>
            <w:tcBorders>
              <w:top w:val="single" w:sz="6" w:space="0" w:color="auto"/>
              <w:bottom w:val="single" w:sz="6" w:space="0" w:color="auto"/>
            </w:tcBorders>
            <w:shd w:val="clear" w:color="auto" w:fill="000000"/>
          </w:tcPr>
          <w:p w:rsidR="00B958B1" w:rsidRDefault="00B958B1" w:rsidP="009F3B54">
            <w:pPr>
              <w:pStyle w:val="OGTabColRight"/>
            </w:pPr>
            <w:r>
              <w:br/>
            </w:r>
            <w:r w:rsidRPr="00F16DCB">
              <w:t>2013</w:t>
            </w:r>
            <w:r w:rsidR="009F0F49">
              <w:noBreakHyphen/>
            </w:r>
            <w:r w:rsidRPr="00F16DCB">
              <w:t xml:space="preserve">14 </w:t>
            </w:r>
            <w:r>
              <w:t>Target</w:t>
            </w:r>
          </w:p>
        </w:tc>
        <w:tc>
          <w:tcPr>
            <w:tcW w:w="993" w:type="dxa"/>
            <w:tcBorders>
              <w:top w:val="single" w:sz="6" w:space="0" w:color="auto"/>
              <w:bottom w:val="single" w:sz="6" w:space="0" w:color="auto"/>
            </w:tcBorders>
            <w:shd w:val="clear" w:color="auto" w:fill="000000"/>
          </w:tcPr>
          <w:p w:rsidR="00B958B1" w:rsidRDefault="00B958B1" w:rsidP="009F3B54">
            <w:pPr>
              <w:pStyle w:val="OGTabColRight"/>
            </w:pPr>
            <w:r w:rsidRPr="00F16DCB">
              <w:t>2012</w:t>
            </w:r>
            <w:r w:rsidR="009F0F49">
              <w:noBreakHyphen/>
            </w:r>
            <w:r w:rsidRPr="00F16DCB">
              <w:t xml:space="preserve">13 </w:t>
            </w:r>
            <w:r>
              <w:t>Expected Outcome</w:t>
            </w:r>
          </w:p>
        </w:tc>
        <w:tc>
          <w:tcPr>
            <w:tcW w:w="897" w:type="dxa"/>
            <w:tcBorders>
              <w:top w:val="single" w:sz="6" w:space="0" w:color="auto"/>
              <w:bottom w:val="single" w:sz="6" w:space="0" w:color="auto"/>
            </w:tcBorders>
            <w:shd w:val="clear" w:color="auto" w:fill="000000"/>
          </w:tcPr>
          <w:p w:rsidR="00B958B1" w:rsidRDefault="00B958B1" w:rsidP="009F3B54">
            <w:pPr>
              <w:pStyle w:val="OGTabColRight"/>
            </w:pPr>
            <w:r>
              <w:br/>
            </w:r>
            <w:r w:rsidRPr="00F16DCB">
              <w:t>2012</w:t>
            </w:r>
            <w:r w:rsidR="009F0F49">
              <w:noBreakHyphen/>
            </w:r>
            <w:r w:rsidRPr="00F16DCB">
              <w:t xml:space="preserve">13 </w:t>
            </w:r>
            <w:r>
              <w:t>Target</w:t>
            </w:r>
          </w:p>
        </w:tc>
        <w:tc>
          <w:tcPr>
            <w:tcW w:w="921" w:type="dxa"/>
            <w:gridSpan w:val="2"/>
            <w:tcBorders>
              <w:top w:val="single" w:sz="6" w:space="0" w:color="auto"/>
              <w:bottom w:val="single" w:sz="6" w:space="0" w:color="auto"/>
              <w:right w:val="single" w:sz="6" w:space="0" w:color="auto"/>
            </w:tcBorders>
            <w:shd w:val="clear" w:color="auto" w:fill="000000"/>
          </w:tcPr>
          <w:p w:rsidR="00B958B1" w:rsidRDefault="00B958B1" w:rsidP="009F3B54">
            <w:pPr>
              <w:pStyle w:val="OGTabColRight"/>
            </w:pPr>
            <w:r>
              <w:br/>
            </w:r>
            <w:r w:rsidRPr="00F16DCB">
              <w:t>2011</w:t>
            </w:r>
            <w:r w:rsidR="009F0F49">
              <w:noBreakHyphen/>
            </w:r>
            <w:r w:rsidRPr="00F16DCB">
              <w:t>12 actual</w:t>
            </w:r>
          </w:p>
        </w:tc>
      </w:tr>
      <w:tr w:rsidR="00B958B1" w:rsidRPr="00F16DCB" w:rsidTr="009F3B54">
        <w:trPr>
          <w:cantSplit/>
        </w:trPr>
        <w:tc>
          <w:tcPr>
            <w:tcW w:w="7776" w:type="dxa"/>
            <w:gridSpan w:val="7"/>
            <w:tcBorders>
              <w:bottom w:val="single" w:sz="6" w:space="0" w:color="auto"/>
            </w:tcBorders>
          </w:tcPr>
          <w:p w:rsidR="00B958B1" w:rsidRDefault="00B958B1" w:rsidP="009F3B54">
            <w:pPr>
              <w:pStyle w:val="OGHeading2"/>
              <w:rPr>
                <w:lang w:eastAsia="en-AU"/>
              </w:rPr>
            </w:pPr>
            <w:r w:rsidRPr="00F16DCB">
              <w:t>Economic Regulatory Services</w:t>
            </w:r>
          </w:p>
        </w:tc>
      </w:tr>
      <w:tr w:rsidR="00B958B1" w:rsidRPr="00F16DCB" w:rsidTr="009F3B54">
        <w:trPr>
          <w:cantSplit/>
        </w:trPr>
        <w:tc>
          <w:tcPr>
            <w:tcW w:w="7776" w:type="dxa"/>
            <w:gridSpan w:val="7"/>
            <w:tcBorders>
              <w:bottom w:val="single" w:sz="6" w:space="0" w:color="auto"/>
            </w:tcBorders>
          </w:tcPr>
          <w:p w:rsidR="00B958B1" w:rsidRPr="00F16DCB" w:rsidRDefault="00B958B1" w:rsidP="009F3B54">
            <w:pPr>
              <w:pStyle w:val="OGText"/>
              <w:jc w:val="left"/>
            </w:pPr>
            <w:r w:rsidRPr="001241B3">
              <w:rPr>
                <w:lang w:eastAsia="en-AU"/>
              </w:rPr>
              <w:t xml:space="preserve">This output provides economic regulation of utilities and other specified markets </w:t>
            </w:r>
            <w:r>
              <w:rPr>
                <w:lang w:eastAsia="en-AU"/>
              </w:rPr>
              <w:t>in Victoria to protect the long</w:t>
            </w:r>
            <w:r w:rsidR="009F0F49">
              <w:rPr>
                <w:lang w:eastAsia="en-AU"/>
              </w:rPr>
              <w:noBreakHyphen/>
            </w:r>
            <w:r w:rsidRPr="001241B3">
              <w:rPr>
                <w:lang w:eastAsia="en-AU"/>
              </w:rPr>
              <w:t>term interests of Victorian consumers with regard to price, quality and reliability of essential services. By providing these services, this output contributes to the departmental objective of guiding government actions to increase Victoria</w:t>
            </w:r>
            <w:r>
              <w:rPr>
                <w:lang w:eastAsia="en-AU"/>
              </w:rPr>
              <w:t>’</w:t>
            </w:r>
            <w:r w:rsidRPr="001241B3">
              <w:rPr>
                <w:lang w:eastAsia="en-AU"/>
              </w:rPr>
              <w:t>s productivity and competitiveness.</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Head"/>
            </w:pPr>
            <w:r w:rsidRPr="00F16DCB">
              <w:t>Quantity</w:t>
            </w:r>
          </w:p>
        </w:tc>
        <w:tc>
          <w:tcPr>
            <w:tcW w:w="906" w:type="dxa"/>
            <w:tcBorders>
              <w:top w:val="single" w:sz="6" w:space="0" w:color="auto"/>
            </w:tcBorders>
          </w:tcPr>
          <w:p w:rsidR="00B958B1" w:rsidRPr="00F16DCB" w:rsidRDefault="00B958B1" w:rsidP="009F3B54">
            <w:pPr>
              <w:pStyle w:val="OGTabHead"/>
            </w:pPr>
          </w:p>
        </w:tc>
        <w:tc>
          <w:tcPr>
            <w:tcW w:w="907" w:type="dxa"/>
            <w:tcBorders>
              <w:top w:val="single" w:sz="6" w:space="0" w:color="auto"/>
            </w:tcBorders>
            <w:shd w:val="clear" w:color="auto" w:fill="D9D9D9"/>
          </w:tcPr>
          <w:p w:rsidR="00B958B1" w:rsidRPr="00F16DCB" w:rsidRDefault="00B958B1" w:rsidP="009F3B54">
            <w:pPr>
              <w:pStyle w:val="OGTabHead"/>
            </w:pPr>
          </w:p>
        </w:tc>
        <w:tc>
          <w:tcPr>
            <w:tcW w:w="993" w:type="dxa"/>
            <w:tcBorders>
              <w:top w:val="single" w:sz="6" w:space="0" w:color="auto"/>
            </w:tcBorders>
          </w:tcPr>
          <w:p w:rsidR="00B958B1" w:rsidRPr="00F16DCB" w:rsidRDefault="00B958B1" w:rsidP="009F3B54">
            <w:pPr>
              <w:pStyle w:val="OGTabHead"/>
            </w:pPr>
          </w:p>
        </w:tc>
        <w:tc>
          <w:tcPr>
            <w:tcW w:w="907" w:type="dxa"/>
            <w:gridSpan w:val="2"/>
            <w:tcBorders>
              <w:top w:val="single" w:sz="6" w:space="0" w:color="auto"/>
            </w:tcBorders>
          </w:tcPr>
          <w:p w:rsidR="00B958B1" w:rsidRPr="00F16DCB" w:rsidRDefault="00B958B1" w:rsidP="009F3B54">
            <w:pPr>
              <w:pStyle w:val="OGTabHead"/>
            </w:pPr>
          </w:p>
        </w:tc>
        <w:tc>
          <w:tcPr>
            <w:tcW w:w="911" w:type="dxa"/>
            <w:tcBorders>
              <w:top w:val="single" w:sz="6" w:space="0" w:color="auto"/>
            </w:tcBorders>
          </w:tcPr>
          <w:p w:rsidR="00B958B1" w:rsidRPr="00F16DCB" w:rsidRDefault="00B958B1" w:rsidP="009F3B54">
            <w:pPr>
              <w:pStyle w:val="OGTabHead"/>
            </w:pPr>
          </w:p>
        </w:tc>
      </w:tr>
      <w:tr w:rsidR="00B958B1" w:rsidRPr="00F16DCB" w:rsidTr="009F3B54">
        <w:trPr>
          <w:cantSplit/>
        </w:trPr>
        <w:tc>
          <w:tcPr>
            <w:tcW w:w="3152" w:type="dxa"/>
          </w:tcPr>
          <w:p w:rsidR="00B958B1" w:rsidRPr="00F16DCB" w:rsidRDefault="00B958B1" w:rsidP="009F3B54">
            <w:pPr>
              <w:pStyle w:val="OGTabText"/>
              <w:jc w:val="left"/>
            </w:pPr>
            <w:r w:rsidRPr="00F16DCB">
              <w:t>New or revised regulatory instruments issued</w:t>
            </w:r>
          </w:p>
        </w:tc>
        <w:tc>
          <w:tcPr>
            <w:tcW w:w="906" w:type="dxa"/>
          </w:tcPr>
          <w:p w:rsidR="00B958B1" w:rsidRPr="00F16DCB" w:rsidRDefault="00B958B1" w:rsidP="009F3B54">
            <w:pPr>
              <w:pStyle w:val="OGUoM"/>
            </w:pPr>
            <w:r w:rsidRPr="00F16DCB">
              <w:t>number</w:t>
            </w:r>
          </w:p>
        </w:tc>
        <w:tc>
          <w:tcPr>
            <w:tcW w:w="907" w:type="dxa"/>
            <w:shd w:val="clear" w:color="auto" w:fill="D9D9D9"/>
          </w:tcPr>
          <w:p w:rsidR="00B958B1" w:rsidRPr="00F16DCB" w:rsidRDefault="00B958B1" w:rsidP="009F3B54">
            <w:pPr>
              <w:pStyle w:val="OGTableofFigures"/>
            </w:pPr>
            <w:r>
              <w:t>8</w:t>
            </w:r>
          </w:p>
        </w:tc>
        <w:tc>
          <w:tcPr>
            <w:tcW w:w="993" w:type="dxa"/>
          </w:tcPr>
          <w:p w:rsidR="00B958B1" w:rsidRPr="00F16DCB" w:rsidRDefault="00B958B1" w:rsidP="009F3B54">
            <w:pPr>
              <w:pStyle w:val="OGTableofFigures"/>
            </w:pPr>
            <w:r w:rsidRPr="00F16DCB">
              <w:t>2</w:t>
            </w:r>
          </w:p>
        </w:tc>
        <w:tc>
          <w:tcPr>
            <w:tcW w:w="907" w:type="dxa"/>
            <w:gridSpan w:val="2"/>
          </w:tcPr>
          <w:p w:rsidR="00B958B1" w:rsidRPr="00F16DCB" w:rsidRDefault="00B958B1" w:rsidP="009F3B54">
            <w:pPr>
              <w:pStyle w:val="OGTableofFigures"/>
            </w:pPr>
            <w:r>
              <w:t>0</w:t>
            </w:r>
          </w:p>
        </w:tc>
        <w:tc>
          <w:tcPr>
            <w:tcW w:w="911" w:type="dxa"/>
          </w:tcPr>
          <w:p w:rsidR="00B958B1" w:rsidRPr="00F16DCB" w:rsidRDefault="00B958B1" w:rsidP="009F3B54">
            <w:pPr>
              <w:pStyle w:val="OGTableofFigures"/>
            </w:pPr>
            <w:r w:rsidRPr="00F16DCB">
              <w:t>6</w:t>
            </w:r>
          </w:p>
        </w:tc>
      </w:tr>
      <w:tr w:rsidR="00B958B1" w:rsidRPr="00F16DCB" w:rsidTr="009F3B54">
        <w:trPr>
          <w:cantSplit/>
        </w:trPr>
        <w:tc>
          <w:tcPr>
            <w:tcW w:w="7776" w:type="dxa"/>
            <w:gridSpan w:val="7"/>
            <w:tcBorders>
              <w:bottom w:val="single" w:sz="4" w:space="0" w:color="auto"/>
            </w:tcBorders>
          </w:tcPr>
          <w:p w:rsidR="00B958B1" w:rsidRPr="00547387" w:rsidRDefault="00B958B1" w:rsidP="009F3B54">
            <w:pPr>
              <w:pStyle w:val="OGNotes"/>
            </w:pPr>
            <w:r w:rsidRPr="00547387">
              <w:t>The 2012</w:t>
            </w:r>
            <w:r w:rsidR="009F0F49">
              <w:noBreakHyphen/>
            </w:r>
            <w:r w:rsidRPr="00547387">
              <w:t>13 Expected Outcome is higher than the 2012</w:t>
            </w:r>
            <w:r w:rsidR="009F0F49">
              <w:noBreakHyphen/>
            </w:r>
            <w:r w:rsidRPr="00547387">
              <w:t xml:space="preserve">13 Target </w:t>
            </w:r>
            <w:r>
              <w:t>owing to</w:t>
            </w:r>
            <w:r w:rsidRPr="00547387">
              <w:t xml:space="preserve"> the amendment of two Water Codes.</w:t>
            </w:r>
          </w:p>
          <w:p w:rsidR="00B958B1" w:rsidRPr="00F16DCB" w:rsidRDefault="00B958B1" w:rsidP="009F3B54">
            <w:pPr>
              <w:pStyle w:val="OGNotes"/>
            </w:pPr>
            <w:r w:rsidRPr="00547387">
              <w:t>The increased 2013</w:t>
            </w:r>
            <w:r w:rsidR="009F0F49">
              <w:noBreakHyphen/>
            </w:r>
            <w:r>
              <w:t xml:space="preserve">14 Target reflects expectations of </w:t>
            </w:r>
            <w:r w:rsidRPr="00547387">
              <w:t>increase</w:t>
            </w:r>
            <w:r>
              <w:t xml:space="preserve">d activity </w:t>
            </w:r>
            <w:r w:rsidRPr="00547387">
              <w:t>resulting from legislative changes</w:t>
            </w:r>
            <w:r>
              <w:t xml:space="preserve"> including the Commission’s increased role in Energy Regulation and the requirement to harmonise Victorian retail arrangements with the National Energy Customer Framework.</w:t>
            </w:r>
          </w:p>
        </w:tc>
      </w:tr>
      <w:tr w:rsidR="00B958B1" w:rsidRPr="00F16DCB" w:rsidTr="009F3B54">
        <w:trPr>
          <w:cantSplit/>
        </w:trPr>
        <w:tc>
          <w:tcPr>
            <w:tcW w:w="3152" w:type="dxa"/>
            <w:tcBorders>
              <w:top w:val="single" w:sz="4" w:space="0" w:color="auto"/>
            </w:tcBorders>
          </w:tcPr>
          <w:p w:rsidR="00B958B1" w:rsidRPr="00A77CBC" w:rsidRDefault="00B958B1" w:rsidP="009F3B54">
            <w:pPr>
              <w:pStyle w:val="OGTabText"/>
              <w:jc w:val="left"/>
            </w:pPr>
            <w:r w:rsidRPr="00A77CBC">
              <w:t>Performance reports for regulated businesses or industries</w:t>
            </w:r>
          </w:p>
        </w:tc>
        <w:tc>
          <w:tcPr>
            <w:tcW w:w="906" w:type="dxa"/>
            <w:tcBorders>
              <w:top w:val="single" w:sz="4" w:space="0" w:color="auto"/>
            </w:tcBorders>
          </w:tcPr>
          <w:p w:rsidR="00B958B1" w:rsidRPr="00F16DCB" w:rsidRDefault="00B958B1" w:rsidP="009F3B54">
            <w:pPr>
              <w:pStyle w:val="OGUoM"/>
            </w:pPr>
            <w:r w:rsidRPr="00F16DCB">
              <w:t>number</w:t>
            </w:r>
          </w:p>
        </w:tc>
        <w:tc>
          <w:tcPr>
            <w:tcW w:w="907" w:type="dxa"/>
            <w:tcBorders>
              <w:top w:val="single" w:sz="4" w:space="0" w:color="auto"/>
            </w:tcBorders>
            <w:shd w:val="clear" w:color="auto" w:fill="D9D9D9"/>
          </w:tcPr>
          <w:p w:rsidR="00B958B1" w:rsidRPr="00F16DCB" w:rsidRDefault="00B958B1" w:rsidP="009F3B54">
            <w:pPr>
              <w:pStyle w:val="OGTableofFigures"/>
            </w:pPr>
            <w:r>
              <w:t>4</w:t>
            </w:r>
          </w:p>
        </w:tc>
        <w:tc>
          <w:tcPr>
            <w:tcW w:w="993" w:type="dxa"/>
            <w:tcBorders>
              <w:top w:val="single" w:sz="4" w:space="0" w:color="auto"/>
            </w:tcBorders>
          </w:tcPr>
          <w:p w:rsidR="00B958B1" w:rsidRPr="00F16DCB" w:rsidRDefault="00B958B1" w:rsidP="009F3B54">
            <w:pPr>
              <w:pStyle w:val="OGTableofFigures"/>
            </w:pPr>
            <w:r w:rsidRPr="00F16DCB">
              <w:t>4</w:t>
            </w:r>
          </w:p>
        </w:tc>
        <w:tc>
          <w:tcPr>
            <w:tcW w:w="907" w:type="dxa"/>
            <w:gridSpan w:val="2"/>
            <w:tcBorders>
              <w:top w:val="single" w:sz="4" w:space="0" w:color="auto"/>
            </w:tcBorders>
          </w:tcPr>
          <w:p w:rsidR="00B958B1" w:rsidRPr="00F16DCB" w:rsidRDefault="00B958B1" w:rsidP="009F3B54">
            <w:pPr>
              <w:pStyle w:val="OGTableofFigures"/>
            </w:pPr>
            <w:r w:rsidRPr="00F16DCB">
              <w:t>4</w:t>
            </w:r>
          </w:p>
        </w:tc>
        <w:tc>
          <w:tcPr>
            <w:tcW w:w="911" w:type="dxa"/>
            <w:tcBorders>
              <w:top w:val="single" w:sz="4" w:space="0" w:color="auto"/>
            </w:tcBorders>
          </w:tcPr>
          <w:p w:rsidR="00B958B1" w:rsidRPr="00F16DCB" w:rsidRDefault="00B958B1" w:rsidP="009F3B54">
            <w:pPr>
              <w:pStyle w:val="OGTableofFigures"/>
            </w:pPr>
            <w:r w:rsidRPr="00F16DCB">
              <w:t>4</w:t>
            </w:r>
          </w:p>
        </w:tc>
      </w:tr>
      <w:tr w:rsidR="00B958B1" w:rsidRPr="00F16DCB" w:rsidTr="009F3B54">
        <w:trPr>
          <w:cantSplit/>
        </w:trPr>
        <w:tc>
          <w:tcPr>
            <w:tcW w:w="3152" w:type="dxa"/>
            <w:tcBorders>
              <w:top w:val="single" w:sz="6" w:space="0" w:color="auto"/>
            </w:tcBorders>
          </w:tcPr>
          <w:p w:rsidR="00B958B1" w:rsidRPr="00A77CBC" w:rsidRDefault="00B958B1" w:rsidP="009F3B54">
            <w:pPr>
              <w:pStyle w:val="OGTabText"/>
              <w:jc w:val="left"/>
            </w:pPr>
            <w:r w:rsidRPr="00A77CBC">
              <w:t>Performance reviews and compliance audits of regulated businesses</w:t>
            </w:r>
          </w:p>
        </w:tc>
        <w:tc>
          <w:tcPr>
            <w:tcW w:w="906" w:type="dxa"/>
            <w:tcBorders>
              <w:top w:val="single" w:sz="6" w:space="0" w:color="auto"/>
            </w:tcBorders>
          </w:tcPr>
          <w:p w:rsidR="00B958B1" w:rsidRPr="00F16DCB" w:rsidRDefault="00B958B1" w:rsidP="009F3B54">
            <w:pPr>
              <w:pStyle w:val="OGUoM"/>
            </w:pPr>
            <w:r w:rsidRPr="00F16DCB">
              <w:t>number</w:t>
            </w:r>
          </w:p>
        </w:tc>
        <w:tc>
          <w:tcPr>
            <w:tcW w:w="907" w:type="dxa"/>
            <w:tcBorders>
              <w:top w:val="single" w:sz="6" w:space="0" w:color="auto"/>
            </w:tcBorders>
            <w:shd w:val="clear" w:color="auto" w:fill="D9D9D9"/>
          </w:tcPr>
          <w:p w:rsidR="00B958B1" w:rsidRPr="00F16DCB" w:rsidRDefault="00B958B1" w:rsidP="009F3B54">
            <w:pPr>
              <w:pStyle w:val="OGTableofFigures"/>
            </w:pPr>
            <w:r>
              <w:t>105</w:t>
            </w:r>
          </w:p>
        </w:tc>
        <w:tc>
          <w:tcPr>
            <w:tcW w:w="993" w:type="dxa"/>
            <w:tcBorders>
              <w:top w:val="single" w:sz="6" w:space="0" w:color="auto"/>
            </w:tcBorders>
          </w:tcPr>
          <w:p w:rsidR="00B958B1" w:rsidRPr="00F16DCB" w:rsidRDefault="00B958B1" w:rsidP="009F3B54">
            <w:pPr>
              <w:pStyle w:val="OGTableofFigures"/>
            </w:pPr>
            <w:r w:rsidRPr="00F16DCB">
              <w:t>110</w:t>
            </w:r>
          </w:p>
        </w:tc>
        <w:tc>
          <w:tcPr>
            <w:tcW w:w="907" w:type="dxa"/>
            <w:gridSpan w:val="2"/>
            <w:tcBorders>
              <w:top w:val="single" w:sz="6" w:space="0" w:color="auto"/>
            </w:tcBorders>
          </w:tcPr>
          <w:p w:rsidR="00B958B1" w:rsidRPr="00F16DCB" w:rsidRDefault="00B958B1" w:rsidP="009F3B54">
            <w:pPr>
              <w:pStyle w:val="OGTableofFigures"/>
            </w:pPr>
            <w:r w:rsidRPr="00F16DCB">
              <w:t>119</w:t>
            </w:r>
          </w:p>
        </w:tc>
        <w:tc>
          <w:tcPr>
            <w:tcW w:w="911" w:type="dxa"/>
            <w:tcBorders>
              <w:top w:val="single" w:sz="6" w:space="0" w:color="auto"/>
            </w:tcBorders>
          </w:tcPr>
          <w:p w:rsidR="00B958B1" w:rsidRPr="00F16DCB" w:rsidRDefault="00B958B1" w:rsidP="009F3B54">
            <w:pPr>
              <w:pStyle w:val="OGTableofFigures"/>
            </w:pPr>
            <w:r w:rsidRPr="00F16DCB">
              <w:t>98</w:t>
            </w:r>
          </w:p>
        </w:tc>
      </w:tr>
      <w:tr w:rsidR="00B958B1" w:rsidRPr="009565D9" w:rsidTr="009F3B54">
        <w:trPr>
          <w:cantSplit/>
        </w:trPr>
        <w:tc>
          <w:tcPr>
            <w:tcW w:w="7776" w:type="dxa"/>
            <w:gridSpan w:val="7"/>
          </w:tcPr>
          <w:p w:rsidR="00B958B1" w:rsidRPr="00547387" w:rsidRDefault="00B958B1" w:rsidP="009F3B54">
            <w:pPr>
              <w:pStyle w:val="OGNotes"/>
            </w:pPr>
            <w:r w:rsidRPr="00547387">
              <w:t>The 2012</w:t>
            </w:r>
            <w:r w:rsidR="009F0F49">
              <w:noBreakHyphen/>
            </w:r>
            <w:r w:rsidRPr="00547387">
              <w:t>13 Expected Outcome is lower than the 2012</w:t>
            </w:r>
            <w:r w:rsidR="009F0F49">
              <w:noBreakHyphen/>
            </w:r>
            <w:r w:rsidRPr="00547387">
              <w:t>13 Target due to delays in commencing some audits, which were the result of the Essen</w:t>
            </w:r>
            <w:r>
              <w:t xml:space="preserve">tial Services Commission’s role in </w:t>
            </w:r>
            <w:r w:rsidRPr="00547387">
              <w:t xml:space="preserve">energy regulation only being clarified </w:t>
            </w:r>
            <w:r>
              <w:t>in the fourth quarter of</w:t>
            </w:r>
            <w:r w:rsidRPr="00547387">
              <w:t xml:space="preserve"> 2012</w:t>
            </w:r>
            <w:r w:rsidR="009F0F49">
              <w:noBreakHyphen/>
            </w:r>
            <w:r w:rsidRPr="00547387">
              <w:t>13.</w:t>
            </w:r>
          </w:p>
          <w:p w:rsidR="00B958B1" w:rsidRPr="00F16DCB" w:rsidRDefault="00B958B1" w:rsidP="009F3B54">
            <w:pPr>
              <w:pStyle w:val="OGNotes"/>
            </w:pPr>
            <w:r w:rsidRPr="00547387">
              <w:t xml:space="preserve">The </w:t>
            </w:r>
            <w:r>
              <w:t>lower</w:t>
            </w:r>
            <w:r w:rsidRPr="00547387">
              <w:t xml:space="preserve"> 2013</w:t>
            </w:r>
            <w:r w:rsidR="009F0F49">
              <w:noBreakHyphen/>
            </w:r>
            <w:r>
              <w:t xml:space="preserve">14 </w:t>
            </w:r>
            <w:r w:rsidRPr="00547387">
              <w:t xml:space="preserve">Target reflects </w:t>
            </w:r>
            <w:r>
              <w:t>reduced market activity as the VEET scheme transitions further from a predominately residential based scheme to a residential and commercial scheme.</w:t>
            </w:r>
          </w:p>
        </w:tc>
      </w:tr>
      <w:tr w:rsidR="00B958B1" w:rsidRPr="00F16DCB" w:rsidTr="009F3B54">
        <w:trPr>
          <w:cantSplit/>
        </w:trPr>
        <w:tc>
          <w:tcPr>
            <w:tcW w:w="3152" w:type="dxa"/>
            <w:tcBorders>
              <w:top w:val="single" w:sz="6" w:space="0" w:color="auto"/>
              <w:bottom w:val="single" w:sz="6" w:space="0" w:color="auto"/>
            </w:tcBorders>
          </w:tcPr>
          <w:p w:rsidR="00B958B1" w:rsidRPr="00A77CBC" w:rsidRDefault="00B958B1" w:rsidP="009F3B54">
            <w:pPr>
              <w:pStyle w:val="OGTabText"/>
              <w:jc w:val="left"/>
            </w:pPr>
            <w:r w:rsidRPr="00A77CBC">
              <w:t>Price approvals of regulated businesses</w:t>
            </w:r>
          </w:p>
        </w:tc>
        <w:tc>
          <w:tcPr>
            <w:tcW w:w="906" w:type="dxa"/>
            <w:tcBorders>
              <w:top w:val="single" w:sz="6" w:space="0" w:color="auto"/>
              <w:bottom w:val="single" w:sz="6" w:space="0" w:color="auto"/>
            </w:tcBorders>
          </w:tcPr>
          <w:p w:rsidR="00B958B1" w:rsidRPr="00F16DCB" w:rsidRDefault="00B958B1" w:rsidP="009F3B54">
            <w:pPr>
              <w:pStyle w:val="OGUoM"/>
            </w:pPr>
            <w:r w:rsidRPr="00F16DCB">
              <w:t>number</w:t>
            </w:r>
          </w:p>
        </w:tc>
        <w:tc>
          <w:tcPr>
            <w:tcW w:w="907" w:type="dxa"/>
            <w:tcBorders>
              <w:top w:val="single" w:sz="6" w:space="0" w:color="auto"/>
              <w:bottom w:val="single" w:sz="6" w:space="0" w:color="auto"/>
            </w:tcBorders>
            <w:shd w:val="clear" w:color="auto" w:fill="D9D9D9"/>
          </w:tcPr>
          <w:p w:rsidR="00B958B1" w:rsidRPr="00F16DCB" w:rsidRDefault="00B958B1" w:rsidP="009F3B54">
            <w:pPr>
              <w:pStyle w:val="OGTableofFigures"/>
            </w:pPr>
            <w:r w:rsidRPr="00F16DCB">
              <w:t>19</w:t>
            </w:r>
          </w:p>
        </w:tc>
        <w:tc>
          <w:tcPr>
            <w:tcW w:w="993" w:type="dxa"/>
            <w:tcBorders>
              <w:top w:val="single" w:sz="6" w:space="0" w:color="auto"/>
              <w:bottom w:val="single" w:sz="6" w:space="0" w:color="auto"/>
            </w:tcBorders>
          </w:tcPr>
          <w:p w:rsidR="00B958B1" w:rsidRPr="00F16DCB" w:rsidRDefault="00B958B1" w:rsidP="009F3B54">
            <w:pPr>
              <w:pStyle w:val="OGTableofFigures"/>
            </w:pPr>
            <w:r w:rsidRPr="00F16DCB">
              <w:t>19</w:t>
            </w:r>
          </w:p>
        </w:tc>
        <w:tc>
          <w:tcPr>
            <w:tcW w:w="907" w:type="dxa"/>
            <w:gridSpan w:val="2"/>
            <w:tcBorders>
              <w:top w:val="single" w:sz="6" w:space="0" w:color="auto"/>
              <w:bottom w:val="single" w:sz="6" w:space="0" w:color="auto"/>
            </w:tcBorders>
          </w:tcPr>
          <w:p w:rsidR="00B958B1" w:rsidRPr="00F16DCB" w:rsidRDefault="00B958B1" w:rsidP="009F3B54">
            <w:pPr>
              <w:pStyle w:val="OGTableofFigures"/>
            </w:pPr>
            <w:r w:rsidRPr="00F16DCB">
              <w:t>19</w:t>
            </w:r>
          </w:p>
        </w:tc>
        <w:tc>
          <w:tcPr>
            <w:tcW w:w="911" w:type="dxa"/>
            <w:tcBorders>
              <w:top w:val="single" w:sz="6" w:space="0" w:color="auto"/>
              <w:bottom w:val="single" w:sz="6" w:space="0" w:color="auto"/>
            </w:tcBorders>
          </w:tcPr>
          <w:p w:rsidR="00B958B1" w:rsidRPr="00F16DCB" w:rsidRDefault="00B958B1" w:rsidP="009F3B54">
            <w:pPr>
              <w:pStyle w:val="OGTableofFigures"/>
            </w:pPr>
            <w:r w:rsidRPr="00F16DCB">
              <w:t>23</w:t>
            </w:r>
          </w:p>
        </w:tc>
      </w:tr>
      <w:tr w:rsidR="00B958B1" w:rsidRPr="00F16DCB" w:rsidTr="009F3B54">
        <w:trPr>
          <w:cantSplit/>
        </w:trPr>
        <w:tc>
          <w:tcPr>
            <w:tcW w:w="3152" w:type="dxa"/>
            <w:tcBorders>
              <w:top w:val="single" w:sz="6" w:space="0" w:color="auto"/>
            </w:tcBorders>
          </w:tcPr>
          <w:p w:rsidR="00B958B1" w:rsidRPr="00A77CBC" w:rsidRDefault="00B958B1" w:rsidP="009F3B54">
            <w:pPr>
              <w:pStyle w:val="OGTabText"/>
              <w:pageBreakBefore/>
              <w:jc w:val="left"/>
            </w:pPr>
            <w:r w:rsidRPr="00A77CBC">
              <w:t>Registration and accreditation decisions/approvals in relation to the Victorian Energy Efficiency Target Scheme</w:t>
            </w:r>
          </w:p>
        </w:tc>
        <w:tc>
          <w:tcPr>
            <w:tcW w:w="906" w:type="dxa"/>
            <w:tcBorders>
              <w:top w:val="single" w:sz="6" w:space="0" w:color="auto"/>
            </w:tcBorders>
          </w:tcPr>
          <w:p w:rsidR="00B958B1" w:rsidRPr="00F16DCB" w:rsidRDefault="00B958B1" w:rsidP="009F3B54">
            <w:pPr>
              <w:pStyle w:val="OGUoM"/>
            </w:pPr>
            <w:r w:rsidRPr="00F16DCB">
              <w:t>number</w:t>
            </w:r>
          </w:p>
        </w:tc>
        <w:tc>
          <w:tcPr>
            <w:tcW w:w="907" w:type="dxa"/>
            <w:tcBorders>
              <w:top w:val="single" w:sz="6" w:space="0" w:color="auto"/>
            </w:tcBorders>
            <w:shd w:val="clear" w:color="auto" w:fill="D9D9D9"/>
          </w:tcPr>
          <w:p w:rsidR="00B958B1" w:rsidRPr="00F16DCB" w:rsidRDefault="00B958B1" w:rsidP="009F3B54">
            <w:pPr>
              <w:pStyle w:val="OGTableofFigures"/>
            </w:pPr>
            <w:r>
              <w:t>1 000</w:t>
            </w:r>
          </w:p>
        </w:tc>
        <w:tc>
          <w:tcPr>
            <w:tcW w:w="993" w:type="dxa"/>
            <w:tcBorders>
              <w:top w:val="single" w:sz="6" w:space="0" w:color="auto"/>
            </w:tcBorders>
          </w:tcPr>
          <w:p w:rsidR="00B958B1" w:rsidRPr="00F16DCB" w:rsidRDefault="00B958B1" w:rsidP="009F3B54">
            <w:pPr>
              <w:pStyle w:val="OGTableofFigures"/>
            </w:pPr>
            <w:r w:rsidRPr="00F16DCB">
              <w:t>1</w:t>
            </w:r>
            <w:r>
              <w:t> </w:t>
            </w:r>
            <w:r w:rsidRPr="00F16DCB">
              <w:t>650</w:t>
            </w:r>
          </w:p>
        </w:tc>
        <w:tc>
          <w:tcPr>
            <w:tcW w:w="907" w:type="dxa"/>
            <w:gridSpan w:val="2"/>
            <w:tcBorders>
              <w:top w:val="single" w:sz="6" w:space="0" w:color="auto"/>
            </w:tcBorders>
          </w:tcPr>
          <w:p w:rsidR="00B958B1" w:rsidRPr="00F16DCB" w:rsidRDefault="00B958B1" w:rsidP="009F3B54">
            <w:pPr>
              <w:pStyle w:val="OGTableofFigures"/>
            </w:pPr>
            <w:r w:rsidRPr="00F16DCB">
              <w:t>500</w:t>
            </w:r>
          </w:p>
        </w:tc>
        <w:tc>
          <w:tcPr>
            <w:tcW w:w="911" w:type="dxa"/>
            <w:tcBorders>
              <w:top w:val="single" w:sz="6" w:space="0" w:color="auto"/>
            </w:tcBorders>
          </w:tcPr>
          <w:p w:rsidR="00B958B1" w:rsidRPr="00F16DCB" w:rsidRDefault="00B958B1" w:rsidP="009F3B54">
            <w:pPr>
              <w:pStyle w:val="OGTableofFigures"/>
            </w:pPr>
            <w:r w:rsidRPr="00F16DCB">
              <w:t>839</w:t>
            </w:r>
          </w:p>
        </w:tc>
      </w:tr>
      <w:tr w:rsidR="00B958B1" w:rsidRPr="00F16DCB" w:rsidTr="009F3B54">
        <w:trPr>
          <w:cantSplit/>
        </w:trPr>
        <w:tc>
          <w:tcPr>
            <w:tcW w:w="7776" w:type="dxa"/>
            <w:gridSpan w:val="7"/>
            <w:tcBorders>
              <w:bottom w:val="single" w:sz="6" w:space="0" w:color="auto"/>
            </w:tcBorders>
          </w:tcPr>
          <w:p w:rsidR="00B958B1" w:rsidRPr="00F16DCB" w:rsidRDefault="00B958B1" w:rsidP="009F3B54">
            <w:pPr>
              <w:pStyle w:val="OGNotes"/>
            </w:pPr>
            <w:r w:rsidRPr="00547387">
              <w:t>The 2012</w:t>
            </w:r>
            <w:r w:rsidR="009F0F49">
              <w:noBreakHyphen/>
            </w:r>
            <w:r w:rsidRPr="00547387">
              <w:t>13 Expected Outcome is higher than the 2012</w:t>
            </w:r>
            <w:r w:rsidR="009F0F49">
              <w:noBreakHyphen/>
            </w:r>
            <w:r w:rsidRPr="00547387">
              <w:t>13 Target due to a</w:t>
            </w:r>
            <w:r>
              <w:t>n unexpectedly large number of one</w:t>
            </w:r>
            <w:r w:rsidR="009F0F49">
              <w:noBreakHyphen/>
            </w:r>
            <w:r>
              <w:t>off applications for stakeholders to participation in the new commercial lighting upgrade activity. The majority of applications are forecast to be completed in 2012</w:t>
            </w:r>
            <w:r w:rsidR="009F0F49">
              <w:noBreakHyphen/>
            </w:r>
            <w:r>
              <w:t>13 as the activity is established. Activity in 2013</w:t>
            </w:r>
            <w:r w:rsidR="009F0F49">
              <w:noBreakHyphen/>
            </w:r>
            <w:r>
              <w:t>14 is forecast to return to a more typical business basis.</w:t>
            </w:r>
            <w:r w:rsidRPr="00547387">
              <w:t xml:space="preserve"> </w:t>
            </w:r>
          </w:p>
        </w:tc>
      </w:tr>
      <w:tr w:rsidR="00B958B1" w:rsidRPr="00F16DCB" w:rsidTr="009F3B54">
        <w:trPr>
          <w:cantSplit/>
        </w:trPr>
        <w:tc>
          <w:tcPr>
            <w:tcW w:w="3152" w:type="dxa"/>
            <w:tcBorders>
              <w:top w:val="single" w:sz="6" w:space="0" w:color="auto"/>
            </w:tcBorders>
          </w:tcPr>
          <w:p w:rsidR="00B958B1" w:rsidRPr="00A77CBC" w:rsidRDefault="00B958B1" w:rsidP="009F3B54">
            <w:pPr>
              <w:pStyle w:val="OGTabText"/>
              <w:jc w:val="left"/>
            </w:pPr>
            <w:r w:rsidRPr="00F16DCB">
              <w:t xml:space="preserve">Reviews, investigations or advisory </w:t>
            </w:r>
            <w:r w:rsidRPr="006A5C6A">
              <w:t>projects</w:t>
            </w:r>
          </w:p>
        </w:tc>
        <w:tc>
          <w:tcPr>
            <w:tcW w:w="906" w:type="dxa"/>
            <w:tcBorders>
              <w:top w:val="single" w:sz="6" w:space="0" w:color="auto"/>
            </w:tcBorders>
          </w:tcPr>
          <w:p w:rsidR="00B958B1" w:rsidRPr="00F16DCB" w:rsidRDefault="00B958B1" w:rsidP="009F3B54">
            <w:pPr>
              <w:pStyle w:val="OGUoM"/>
            </w:pPr>
            <w:r w:rsidRPr="00F16DCB">
              <w:t>number</w:t>
            </w:r>
          </w:p>
        </w:tc>
        <w:tc>
          <w:tcPr>
            <w:tcW w:w="907" w:type="dxa"/>
            <w:tcBorders>
              <w:top w:val="single" w:sz="6" w:space="0" w:color="auto"/>
            </w:tcBorders>
            <w:shd w:val="clear" w:color="auto" w:fill="D9D9D9"/>
          </w:tcPr>
          <w:p w:rsidR="00B958B1" w:rsidRPr="00F16DCB" w:rsidRDefault="00B958B1" w:rsidP="009F3B54">
            <w:pPr>
              <w:pStyle w:val="OGTableofFigures"/>
            </w:pPr>
            <w:r>
              <w:t>5</w:t>
            </w:r>
          </w:p>
        </w:tc>
        <w:tc>
          <w:tcPr>
            <w:tcW w:w="993" w:type="dxa"/>
            <w:tcBorders>
              <w:top w:val="single" w:sz="6" w:space="0" w:color="auto"/>
            </w:tcBorders>
          </w:tcPr>
          <w:p w:rsidR="00B958B1" w:rsidRPr="00F16DCB" w:rsidRDefault="00B958B1" w:rsidP="009F3B54">
            <w:pPr>
              <w:pStyle w:val="OGTableofFigures"/>
            </w:pPr>
            <w:r w:rsidRPr="00F16DCB">
              <w:t>5</w:t>
            </w:r>
          </w:p>
        </w:tc>
        <w:tc>
          <w:tcPr>
            <w:tcW w:w="907" w:type="dxa"/>
            <w:gridSpan w:val="2"/>
            <w:tcBorders>
              <w:top w:val="single" w:sz="6" w:space="0" w:color="auto"/>
            </w:tcBorders>
          </w:tcPr>
          <w:p w:rsidR="00B958B1" w:rsidRPr="00F16DCB" w:rsidRDefault="00B958B1" w:rsidP="009F3B54">
            <w:pPr>
              <w:pStyle w:val="OGTableofFigures"/>
            </w:pPr>
            <w:r w:rsidRPr="00F16DCB">
              <w:t>2</w:t>
            </w:r>
          </w:p>
        </w:tc>
        <w:tc>
          <w:tcPr>
            <w:tcW w:w="911" w:type="dxa"/>
            <w:tcBorders>
              <w:top w:val="single" w:sz="6" w:space="0" w:color="auto"/>
            </w:tcBorders>
          </w:tcPr>
          <w:p w:rsidR="00B958B1" w:rsidRPr="00F16DCB" w:rsidRDefault="00B958B1" w:rsidP="009F3B54">
            <w:pPr>
              <w:pStyle w:val="OGTableofFigures"/>
            </w:pPr>
            <w:r w:rsidRPr="00F16DCB">
              <w:t>5</w:t>
            </w:r>
          </w:p>
        </w:tc>
      </w:tr>
      <w:tr w:rsidR="00B958B1" w:rsidRPr="00965AA0" w:rsidTr="009F3B54">
        <w:trPr>
          <w:cantSplit/>
        </w:trPr>
        <w:tc>
          <w:tcPr>
            <w:tcW w:w="7776" w:type="dxa"/>
            <w:gridSpan w:val="7"/>
          </w:tcPr>
          <w:p w:rsidR="00B958B1" w:rsidRPr="00547387" w:rsidRDefault="00B958B1" w:rsidP="009F3B54">
            <w:pPr>
              <w:pStyle w:val="OGNotes"/>
            </w:pPr>
            <w:r w:rsidRPr="00547387">
              <w:t>The higher 2012</w:t>
            </w:r>
            <w:r w:rsidR="009F0F49">
              <w:noBreakHyphen/>
            </w:r>
            <w:r w:rsidRPr="00547387">
              <w:t xml:space="preserve">13 Expected Outcome is due to </w:t>
            </w:r>
            <w:r>
              <w:t>an increased</w:t>
            </w:r>
            <w:r w:rsidRPr="00547387">
              <w:t xml:space="preserve"> number of project referrals.</w:t>
            </w:r>
          </w:p>
          <w:p w:rsidR="00B958B1" w:rsidRPr="00965AA0" w:rsidRDefault="00B958B1" w:rsidP="009F3B54">
            <w:pPr>
              <w:pStyle w:val="OGNotes"/>
            </w:pPr>
            <w:r w:rsidRPr="00547387">
              <w:t>The 2013</w:t>
            </w:r>
            <w:r w:rsidR="009F0F49">
              <w:noBreakHyphen/>
            </w:r>
            <w:r w:rsidRPr="00547387">
              <w:t xml:space="preserve">14 Target </w:t>
            </w:r>
            <w:r>
              <w:t xml:space="preserve">has increased </w:t>
            </w:r>
            <w:r w:rsidRPr="00547387">
              <w:t xml:space="preserve">due to the expected </w:t>
            </w:r>
            <w:r>
              <w:t>due to the expected number of projects increasing.</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Head"/>
            </w:pPr>
            <w:r w:rsidRPr="00F16DCB">
              <w:t>Quality</w:t>
            </w:r>
          </w:p>
        </w:tc>
        <w:tc>
          <w:tcPr>
            <w:tcW w:w="906" w:type="dxa"/>
            <w:tcBorders>
              <w:top w:val="single" w:sz="6" w:space="0" w:color="auto"/>
            </w:tcBorders>
          </w:tcPr>
          <w:p w:rsidR="00B958B1" w:rsidRPr="00F16DCB" w:rsidRDefault="00B958B1" w:rsidP="009F3B54">
            <w:pPr>
              <w:pStyle w:val="OGTabHead"/>
            </w:pPr>
          </w:p>
        </w:tc>
        <w:tc>
          <w:tcPr>
            <w:tcW w:w="907" w:type="dxa"/>
            <w:tcBorders>
              <w:top w:val="single" w:sz="6" w:space="0" w:color="auto"/>
            </w:tcBorders>
            <w:shd w:val="clear" w:color="auto" w:fill="D9D9D9"/>
          </w:tcPr>
          <w:p w:rsidR="00B958B1" w:rsidRPr="00F16DCB" w:rsidRDefault="00B958B1" w:rsidP="009F3B54">
            <w:pPr>
              <w:pStyle w:val="OGTabHead"/>
            </w:pPr>
          </w:p>
        </w:tc>
        <w:tc>
          <w:tcPr>
            <w:tcW w:w="993" w:type="dxa"/>
            <w:tcBorders>
              <w:top w:val="single" w:sz="6" w:space="0" w:color="auto"/>
            </w:tcBorders>
          </w:tcPr>
          <w:p w:rsidR="00B958B1" w:rsidRPr="00F16DCB" w:rsidRDefault="00B958B1" w:rsidP="009F3B54">
            <w:pPr>
              <w:pStyle w:val="OGTabHead"/>
            </w:pPr>
          </w:p>
        </w:tc>
        <w:tc>
          <w:tcPr>
            <w:tcW w:w="907" w:type="dxa"/>
            <w:gridSpan w:val="2"/>
            <w:tcBorders>
              <w:top w:val="single" w:sz="6" w:space="0" w:color="auto"/>
            </w:tcBorders>
          </w:tcPr>
          <w:p w:rsidR="00B958B1" w:rsidRPr="00F16DCB" w:rsidRDefault="00B958B1" w:rsidP="009F3B54">
            <w:pPr>
              <w:pStyle w:val="OGTabHead"/>
            </w:pPr>
          </w:p>
        </w:tc>
        <w:tc>
          <w:tcPr>
            <w:tcW w:w="911" w:type="dxa"/>
            <w:tcBorders>
              <w:top w:val="single" w:sz="6" w:space="0" w:color="auto"/>
            </w:tcBorders>
          </w:tcPr>
          <w:p w:rsidR="00B958B1" w:rsidRPr="00F16DCB" w:rsidRDefault="00B958B1" w:rsidP="009F3B54">
            <w:pPr>
              <w:pStyle w:val="OGTabHead"/>
            </w:pPr>
          </w:p>
        </w:tc>
      </w:tr>
      <w:tr w:rsidR="00B958B1" w:rsidRPr="00F16DCB" w:rsidTr="009F3B54">
        <w:trPr>
          <w:cantSplit/>
        </w:trPr>
        <w:tc>
          <w:tcPr>
            <w:tcW w:w="3152" w:type="dxa"/>
            <w:tcBorders>
              <w:bottom w:val="single" w:sz="6" w:space="0" w:color="auto"/>
            </w:tcBorders>
          </w:tcPr>
          <w:p w:rsidR="00B958B1" w:rsidRPr="00F16DCB" w:rsidRDefault="00B958B1" w:rsidP="009F3B54">
            <w:pPr>
              <w:pStyle w:val="OGTabText"/>
              <w:jc w:val="left"/>
            </w:pPr>
            <w:r w:rsidRPr="00F16DCB">
              <w:t>Decisions upheld where subject to review, appeal or disallowance</w:t>
            </w:r>
          </w:p>
        </w:tc>
        <w:tc>
          <w:tcPr>
            <w:tcW w:w="906" w:type="dxa"/>
            <w:tcBorders>
              <w:bottom w:val="single" w:sz="6" w:space="0" w:color="auto"/>
            </w:tcBorders>
          </w:tcPr>
          <w:p w:rsidR="00B958B1" w:rsidRPr="00F16DCB" w:rsidRDefault="00B958B1" w:rsidP="009F3B54">
            <w:pPr>
              <w:pStyle w:val="OGUoM"/>
            </w:pPr>
            <w:r>
              <w:t>per cent</w:t>
            </w:r>
          </w:p>
        </w:tc>
        <w:tc>
          <w:tcPr>
            <w:tcW w:w="907" w:type="dxa"/>
            <w:tcBorders>
              <w:bottom w:val="single" w:sz="6" w:space="0" w:color="auto"/>
            </w:tcBorders>
            <w:shd w:val="clear" w:color="auto" w:fill="D9D9D9"/>
          </w:tcPr>
          <w:p w:rsidR="00B958B1" w:rsidRPr="00F16DCB" w:rsidRDefault="00B958B1" w:rsidP="009F3B54">
            <w:pPr>
              <w:pStyle w:val="OGTableofFigures"/>
            </w:pPr>
            <w:r w:rsidRPr="00F16DCB">
              <w:t>100</w:t>
            </w:r>
          </w:p>
        </w:tc>
        <w:tc>
          <w:tcPr>
            <w:tcW w:w="993" w:type="dxa"/>
            <w:tcBorders>
              <w:bottom w:val="single" w:sz="6" w:space="0" w:color="auto"/>
            </w:tcBorders>
          </w:tcPr>
          <w:p w:rsidR="00B958B1" w:rsidRPr="00F16DCB" w:rsidRDefault="00B958B1" w:rsidP="009F3B54">
            <w:pPr>
              <w:pStyle w:val="OGTableofFigures"/>
            </w:pPr>
            <w:r w:rsidRPr="00F16DCB">
              <w:t>100</w:t>
            </w:r>
          </w:p>
        </w:tc>
        <w:tc>
          <w:tcPr>
            <w:tcW w:w="907" w:type="dxa"/>
            <w:gridSpan w:val="2"/>
            <w:tcBorders>
              <w:bottom w:val="single" w:sz="6" w:space="0" w:color="auto"/>
            </w:tcBorders>
          </w:tcPr>
          <w:p w:rsidR="00B958B1" w:rsidRPr="00F16DCB" w:rsidRDefault="00B958B1" w:rsidP="009F3B54">
            <w:pPr>
              <w:pStyle w:val="OGTableofFigures"/>
            </w:pPr>
            <w:r w:rsidRPr="00F16DCB">
              <w:t>100</w:t>
            </w:r>
          </w:p>
        </w:tc>
        <w:tc>
          <w:tcPr>
            <w:tcW w:w="911" w:type="dxa"/>
            <w:tcBorders>
              <w:bottom w:val="single" w:sz="6" w:space="0" w:color="auto"/>
            </w:tcBorders>
          </w:tcPr>
          <w:p w:rsidR="00B958B1" w:rsidRPr="00F16DCB" w:rsidRDefault="00B958B1" w:rsidP="009F3B54">
            <w:pPr>
              <w:pStyle w:val="OGTableofFigures"/>
            </w:pPr>
            <w:r w:rsidRPr="00F16DCB">
              <w:t>100</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Head"/>
            </w:pPr>
            <w:r w:rsidRPr="00F16DCB">
              <w:t>Timeliness</w:t>
            </w:r>
          </w:p>
        </w:tc>
        <w:tc>
          <w:tcPr>
            <w:tcW w:w="906" w:type="dxa"/>
            <w:tcBorders>
              <w:top w:val="single" w:sz="6" w:space="0" w:color="auto"/>
            </w:tcBorders>
          </w:tcPr>
          <w:p w:rsidR="00B958B1" w:rsidRPr="00F16DCB" w:rsidRDefault="00B958B1" w:rsidP="009F3B54">
            <w:pPr>
              <w:pStyle w:val="OGTabHead"/>
            </w:pPr>
          </w:p>
        </w:tc>
        <w:tc>
          <w:tcPr>
            <w:tcW w:w="907" w:type="dxa"/>
            <w:tcBorders>
              <w:top w:val="single" w:sz="6" w:space="0" w:color="auto"/>
            </w:tcBorders>
            <w:shd w:val="clear" w:color="auto" w:fill="D9D9D9"/>
          </w:tcPr>
          <w:p w:rsidR="00B958B1" w:rsidRPr="00F16DCB" w:rsidRDefault="00B958B1" w:rsidP="009F3B54">
            <w:pPr>
              <w:pStyle w:val="OGTabHead"/>
            </w:pPr>
          </w:p>
        </w:tc>
        <w:tc>
          <w:tcPr>
            <w:tcW w:w="993" w:type="dxa"/>
            <w:tcBorders>
              <w:top w:val="single" w:sz="6" w:space="0" w:color="auto"/>
            </w:tcBorders>
          </w:tcPr>
          <w:p w:rsidR="00B958B1" w:rsidRPr="00F16DCB" w:rsidRDefault="00B958B1" w:rsidP="009F3B54">
            <w:pPr>
              <w:pStyle w:val="OGTabHead"/>
            </w:pPr>
          </w:p>
        </w:tc>
        <w:tc>
          <w:tcPr>
            <w:tcW w:w="907" w:type="dxa"/>
            <w:gridSpan w:val="2"/>
            <w:tcBorders>
              <w:top w:val="single" w:sz="6" w:space="0" w:color="auto"/>
            </w:tcBorders>
          </w:tcPr>
          <w:p w:rsidR="00B958B1" w:rsidRPr="00F16DCB" w:rsidRDefault="00B958B1" w:rsidP="009F3B54">
            <w:pPr>
              <w:pStyle w:val="OGTabHead"/>
            </w:pPr>
          </w:p>
        </w:tc>
        <w:tc>
          <w:tcPr>
            <w:tcW w:w="911" w:type="dxa"/>
            <w:tcBorders>
              <w:top w:val="single" w:sz="6" w:space="0" w:color="auto"/>
            </w:tcBorders>
          </w:tcPr>
          <w:p w:rsidR="00B958B1" w:rsidRPr="00F16DCB" w:rsidRDefault="00B958B1" w:rsidP="009F3B54">
            <w:pPr>
              <w:pStyle w:val="OGTabHead"/>
            </w:pPr>
          </w:p>
        </w:tc>
      </w:tr>
      <w:tr w:rsidR="00B958B1" w:rsidRPr="00F16DCB" w:rsidTr="009F3B54">
        <w:trPr>
          <w:cantSplit/>
        </w:trPr>
        <w:tc>
          <w:tcPr>
            <w:tcW w:w="3152" w:type="dxa"/>
            <w:tcBorders>
              <w:bottom w:val="single" w:sz="6" w:space="0" w:color="auto"/>
            </w:tcBorders>
          </w:tcPr>
          <w:p w:rsidR="00B958B1" w:rsidRPr="00F16DCB" w:rsidRDefault="00B958B1" w:rsidP="009F3B54">
            <w:pPr>
              <w:pStyle w:val="OGTabText"/>
              <w:keepNext/>
              <w:jc w:val="left"/>
            </w:pPr>
            <w:r w:rsidRPr="00A77CBC">
              <w:t>Deadlines</w:t>
            </w:r>
            <w:r w:rsidRPr="00F16DCB">
              <w:t xml:space="preserve"> met for major milestones</w:t>
            </w:r>
          </w:p>
        </w:tc>
        <w:tc>
          <w:tcPr>
            <w:tcW w:w="906" w:type="dxa"/>
            <w:tcBorders>
              <w:bottom w:val="single" w:sz="6" w:space="0" w:color="auto"/>
            </w:tcBorders>
          </w:tcPr>
          <w:p w:rsidR="00B958B1" w:rsidRPr="00F16DCB" w:rsidRDefault="00B958B1" w:rsidP="009F3B54">
            <w:pPr>
              <w:pStyle w:val="OGUoM"/>
              <w:keepNext/>
            </w:pPr>
            <w:r>
              <w:t>per cent</w:t>
            </w:r>
          </w:p>
        </w:tc>
        <w:tc>
          <w:tcPr>
            <w:tcW w:w="907" w:type="dxa"/>
            <w:tcBorders>
              <w:bottom w:val="single" w:sz="6" w:space="0" w:color="auto"/>
            </w:tcBorders>
            <w:shd w:val="clear" w:color="auto" w:fill="D9D9D9"/>
          </w:tcPr>
          <w:p w:rsidR="00B958B1" w:rsidRPr="00F16DCB" w:rsidRDefault="00B958B1" w:rsidP="009F3B54">
            <w:pPr>
              <w:pStyle w:val="OGTableofFigures"/>
              <w:keepNext/>
            </w:pPr>
            <w:r w:rsidRPr="00F16DCB">
              <w:t>100</w:t>
            </w:r>
          </w:p>
        </w:tc>
        <w:tc>
          <w:tcPr>
            <w:tcW w:w="993" w:type="dxa"/>
            <w:tcBorders>
              <w:bottom w:val="single" w:sz="6" w:space="0" w:color="auto"/>
            </w:tcBorders>
          </w:tcPr>
          <w:p w:rsidR="00B958B1" w:rsidRPr="00F16DCB" w:rsidRDefault="00B958B1" w:rsidP="009F3B54">
            <w:pPr>
              <w:pStyle w:val="OGTableofFigures"/>
              <w:keepNext/>
            </w:pPr>
            <w:r w:rsidRPr="00F16DCB">
              <w:t>100</w:t>
            </w:r>
          </w:p>
        </w:tc>
        <w:tc>
          <w:tcPr>
            <w:tcW w:w="907" w:type="dxa"/>
            <w:gridSpan w:val="2"/>
            <w:tcBorders>
              <w:bottom w:val="single" w:sz="6" w:space="0" w:color="auto"/>
            </w:tcBorders>
          </w:tcPr>
          <w:p w:rsidR="00B958B1" w:rsidRPr="00F16DCB" w:rsidRDefault="00B958B1" w:rsidP="009F3B54">
            <w:pPr>
              <w:pStyle w:val="OGTableofFigures"/>
              <w:keepNext/>
            </w:pPr>
            <w:r w:rsidRPr="00F16DCB">
              <w:t>100</w:t>
            </w:r>
          </w:p>
        </w:tc>
        <w:tc>
          <w:tcPr>
            <w:tcW w:w="911" w:type="dxa"/>
            <w:tcBorders>
              <w:bottom w:val="single" w:sz="6" w:space="0" w:color="auto"/>
            </w:tcBorders>
          </w:tcPr>
          <w:p w:rsidR="00B958B1" w:rsidRPr="00F16DCB" w:rsidRDefault="00B958B1" w:rsidP="009F3B54">
            <w:pPr>
              <w:pStyle w:val="OGTableofFigures"/>
              <w:keepNext/>
            </w:pPr>
            <w:r w:rsidRPr="00F16DCB">
              <w:t>100</w:t>
            </w:r>
          </w:p>
        </w:tc>
      </w:tr>
      <w:tr w:rsidR="00B958B1" w:rsidRPr="00F16DCB" w:rsidTr="009F3B54">
        <w:trPr>
          <w:cantSplit/>
        </w:trPr>
        <w:tc>
          <w:tcPr>
            <w:tcW w:w="3152" w:type="dxa"/>
            <w:tcBorders>
              <w:top w:val="single" w:sz="6" w:space="0" w:color="auto"/>
            </w:tcBorders>
          </w:tcPr>
          <w:p w:rsidR="00B958B1" w:rsidRPr="00A77CBC" w:rsidRDefault="00B958B1" w:rsidP="009F3B54">
            <w:pPr>
              <w:pStyle w:val="OGTabHead"/>
            </w:pPr>
            <w:r>
              <w:t>Cost</w:t>
            </w:r>
          </w:p>
        </w:tc>
        <w:tc>
          <w:tcPr>
            <w:tcW w:w="906" w:type="dxa"/>
            <w:tcBorders>
              <w:top w:val="single" w:sz="6" w:space="0" w:color="auto"/>
            </w:tcBorders>
          </w:tcPr>
          <w:p w:rsidR="00B958B1" w:rsidRDefault="00B958B1" w:rsidP="009F3B54">
            <w:pPr>
              <w:pStyle w:val="OGUoM"/>
            </w:pPr>
          </w:p>
        </w:tc>
        <w:tc>
          <w:tcPr>
            <w:tcW w:w="907" w:type="dxa"/>
            <w:tcBorders>
              <w:top w:val="single" w:sz="6" w:space="0" w:color="auto"/>
            </w:tcBorders>
            <w:shd w:val="clear" w:color="auto" w:fill="D9D9D9"/>
          </w:tcPr>
          <w:p w:rsidR="00B958B1" w:rsidRPr="00F16DCB" w:rsidRDefault="00B958B1" w:rsidP="009F3B54">
            <w:pPr>
              <w:pStyle w:val="OGTableofFigures"/>
            </w:pPr>
          </w:p>
        </w:tc>
        <w:tc>
          <w:tcPr>
            <w:tcW w:w="993" w:type="dxa"/>
            <w:tcBorders>
              <w:top w:val="single" w:sz="6" w:space="0" w:color="auto"/>
            </w:tcBorders>
          </w:tcPr>
          <w:p w:rsidR="00B958B1" w:rsidRPr="00F16DCB" w:rsidRDefault="00B958B1" w:rsidP="009F3B54">
            <w:pPr>
              <w:pStyle w:val="OGTableofFigures"/>
            </w:pPr>
          </w:p>
        </w:tc>
        <w:tc>
          <w:tcPr>
            <w:tcW w:w="907" w:type="dxa"/>
            <w:gridSpan w:val="2"/>
            <w:tcBorders>
              <w:top w:val="single" w:sz="6" w:space="0" w:color="auto"/>
            </w:tcBorders>
          </w:tcPr>
          <w:p w:rsidR="00B958B1" w:rsidRPr="00F16DCB" w:rsidRDefault="00B958B1" w:rsidP="009F3B54">
            <w:pPr>
              <w:pStyle w:val="OGTableofFigures"/>
            </w:pPr>
          </w:p>
        </w:tc>
        <w:tc>
          <w:tcPr>
            <w:tcW w:w="911" w:type="dxa"/>
            <w:tcBorders>
              <w:top w:val="single" w:sz="6" w:space="0" w:color="auto"/>
            </w:tcBorders>
          </w:tcPr>
          <w:p w:rsidR="00B958B1" w:rsidRPr="00F16DCB" w:rsidRDefault="00B958B1" w:rsidP="009F3B54">
            <w:pPr>
              <w:pStyle w:val="OGTableofFigures"/>
            </w:pPr>
          </w:p>
        </w:tc>
      </w:tr>
      <w:tr w:rsidR="00B958B1" w:rsidRPr="00F16DCB" w:rsidTr="009F3B54">
        <w:trPr>
          <w:cantSplit/>
        </w:trPr>
        <w:tc>
          <w:tcPr>
            <w:tcW w:w="3152" w:type="dxa"/>
          </w:tcPr>
          <w:p w:rsidR="00B958B1" w:rsidRPr="00C4612B" w:rsidRDefault="00B958B1" w:rsidP="009F3B54">
            <w:pPr>
              <w:pStyle w:val="TableText0"/>
              <w:spacing w:before="60" w:after="60"/>
              <w:rPr>
                <w:rFonts w:cs="Calibri"/>
                <w:color w:val="auto"/>
                <w:sz w:val="20"/>
                <w:szCs w:val="22"/>
              </w:rPr>
            </w:pPr>
            <w:r>
              <w:rPr>
                <w:rFonts w:cs="Calibri"/>
                <w:color w:val="auto"/>
                <w:sz w:val="20"/>
                <w:szCs w:val="22"/>
              </w:rPr>
              <w:t>Total output cost</w:t>
            </w:r>
          </w:p>
        </w:tc>
        <w:tc>
          <w:tcPr>
            <w:tcW w:w="906" w:type="dxa"/>
          </w:tcPr>
          <w:p w:rsidR="00B958B1" w:rsidRPr="002B0132" w:rsidRDefault="00B958B1" w:rsidP="009F3B54">
            <w:pPr>
              <w:pStyle w:val="TableText0"/>
              <w:spacing w:before="60" w:after="60"/>
              <w:jc w:val="center"/>
              <w:rPr>
                <w:rFonts w:cs="Calibri"/>
                <w:color w:val="auto"/>
                <w:sz w:val="20"/>
                <w:szCs w:val="22"/>
              </w:rPr>
            </w:pPr>
            <w:r>
              <w:rPr>
                <w:rFonts w:cs="Calibri"/>
                <w:color w:val="auto"/>
                <w:sz w:val="20"/>
                <w:szCs w:val="22"/>
              </w:rPr>
              <w:t>$ million</w:t>
            </w:r>
          </w:p>
        </w:tc>
        <w:tc>
          <w:tcPr>
            <w:tcW w:w="907" w:type="dxa"/>
            <w:shd w:val="clear" w:color="auto" w:fill="D9D9D9"/>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17.5</w:t>
            </w:r>
          </w:p>
        </w:tc>
        <w:tc>
          <w:tcPr>
            <w:tcW w:w="993" w:type="dxa"/>
          </w:tcPr>
          <w:p w:rsidR="00B958B1" w:rsidRDefault="00B958B1" w:rsidP="009F3B54">
            <w:pPr>
              <w:pStyle w:val="TableText0"/>
              <w:spacing w:before="60" w:after="60"/>
              <w:jc w:val="right"/>
              <w:rPr>
                <w:rFonts w:cs="Calibri"/>
                <w:color w:val="auto"/>
                <w:sz w:val="20"/>
                <w:szCs w:val="22"/>
              </w:rPr>
            </w:pPr>
            <w:r>
              <w:rPr>
                <w:rFonts w:cs="Calibri"/>
                <w:color w:val="auto"/>
                <w:sz w:val="20"/>
                <w:szCs w:val="22"/>
              </w:rPr>
              <w:t>17.5</w:t>
            </w:r>
          </w:p>
        </w:tc>
        <w:tc>
          <w:tcPr>
            <w:tcW w:w="907" w:type="dxa"/>
            <w:gridSpan w:val="2"/>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16.9</w:t>
            </w:r>
          </w:p>
        </w:tc>
        <w:tc>
          <w:tcPr>
            <w:tcW w:w="911" w:type="dxa"/>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14.7</w:t>
            </w:r>
          </w:p>
        </w:tc>
      </w:tr>
      <w:tr w:rsidR="00B958B1" w:rsidRPr="00F16DCB" w:rsidTr="009F3B54">
        <w:trPr>
          <w:cantSplit/>
        </w:trPr>
        <w:tc>
          <w:tcPr>
            <w:tcW w:w="7776" w:type="dxa"/>
            <w:gridSpan w:val="7"/>
            <w:tcBorders>
              <w:bottom w:val="single" w:sz="4" w:space="0" w:color="auto"/>
            </w:tcBorders>
          </w:tcPr>
          <w:p w:rsidR="00B958B1" w:rsidRDefault="00B958B1" w:rsidP="009F3B54">
            <w:pPr>
              <w:pStyle w:val="OGNotes"/>
              <w:rPr>
                <w:szCs w:val="22"/>
              </w:rPr>
            </w:pPr>
            <w:r w:rsidRPr="00547387">
              <w:t>The 2013</w:t>
            </w:r>
            <w:r w:rsidR="009F0F49">
              <w:noBreakHyphen/>
            </w:r>
            <w:r w:rsidRPr="00547387">
              <w:t>14 Target is higher than the 2012</w:t>
            </w:r>
            <w:r w:rsidR="009F0F49">
              <w:noBreakHyphen/>
            </w:r>
            <w:r w:rsidRPr="00547387">
              <w:t>13 Target due to internal reprioritisation of resources.</w:t>
            </w:r>
          </w:p>
        </w:tc>
      </w:tr>
      <w:tr w:rsidR="00B958B1" w:rsidRPr="00F16DCB" w:rsidTr="009F3B54">
        <w:trPr>
          <w:cantSplit/>
        </w:trPr>
        <w:tc>
          <w:tcPr>
            <w:tcW w:w="7776" w:type="dxa"/>
            <w:gridSpan w:val="7"/>
            <w:tcBorders>
              <w:top w:val="single" w:sz="4" w:space="0" w:color="auto"/>
            </w:tcBorders>
          </w:tcPr>
          <w:p w:rsidR="00B958B1" w:rsidRPr="00F16DCB" w:rsidRDefault="00B958B1" w:rsidP="009F3B54">
            <w:pPr>
              <w:pStyle w:val="OGHeading2"/>
            </w:pPr>
            <w:r w:rsidRPr="00F16DCB">
              <w:t xml:space="preserve">Business </w:t>
            </w:r>
            <w:r w:rsidRPr="00A77CBC">
              <w:t>Environment</w:t>
            </w:r>
            <w:r w:rsidRPr="00F16DCB">
              <w:t xml:space="preserve"> Policy Advice</w:t>
            </w:r>
          </w:p>
        </w:tc>
      </w:tr>
      <w:tr w:rsidR="00B958B1" w:rsidRPr="00F16DCB" w:rsidTr="009F3B54">
        <w:trPr>
          <w:cantSplit/>
        </w:trPr>
        <w:tc>
          <w:tcPr>
            <w:tcW w:w="7776" w:type="dxa"/>
            <w:gridSpan w:val="7"/>
            <w:tcBorders>
              <w:bottom w:val="single" w:sz="6" w:space="0" w:color="auto"/>
            </w:tcBorders>
          </w:tcPr>
          <w:p w:rsidR="00B958B1" w:rsidRDefault="00B958B1" w:rsidP="009F3B54">
            <w:pPr>
              <w:pStyle w:val="OGText"/>
              <w:jc w:val="left"/>
              <w:rPr>
                <w:lang w:eastAsia="en-AU"/>
              </w:rPr>
            </w:pPr>
            <w:r>
              <w:rPr>
                <w:lang w:eastAsia="en-AU"/>
              </w:rPr>
              <w:t>This output provides advice on ways the Government can improve the business environment. The output contributes to guiding Government actions to increase Victoria’s productivity and competitiveness. It does this by:</w:t>
            </w:r>
          </w:p>
          <w:p w:rsidR="00B958B1" w:rsidRDefault="00B958B1" w:rsidP="009F3B54">
            <w:pPr>
              <w:pStyle w:val="OGBullet"/>
              <w:rPr>
                <w:lang w:eastAsia="en-AU"/>
              </w:rPr>
            </w:pPr>
            <w:r>
              <w:rPr>
                <w:lang w:eastAsia="en-AU"/>
              </w:rPr>
              <w:t>reviewing Regulatory Impact Statements, Business Impact Assessments and Regulatory Change Management assessments;</w:t>
            </w:r>
          </w:p>
          <w:p w:rsidR="00B958B1" w:rsidRDefault="00B958B1" w:rsidP="009F3B54">
            <w:pPr>
              <w:pStyle w:val="OGBullet"/>
              <w:rPr>
                <w:lang w:eastAsia="en-AU"/>
              </w:rPr>
            </w:pPr>
            <w:r>
              <w:rPr>
                <w:lang w:eastAsia="en-AU"/>
              </w:rPr>
              <w:t>undertaking inquiries into matters referred to it by the Government; and</w:t>
            </w:r>
          </w:p>
          <w:p w:rsidR="00B958B1" w:rsidRPr="00F16DCB" w:rsidRDefault="00B958B1" w:rsidP="009F3B54">
            <w:pPr>
              <w:pStyle w:val="OGBullet"/>
            </w:pPr>
            <w:r>
              <w:rPr>
                <w:lang w:eastAsia="en-AU"/>
              </w:rPr>
              <w:t>operating Victoria’s competitive neutrality unit.</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Head"/>
            </w:pPr>
            <w:r w:rsidRPr="00F16DCB">
              <w:t>Quantity</w:t>
            </w:r>
          </w:p>
        </w:tc>
        <w:tc>
          <w:tcPr>
            <w:tcW w:w="906" w:type="dxa"/>
            <w:tcBorders>
              <w:top w:val="single" w:sz="6" w:space="0" w:color="auto"/>
            </w:tcBorders>
          </w:tcPr>
          <w:p w:rsidR="00B958B1" w:rsidRPr="00F16DCB" w:rsidRDefault="00B958B1" w:rsidP="009F3B54">
            <w:pPr>
              <w:pStyle w:val="OGTabHead"/>
            </w:pPr>
          </w:p>
        </w:tc>
        <w:tc>
          <w:tcPr>
            <w:tcW w:w="907" w:type="dxa"/>
            <w:tcBorders>
              <w:top w:val="single" w:sz="6" w:space="0" w:color="auto"/>
            </w:tcBorders>
            <w:shd w:val="clear" w:color="auto" w:fill="D9D9D9"/>
          </w:tcPr>
          <w:p w:rsidR="00B958B1" w:rsidRPr="00F16DCB" w:rsidRDefault="00B958B1" w:rsidP="009F3B54">
            <w:pPr>
              <w:pStyle w:val="OGTabHead"/>
            </w:pPr>
            <w:r w:rsidRPr="00F16DCB">
              <w:t> </w:t>
            </w:r>
          </w:p>
        </w:tc>
        <w:tc>
          <w:tcPr>
            <w:tcW w:w="993" w:type="dxa"/>
            <w:tcBorders>
              <w:top w:val="single" w:sz="6" w:space="0" w:color="auto"/>
            </w:tcBorders>
          </w:tcPr>
          <w:p w:rsidR="00B958B1" w:rsidRPr="00F16DCB" w:rsidRDefault="00B958B1" w:rsidP="009F3B54">
            <w:pPr>
              <w:pStyle w:val="OGTabHead"/>
            </w:pPr>
          </w:p>
        </w:tc>
        <w:tc>
          <w:tcPr>
            <w:tcW w:w="907" w:type="dxa"/>
            <w:gridSpan w:val="2"/>
            <w:tcBorders>
              <w:top w:val="single" w:sz="6" w:space="0" w:color="auto"/>
            </w:tcBorders>
          </w:tcPr>
          <w:p w:rsidR="00B958B1" w:rsidRPr="00F16DCB" w:rsidRDefault="00B958B1" w:rsidP="009F3B54">
            <w:pPr>
              <w:pStyle w:val="OGTabHead"/>
            </w:pPr>
          </w:p>
        </w:tc>
        <w:tc>
          <w:tcPr>
            <w:tcW w:w="911" w:type="dxa"/>
            <w:tcBorders>
              <w:top w:val="single" w:sz="6" w:space="0" w:color="auto"/>
            </w:tcBorders>
          </w:tcPr>
          <w:p w:rsidR="00B958B1" w:rsidRPr="00F16DCB" w:rsidRDefault="00B958B1" w:rsidP="009F3B54">
            <w:pPr>
              <w:pStyle w:val="OGTabHead"/>
            </w:pPr>
          </w:p>
        </w:tc>
      </w:tr>
      <w:tr w:rsidR="00B958B1" w:rsidRPr="00F16DCB" w:rsidTr="009F3B54">
        <w:trPr>
          <w:cantSplit/>
        </w:trPr>
        <w:tc>
          <w:tcPr>
            <w:tcW w:w="3152" w:type="dxa"/>
          </w:tcPr>
          <w:p w:rsidR="00B958B1" w:rsidRPr="00F16DCB" w:rsidRDefault="00B958B1" w:rsidP="009F3B54">
            <w:pPr>
              <w:pStyle w:val="OGTabText"/>
              <w:jc w:val="left"/>
            </w:pPr>
            <w:r w:rsidRPr="00F16DCB">
              <w:t>Number of final inquiry reports submitted to Government</w:t>
            </w:r>
          </w:p>
        </w:tc>
        <w:tc>
          <w:tcPr>
            <w:tcW w:w="906" w:type="dxa"/>
          </w:tcPr>
          <w:p w:rsidR="00B958B1" w:rsidRPr="00F16DCB" w:rsidRDefault="00B958B1" w:rsidP="009F3B54">
            <w:pPr>
              <w:pStyle w:val="OGUoM"/>
            </w:pPr>
            <w:r w:rsidRPr="00F16DCB">
              <w:t>number</w:t>
            </w:r>
          </w:p>
        </w:tc>
        <w:tc>
          <w:tcPr>
            <w:tcW w:w="907" w:type="dxa"/>
            <w:shd w:val="clear" w:color="auto" w:fill="D9D9D9"/>
          </w:tcPr>
          <w:p w:rsidR="00B958B1" w:rsidRPr="00F16DCB" w:rsidRDefault="00B958B1" w:rsidP="009F3B54">
            <w:pPr>
              <w:pStyle w:val="OGTableofFigures"/>
            </w:pPr>
            <w:r w:rsidRPr="00F16DCB">
              <w:t>2 </w:t>
            </w:r>
          </w:p>
        </w:tc>
        <w:tc>
          <w:tcPr>
            <w:tcW w:w="993" w:type="dxa"/>
          </w:tcPr>
          <w:p w:rsidR="00B958B1" w:rsidRPr="00F16DCB" w:rsidRDefault="00B958B1" w:rsidP="009F3B54">
            <w:pPr>
              <w:pStyle w:val="OGTableofFigures"/>
            </w:pPr>
            <w:r w:rsidRPr="00F16DCB">
              <w:t>3</w:t>
            </w:r>
          </w:p>
        </w:tc>
        <w:tc>
          <w:tcPr>
            <w:tcW w:w="907" w:type="dxa"/>
            <w:gridSpan w:val="2"/>
          </w:tcPr>
          <w:p w:rsidR="00B958B1" w:rsidRPr="00F16DCB" w:rsidRDefault="00B958B1" w:rsidP="009F3B54">
            <w:pPr>
              <w:pStyle w:val="OGTableofFigures"/>
            </w:pPr>
            <w:r w:rsidRPr="00F16DCB">
              <w:t>3</w:t>
            </w:r>
          </w:p>
        </w:tc>
        <w:tc>
          <w:tcPr>
            <w:tcW w:w="911" w:type="dxa"/>
          </w:tcPr>
          <w:p w:rsidR="00B958B1" w:rsidRPr="00F16DCB" w:rsidRDefault="00B958B1" w:rsidP="009F3B54">
            <w:pPr>
              <w:pStyle w:val="OGTableofFigures"/>
            </w:pPr>
            <w:r w:rsidRPr="00F16DCB">
              <w:t>4</w:t>
            </w:r>
          </w:p>
        </w:tc>
      </w:tr>
      <w:tr w:rsidR="00B958B1" w:rsidRPr="00F16DCB" w:rsidTr="009F3B54">
        <w:trPr>
          <w:cantSplit/>
        </w:trPr>
        <w:tc>
          <w:tcPr>
            <w:tcW w:w="7776" w:type="dxa"/>
            <w:gridSpan w:val="7"/>
            <w:tcBorders>
              <w:bottom w:val="single" w:sz="6" w:space="0" w:color="auto"/>
            </w:tcBorders>
          </w:tcPr>
          <w:p w:rsidR="00B958B1" w:rsidRPr="00547387" w:rsidRDefault="00B958B1" w:rsidP="009F3B54">
            <w:pPr>
              <w:pStyle w:val="OGNotes"/>
            </w:pPr>
            <w:r w:rsidRPr="00547387">
              <w:t>This performance measure renames the 2012</w:t>
            </w:r>
            <w:r w:rsidR="009F0F49">
              <w:noBreakHyphen/>
            </w:r>
            <w:r w:rsidRPr="00547387">
              <w:t>13 performance measure ‘Public Inquiries examined during the year’. The new measure reports on the same activity as the previous measure but has been amended to increase clarity.</w:t>
            </w:r>
          </w:p>
          <w:p w:rsidR="00B958B1" w:rsidRPr="00F16DCB" w:rsidRDefault="00B958B1" w:rsidP="009F3B54">
            <w:pPr>
              <w:pStyle w:val="OGNotes"/>
            </w:pPr>
            <w:r w:rsidRPr="00547387">
              <w:t>The lower 2013</w:t>
            </w:r>
            <w:r w:rsidR="009F0F49">
              <w:noBreakHyphen/>
            </w:r>
            <w:r w:rsidRPr="00547387">
              <w:t>14 Target reflects the average number of inquiry reports requested by Government per year over the last five years.</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Text"/>
              <w:pageBreakBefore/>
              <w:jc w:val="left"/>
            </w:pPr>
            <w:r w:rsidRPr="00F16DCB">
              <w:t>Advice on adequacy of final Regulatory Impact Statements, Business Impact Assessments and Regulatory Change Measurements prepared by departments</w:t>
            </w:r>
          </w:p>
        </w:tc>
        <w:tc>
          <w:tcPr>
            <w:tcW w:w="906" w:type="dxa"/>
            <w:tcBorders>
              <w:top w:val="single" w:sz="6" w:space="0" w:color="auto"/>
            </w:tcBorders>
          </w:tcPr>
          <w:p w:rsidR="00B958B1" w:rsidRPr="00F16DCB" w:rsidRDefault="00B958B1" w:rsidP="009F3B54">
            <w:pPr>
              <w:pStyle w:val="OGUoM"/>
            </w:pPr>
            <w:r w:rsidRPr="00F16DCB">
              <w:t>number</w:t>
            </w:r>
          </w:p>
        </w:tc>
        <w:tc>
          <w:tcPr>
            <w:tcW w:w="907" w:type="dxa"/>
            <w:tcBorders>
              <w:top w:val="single" w:sz="6" w:space="0" w:color="auto"/>
            </w:tcBorders>
            <w:shd w:val="clear" w:color="auto" w:fill="D9D9D9"/>
          </w:tcPr>
          <w:p w:rsidR="00B958B1" w:rsidRPr="00F16DCB" w:rsidRDefault="00B958B1" w:rsidP="009F3B54">
            <w:pPr>
              <w:pStyle w:val="OGTableofFigures"/>
            </w:pPr>
            <w:r w:rsidRPr="00F16DCB">
              <w:t>35</w:t>
            </w:r>
          </w:p>
        </w:tc>
        <w:tc>
          <w:tcPr>
            <w:tcW w:w="993" w:type="dxa"/>
            <w:tcBorders>
              <w:top w:val="single" w:sz="6" w:space="0" w:color="auto"/>
            </w:tcBorders>
          </w:tcPr>
          <w:p w:rsidR="00B958B1" w:rsidRPr="00F16DCB" w:rsidRDefault="00B958B1" w:rsidP="009F3B54">
            <w:pPr>
              <w:pStyle w:val="OGTableofFigures"/>
            </w:pPr>
            <w:r w:rsidRPr="00F16DCB">
              <w:t>35</w:t>
            </w:r>
          </w:p>
        </w:tc>
        <w:tc>
          <w:tcPr>
            <w:tcW w:w="907" w:type="dxa"/>
            <w:gridSpan w:val="2"/>
            <w:tcBorders>
              <w:top w:val="single" w:sz="6" w:space="0" w:color="auto"/>
            </w:tcBorders>
          </w:tcPr>
          <w:p w:rsidR="00B958B1" w:rsidRPr="00F16DCB" w:rsidRDefault="00B958B1" w:rsidP="009F3B54">
            <w:pPr>
              <w:pStyle w:val="OGTableofFigures"/>
            </w:pPr>
            <w:r w:rsidRPr="00F16DCB">
              <w:t>45</w:t>
            </w:r>
          </w:p>
          <w:p w:rsidR="00B958B1" w:rsidRPr="00F16DCB" w:rsidRDefault="00B958B1" w:rsidP="009F3B54">
            <w:pPr>
              <w:pStyle w:val="OGTableofFigures"/>
            </w:pPr>
          </w:p>
          <w:p w:rsidR="00B958B1" w:rsidRPr="00F16DCB" w:rsidRDefault="00B958B1" w:rsidP="009F3B54">
            <w:pPr>
              <w:pStyle w:val="OGTableofFigures"/>
            </w:pPr>
          </w:p>
          <w:p w:rsidR="00B958B1" w:rsidRPr="00F16DCB" w:rsidRDefault="00B958B1" w:rsidP="009F3B54">
            <w:pPr>
              <w:pStyle w:val="OGTableofFigures"/>
            </w:pPr>
          </w:p>
        </w:tc>
        <w:tc>
          <w:tcPr>
            <w:tcW w:w="911" w:type="dxa"/>
            <w:tcBorders>
              <w:top w:val="single" w:sz="6" w:space="0" w:color="auto"/>
            </w:tcBorders>
          </w:tcPr>
          <w:p w:rsidR="00B958B1" w:rsidRPr="00F16DCB" w:rsidRDefault="00B958B1" w:rsidP="009F3B54">
            <w:pPr>
              <w:pStyle w:val="OGTableofFigures"/>
            </w:pPr>
            <w:r w:rsidRPr="00F16DCB">
              <w:t>18</w:t>
            </w:r>
          </w:p>
          <w:p w:rsidR="00B958B1" w:rsidRPr="00F16DCB" w:rsidRDefault="00B958B1" w:rsidP="009F3B54">
            <w:pPr>
              <w:pStyle w:val="OGTableofFigures"/>
            </w:pPr>
          </w:p>
          <w:p w:rsidR="00B958B1" w:rsidRPr="00F16DCB" w:rsidRDefault="00B958B1" w:rsidP="009F3B54">
            <w:pPr>
              <w:pStyle w:val="OGTableofFigures"/>
            </w:pPr>
          </w:p>
          <w:p w:rsidR="00B958B1" w:rsidRPr="00F16DCB" w:rsidRDefault="00B958B1" w:rsidP="009F3B54">
            <w:pPr>
              <w:pStyle w:val="OGTableofFigures"/>
            </w:pPr>
          </w:p>
        </w:tc>
      </w:tr>
      <w:tr w:rsidR="00B958B1" w:rsidRPr="00F16DCB" w:rsidTr="009F3B54">
        <w:trPr>
          <w:cantSplit/>
        </w:trPr>
        <w:tc>
          <w:tcPr>
            <w:tcW w:w="7776" w:type="dxa"/>
            <w:gridSpan w:val="7"/>
            <w:tcBorders>
              <w:bottom w:val="single" w:sz="6" w:space="0" w:color="auto"/>
            </w:tcBorders>
          </w:tcPr>
          <w:p w:rsidR="00B958B1" w:rsidRPr="00547387" w:rsidRDefault="00B958B1" w:rsidP="009F3B54">
            <w:pPr>
              <w:pStyle w:val="OGNotes"/>
            </w:pPr>
            <w:r w:rsidRPr="00547387">
              <w:t>This performance measure is proposed to replace the 2012</w:t>
            </w:r>
            <w:r w:rsidR="009F0F49">
              <w:noBreakHyphen/>
            </w:r>
            <w:r w:rsidRPr="00547387">
              <w:t>13 performance measure ‘Reviews of Regulatory Impact Statements (RIS), and Business Impact Assessments (BIA) and Regulatory change Measurements’. It has been replaced to more accurately reflect the adequacy of advice provided.</w:t>
            </w:r>
          </w:p>
          <w:p w:rsidR="00B958B1" w:rsidRPr="00F16DCB" w:rsidRDefault="00B958B1" w:rsidP="009F3B54">
            <w:pPr>
              <w:pStyle w:val="OGNotes"/>
              <w:rPr>
                <w:sz w:val="18"/>
              </w:rPr>
            </w:pPr>
            <w:r w:rsidRPr="00547387">
              <w:t>The lower 2013</w:t>
            </w:r>
            <w:r w:rsidR="009F0F49">
              <w:noBreakHyphen/>
            </w:r>
            <w:r w:rsidRPr="00547387">
              <w:t>14 Target reflects the demand driven nature of the activity.</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Head"/>
            </w:pPr>
            <w:r w:rsidRPr="00F16DCB">
              <w:t>Quality</w:t>
            </w:r>
          </w:p>
        </w:tc>
        <w:tc>
          <w:tcPr>
            <w:tcW w:w="906" w:type="dxa"/>
            <w:tcBorders>
              <w:top w:val="single" w:sz="6" w:space="0" w:color="auto"/>
            </w:tcBorders>
          </w:tcPr>
          <w:p w:rsidR="00B958B1" w:rsidRPr="00F16DCB" w:rsidRDefault="00B958B1" w:rsidP="009F3B54">
            <w:pPr>
              <w:pStyle w:val="OGTabHead"/>
            </w:pPr>
            <w:r w:rsidRPr="00F16DCB">
              <w:t> </w:t>
            </w:r>
          </w:p>
        </w:tc>
        <w:tc>
          <w:tcPr>
            <w:tcW w:w="907" w:type="dxa"/>
            <w:tcBorders>
              <w:top w:val="single" w:sz="6" w:space="0" w:color="auto"/>
            </w:tcBorders>
            <w:shd w:val="clear" w:color="auto" w:fill="D9D9D9"/>
          </w:tcPr>
          <w:p w:rsidR="00B958B1" w:rsidRPr="00F16DCB" w:rsidRDefault="00B958B1" w:rsidP="009F3B54">
            <w:pPr>
              <w:pStyle w:val="OGTabHead"/>
            </w:pPr>
            <w:r w:rsidRPr="00F16DCB">
              <w:t> </w:t>
            </w:r>
          </w:p>
        </w:tc>
        <w:tc>
          <w:tcPr>
            <w:tcW w:w="993" w:type="dxa"/>
            <w:tcBorders>
              <w:top w:val="single" w:sz="6" w:space="0" w:color="auto"/>
            </w:tcBorders>
          </w:tcPr>
          <w:p w:rsidR="00B958B1" w:rsidRPr="00F16DCB" w:rsidRDefault="00B958B1" w:rsidP="009F3B54">
            <w:pPr>
              <w:pStyle w:val="OGTabHead"/>
            </w:pPr>
          </w:p>
        </w:tc>
        <w:tc>
          <w:tcPr>
            <w:tcW w:w="907" w:type="dxa"/>
            <w:gridSpan w:val="2"/>
            <w:tcBorders>
              <w:top w:val="single" w:sz="6" w:space="0" w:color="auto"/>
            </w:tcBorders>
          </w:tcPr>
          <w:p w:rsidR="00B958B1" w:rsidRPr="00F16DCB" w:rsidRDefault="00B958B1" w:rsidP="009F3B54">
            <w:pPr>
              <w:pStyle w:val="OGTabHead"/>
            </w:pPr>
          </w:p>
        </w:tc>
        <w:tc>
          <w:tcPr>
            <w:tcW w:w="911" w:type="dxa"/>
            <w:tcBorders>
              <w:top w:val="single" w:sz="6" w:space="0" w:color="auto"/>
            </w:tcBorders>
          </w:tcPr>
          <w:p w:rsidR="00B958B1" w:rsidRPr="00F16DCB" w:rsidRDefault="00B958B1" w:rsidP="009F3B54">
            <w:pPr>
              <w:pStyle w:val="OGTabHead"/>
            </w:pPr>
          </w:p>
        </w:tc>
      </w:tr>
      <w:tr w:rsidR="00B958B1" w:rsidRPr="00F16DCB" w:rsidTr="009F3B54">
        <w:trPr>
          <w:cantSplit/>
        </w:trPr>
        <w:tc>
          <w:tcPr>
            <w:tcW w:w="3152" w:type="dxa"/>
            <w:tcBorders>
              <w:bottom w:val="single" w:sz="6" w:space="0" w:color="auto"/>
            </w:tcBorders>
          </w:tcPr>
          <w:p w:rsidR="00B958B1" w:rsidRPr="00F16DCB" w:rsidRDefault="00B958B1" w:rsidP="009F3B54">
            <w:pPr>
              <w:pStyle w:val="OGTabText"/>
              <w:jc w:val="left"/>
            </w:pPr>
            <w:r w:rsidRPr="00F16DCB">
              <w:t>Service provision rating (Commissioner assessment of Secretariat performance)</w:t>
            </w:r>
          </w:p>
        </w:tc>
        <w:tc>
          <w:tcPr>
            <w:tcW w:w="906" w:type="dxa"/>
            <w:tcBorders>
              <w:bottom w:val="single" w:sz="6" w:space="0" w:color="auto"/>
            </w:tcBorders>
          </w:tcPr>
          <w:p w:rsidR="00B958B1" w:rsidRPr="00F16DCB" w:rsidRDefault="00B958B1" w:rsidP="009F3B54">
            <w:pPr>
              <w:pStyle w:val="OGUoM"/>
            </w:pPr>
            <w:r>
              <w:t>per cent</w:t>
            </w:r>
          </w:p>
        </w:tc>
        <w:tc>
          <w:tcPr>
            <w:tcW w:w="907" w:type="dxa"/>
            <w:tcBorders>
              <w:bottom w:val="single" w:sz="6" w:space="0" w:color="auto"/>
            </w:tcBorders>
            <w:shd w:val="clear" w:color="auto" w:fill="D9D9D9"/>
          </w:tcPr>
          <w:p w:rsidR="00B958B1" w:rsidRPr="00F16DCB" w:rsidRDefault="00B958B1" w:rsidP="009F3B54">
            <w:pPr>
              <w:pStyle w:val="OGTableofFigures"/>
            </w:pPr>
            <w:r w:rsidRPr="00F16DCB">
              <w:t>80</w:t>
            </w:r>
          </w:p>
        </w:tc>
        <w:tc>
          <w:tcPr>
            <w:tcW w:w="993" w:type="dxa"/>
            <w:tcBorders>
              <w:bottom w:val="single" w:sz="6" w:space="0" w:color="auto"/>
            </w:tcBorders>
          </w:tcPr>
          <w:p w:rsidR="00B958B1" w:rsidRPr="00F16DCB" w:rsidRDefault="00B958B1" w:rsidP="009F3B54">
            <w:pPr>
              <w:pStyle w:val="OGTableofFigures"/>
            </w:pPr>
            <w:r w:rsidRPr="00F16DCB">
              <w:t>80</w:t>
            </w:r>
          </w:p>
        </w:tc>
        <w:tc>
          <w:tcPr>
            <w:tcW w:w="907" w:type="dxa"/>
            <w:gridSpan w:val="2"/>
            <w:tcBorders>
              <w:bottom w:val="single" w:sz="6" w:space="0" w:color="auto"/>
            </w:tcBorders>
          </w:tcPr>
          <w:p w:rsidR="00B958B1" w:rsidRPr="00F16DCB" w:rsidRDefault="00B958B1" w:rsidP="009F3B54">
            <w:pPr>
              <w:pStyle w:val="OGTableofFigures"/>
            </w:pPr>
            <w:r w:rsidRPr="00F16DCB">
              <w:t>80</w:t>
            </w:r>
          </w:p>
        </w:tc>
        <w:tc>
          <w:tcPr>
            <w:tcW w:w="911" w:type="dxa"/>
            <w:tcBorders>
              <w:bottom w:val="single" w:sz="6" w:space="0" w:color="auto"/>
            </w:tcBorders>
          </w:tcPr>
          <w:p w:rsidR="00B958B1" w:rsidRPr="00F16DCB" w:rsidRDefault="00B958B1" w:rsidP="009F3B54">
            <w:pPr>
              <w:pStyle w:val="OGTableofFigures"/>
            </w:pPr>
            <w:r w:rsidRPr="00F16DCB">
              <w:t>85</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Head"/>
            </w:pPr>
            <w:r w:rsidRPr="00F16DCB">
              <w:t>Timeliness</w:t>
            </w:r>
          </w:p>
        </w:tc>
        <w:tc>
          <w:tcPr>
            <w:tcW w:w="906" w:type="dxa"/>
            <w:tcBorders>
              <w:top w:val="single" w:sz="6" w:space="0" w:color="auto"/>
            </w:tcBorders>
          </w:tcPr>
          <w:p w:rsidR="00B958B1" w:rsidRPr="00F16DCB" w:rsidRDefault="00B958B1" w:rsidP="009F3B54">
            <w:pPr>
              <w:pStyle w:val="OGTabHead"/>
            </w:pPr>
            <w:r w:rsidRPr="00F16DCB">
              <w:t> </w:t>
            </w:r>
          </w:p>
        </w:tc>
        <w:tc>
          <w:tcPr>
            <w:tcW w:w="907" w:type="dxa"/>
            <w:tcBorders>
              <w:top w:val="single" w:sz="6" w:space="0" w:color="auto"/>
            </w:tcBorders>
            <w:shd w:val="clear" w:color="auto" w:fill="D9D9D9"/>
          </w:tcPr>
          <w:p w:rsidR="00B958B1" w:rsidRPr="00F16DCB" w:rsidRDefault="00B958B1" w:rsidP="009F3B54">
            <w:pPr>
              <w:pStyle w:val="OGTabHead"/>
            </w:pPr>
            <w:r w:rsidRPr="00F16DCB">
              <w:t> </w:t>
            </w:r>
          </w:p>
        </w:tc>
        <w:tc>
          <w:tcPr>
            <w:tcW w:w="993" w:type="dxa"/>
            <w:tcBorders>
              <w:top w:val="single" w:sz="6" w:space="0" w:color="auto"/>
            </w:tcBorders>
          </w:tcPr>
          <w:p w:rsidR="00B958B1" w:rsidRPr="00F16DCB" w:rsidRDefault="00B958B1" w:rsidP="009F3B54">
            <w:pPr>
              <w:pStyle w:val="OGTabHead"/>
            </w:pPr>
          </w:p>
        </w:tc>
        <w:tc>
          <w:tcPr>
            <w:tcW w:w="907" w:type="dxa"/>
            <w:gridSpan w:val="2"/>
            <w:tcBorders>
              <w:top w:val="single" w:sz="6" w:space="0" w:color="auto"/>
            </w:tcBorders>
          </w:tcPr>
          <w:p w:rsidR="00B958B1" w:rsidRPr="00F16DCB" w:rsidRDefault="00B958B1" w:rsidP="009F3B54">
            <w:pPr>
              <w:pStyle w:val="OGTabHead"/>
            </w:pPr>
          </w:p>
        </w:tc>
        <w:tc>
          <w:tcPr>
            <w:tcW w:w="911" w:type="dxa"/>
            <w:tcBorders>
              <w:top w:val="single" w:sz="6" w:space="0" w:color="auto"/>
            </w:tcBorders>
          </w:tcPr>
          <w:p w:rsidR="00B958B1" w:rsidRPr="00F16DCB" w:rsidRDefault="00B958B1" w:rsidP="009F3B54">
            <w:pPr>
              <w:pStyle w:val="OGTabHead"/>
            </w:pPr>
          </w:p>
        </w:tc>
      </w:tr>
      <w:tr w:rsidR="00B958B1" w:rsidRPr="00F16DCB" w:rsidTr="009F3B54">
        <w:trPr>
          <w:cantSplit/>
        </w:trPr>
        <w:tc>
          <w:tcPr>
            <w:tcW w:w="3152" w:type="dxa"/>
            <w:tcBorders>
              <w:bottom w:val="single" w:sz="6" w:space="0" w:color="auto"/>
            </w:tcBorders>
          </w:tcPr>
          <w:p w:rsidR="00B958B1" w:rsidRPr="00F16DCB" w:rsidRDefault="00B958B1" w:rsidP="009F3B54">
            <w:pPr>
              <w:pStyle w:val="OGTabText"/>
              <w:jc w:val="left"/>
            </w:pPr>
            <w:r w:rsidRPr="00F16DCB">
              <w:t>Completion of inquiry reports by due date</w:t>
            </w:r>
          </w:p>
        </w:tc>
        <w:tc>
          <w:tcPr>
            <w:tcW w:w="906" w:type="dxa"/>
            <w:tcBorders>
              <w:bottom w:val="single" w:sz="6" w:space="0" w:color="auto"/>
            </w:tcBorders>
          </w:tcPr>
          <w:p w:rsidR="00B958B1" w:rsidRPr="00F16DCB" w:rsidRDefault="00B958B1" w:rsidP="009F3B54">
            <w:pPr>
              <w:pStyle w:val="OGUoM"/>
            </w:pPr>
            <w:r>
              <w:t>per cent</w:t>
            </w:r>
          </w:p>
        </w:tc>
        <w:tc>
          <w:tcPr>
            <w:tcW w:w="907" w:type="dxa"/>
            <w:tcBorders>
              <w:bottom w:val="single" w:sz="6" w:space="0" w:color="auto"/>
            </w:tcBorders>
            <w:shd w:val="clear" w:color="auto" w:fill="D9D9D9"/>
          </w:tcPr>
          <w:p w:rsidR="00B958B1" w:rsidRPr="00F16DCB" w:rsidRDefault="00B958B1" w:rsidP="009F3B54">
            <w:pPr>
              <w:pStyle w:val="OGTableofFigures"/>
            </w:pPr>
            <w:r w:rsidRPr="00F16DCB">
              <w:t>100</w:t>
            </w:r>
          </w:p>
        </w:tc>
        <w:tc>
          <w:tcPr>
            <w:tcW w:w="993" w:type="dxa"/>
            <w:tcBorders>
              <w:bottom w:val="single" w:sz="6" w:space="0" w:color="auto"/>
            </w:tcBorders>
          </w:tcPr>
          <w:p w:rsidR="00B958B1" w:rsidRPr="00F16DCB" w:rsidRDefault="00B958B1" w:rsidP="009F3B54">
            <w:pPr>
              <w:pStyle w:val="OGTableofFigures"/>
            </w:pPr>
            <w:r w:rsidRPr="00F16DCB">
              <w:t>100</w:t>
            </w:r>
          </w:p>
        </w:tc>
        <w:tc>
          <w:tcPr>
            <w:tcW w:w="907" w:type="dxa"/>
            <w:gridSpan w:val="2"/>
            <w:tcBorders>
              <w:bottom w:val="single" w:sz="6" w:space="0" w:color="auto"/>
            </w:tcBorders>
          </w:tcPr>
          <w:p w:rsidR="00B958B1" w:rsidRPr="00F16DCB" w:rsidRDefault="00B958B1" w:rsidP="009F3B54">
            <w:pPr>
              <w:pStyle w:val="OGTableofFigures"/>
            </w:pPr>
            <w:r w:rsidRPr="00F16DCB">
              <w:t>100</w:t>
            </w:r>
          </w:p>
        </w:tc>
        <w:tc>
          <w:tcPr>
            <w:tcW w:w="911" w:type="dxa"/>
            <w:tcBorders>
              <w:bottom w:val="single" w:sz="6" w:space="0" w:color="auto"/>
            </w:tcBorders>
          </w:tcPr>
          <w:p w:rsidR="00B958B1" w:rsidRPr="00F16DCB" w:rsidRDefault="00B958B1" w:rsidP="009F3B54">
            <w:pPr>
              <w:pStyle w:val="OGTableofFigures"/>
            </w:pPr>
            <w:r w:rsidRPr="00F16DCB">
              <w:t>100</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Text"/>
              <w:jc w:val="left"/>
            </w:pPr>
            <w:r w:rsidRPr="00F16DCB">
              <w:t>Complete the initial assessment phase of Business Impact Assessments within 10</w:t>
            </w:r>
            <w:r>
              <w:t> </w:t>
            </w:r>
            <w:r w:rsidRPr="00F16DCB">
              <w:t>working days of receipt</w:t>
            </w:r>
          </w:p>
        </w:tc>
        <w:tc>
          <w:tcPr>
            <w:tcW w:w="906" w:type="dxa"/>
            <w:tcBorders>
              <w:top w:val="single" w:sz="6" w:space="0" w:color="auto"/>
            </w:tcBorders>
          </w:tcPr>
          <w:p w:rsidR="00B958B1" w:rsidRPr="00F16DCB" w:rsidRDefault="00B958B1" w:rsidP="009F3B54">
            <w:pPr>
              <w:pStyle w:val="OGUoM"/>
            </w:pPr>
            <w:r>
              <w:t>per cent</w:t>
            </w:r>
          </w:p>
        </w:tc>
        <w:tc>
          <w:tcPr>
            <w:tcW w:w="907" w:type="dxa"/>
            <w:tcBorders>
              <w:top w:val="single" w:sz="6" w:space="0" w:color="auto"/>
            </w:tcBorders>
            <w:shd w:val="clear" w:color="auto" w:fill="D9D9D9"/>
          </w:tcPr>
          <w:p w:rsidR="00B958B1" w:rsidRPr="00F16DCB" w:rsidRDefault="00B958B1" w:rsidP="009F3B54">
            <w:pPr>
              <w:pStyle w:val="OGTableofFigures"/>
            </w:pPr>
            <w:r w:rsidRPr="00F16DCB">
              <w:t>100</w:t>
            </w:r>
          </w:p>
        </w:tc>
        <w:tc>
          <w:tcPr>
            <w:tcW w:w="993" w:type="dxa"/>
            <w:tcBorders>
              <w:top w:val="single" w:sz="6" w:space="0" w:color="auto"/>
            </w:tcBorders>
          </w:tcPr>
          <w:p w:rsidR="00B958B1" w:rsidRPr="00F16DCB" w:rsidRDefault="00B958B1" w:rsidP="009F3B54">
            <w:pPr>
              <w:pStyle w:val="OGTableofFigures"/>
            </w:pPr>
            <w:r w:rsidRPr="00F16DCB">
              <w:t>100</w:t>
            </w:r>
          </w:p>
        </w:tc>
        <w:tc>
          <w:tcPr>
            <w:tcW w:w="907" w:type="dxa"/>
            <w:gridSpan w:val="2"/>
            <w:tcBorders>
              <w:top w:val="single" w:sz="6" w:space="0" w:color="auto"/>
            </w:tcBorders>
          </w:tcPr>
          <w:p w:rsidR="00B958B1" w:rsidRPr="00F16DCB" w:rsidRDefault="00B958B1" w:rsidP="009F3B54">
            <w:pPr>
              <w:pStyle w:val="OGTableofFigures"/>
            </w:pPr>
            <w:r w:rsidRPr="00F16DCB">
              <w:t>90</w:t>
            </w:r>
          </w:p>
        </w:tc>
        <w:tc>
          <w:tcPr>
            <w:tcW w:w="911" w:type="dxa"/>
            <w:tcBorders>
              <w:top w:val="single" w:sz="6" w:space="0" w:color="auto"/>
            </w:tcBorders>
          </w:tcPr>
          <w:p w:rsidR="00B958B1" w:rsidRPr="00F16DCB" w:rsidRDefault="00B958B1" w:rsidP="009F3B54">
            <w:pPr>
              <w:pStyle w:val="OGTableofFigures"/>
            </w:pPr>
            <w:r w:rsidRPr="00F16DCB">
              <w:t>100</w:t>
            </w:r>
          </w:p>
        </w:tc>
      </w:tr>
      <w:tr w:rsidR="00B958B1" w:rsidRPr="00F16DCB" w:rsidTr="009F3B54">
        <w:trPr>
          <w:cantSplit/>
        </w:trPr>
        <w:tc>
          <w:tcPr>
            <w:tcW w:w="7776" w:type="dxa"/>
            <w:gridSpan w:val="7"/>
          </w:tcPr>
          <w:p w:rsidR="00B958B1" w:rsidRDefault="00B958B1" w:rsidP="009F3B54">
            <w:pPr>
              <w:pStyle w:val="OGNotes"/>
            </w:pPr>
            <w:r w:rsidRPr="00547387">
              <w:t>The 2012</w:t>
            </w:r>
            <w:r w:rsidR="009F0F49">
              <w:noBreakHyphen/>
            </w:r>
            <w:r w:rsidRPr="00547387">
              <w:t>13 Expected Outcome is greater than the 2012</w:t>
            </w:r>
            <w:r w:rsidR="009F0F49">
              <w:noBreakHyphen/>
            </w:r>
            <w:r w:rsidRPr="00547387">
              <w:t>13 Target due to efficiency improvements.</w:t>
            </w:r>
          </w:p>
          <w:p w:rsidR="00B958B1" w:rsidRPr="00DE36F6" w:rsidRDefault="00B958B1" w:rsidP="009F3B54">
            <w:pPr>
              <w:pStyle w:val="OGNotes"/>
            </w:pPr>
            <w:r w:rsidRPr="00547387">
              <w:t>The higher 2013</w:t>
            </w:r>
            <w:r w:rsidR="009F0F49">
              <w:noBreakHyphen/>
            </w:r>
            <w:r w:rsidRPr="00547387">
              <w:t>14 Target reflects the Department’s higher average performance in this area over the last three years.</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Text"/>
              <w:jc w:val="left"/>
            </w:pPr>
            <w:r w:rsidRPr="00F16DCB">
              <w:t>Complete the initial assessment phase of Regulatory Impact Statements within 10</w:t>
            </w:r>
            <w:r>
              <w:t> </w:t>
            </w:r>
            <w:r w:rsidRPr="00F16DCB">
              <w:t>working days of receipt</w:t>
            </w:r>
          </w:p>
        </w:tc>
        <w:tc>
          <w:tcPr>
            <w:tcW w:w="906" w:type="dxa"/>
            <w:tcBorders>
              <w:top w:val="single" w:sz="6" w:space="0" w:color="auto"/>
            </w:tcBorders>
          </w:tcPr>
          <w:p w:rsidR="00B958B1" w:rsidRPr="00F16DCB" w:rsidRDefault="00B958B1" w:rsidP="009F3B54">
            <w:pPr>
              <w:pStyle w:val="OGUoM"/>
            </w:pPr>
            <w:r>
              <w:t>per cent</w:t>
            </w:r>
          </w:p>
        </w:tc>
        <w:tc>
          <w:tcPr>
            <w:tcW w:w="907" w:type="dxa"/>
            <w:tcBorders>
              <w:top w:val="single" w:sz="6" w:space="0" w:color="auto"/>
            </w:tcBorders>
            <w:shd w:val="clear" w:color="auto" w:fill="D9D9D9"/>
          </w:tcPr>
          <w:p w:rsidR="00B958B1" w:rsidRPr="00F16DCB" w:rsidRDefault="00B958B1" w:rsidP="009F3B54">
            <w:pPr>
              <w:pStyle w:val="OGTableofFigures"/>
            </w:pPr>
            <w:r w:rsidRPr="00F16DCB">
              <w:t>100</w:t>
            </w:r>
          </w:p>
        </w:tc>
        <w:tc>
          <w:tcPr>
            <w:tcW w:w="993" w:type="dxa"/>
            <w:tcBorders>
              <w:top w:val="single" w:sz="6" w:space="0" w:color="auto"/>
            </w:tcBorders>
          </w:tcPr>
          <w:p w:rsidR="00B958B1" w:rsidRPr="00F16DCB" w:rsidRDefault="00B958B1" w:rsidP="009F3B54">
            <w:pPr>
              <w:pStyle w:val="OGTableofFigures"/>
            </w:pPr>
            <w:r w:rsidRPr="00F16DCB">
              <w:t>90</w:t>
            </w:r>
          </w:p>
        </w:tc>
        <w:tc>
          <w:tcPr>
            <w:tcW w:w="907" w:type="dxa"/>
            <w:gridSpan w:val="2"/>
            <w:tcBorders>
              <w:top w:val="single" w:sz="6" w:space="0" w:color="auto"/>
            </w:tcBorders>
          </w:tcPr>
          <w:p w:rsidR="00B958B1" w:rsidRPr="00F16DCB" w:rsidRDefault="00B958B1" w:rsidP="009F3B54">
            <w:pPr>
              <w:pStyle w:val="OGTableofFigures"/>
            </w:pPr>
            <w:r w:rsidRPr="00F16DCB">
              <w:t>90</w:t>
            </w:r>
          </w:p>
        </w:tc>
        <w:tc>
          <w:tcPr>
            <w:tcW w:w="911" w:type="dxa"/>
            <w:tcBorders>
              <w:top w:val="single" w:sz="6" w:space="0" w:color="auto"/>
            </w:tcBorders>
          </w:tcPr>
          <w:p w:rsidR="00B958B1" w:rsidRPr="00F16DCB" w:rsidRDefault="00B958B1" w:rsidP="009F3B54">
            <w:pPr>
              <w:pStyle w:val="OGTableofFigures"/>
            </w:pPr>
            <w:r w:rsidRPr="00F16DCB">
              <w:t>100</w:t>
            </w:r>
          </w:p>
        </w:tc>
      </w:tr>
      <w:tr w:rsidR="00B958B1" w:rsidRPr="00F16DCB" w:rsidTr="009F3B54">
        <w:trPr>
          <w:cantSplit/>
        </w:trPr>
        <w:tc>
          <w:tcPr>
            <w:tcW w:w="7776" w:type="dxa"/>
            <w:gridSpan w:val="7"/>
            <w:tcBorders>
              <w:bottom w:val="single" w:sz="6" w:space="0" w:color="auto"/>
            </w:tcBorders>
          </w:tcPr>
          <w:p w:rsidR="00B958B1" w:rsidRPr="00F16DCB" w:rsidRDefault="00B958B1" w:rsidP="009F3B54">
            <w:pPr>
              <w:pStyle w:val="OGNotes"/>
            </w:pPr>
            <w:r w:rsidRPr="00547387">
              <w:t>The higher 2013</w:t>
            </w:r>
            <w:r w:rsidR="009F0F49">
              <w:noBreakHyphen/>
            </w:r>
            <w:r w:rsidRPr="00547387">
              <w:t>14 Target reflects the Department’s higher average performance in this area over the past four years.</w:t>
            </w:r>
            <w:r w:rsidRPr="00F16DCB">
              <w:t xml:space="preserve"> </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Text"/>
              <w:jc w:val="left"/>
            </w:pPr>
            <w:r w:rsidRPr="00F16DCB">
              <w:t>Complete the initial assessment phase of Regulatory Change Measurements within 10</w:t>
            </w:r>
            <w:r>
              <w:t> </w:t>
            </w:r>
            <w:r w:rsidRPr="00F16DCB">
              <w:t>working days of receipt</w:t>
            </w:r>
          </w:p>
        </w:tc>
        <w:tc>
          <w:tcPr>
            <w:tcW w:w="906" w:type="dxa"/>
            <w:tcBorders>
              <w:top w:val="single" w:sz="6" w:space="0" w:color="auto"/>
            </w:tcBorders>
          </w:tcPr>
          <w:p w:rsidR="00B958B1" w:rsidRPr="00F16DCB" w:rsidRDefault="00B958B1" w:rsidP="009F3B54">
            <w:pPr>
              <w:pStyle w:val="OGUoM"/>
            </w:pPr>
            <w:r>
              <w:t>per cent</w:t>
            </w:r>
          </w:p>
        </w:tc>
        <w:tc>
          <w:tcPr>
            <w:tcW w:w="907" w:type="dxa"/>
            <w:tcBorders>
              <w:top w:val="single" w:sz="6" w:space="0" w:color="auto"/>
            </w:tcBorders>
            <w:shd w:val="clear" w:color="auto" w:fill="D9D9D9"/>
          </w:tcPr>
          <w:p w:rsidR="00B958B1" w:rsidRPr="00F16DCB" w:rsidRDefault="00B958B1" w:rsidP="009F3B54">
            <w:pPr>
              <w:pStyle w:val="OGTableofFigures"/>
            </w:pPr>
            <w:r w:rsidRPr="00F16DCB">
              <w:t>100</w:t>
            </w:r>
          </w:p>
        </w:tc>
        <w:tc>
          <w:tcPr>
            <w:tcW w:w="993" w:type="dxa"/>
            <w:tcBorders>
              <w:top w:val="single" w:sz="6" w:space="0" w:color="auto"/>
            </w:tcBorders>
          </w:tcPr>
          <w:p w:rsidR="00B958B1" w:rsidRPr="00F16DCB" w:rsidRDefault="00B958B1" w:rsidP="009F3B54">
            <w:pPr>
              <w:pStyle w:val="OGTableofFigures"/>
            </w:pPr>
            <w:r w:rsidRPr="00F16DCB">
              <w:t>100</w:t>
            </w:r>
          </w:p>
        </w:tc>
        <w:tc>
          <w:tcPr>
            <w:tcW w:w="907" w:type="dxa"/>
            <w:gridSpan w:val="2"/>
            <w:tcBorders>
              <w:top w:val="single" w:sz="6" w:space="0" w:color="auto"/>
            </w:tcBorders>
          </w:tcPr>
          <w:p w:rsidR="00B958B1" w:rsidRPr="00F16DCB" w:rsidRDefault="00B958B1" w:rsidP="009F3B54">
            <w:pPr>
              <w:pStyle w:val="OGTableofFigures"/>
            </w:pPr>
            <w:r w:rsidRPr="00F16DCB">
              <w:t>90</w:t>
            </w:r>
          </w:p>
        </w:tc>
        <w:tc>
          <w:tcPr>
            <w:tcW w:w="911" w:type="dxa"/>
            <w:tcBorders>
              <w:top w:val="single" w:sz="6" w:space="0" w:color="auto"/>
            </w:tcBorders>
          </w:tcPr>
          <w:p w:rsidR="00B958B1" w:rsidRPr="00F16DCB" w:rsidRDefault="00B958B1" w:rsidP="009F3B54">
            <w:pPr>
              <w:pStyle w:val="OGTableofFigures"/>
            </w:pPr>
            <w:r w:rsidRPr="00F16DCB">
              <w:t>100</w:t>
            </w:r>
          </w:p>
        </w:tc>
      </w:tr>
      <w:tr w:rsidR="00B958B1" w:rsidRPr="00E545E8" w:rsidTr="009F3B54">
        <w:trPr>
          <w:cantSplit/>
        </w:trPr>
        <w:tc>
          <w:tcPr>
            <w:tcW w:w="7776" w:type="dxa"/>
            <w:gridSpan w:val="7"/>
          </w:tcPr>
          <w:p w:rsidR="00B958B1" w:rsidRDefault="00B958B1" w:rsidP="009F3B54">
            <w:pPr>
              <w:pStyle w:val="OGNotes"/>
            </w:pPr>
            <w:r w:rsidRPr="00547387">
              <w:t>The higher 2013</w:t>
            </w:r>
            <w:r w:rsidR="009F0F49">
              <w:noBreakHyphen/>
            </w:r>
            <w:r w:rsidRPr="00547387">
              <w:t>14 Target reflects the Department’s higher average performance in this area over the last three years.</w:t>
            </w:r>
          </w:p>
          <w:p w:rsidR="00B958B1" w:rsidRPr="00DE36F6" w:rsidRDefault="00B958B1" w:rsidP="009F3B54">
            <w:pPr>
              <w:pStyle w:val="OGNotes"/>
            </w:pPr>
            <w:r w:rsidRPr="00547387">
              <w:t>The 2012</w:t>
            </w:r>
            <w:r w:rsidR="009F0F49">
              <w:noBreakHyphen/>
            </w:r>
            <w:r w:rsidRPr="00547387">
              <w:t>13 Expected Outcome is greater than the 2012</w:t>
            </w:r>
            <w:r w:rsidR="009F0F49">
              <w:noBreakHyphen/>
            </w:r>
            <w:r w:rsidRPr="00547387">
              <w:t>13 Target due efficiency improvements.</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Head"/>
            </w:pPr>
            <w:r>
              <w:t>Cost</w:t>
            </w:r>
          </w:p>
        </w:tc>
        <w:tc>
          <w:tcPr>
            <w:tcW w:w="906" w:type="dxa"/>
            <w:tcBorders>
              <w:top w:val="single" w:sz="6" w:space="0" w:color="auto"/>
            </w:tcBorders>
          </w:tcPr>
          <w:p w:rsidR="00B958B1" w:rsidRDefault="00B958B1" w:rsidP="009F3B54">
            <w:pPr>
              <w:pStyle w:val="OGUoM"/>
            </w:pPr>
          </w:p>
        </w:tc>
        <w:tc>
          <w:tcPr>
            <w:tcW w:w="907" w:type="dxa"/>
            <w:tcBorders>
              <w:top w:val="single" w:sz="6" w:space="0" w:color="auto"/>
            </w:tcBorders>
            <w:shd w:val="clear" w:color="auto" w:fill="D9D9D9"/>
          </w:tcPr>
          <w:p w:rsidR="00B958B1" w:rsidRPr="00F16DCB" w:rsidRDefault="00B958B1" w:rsidP="009F3B54">
            <w:pPr>
              <w:pStyle w:val="OGTableofFigures"/>
            </w:pPr>
          </w:p>
        </w:tc>
        <w:tc>
          <w:tcPr>
            <w:tcW w:w="993" w:type="dxa"/>
            <w:tcBorders>
              <w:top w:val="single" w:sz="6" w:space="0" w:color="auto"/>
            </w:tcBorders>
          </w:tcPr>
          <w:p w:rsidR="00B958B1" w:rsidRPr="00F16DCB" w:rsidRDefault="00B958B1" w:rsidP="009F3B54">
            <w:pPr>
              <w:pStyle w:val="OGTableofFigures"/>
            </w:pPr>
          </w:p>
        </w:tc>
        <w:tc>
          <w:tcPr>
            <w:tcW w:w="907" w:type="dxa"/>
            <w:gridSpan w:val="2"/>
            <w:tcBorders>
              <w:top w:val="single" w:sz="6" w:space="0" w:color="auto"/>
            </w:tcBorders>
          </w:tcPr>
          <w:p w:rsidR="00B958B1" w:rsidRPr="00F16DCB" w:rsidRDefault="00B958B1" w:rsidP="009F3B54">
            <w:pPr>
              <w:pStyle w:val="OGTableofFigures"/>
            </w:pPr>
          </w:p>
        </w:tc>
        <w:tc>
          <w:tcPr>
            <w:tcW w:w="911" w:type="dxa"/>
            <w:tcBorders>
              <w:top w:val="single" w:sz="6" w:space="0" w:color="auto"/>
            </w:tcBorders>
          </w:tcPr>
          <w:p w:rsidR="00B958B1" w:rsidRPr="00F16DCB" w:rsidRDefault="00B958B1" w:rsidP="009F3B54">
            <w:pPr>
              <w:pStyle w:val="OGTableofFigures"/>
            </w:pPr>
          </w:p>
        </w:tc>
      </w:tr>
      <w:tr w:rsidR="00B958B1" w:rsidRPr="00F16DCB" w:rsidTr="009F3B54">
        <w:trPr>
          <w:cantSplit/>
        </w:trPr>
        <w:tc>
          <w:tcPr>
            <w:tcW w:w="3152" w:type="dxa"/>
          </w:tcPr>
          <w:p w:rsidR="00B958B1" w:rsidRPr="002B0132" w:rsidRDefault="00B958B1" w:rsidP="009F3B54">
            <w:pPr>
              <w:pStyle w:val="TableText0"/>
              <w:spacing w:before="60" w:after="60"/>
              <w:rPr>
                <w:rFonts w:cs="Calibri"/>
                <w:color w:val="auto"/>
                <w:sz w:val="20"/>
                <w:szCs w:val="22"/>
              </w:rPr>
            </w:pPr>
            <w:r>
              <w:rPr>
                <w:rFonts w:cs="Calibri"/>
                <w:color w:val="auto"/>
                <w:sz w:val="20"/>
                <w:szCs w:val="22"/>
              </w:rPr>
              <w:t>Total output cost</w:t>
            </w:r>
          </w:p>
        </w:tc>
        <w:tc>
          <w:tcPr>
            <w:tcW w:w="906" w:type="dxa"/>
          </w:tcPr>
          <w:p w:rsidR="00B958B1" w:rsidRPr="002B0132" w:rsidRDefault="00B958B1" w:rsidP="009F3B54">
            <w:pPr>
              <w:pStyle w:val="TableText0"/>
              <w:spacing w:before="60" w:after="60"/>
              <w:jc w:val="center"/>
              <w:rPr>
                <w:rFonts w:cs="Calibri"/>
                <w:color w:val="auto"/>
                <w:sz w:val="20"/>
                <w:szCs w:val="22"/>
              </w:rPr>
            </w:pPr>
            <w:r>
              <w:rPr>
                <w:rFonts w:cs="Calibri"/>
                <w:color w:val="auto"/>
                <w:sz w:val="20"/>
                <w:szCs w:val="22"/>
              </w:rPr>
              <w:t>$ million</w:t>
            </w:r>
          </w:p>
        </w:tc>
        <w:tc>
          <w:tcPr>
            <w:tcW w:w="907" w:type="dxa"/>
            <w:shd w:val="clear" w:color="auto" w:fill="D9D9D9"/>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6.2</w:t>
            </w:r>
          </w:p>
        </w:tc>
        <w:tc>
          <w:tcPr>
            <w:tcW w:w="993" w:type="dxa"/>
          </w:tcPr>
          <w:p w:rsidR="00B958B1" w:rsidRDefault="00B958B1" w:rsidP="009F3B54">
            <w:pPr>
              <w:pStyle w:val="TableText0"/>
              <w:spacing w:before="60" w:after="60"/>
              <w:jc w:val="right"/>
              <w:rPr>
                <w:rFonts w:cs="Calibri"/>
                <w:color w:val="auto"/>
                <w:sz w:val="20"/>
                <w:szCs w:val="22"/>
              </w:rPr>
            </w:pPr>
            <w:r>
              <w:rPr>
                <w:rFonts w:cs="Calibri"/>
                <w:color w:val="auto"/>
                <w:sz w:val="20"/>
                <w:szCs w:val="22"/>
              </w:rPr>
              <w:t>5.8</w:t>
            </w:r>
          </w:p>
        </w:tc>
        <w:tc>
          <w:tcPr>
            <w:tcW w:w="907" w:type="dxa"/>
            <w:gridSpan w:val="2"/>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5.8</w:t>
            </w:r>
          </w:p>
        </w:tc>
        <w:tc>
          <w:tcPr>
            <w:tcW w:w="911" w:type="dxa"/>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5.7</w:t>
            </w:r>
          </w:p>
        </w:tc>
      </w:tr>
      <w:tr w:rsidR="00B958B1" w:rsidRPr="00F16DCB" w:rsidTr="009F3B54">
        <w:trPr>
          <w:cantSplit/>
        </w:trPr>
        <w:tc>
          <w:tcPr>
            <w:tcW w:w="7776" w:type="dxa"/>
            <w:gridSpan w:val="7"/>
            <w:tcBorders>
              <w:bottom w:val="single" w:sz="12" w:space="0" w:color="auto"/>
            </w:tcBorders>
          </w:tcPr>
          <w:p w:rsidR="00B958B1" w:rsidRDefault="00B958B1" w:rsidP="009F3B54">
            <w:pPr>
              <w:pStyle w:val="OGNotes"/>
              <w:rPr>
                <w:szCs w:val="22"/>
              </w:rPr>
            </w:pPr>
            <w:r w:rsidRPr="00547387">
              <w:t xml:space="preserve">The </w:t>
            </w:r>
            <w:r>
              <w:t>higher 2013</w:t>
            </w:r>
            <w:r w:rsidR="009F0F49">
              <w:noBreakHyphen/>
            </w:r>
            <w:r>
              <w:t xml:space="preserve">14 Target reflects </w:t>
            </w:r>
            <w:r w:rsidRPr="00547387">
              <w:t>indexation.</w:t>
            </w:r>
          </w:p>
        </w:tc>
      </w:tr>
    </w:tbl>
    <w:p w:rsidR="00B958B1" w:rsidRDefault="00B958B1" w:rsidP="009F3B54">
      <w:pPr>
        <w:pStyle w:val="Source"/>
      </w:pPr>
      <w:r>
        <w:t xml:space="preserve">Source: Department of Treasury and Finance </w:t>
      </w:r>
    </w:p>
    <w:p w:rsidR="00B958B1" w:rsidRDefault="00B958B1" w:rsidP="009F3B54">
      <w:pPr>
        <w:pStyle w:val="Source"/>
      </w:pPr>
      <w:r>
        <w:fldChar w:fldCharType="begin"/>
      </w:r>
      <w:r>
        <w:instrText xml:space="preserve"> XE "</w:instrText>
      </w:r>
      <w:r w:rsidRPr="00452676">
        <w:instrText>Department of Treasury and Finance:Regulatory Services</w:instrText>
      </w:r>
      <w:r>
        <w:instrText xml:space="preserve">" \r "BP3DTFRegulatorySvces" </w:instrText>
      </w:r>
      <w:r>
        <w:fldChar w:fldCharType="end"/>
      </w:r>
    </w:p>
    <w:bookmarkEnd w:id="149"/>
    <w:p w:rsidR="00B958B1" w:rsidRPr="00F16DCB" w:rsidRDefault="00B958B1" w:rsidP="009F3B54"/>
    <w:p w:rsidR="00B958B1" w:rsidRPr="00F16DCB" w:rsidRDefault="00B958B1" w:rsidP="009F3B54">
      <w:pPr>
        <w:pStyle w:val="OGHeading1"/>
      </w:pPr>
      <w:r w:rsidRPr="00F16DCB">
        <w:br w:type="page"/>
      </w:r>
      <w:bookmarkStart w:id="150" w:name="BP3DTFRevenueMgmtSvces"/>
      <w:r w:rsidRPr="00F16DCB">
        <w:t>Revenue Management Services</w:t>
      </w:r>
    </w:p>
    <w:p w:rsidR="00B958B1" w:rsidRDefault="00B958B1" w:rsidP="009F3B54">
      <w:pPr>
        <w:pStyle w:val="OGText"/>
        <w:rPr>
          <w:lang w:eastAsia="en-AU"/>
        </w:rPr>
      </w:pPr>
      <w:r>
        <w:rPr>
          <w:lang w:eastAsia="en-AU"/>
        </w:rPr>
        <w:t>This output administers revenue collections of major taxes and duties on behalf of the Government. It also assesses and processes unclaimed monies applications.</w:t>
      </w:r>
    </w:p>
    <w:p w:rsidR="00B958B1" w:rsidRPr="00F16DCB" w:rsidRDefault="00B958B1" w:rsidP="009F3B54">
      <w:pPr>
        <w:pStyle w:val="OGText"/>
        <w:rPr>
          <w:lang w:eastAsia="en-AU"/>
        </w:rPr>
      </w:pPr>
      <w:r>
        <w:rPr>
          <w:lang w:eastAsia="en-AU"/>
        </w:rPr>
        <w:t>By efficiently delivering revenue management services in Victoria, this output contributes to the departmental objective of sound financial management of the State’s fiscal resources.</w:t>
      </w:r>
    </w:p>
    <w:tbl>
      <w:tblPr>
        <w:tblStyle w:val="TableGrid"/>
        <w:tblW w:w="7776" w:type="dxa"/>
        <w:tblInd w:w="29" w:type="dxa"/>
        <w:tblLayout w:type="fixed"/>
        <w:tblCellMar>
          <w:left w:w="43" w:type="dxa"/>
          <w:right w:w="43" w:type="dxa"/>
        </w:tblCellMar>
        <w:tblLook w:val="04A0" w:firstRow="1" w:lastRow="0" w:firstColumn="1" w:lastColumn="0" w:noHBand="0" w:noVBand="1"/>
      </w:tblPr>
      <w:tblGrid>
        <w:gridCol w:w="3152"/>
        <w:gridCol w:w="906"/>
        <w:gridCol w:w="907"/>
        <w:gridCol w:w="993"/>
        <w:gridCol w:w="897"/>
        <w:gridCol w:w="10"/>
        <w:gridCol w:w="911"/>
      </w:tblGrid>
      <w:tr w:rsidR="00B958B1" w:rsidRPr="00F16DCB" w:rsidTr="009F3B54">
        <w:trPr>
          <w:cantSplit/>
          <w:tblHeader/>
        </w:trPr>
        <w:tc>
          <w:tcPr>
            <w:tcW w:w="3152" w:type="dxa"/>
            <w:tcBorders>
              <w:top w:val="single" w:sz="6" w:space="0" w:color="auto"/>
              <w:left w:val="single" w:sz="6" w:space="0" w:color="auto"/>
              <w:bottom w:val="single" w:sz="6" w:space="0" w:color="auto"/>
            </w:tcBorders>
            <w:shd w:val="clear" w:color="auto" w:fill="000000"/>
          </w:tcPr>
          <w:p w:rsidR="00B958B1" w:rsidRDefault="00B958B1" w:rsidP="009F3B54">
            <w:pPr>
              <w:pStyle w:val="OGTabColLeft"/>
            </w:pPr>
            <w:r>
              <w:rPr>
                <w:shd w:val="clear" w:color="auto" w:fill="000000"/>
              </w:rPr>
              <w:br/>
            </w:r>
            <w:r w:rsidRPr="00F16DCB">
              <w:rPr>
                <w:shd w:val="clear" w:color="auto" w:fill="000000"/>
              </w:rPr>
              <w:t xml:space="preserve">Major </w:t>
            </w:r>
            <w:r w:rsidRPr="00F16DCB">
              <w:t>outputs/deliverables</w:t>
            </w:r>
            <w:r w:rsidRPr="00F16DCB">
              <w:br/>
            </w:r>
            <w:r w:rsidRPr="00E26AF5">
              <w:rPr>
                <w:b w:val="0"/>
                <w:i/>
                <w:iCs/>
              </w:rPr>
              <w:t>Performance measures</w:t>
            </w:r>
          </w:p>
        </w:tc>
        <w:tc>
          <w:tcPr>
            <w:tcW w:w="906" w:type="dxa"/>
            <w:tcBorders>
              <w:top w:val="single" w:sz="6" w:space="0" w:color="auto"/>
              <w:bottom w:val="single" w:sz="6" w:space="0" w:color="auto"/>
            </w:tcBorders>
            <w:shd w:val="clear" w:color="auto" w:fill="000000"/>
            <w:vAlign w:val="bottom"/>
          </w:tcPr>
          <w:p w:rsidR="00B958B1" w:rsidRPr="00F16DCB" w:rsidRDefault="00B958B1" w:rsidP="009F3B54">
            <w:pPr>
              <w:pStyle w:val="OGTabColCentred"/>
            </w:pPr>
            <w:r w:rsidRPr="00F16DCB">
              <w:t xml:space="preserve">Unit of </w:t>
            </w:r>
            <w:r w:rsidRPr="00F16DCB">
              <w:br/>
              <w:t>measure</w:t>
            </w:r>
          </w:p>
        </w:tc>
        <w:tc>
          <w:tcPr>
            <w:tcW w:w="907" w:type="dxa"/>
            <w:tcBorders>
              <w:top w:val="single" w:sz="6" w:space="0" w:color="auto"/>
              <w:bottom w:val="single" w:sz="6" w:space="0" w:color="auto"/>
            </w:tcBorders>
            <w:shd w:val="clear" w:color="auto" w:fill="000000"/>
          </w:tcPr>
          <w:p w:rsidR="00B958B1" w:rsidRDefault="00B958B1" w:rsidP="009F3B54">
            <w:pPr>
              <w:pStyle w:val="OGTabColRight"/>
            </w:pPr>
            <w:r>
              <w:br/>
            </w:r>
            <w:r w:rsidRPr="00F16DCB">
              <w:t>2013</w:t>
            </w:r>
            <w:r w:rsidR="009F0F49">
              <w:noBreakHyphen/>
            </w:r>
            <w:r w:rsidRPr="00F16DCB">
              <w:t xml:space="preserve">14 </w:t>
            </w:r>
            <w:r>
              <w:t>Target</w:t>
            </w:r>
          </w:p>
        </w:tc>
        <w:tc>
          <w:tcPr>
            <w:tcW w:w="993" w:type="dxa"/>
            <w:tcBorders>
              <w:top w:val="single" w:sz="6" w:space="0" w:color="auto"/>
              <w:bottom w:val="single" w:sz="6" w:space="0" w:color="auto"/>
            </w:tcBorders>
            <w:shd w:val="clear" w:color="auto" w:fill="000000"/>
          </w:tcPr>
          <w:p w:rsidR="00B958B1" w:rsidRDefault="00B958B1" w:rsidP="009F3B54">
            <w:pPr>
              <w:pStyle w:val="OGTabColRight"/>
            </w:pPr>
            <w:r w:rsidRPr="00F16DCB">
              <w:t>2012</w:t>
            </w:r>
            <w:r w:rsidR="009F0F49">
              <w:noBreakHyphen/>
            </w:r>
            <w:r w:rsidRPr="00F16DCB">
              <w:t xml:space="preserve">13 </w:t>
            </w:r>
            <w:r>
              <w:t>Expected Outcome</w:t>
            </w:r>
          </w:p>
        </w:tc>
        <w:tc>
          <w:tcPr>
            <w:tcW w:w="897" w:type="dxa"/>
            <w:tcBorders>
              <w:top w:val="single" w:sz="6" w:space="0" w:color="auto"/>
              <w:bottom w:val="single" w:sz="6" w:space="0" w:color="auto"/>
            </w:tcBorders>
            <w:shd w:val="clear" w:color="auto" w:fill="000000"/>
          </w:tcPr>
          <w:p w:rsidR="00B958B1" w:rsidRDefault="00B958B1" w:rsidP="009F3B54">
            <w:pPr>
              <w:pStyle w:val="OGTabColRight"/>
            </w:pPr>
            <w:r>
              <w:br/>
            </w:r>
            <w:r w:rsidRPr="00F16DCB">
              <w:t>2012</w:t>
            </w:r>
            <w:r w:rsidR="009F0F49">
              <w:noBreakHyphen/>
            </w:r>
            <w:r w:rsidRPr="00F16DCB">
              <w:t xml:space="preserve">13 </w:t>
            </w:r>
            <w:r>
              <w:t>Target</w:t>
            </w:r>
          </w:p>
        </w:tc>
        <w:tc>
          <w:tcPr>
            <w:tcW w:w="921" w:type="dxa"/>
            <w:gridSpan w:val="2"/>
            <w:tcBorders>
              <w:top w:val="single" w:sz="6" w:space="0" w:color="auto"/>
              <w:bottom w:val="single" w:sz="6" w:space="0" w:color="auto"/>
              <w:right w:val="single" w:sz="6" w:space="0" w:color="auto"/>
            </w:tcBorders>
            <w:shd w:val="clear" w:color="auto" w:fill="000000"/>
          </w:tcPr>
          <w:p w:rsidR="00B958B1" w:rsidRDefault="00B958B1" w:rsidP="009F3B54">
            <w:pPr>
              <w:pStyle w:val="OGTabColRight"/>
            </w:pPr>
            <w:r>
              <w:br/>
            </w:r>
            <w:r w:rsidRPr="00F16DCB">
              <w:t>2011</w:t>
            </w:r>
            <w:r w:rsidR="009F0F49">
              <w:noBreakHyphen/>
            </w:r>
            <w:r w:rsidRPr="00F16DCB">
              <w:t>12 actual</w:t>
            </w:r>
          </w:p>
        </w:tc>
      </w:tr>
      <w:tr w:rsidR="00B958B1" w:rsidRPr="00F16DCB" w:rsidTr="009F3B54">
        <w:trPr>
          <w:cantSplit/>
        </w:trPr>
        <w:tc>
          <w:tcPr>
            <w:tcW w:w="7776" w:type="dxa"/>
            <w:gridSpan w:val="7"/>
            <w:tcBorders>
              <w:bottom w:val="single" w:sz="6" w:space="0" w:color="auto"/>
            </w:tcBorders>
          </w:tcPr>
          <w:p w:rsidR="00B958B1" w:rsidRDefault="00B958B1" w:rsidP="009F3B54">
            <w:pPr>
              <w:pStyle w:val="OGHeading2"/>
              <w:rPr>
                <w:lang w:eastAsia="en-AU"/>
              </w:rPr>
            </w:pPr>
            <w:r w:rsidRPr="00F16DCB">
              <w:t>Revenue Management Services to Government</w:t>
            </w:r>
          </w:p>
        </w:tc>
      </w:tr>
      <w:tr w:rsidR="00B958B1" w:rsidRPr="00F16DCB" w:rsidTr="009F3B54">
        <w:trPr>
          <w:cantSplit/>
        </w:trPr>
        <w:tc>
          <w:tcPr>
            <w:tcW w:w="7776" w:type="dxa"/>
            <w:gridSpan w:val="7"/>
            <w:tcBorders>
              <w:bottom w:val="single" w:sz="6" w:space="0" w:color="auto"/>
            </w:tcBorders>
          </w:tcPr>
          <w:p w:rsidR="00B958B1" w:rsidRPr="00F16DCB" w:rsidRDefault="00B958B1" w:rsidP="009F3B54">
            <w:pPr>
              <w:pStyle w:val="OGText"/>
              <w:jc w:val="left"/>
            </w:pPr>
            <w:r w:rsidRPr="004A4338">
              <w:rPr>
                <w:lang w:eastAsia="en-AU"/>
              </w:rPr>
              <w:t>This output provides revenue management se</w:t>
            </w:r>
            <w:r>
              <w:rPr>
                <w:lang w:eastAsia="en-AU"/>
              </w:rPr>
              <w:t>rvices across the various state</w:t>
            </w:r>
            <w:r w:rsidR="009F0F49">
              <w:rPr>
                <w:lang w:eastAsia="en-AU"/>
              </w:rPr>
              <w:noBreakHyphen/>
            </w:r>
            <w:r w:rsidRPr="004A4338">
              <w:rPr>
                <w:lang w:eastAsia="en-AU"/>
              </w:rPr>
              <w:t>based taxes in a fair and efficient manner for the benefit of all Victorians. By administering Victoria</w:t>
            </w:r>
            <w:r>
              <w:rPr>
                <w:lang w:eastAsia="en-AU"/>
              </w:rPr>
              <w:t>’</w:t>
            </w:r>
            <w:r w:rsidRPr="004A4338">
              <w:rPr>
                <w:lang w:eastAsia="en-AU"/>
              </w:rPr>
              <w:t>s taxation legislation and collecting a range of taxes, duties and levies, this output contributes to the departmental objective of sound financial management of the State</w:t>
            </w:r>
            <w:r>
              <w:rPr>
                <w:lang w:eastAsia="en-AU"/>
              </w:rPr>
              <w:t>’</w:t>
            </w:r>
            <w:r w:rsidRPr="004A4338">
              <w:rPr>
                <w:lang w:eastAsia="en-AU"/>
              </w:rPr>
              <w:t>s fiscal resources.</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Head"/>
            </w:pPr>
            <w:r w:rsidRPr="00F16DCB">
              <w:t>Quantity</w:t>
            </w:r>
          </w:p>
        </w:tc>
        <w:tc>
          <w:tcPr>
            <w:tcW w:w="906" w:type="dxa"/>
            <w:tcBorders>
              <w:top w:val="single" w:sz="6" w:space="0" w:color="auto"/>
            </w:tcBorders>
          </w:tcPr>
          <w:p w:rsidR="00B958B1" w:rsidRPr="00F16DCB" w:rsidRDefault="00B958B1" w:rsidP="009F3B54">
            <w:pPr>
              <w:pStyle w:val="OGTabHead"/>
            </w:pPr>
          </w:p>
        </w:tc>
        <w:tc>
          <w:tcPr>
            <w:tcW w:w="907" w:type="dxa"/>
            <w:tcBorders>
              <w:top w:val="single" w:sz="6" w:space="0" w:color="auto"/>
            </w:tcBorders>
            <w:shd w:val="clear" w:color="auto" w:fill="D9D9D9"/>
          </w:tcPr>
          <w:p w:rsidR="00B958B1" w:rsidRPr="00F16DCB" w:rsidRDefault="00B958B1" w:rsidP="009F3B54">
            <w:pPr>
              <w:pStyle w:val="OGTabHead"/>
            </w:pPr>
            <w:r w:rsidRPr="00F16DCB">
              <w:t> </w:t>
            </w:r>
          </w:p>
        </w:tc>
        <w:tc>
          <w:tcPr>
            <w:tcW w:w="993" w:type="dxa"/>
            <w:tcBorders>
              <w:top w:val="single" w:sz="6" w:space="0" w:color="auto"/>
            </w:tcBorders>
          </w:tcPr>
          <w:p w:rsidR="00B958B1" w:rsidRPr="00F16DCB" w:rsidRDefault="00B958B1" w:rsidP="009F3B54">
            <w:pPr>
              <w:pStyle w:val="OGTabHead"/>
            </w:pPr>
          </w:p>
        </w:tc>
        <w:tc>
          <w:tcPr>
            <w:tcW w:w="907" w:type="dxa"/>
            <w:gridSpan w:val="2"/>
            <w:tcBorders>
              <w:top w:val="single" w:sz="6" w:space="0" w:color="auto"/>
            </w:tcBorders>
          </w:tcPr>
          <w:p w:rsidR="00B958B1" w:rsidRPr="00F16DCB" w:rsidRDefault="00B958B1" w:rsidP="009F3B54">
            <w:pPr>
              <w:pStyle w:val="OGTabHead"/>
            </w:pPr>
          </w:p>
        </w:tc>
        <w:tc>
          <w:tcPr>
            <w:tcW w:w="911" w:type="dxa"/>
            <w:tcBorders>
              <w:top w:val="single" w:sz="6" w:space="0" w:color="auto"/>
            </w:tcBorders>
          </w:tcPr>
          <w:p w:rsidR="00B958B1" w:rsidRPr="00F16DCB" w:rsidRDefault="00B958B1" w:rsidP="009F3B54">
            <w:pPr>
              <w:pStyle w:val="OGTabHead"/>
            </w:pPr>
          </w:p>
        </w:tc>
      </w:tr>
      <w:tr w:rsidR="00B958B1" w:rsidRPr="00F16DCB" w:rsidTr="009F3B54">
        <w:trPr>
          <w:cantSplit/>
        </w:trPr>
        <w:tc>
          <w:tcPr>
            <w:tcW w:w="3152" w:type="dxa"/>
            <w:tcBorders>
              <w:bottom w:val="single" w:sz="6" w:space="0" w:color="auto"/>
            </w:tcBorders>
          </w:tcPr>
          <w:p w:rsidR="00B958B1" w:rsidRPr="00F16DCB" w:rsidRDefault="00B958B1" w:rsidP="009F3B54">
            <w:pPr>
              <w:pStyle w:val="OGTabText"/>
              <w:jc w:val="left"/>
            </w:pPr>
            <w:r w:rsidRPr="00F16DCB">
              <w:t>Revenue banked on day of receipt</w:t>
            </w:r>
          </w:p>
        </w:tc>
        <w:tc>
          <w:tcPr>
            <w:tcW w:w="906" w:type="dxa"/>
            <w:tcBorders>
              <w:bottom w:val="single" w:sz="6" w:space="0" w:color="auto"/>
            </w:tcBorders>
          </w:tcPr>
          <w:p w:rsidR="00B958B1" w:rsidRPr="00F16DCB" w:rsidRDefault="00B958B1" w:rsidP="009F3B54">
            <w:pPr>
              <w:pStyle w:val="OGUoM"/>
            </w:pPr>
            <w:r>
              <w:t>per cent</w:t>
            </w:r>
          </w:p>
        </w:tc>
        <w:tc>
          <w:tcPr>
            <w:tcW w:w="907" w:type="dxa"/>
            <w:tcBorders>
              <w:bottom w:val="single" w:sz="6" w:space="0" w:color="auto"/>
            </w:tcBorders>
            <w:shd w:val="clear" w:color="auto" w:fill="D9D9D9"/>
          </w:tcPr>
          <w:p w:rsidR="00B958B1" w:rsidRPr="00F16DCB" w:rsidRDefault="00B958B1" w:rsidP="009F3B54">
            <w:pPr>
              <w:pStyle w:val="OGTableofFigures"/>
            </w:pPr>
            <w:r>
              <w:rPr>
                <w:rFonts w:cs="Calibri"/>
              </w:rPr>
              <w:t>≥</w:t>
            </w:r>
            <w:r w:rsidRPr="00F16DCB">
              <w:t>99</w:t>
            </w:r>
          </w:p>
        </w:tc>
        <w:tc>
          <w:tcPr>
            <w:tcW w:w="993" w:type="dxa"/>
            <w:tcBorders>
              <w:bottom w:val="single" w:sz="6" w:space="0" w:color="auto"/>
            </w:tcBorders>
          </w:tcPr>
          <w:p w:rsidR="00B958B1" w:rsidRPr="00F16DCB" w:rsidRDefault="00B958B1" w:rsidP="009F3B54">
            <w:pPr>
              <w:pStyle w:val="OGTableofFigures"/>
            </w:pPr>
            <w:r w:rsidRPr="00F16DCB">
              <w:t>100</w:t>
            </w:r>
          </w:p>
        </w:tc>
        <w:tc>
          <w:tcPr>
            <w:tcW w:w="907" w:type="dxa"/>
            <w:gridSpan w:val="2"/>
            <w:tcBorders>
              <w:bottom w:val="single" w:sz="6" w:space="0" w:color="auto"/>
            </w:tcBorders>
          </w:tcPr>
          <w:p w:rsidR="00B958B1" w:rsidRPr="00F16DCB" w:rsidRDefault="00B958B1" w:rsidP="009F3B54">
            <w:pPr>
              <w:pStyle w:val="OGTableofFigures"/>
            </w:pPr>
            <w:r>
              <w:rPr>
                <w:rFonts w:cs="Calibri"/>
              </w:rPr>
              <w:t>≥</w:t>
            </w:r>
            <w:r w:rsidRPr="00F16DCB">
              <w:t>99</w:t>
            </w:r>
          </w:p>
        </w:tc>
        <w:tc>
          <w:tcPr>
            <w:tcW w:w="911" w:type="dxa"/>
            <w:tcBorders>
              <w:bottom w:val="single" w:sz="6" w:space="0" w:color="auto"/>
            </w:tcBorders>
          </w:tcPr>
          <w:p w:rsidR="00B958B1" w:rsidRPr="00F16DCB" w:rsidRDefault="00B958B1" w:rsidP="009F3B54">
            <w:pPr>
              <w:pStyle w:val="OGTableofFigures"/>
            </w:pPr>
            <w:r w:rsidRPr="00F16DCB">
              <w:t>99.65</w:t>
            </w:r>
          </w:p>
        </w:tc>
      </w:tr>
      <w:tr w:rsidR="00B958B1" w:rsidRPr="00F16DCB" w:rsidTr="009F3B54">
        <w:trPr>
          <w:cantSplit/>
        </w:trPr>
        <w:tc>
          <w:tcPr>
            <w:tcW w:w="3152" w:type="dxa"/>
            <w:tcBorders>
              <w:top w:val="single" w:sz="6" w:space="0" w:color="auto"/>
              <w:bottom w:val="single" w:sz="6" w:space="0" w:color="auto"/>
            </w:tcBorders>
          </w:tcPr>
          <w:p w:rsidR="00B958B1" w:rsidRPr="00F16DCB" w:rsidRDefault="00B958B1" w:rsidP="009F3B54">
            <w:pPr>
              <w:pStyle w:val="OGTabText"/>
              <w:jc w:val="left"/>
            </w:pPr>
            <w:r w:rsidRPr="00F16DCB">
              <w:t xml:space="preserve">Revenue collected as a percentage of budget </w:t>
            </w:r>
            <w:r>
              <w:t>target</w:t>
            </w:r>
          </w:p>
        </w:tc>
        <w:tc>
          <w:tcPr>
            <w:tcW w:w="906" w:type="dxa"/>
            <w:tcBorders>
              <w:top w:val="single" w:sz="6" w:space="0" w:color="auto"/>
              <w:bottom w:val="single" w:sz="6" w:space="0" w:color="auto"/>
            </w:tcBorders>
          </w:tcPr>
          <w:p w:rsidR="00B958B1" w:rsidRPr="00F16DCB" w:rsidRDefault="00B958B1" w:rsidP="009F3B54">
            <w:pPr>
              <w:pStyle w:val="OGUoM"/>
            </w:pPr>
            <w:r>
              <w:t>per cent</w:t>
            </w:r>
          </w:p>
        </w:tc>
        <w:tc>
          <w:tcPr>
            <w:tcW w:w="907" w:type="dxa"/>
            <w:tcBorders>
              <w:top w:val="single" w:sz="6" w:space="0" w:color="auto"/>
              <w:bottom w:val="single" w:sz="6" w:space="0" w:color="auto"/>
            </w:tcBorders>
            <w:shd w:val="clear" w:color="auto" w:fill="D9D9D9"/>
          </w:tcPr>
          <w:p w:rsidR="00B958B1" w:rsidRPr="00F16DCB" w:rsidRDefault="00B958B1" w:rsidP="009F3B54">
            <w:pPr>
              <w:pStyle w:val="OGTableofFigures"/>
            </w:pPr>
            <w:r>
              <w:rPr>
                <w:rFonts w:cs="Calibri"/>
              </w:rPr>
              <w:t>≥</w:t>
            </w:r>
            <w:r w:rsidRPr="00F16DCB">
              <w:t>99</w:t>
            </w:r>
          </w:p>
        </w:tc>
        <w:tc>
          <w:tcPr>
            <w:tcW w:w="993" w:type="dxa"/>
            <w:tcBorders>
              <w:top w:val="single" w:sz="6" w:space="0" w:color="auto"/>
              <w:bottom w:val="single" w:sz="6" w:space="0" w:color="auto"/>
            </w:tcBorders>
          </w:tcPr>
          <w:p w:rsidR="00B958B1" w:rsidRPr="00F16DCB" w:rsidRDefault="00B958B1" w:rsidP="009F3B54">
            <w:pPr>
              <w:pStyle w:val="OGTableofFigures"/>
            </w:pPr>
            <w:r w:rsidRPr="00F16DCB">
              <w:t>99</w:t>
            </w:r>
          </w:p>
        </w:tc>
        <w:tc>
          <w:tcPr>
            <w:tcW w:w="907" w:type="dxa"/>
            <w:gridSpan w:val="2"/>
            <w:tcBorders>
              <w:top w:val="single" w:sz="6" w:space="0" w:color="auto"/>
              <w:bottom w:val="single" w:sz="6" w:space="0" w:color="auto"/>
            </w:tcBorders>
          </w:tcPr>
          <w:p w:rsidR="00B958B1" w:rsidRPr="00F16DCB" w:rsidRDefault="00B958B1" w:rsidP="009F3B54">
            <w:pPr>
              <w:pStyle w:val="OGTableofFigures"/>
            </w:pPr>
            <w:r>
              <w:rPr>
                <w:rFonts w:cs="Calibri"/>
              </w:rPr>
              <w:t>≥</w:t>
            </w:r>
            <w:r w:rsidRPr="00F16DCB">
              <w:t>99</w:t>
            </w:r>
          </w:p>
        </w:tc>
        <w:tc>
          <w:tcPr>
            <w:tcW w:w="911" w:type="dxa"/>
            <w:tcBorders>
              <w:top w:val="single" w:sz="6" w:space="0" w:color="auto"/>
              <w:bottom w:val="single" w:sz="6" w:space="0" w:color="auto"/>
            </w:tcBorders>
          </w:tcPr>
          <w:p w:rsidR="00B958B1" w:rsidRPr="00F16DCB" w:rsidRDefault="00B958B1" w:rsidP="009F3B54">
            <w:pPr>
              <w:pStyle w:val="OGTableofFigures"/>
            </w:pPr>
            <w:r w:rsidRPr="00F16DCB">
              <w:t>101</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Text"/>
              <w:jc w:val="left"/>
            </w:pPr>
            <w:r w:rsidRPr="00F16DCB">
              <w:t>Revenue detected from compliance projects meets estimates</w:t>
            </w:r>
          </w:p>
        </w:tc>
        <w:tc>
          <w:tcPr>
            <w:tcW w:w="906" w:type="dxa"/>
            <w:tcBorders>
              <w:top w:val="single" w:sz="6" w:space="0" w:color="auto"/>
            </w:tcBorders>
          </w:tcPr>
          <w:p w:rsidR="00B958B1" w:rsidRPr="00F16DCB" w:rsidRDefault="00B958B1" w:rsidP="009F3B54">
            <w:pPr>
              <w:pStyle w:val="OGUoM"/>
            </w:pPr>
            <w:r>
              <w:t>per cent</w:t>
            </w:r>
          </w:p>
        </w:tc>
        <w:tc>
          <w:tcPr>
            <w:tcW w:w="907" w:type="dxa"/>
            <w:tcBorders>
              <w:top w:val="single" w:sz="6" w:space="0" w:color="auto"/>
            </w:tcBorders>
            <w:shd w:val="clear" w:color="auto" w:fill="D9D9D9"/>
          </w:tcPr>
          <w:p w:rsidR="00B958B1" w:rsidRPr="00F16DCB" w:rsidRDefault="00B958B1" w:rsidP="009F3B54">
            <w:pPr>
              <w:pStyle w:val="OGTableofFigures"/>
            </w:pPr>
            <w:r>
              <w:rPr>
                <w:rFonts w:cs="Calibri"/>
              </w:rPr>
              <w:t>≥</w:t>
            </w:r>
            <w:r w:rsidRPr="00F16DCB">
              <w:t>90</w:t>
            </w:r>
          </w:p>
        </w:tc>
        <w:tc>
          <w:tcPr>
            <w:tcW w:w="993" w:type="dxa"/>
            <w:tcBorders>
              <w:top w:val="single" w:sz="6" w:space="0" w:color="auto"/>
            </w:tcBorders>
          </w:tcPr>
          <w:p w:rsidR="00B958B1" w:rsidRPr="00F16DCB" w:rsidRDefault="00B958B1" w:rsidP="009F3B54">
            <w:pPr>
              <w:pStyle w:val="OGTableofFigures"/>
            </w:pPr>
            <w:r>
              <w:t>109</w:t>
            </w:r>
          </w:p>
        </w:tc>
        <w:tc>
          <w:tcPr>
            <w:tcW w:w="907" w:type="dxa"/>
            <w:gridSpan w:val="2"/>
            <w:tcBorders>
              <w:top w:val="single" w:sz="6" w:space="0" w:color="auto"/>
            </w:tcBorders>
          </w:tcPr>
          <w:p w:rsidR="00B958B1" w:rsidRPr="00F16DCB" w:rsidRDefault="00B958B1" w:rsidP="009F3B54">
            <w:pPr>
              <w:pStyle w:val="OGTableofFigures"/>
            </w:pPr>
            <w:r>
              <w:rPr>
                <w:rFonts w:cs="Calibri"/>
              </w:rPr>
              <w:t>≥</w:t>
            </w:r>
            <w:r w:rsidRPr="00F16DCB">
              <w:t>90</w:t>
            </w:r>
          </w:p>
        </w:tc>
        <w:tc>
          <w:tcPr>
            <w:tcW w:w="911" w:type="dxa"/>
            <w:tcBorders>
              <w:top w:val="single" w:sz="6" w:space="0" w:color="auto"/>
            </w:tcBorders>
          </w:tcPr>
          <w:p w:rsidR="00B958B1" w:rsidRPr="00F16DCB" w:rsidRDefault="00B958B1" w:rsidP="009F3B54">
            <w:pPr>
              <w:pStyle w:val="OGTableofFigures"/>
            </w:pPr>
            <w:r w:rsidRPr="00F16DCB">
              <w:t>102</w:t>
            </w:r>
          </w:p>
        </w:tc>
      </w:tr>
      <w:tr w:rsidR="00B958B1" w:rsidRPr="00F16DCB" w:rsidTr="009F3B54">
        <w:trPr>
          <w:cantSplit/>
        </w:trPr>
        <w:tc>
          <w:tcPr>
            <w:tcW w:w="7776" w:type="dxa"/>
            <w:gridSpan w:val="7"/>
            <w:tcBorders>
              <w:bottom w:val="single" w:sz="6" w:space="0" w:color="auto"/>
            </w:tcBorders>
          </w:tcPr>
          <w:p w:rsidR="00B958B1" w:rsidRPr="00F16DCB" w:rsidRDefault="00B958B1" w:rsidP="009F3B54">
            <w:pPr>
              <w:pStyle w:val="OGNotes"/>
            </w:pPr>
            <w:r w:rsidRPr="00547387">
              <w:t>The 2012</w:t>
            </w:r>
            <w:r w:rsidR="009F0F49">
              <w:noBreakHyphen/>
            </w:r>
            <w:r w:rsidRPr="00547387">
              <w:t>13 Expected Outcome is higher than the 2012</w:t>
            </w:r>
            <w:r w:rsidR="009F0F49">
              <w:noBreakHyphen/>
            </w:r>
            <w:r w:rsidRPr="00547387">
              <w:t>13 Target due to the finalisation of a higher than expected land rich assessment.</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Head"/>
            </w:pPr>
            <w:r w:rsidRPr="00F16DCB">
              <w:t>Quality</w:t>
            </w:r>
          </w:p>
        </w:tc>
        <w:tc>
          <w:tcPr>
            <w:tcW w:w="906" w:type="dxa"/>
            <w:tcBorders>
              <w:top w:val="single" w:sz="6" w:space="0" w:color="auto"/>
            </w:tcBorders>
          </w:tcPr>
          <w:p w:rsidR="00B958B1" w:rsidRPr="00F16DCB" w:rsidRDefault="00B958B1" w:rsidP="009F3B54">
            <w:pPr>
              <w:pStyle w:val="OGTabHead"/>
            </w:pPr>
          </w:p>
        </w:tc>
        <w:tc>
          <w:tcPr>
            <w:tcW w:w="907" w:type="dxa"/>
            <w:tcBorders>
              <w:top w:val="single" w:sz="6" w:space="0" w:color="auto"/>
            </w:tcBorders>
            <w:shd w:val="clear" w:color="auto" w:fill="D9D9D9"/>
          </w:tcPr>
          <w:p w:rsidR="00B958B1" w:rsidRPr="00F16DCB" w:rsidRDefault="00B958B1" w:rsidP="009F3B54">
            <w:pPr>
              <w:pStyle w:val="OGTabHead"/>
            </w:pPr>
            <w:r w:rsidRPr="00F16DCB">
              <w:t> </w:t>
            </w:r>
          </w:p>
        </w:tc>
        <w:tc>
          <w:tcPr>
            <w:tcW w:w="993" w:type="dxa"/>
            <w:tcBorders>
              <w:top w:val="single" w:sz="6" w:space="0" w:color="auto"/>
            </w:tcBorders>
          </w:tcPr>
          <w:p w:rsidR="00B958B1" w:rsidRPr="00F16DCB" w:rsidRDefault="00B958B1" w:rsidP="009F3B54">
            <w:pPr>
              <w:pStyle w:val="OGTabHead"/>
            </w:pPr>
          </w:p>
        </w:tc>
        <w:tc>
          <w:tcPr>
            <w:tcW w:w="907" w:type="dxa"/>
            <w:gridSpan w:val="2"/>
            <w:tcBorders>
              <w:top w:val="single" w:sz="6" w:space="0" w:color="auto"/>
            </w:tcBorders>
          </w:tcPr>
          <w:p w:rsidR="00B958B1" w:rsidRPr="00F16DCB" w:rsidRDefault="00B958B1" w:rsidP="009F3B54">
            <w:pPr>
              <w:pStyle w:val="OGTabHead"/>
            </w:pPr>
          </w:p>
        </w:tc>
        <w:tc>
          <w:tcPr>
            <w:tcW w:w="911" w:type="dxa"/>
            <w:tcBorders>
              <w:top w:val="single" w:sz="6" w:space="0" w:color="auto"/>
            </w:tcBorders>
          </w:tcPr>
          <w:p w:rsidR="00B958B1" w:rsidRPr="00F16DCB" w:rsidRDefault="00B958B1" w:rsidP="009F3B54">
            <w:pPr>
              <w:pStyle w:val="OGTabHead"/>
            </w:pPr>
          </w:p>
        </w:tc>
      </w:tr>
      <w:tr w:rsidR="00B958B1" w:rsidRPr="00F16DCB" w:rsidTr="009F3B54">
        <w:trPr>
          <w:cantSplit/>
        </w:trPr>
        <w:tc>
          <w:tcPr>
            <w:tcW w:w="3152" w:type="dxa"/>
            <w:tcBorders>
              <w:bottom w:val="single" w:sz="6" w:space="0" w:color="auto"/>
            </w:tcBorders>
          </w:tcPr>
          <w:p w:rsidR="00B958B1" w:rsidRPr="00F16DCB" w:rsidRDefault="00B958B1" w:rsidP="009F3B54">
            <w:pPr>
              <w:pStyle w:val="OGTabText"/>
              <w:jc w:val="left"/>
            </w:pPr>
            <w:r w:rsidRPr="00F16DCB">
              <w:t>Customer satisfaction level</w:t>
            </w:r>
          </w:p>
        </w:tc>
        <w:tc>
          <w:tcPr>
            <w:tcW w:w="906" w:type="dxa"/>
            <w:tcBorders>
              <w:bottom w:val="single" w:sz="6" w:space="0" w:color="auto"/>
            </w:tcBorders>
          </w:tcPr>
          <w:p w:rsidR="00B958B1" w:rsidRPr="00F16DCB" w:rsidRDefault="00B958B1" w:rsidP="009F3B54">
            <w:pPr>
              <w:pStyle w:val="OGUoM"/>
            </w:pPr>
            <w:r>
              <w:t>per cent</w:t>
            </w:r>
          </w:p>
        </w:tc>
        <w:tc>
          <w:tcPr>
            <w:tcW w:w="907" w:type="dxa"/>
            <w:tcBorders>
              <w:bottom w:val="single" w:sz="6" w:space="0" w:color="auto"/>
            </w:tcBorders>
            <w:shd w:val="clear" w:color="auto" w:fill="D9D9D9"/>
          </w:tcPr>
          <w:p w:rsidR="00B958B1" w:rsidRPr="00F16DCB" w:rsidRDefault="00B958B1" w:rsidP="009F3B54">
            <w:pPr>
              <w:pStyle w:val="OGTableofFigures"/>
            </w:pPr>
            <w:r>
              <w:rPr>
                <w:rFonts w:cs="Calibri"/>
              </w:rPr>
              <w:t>≥</w:t>
            </w:r>
            <w:r w:rsidRPr="00F16DCB">
              <w:t>80</w:t>
            </w:r>
          </w:p>
        </w:tc>
        <w:tc>
          <w:tcPr>
            <w:tcW w:w="993" w:type="dxa"/>
            <w:tcBorders>
              <w:bottom w:val="single" w:sz="6" w:space="0" w:color="auto"/>
            </w:tcBorders>
          </w:tcPr>
          <w:p w:rsidR="00B958B1" w:rsidRPr="00F16DCB" w:rsidRDefault="00B958B1" w:rsidP="009F3B54">
            <w:pPr>
              <w:pStyle w:val="OGTableofFigures"/>
            </w:pPr>
            <w:r w:rsidRPr="00F16DCB">
              <w:t>95</w:t>
            </w:r>
          </w:p>
        </w:tc>
        <w:tc>
          <w:tcPr>
            <w:tcW w:w="907" w:type="dxa"/>
            <w:gridSpan w:val="2"/>
            <w:tcBorders>
              <w:bottom w:val="single" w:sz="6" w:space="0" w:color="auto"/>
            </w:tcBorders>
          </w:tcPr>
          <w:p w:rsidR="00B958B1" w:rsidRPr="00F16DCB" w:rsidRDefault="00B958B1" w:rsidP="009F3B54">
            <w:pPr>
              <w:pStyle w:val="OGTableofFigures"/>
            </w:pPr>
            <w:r>
              <w:rPr>
                <w:rFonts w:cs="Calibri"/>
              </w:rPr>
              <w:t>≥</w:t>
            </w:r>
            <w:r w:rsidRPr="00F16DCB">
              <w:t>80</w:t>
            </w:r>
          </w:p>
        </w:tc>
        <w:tc>
          <w:tcPr>
            <w:tcW w:w="911" w:type="dxa"/>
            <w:tcBorders>
              <w:bottom w:val="single" w:sz="6" w:space="0" w:color="auto"/>
            </w:tcBorders>
          </w:tcPr>
          <w:p w:rsidR="00B958B1" w:rsidRPr="00F16DCB" w:rsidRDefault="00B958B1" w:rsidP="009F3B54">
            <w:pPr>
              <w:pStyle w:val="OGTableofFigures"/>
            </w:pPr>
            <w:r w:rsidRPr="00F16DCB">
              <w:t>95</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Text"/>
              <w:jc w:val="left"/>
            </w:pPr>
            <w:r w:rsidRPr="00F16DCB">
              <w:t>Maintain ISO</w:t>
            </w:r>
            <w:r>
              <w:t> 9001 (quality management s</w:t>
            </w:r>
            <w:r w:rsidRPr="00F16DCB">
              <w:t>ystems) and ISO/IEC</w:t>
            </w:r>
            <w:r>
              <w:t> </w:t>
            </w:r>
            <w:r w:rsidRPr="00F16DCB">
              <w:t>20000</w:t>
            </w:r>
            <w:r w:rsidR="009F0F49">
              <w:noBreakHyphen/>
            </w:r>
            <w:r w:rsidRPr="00F16DCB">
              <w:t xml:space="preserve">1:2005 (IT </w:t>
            </w:r>
            <w:r>
              <w:t>s</w:t>
            </w:r>
            <w:r w:rsidRPr="00F16DCB">
              <w:t>ervice management) certification</w:t>
            </w:r>
          </w:p>
        </w:tc>
        <w:tc>
          <w:tcPr>
            <w:tcW w:w="906" w:type="dxa"/>
            <w:tcBorders>
              <w:top w:val="single" w:sz="6" w:space="0" w:color="auto"/>
            </w:tcBorders>
          </w:tcPr>
          <w:p w:rsidR="00B958B1" w:rsidRPr="00F16DCB" w:rsidRDefault="00B958B1" w:rsidP="009F3B54">
            <w:pPr>
              <w:pStyle w:val="OGUoM"/>
            </w:pPr>
            <w:r w:rsidRPr="00F16DCB">
              <w:t>number</w:t>
            </w:r>
          </w:p>
        </w:tc>
        <w:tc>
          <w:tcPr>
            <w:tcW w:w="907" w:type="dxa"/>
            <w:tcBorders>
              <w:top w:val="single" w:sz="6" w:space="0" w:color="auto"/>
            </w:tcBorders>
            <w:shd w:val="clear" w:color="auto" w:fill="D9D9D9"/>
          </w:tcPr>
          <w:p w:rsidR="00B958B1" w:rsidRPr="00F16DCB" w:rsidRDefault="00B958B1" w:rsidP="009F3B54">
            <w:pPr>
              <w:pStyle w:val="OGTableofFigures"/>
            </w:pPr>
            <w:r w:rsidRPr="00F16DCB">
              <w:t>3</w:t>
            </w:r>
          </w:p>
        </w:tc>
        <w:tc>
          <w:tcPr>
            <w:tcW w:w="993" w:type="dxa"/>
            <w:tcBorders>
              <w:top w:val="single" w:sz="6" w:space="0" w:color="auto"/>
            </w:tcBorders>
          </w:tcPr>
          <w:p w:rsidR="00B958B1" w:rsidRPr="00F16DCB" w:rsidRDefault="00B958B1" w:rsidP="009F3B54">
            <w:pPr>
              <w:pStyle w:val="OGTableofFigures"/>
            </w:pPr>
            <w:r w:rsidRPr="00F16DCB">
              <w:t>2</w:t>
            </w:r>
          </w:p>
        </w:tc>
        <w:tc>
          <w:tcPr>
            <w:tcW w:w="907" w:type="dxa"/>
            <w:gridSpan w:val="2"/>
            <w:tcBorders>
              <w:top w:val="single" w:sz="6" w:space="0" w:color="auto"/>
            </w:tcBorders>
          </w:tcPr>
          <w:p w:rsidR="00B958B1" w:rsidRPr="00F16DCB" w:rsidRDefault="00B958B1" w:rsidP="009F3B54">
            <w:pPr>
              <w:pStyle w:val="OGTableofFigures"/>
            </w:pPr>
            <w:r w:rsidRPr="00F16DCB">
              <w:t>3</w:t>
            </w:r>
          </w:p>
        </w:tc>
        <w:tc>
          <w:tcPr>
            <w:tcW w:w="911" w:type="dxa"/>
            <w:tcBorders>
              <w:top w:val="single" w:sz="6" w:space="0" w:color="auto"/>
            </w:tcBorders>
          </w:tcPr>
          <w:p w:rsidR="00B958B1" w:rsidRPr="00F16DCB" w:rsidRDefault="00B958B1" w:rsidP="009F3B54">
            <w:pPr>
              <w:pStyle w:val="OGTableofFigures"/>
            </w:pPr>
            <w:r w:rsidRPr="00F16DCB">
              <w:t>3</w:t>
            </w:r>
          </w:p>
        </w:tc>
      </w:tr>
      <w:tr w:rsidR="00B958B1" w:rsidRPr="00F16DCB" w:rsidTr="009F3B54">
        <w:trPr>
          <w:cantSplit/>
        </w:trPr>
        <w:tc>
          <w:tcPr>
            <w:tcW w:w="7776" w:type="dxa"/>
            <w:gridSpan w:val="7"/>
            <w:tcBorders>
              <w:bottom w:val="single" w:sz="6" w:space="0" w:color="auto"/>
            </w:tcBorders>
          </w:tcPr>
          <w:p w:rsidR="00B958B1" w:rsidRPr="00F16DCB" w:rsidRDefault="00B958B1" w:rsidP="009F3B54">
            <w:pPr>
              <w:pStyle w:val="OGNotes"/>
            </w:pPr>
            <w:r w:rsidRPr="00547387">
              <w:t>The 2012</w:t>
            </w:r>
            <w:r w:rsidR="009F0F49">
              <w:noBreakHyphen/>
            </w:r>
            <w:r w:rsidRPr="00547387">
              <w:t>13 Expected Outcome is lower than the 2012</w:t>
            </w:r>
            <w:r w:rsidR="009F0F49">
              <w:noBreakHyphen/>
            </w:r>
            <w:r w:rsidRPr="00547387">
              <w:t>13 Target due to one ISO audit scheduled for 2012</w:t>
            </w:r>
            <w:r w:rsidR="009F0F49">
              <w:noBreakHyphen/>
            </w:r>
            <w:r w:rsidRPr="00547387">
              <w:t>13 having been completed in the 2011</w:t>
            </w:r>
            <w:r w:rsidR="009F0F49">
              <w:noBreakHyphen/>
            </w:r>
            <w:r w:rsidRPr="00547387">
              <w:t>12 financial year.</w:t>
            </w:r>
          </w:p>
        </w:tc>
      </w:tr>
      <w:tr w:rsidR="00B958B1" w:rsidRPr="00F16DCB" w:rsidTr="009F3B54">
        <w:trPr>
          <w:cantSplit/>
        </w:trPr>
        <w:tc>
          <w:tcPr>
            <w:tcW w:w="3152" w:type="dxa"/>
            <w:tcBorders>
              <w:top w:val="single" w:sz="6" w:space="0" w:color="auto"/>
              <w:bottom w:val="single" w:sz="6" w:space="0" w:color="auto"/>
            </w:tcBorders>
          </w:tcPr>
          <w:p w:rsidR="00B958B1" w:rsidRPr="00F16DCB" w:rsidRDefault="00B958B1" w:rsidP="009F3B54">
            <w:pPr>
              <w:pStyle w:val="OGTabText"/>
              <w:jc w:val="left"/>
            </w:pPr>
            <w:r w:rsidRPr="00F16DCB">
              <w:t>Ratio of outstanding debt to total revenue</w:t>
            </w:r>
          </w:p>
        </w:tc>
        <w:tc>
          <w:tcPr>
            <w:tcW w:w="906" w:type="dxa"/>
            <w:tcBorders>
              <w:top w:val="single" w:sz="6" w:space="0" w:color="auto"/>
              <w:bottom w:val="single" w:sz="6" w:space="0" w:color="auto"/>
            </w:tcBorders>
          </w:tcPr>
          <w:p w:rsidR="00B958B1" w:rsidRPr="00F16DCB" w:rsidRDefault="00B958B1" w:rsidP="009F3B54">
            <w:pPr>
              <w:pStyle w:val="OGUoM"/>
            </w:pPr>
            <w:r>
              <w:t>per cent</w:t>
            </w:r>
          </w:p>
        </w:tc>
        <w:tc>
          <w:tcPr>
            <w:tcW w:w="907" w:type="dxa"/>
            <w:tcBorders>
              <w:top w:val="single" w:sz="6" w:space="0" w:color="auto"/>
              <w:bottom w:val="single" w:sz="6" w:space="0" w:color="auto"/>
            </w:tcBorders>
            <w:shd w:val="clear" w:color="auto" w:fill="D9D9D9"/>
          </w:tcPr>
          <w:p w:rsidR="00B958B1" w:rsidRPr="00F16DCB" w:rsidRDefault="00B958B1" w:rsidP="009F3B54">
            <w:pPr>
              <w:pStyle w:val="OGTableofFigures"/>
            </w:pPr>
            <w:r w:rsidRPr="00F16DCB">
              <w:t>&lt;</w:t>
            </w:r>
            <w:r>
              <w:t> </w:t>
            </w:r>
            <w:r w:rsidRPr="00F16DCB">
              <w:t>2</w:t>
            </w:r>
          </w:p>
        </w:tc>
        <w:tc>
          <w:tcPr>
            <w:tcW w:w="993" w:type="dxa"/>
            <w:tcBorders>
              <w:top w:val="single" w:sz="6" w:space="0" w:color="auto"/>
              <w:bottom w:val="single" w:sz="6" w:space="0" w:color="auto"/>
            </w:tcBorders>
          </w:tcPr>
          <w:p w:rsidR="00B958B1" w:rsidRPr="00F16DCB" w:rsidRDefault="00B958B1" w:rsidP="009F3B54">
            <w:pPr>
              <w:pStyle w:val="OGTableofFigures"/>
            </w:pPr>
            <w:r w:rsidRPr="00F16DCB">
              <w:t>1.85</w:t>
            </w:r>
          </w:p>
        </w:tc>
        <w:tc>
          <w:tcPr>
            <w:tcW w:w="907" w:type="dxa"/>
            <w:gridSpan w:val="2"/>
            <w:tcBorders>
              <w:top w:val="single" w:sz="6" w:space="0" w:color="auto"/>
              <w:bottom w:val="single" w:sz="6" w:space="0" w:color="auto"/>
            </w:tcBorders>
          </w:tcPr>
          <w:p w:rsidR="00B958B1" w:rsidRPr="00F16DCB" w:rsidRDefault="00B958B1" w:rsidP="009F3B54">
            <w:pPr>
              <w:pStyle w:val="OGTableofFigures"/>
            </w:pPr>
            <w:r w:rsidRPr="00F16DCB">
              <w:t>&lt;</w:t>
            </w:r>
            <w:r>
              <w:t> </w:t>
            </w:r>
            <w:r w:rsidRPr="00F16DCB">
              <w:t>2</w:t>
            </w:r>
          </w:p>
        </w:tc>
        <w:tc>
          <w:tcPr>
            <w:tcW w:w="911" w:type="dxa"/>
            <w:tcBorders>
              <w:top w:val="single" w:sz="6" w:space="0" w:color="auto"/>
              <w:bottom w:val="single" w:sz="6" w:space="0" w:color="auto"/>
            </w:tcBorders>
          </w:tcPr>
          <w:p w:rsidR="00B958B1" w:rsidRPr="00F16DCB" w:rsidRDefault="00B958B1" w:rsidP="009F3B54">
            <w:pPr>
              <w:pStyle w:val="OGTableofFigures"/>
            </w:pPr>
            <w:r w:rsidRPr="00F16DCB">
              <w:t>1.6</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Head"/>
            </w:pPr>
            <w:r w:rsidRPr="00F16DCB">
              <w:t>Timeliness</w:t>
            </w:r>
          </w:p>
        </w:tc>
        <w:tc>
          <w:tcPr>
            <w:tcW w:w="906" w:type="dxa"/>
            <w:tcBorders>
              <w:top w:val="single" w:sz="6" w:space="0" w:color="auto"/>
            </w:tcBorders>
          </w:tcPr>
          <w:p w:rsidR="00B958B1" w:rsidRPr="00F16DCB" w:rsidRDefault="00B958B1" w:rsidP="009F3B54">
            <w:pPr>
              <w:pStyle w:val="OGTabHead"/>
            </w:pPr>
          </w:p>
        </w:tc>
        <w:tc>
          <w:tcPr>
            <w:tcW w:w="907" w:type="dxa"/>
            <w:tcBorders>
              <w:top w:val="single" w:sz="6" w:space="0" w:color="auto"/>
            </w:tcBorders>
            <w:shd w:val="clear" w:color="auto" w:fill="D9D9D9"/>
          </w:tcPr>
          <w:p w:rsidR="00B958B1" w:rsidRPr="00F16DCB" w:rsidRDefault="00B958B1" w:rsidP="009F3B54">
            <w:pPr>
              <w:pStyle w:val="OGTabHead"/>
            </w:pPr>
          </w:p>
        </w:tc>
        <w:tc>
          <w:tcPr>
            <w:tcW w:w="993" w:type="dxa"/>
            <w:tcBorders>
              <w:top w:val="single" w:sz="6" w:space="0" w:color="auto"/>
            </w:tcBorders>
          </w:tcPr>
          <w:p w:rsidR="00B958B1" w:rsidRPr="00F16DCB" w:rsidRDefault="00B958B1" w:rsidP="009F3B54">
            <w:pPr>
              <w:pStyle w:val="OGTabHead"/>
            </w:pPr>
          </w:p>
        </w:tc>
        <w:tc>
          <w:tcPr>
            <w:tcW w:w="907" w:type="dxa"/>
            <w:gridSpan w:val="2"/>
            <w:tcBorders>
              <w:top w:val="single" w:sz="6" w:space="0" w:color="auto"/>
            </w:tcBorders>
          </w:tcPr>
          <w:p w:rsidR="00B958B1" w:rsidRPr="00F16DCB" w:rsidRDefault="00B958B1" w:rsidP="009F3B54">
            <w:pPr>
              <w:pStyle w:val="OGTabHead"/>
            </w:pPr>
          </w:p>
        </w:tc>
        <w:tc>
          <w:tcPr>
            <w:tcW w:w="911" w:type="dxa"/>
            <w:tcBorders>
              <w:top w:val="single" w:sz="6" w:space="0" w:color="auto"/>
            </w:tcBorders>
          </w:tcPr>
          <w:p w:rsidR="00B958B1" w:rsidRPr="00F16DCB" w:rsidRDefault="00B958B1" w:rsidP="009F3B54">
            <w:pPr>
              <w:pStyle w:val="OGTabHead"/>
            </w:pPr>
          </w:p>
        </w:tc>
      </w:tr>
      <w:tr w:rsidR="00B958B1" w:rsidRPr="00F16DCB" w:rsidTr="009F3B54">
        <w:trPr>
          <w:cantSplit/>
        </w:trPr>
        <w:tc>
          <w:tcPr>
            <w:tcW w:w="3152" w:type="dxa"/>
            <w:tcBorders>
              <w:bottom w:val="single" w:sz="6" w:space="0" w:color="auto"/>
            </w:tcBorders>
          </w:tcPr>
          <w:p w:rsidR="00B958B1" w:rsidRPr="00F16DCB" w:rsidRDefault="00B958B1" w:rsidP="009F3B54">
            <w:pPr>
              <w:pStyle w:val="OGTabText"/>
              <w:jc w:val="left"/>
            </w:pPr>
            <w:r w:rsidRPr="00F16DCB">
              <w:t>Meet Cabinet and Parliamentary timelines</w:t>
            </w:r>
          </w:p>
        </w:tc>
        <w:tc>
          <w:tcPr>
            <w:tcW w:w="906" w:type="dxa"/>
            <w:tcBorders>
              <w:bottom w:val="single" w:sz="6" w:space="0" w:color="auto"/>
            </w:tcBorders>
          </w:tcPr>
          <w:p w:rsidR="00B958B1" w:rsidRPr="00F16DCB" w:rsidRDefault="00B958B1" w:rsidP="009F3B54">
            <w:pPr>
              <w:pStyle w:val="OGUoM"/>
            </w:pPr>
            <w:r>
              <w:t>per cent</w:t>
            </w:r>
          </w:p>
        </w:tc>
        <w:tc>
          <w:tcPr>
            <w:tcW w:w="907" w:type="dxa"/>
            <w:tcBorders>
              <w:bottom w:val="single" w:sz="6" w:space="0" w:color="auto"/>
            </w:tcBorders>
            <w:shd w:val="clear" w:color="auto" w:fill="D9D9D9"/>
          </w:tcPr>
          <w:p w:rsidR="00B958B1" w:rsidRPr="00F16DCB" w:rsidRDefault="00B958B1" w:rsidP="009F3B54">
            <w:pPr>
              <w:pStyle w:val="OGTableofFigures"/>
            </w:pPr>
            <w:r w:rsidRPr="00F16DCB">
              <w:t>100</w:t>
            </w:r>
          </w:p>
        </w:tc>
        <w:tc>
          <w:tcPr>
            <w:tcW w:w="993" w:type="dxa"/>
            <w:tcBorders>
              <w:bottom w:val="single" w:sz="6" w:space="0" w:color="auto"/>
            </w:tcBorders>
          </w:tcPr>
          <w:p w:rsidR="00B958B1" w:rsidRPr="00F16DCB" w:rsidRDefault="00B958B1" w:rsidP="009F3B54">
            <w:pPr>
              <w:pStyle w:val="OGTableofFigures"/>
            </w:pPr>
            <w:r w:rsidRPr="00F16DCB">
              <w:t>100</w:t>
            </w:r>
          </w:p>
        </w:tc>
        <w:tc>
          <w:tcPr>
            <w:tcW w:w="907" w:type="dxa"/>
            <w:gridSpan w:val="2"/>
            <w:tcBorders>
              <w:bottom w:val="single" w:sz="6" w:space="0" w:color="auto"/>
            </w:tcBorders>
          </w:tcPr>
          <w:p w:rsidR="00B958B1" w:rsidRPr="00F16DCB" w:rsidRDefault="00B958B1" w:rsidP="009F3B54">
            <w:pPr>
              <w:pStyle w:val="OGTableofFigures"/>
            </w:pPr>
            <w:r w:rsidRPr="00F16DCB">
              <w:t>100</w:t>
            </w:r>
          </w:p>
        </w:tc>
        <w:tc>
          <w:tcPr>
            <w:tcW w:w="911" w:type="dxa"/>
            <w:tcBorders>
              <w:bottom w:val="single" w:sz="6" w:space="0" w:color="auto"/>
            </w:tcBorders>
          </w:tcPr>
          <w:p w:rsidR="00B958B1" w:rsidRPr="00F16DCB" w:rsidRDefault="00B958B1" w:rsidP="009F3B54">
            <w:pPr>
              <w:pStyle w:val="OGTableofFigures"/>
            </w:pPr>
            <w:r w:rsidRPr="00F16DCB">
              <w:t>100</w:t>
            </w:r>
          </w:p>
        </w:tc>
      </w:tr>
      <w:tr w:rsidR="00B958B1" w:rsidRPr="00F16DCB" w:rsidTr="009F3B54">
        <w:trPr>
          <w:cantSplit/>
        </w:trPr>
        <w:tc>
          <w:tcPr>
            <w:tcW w:w="3152" w:type="dxa"/>
            <w:tcBorders>
              <w:top w:val="single" w:sz="6" w:space="0" w:color="auto"/>
            </w:tcBorders>
          </w:tcPr>
          <w:p w:rsidR="00B958B1" w:rsidRPr="00F16DCB" w:rsidRDefault="00B958B1" w:rsidP="009F3B54">
            <w:pPr>
              <w:pStyle w:val="OGTabText"/>
              <w:jc w:val="left"/>
            </w:pPr>
            <w:r w:rsidRPr="00F16DCB">
              <w:t>Timely handling of objections (within 90 days)</w:t>
            </w:r>
          </w:p>
        </w:tc>
        <w:tc>
          <w:tcPr>
            <w:tcW w:w="906" w:type="dxa"/>
            <w:tcBorders>
              <w:top w:val="single" w:sz="6" w:space="0" w:color="auto"/>
            </w:tcBorders>
          </w:tcPr>
          <w:p w:rsidR="00B958B1" w:rsidRPr="00F16DCB" w:rsidRDefault="00B958B1" w:rsidP="009F3B54">
            <w:pPr>
              <w:pStyle w:val="OGUoM"/>
            </w:pPr>
            <w:r>
              <w:t>per cent</w:t>
            </w:r>
          </w:p>
        </w:tc>
        <w:tc>
          <w:tcPr>
            <w:tcW w:w="907" w:type="dxa"/>
            <w:tcBorders>
              <w:top w:val="single" w:sz="6" w:space="0" w:color="auto"/>
            </w:tcBorders>
            <w:shd w:val="clear" w:color="auto" w:fill="D9D9D9"/>
          </w:tcPr>
          <w:p w:rsidR="00B958B1" w:rsidRPr="00F16DCB" w:rsidRDefault="00B958B1" w:rsidP="009F3B54">
            <w:pPr>
              <w:pStyle w:val="OGTableofFigures"/>
            </w:pPr>
            <w:r>
              <w:rPr>
                <w:rFonts w:cs="Calibri"/>
              </w:rPr>
              <w:t>≥</w:t>
            </w:r>
            <w:r w:rsidRPr="00F16DCB">
              <w:t>80</w:t>
            </w:r>
          </w:p>
        </w:tc>
        <w:tc>
          <w:tcPr>
            <w:tcW w:w="993" w:type="dxa"/>
            <w:tcBorders>
              <w:top w:val="single" w:sz="6" w:space="0" w:color="auto"/>
            </w:tcBorders>
          </w:tcPr>
          <w:p w:rsidR="00B958B1" w:rsidRPr="00F16DCB" w:rsidRDefault="00B958B1" w:rsidP="009F3B54">
            <w:pPr>
              <w:pStyle w:val="OGTableofFigures"/>
            </w:pPr>
            <w:r w:rsidRPr="00F16DCB">
              <w:t>60</w:t>
            </w:r>
          </w:p>
        </w:tc>
        <w:tc>
          <w:tcPr>
            <w:tcW w:w="907" w:type="dxa"/>
            <w:gridSpan w:val="2"/>
            <w:tcBorders>
              <w:top w:val="single" w:sz="6" w:space="0" w:color="auto"/>
            </w:tcBorders>
          </w:tcPr>
          <w:p w:rsidR="00B958B1" w:rsidRPr="00F16DCB" w:rsidRDefault="00B958B1" w:rsidP="009F3B54">
            <w:pPr>
              <w:pStyle w:val="OGTableofFigures"/>
            </w:pPr>
            <w:r>
              <w:rPr>
                <w:rFonts w:cs="Calibri"/>
              </w:rPr>
              <w:t>≥</w:t>
            </w:r>
            <w:r w:rsidRPr="00F16DCB">
              <w:t>80</w:t>
            </w:r>
          </w:p>
        </w:tc>
        <w:tc>
          <w:tcPr>
            <w:tcW w:w="911" w:type="dxa"/>
            <w:tcBorders>
              <w:top w:val="single" w:sz="6" w:space="0" w:color="auto"/>
            </w:tcBorders>
          </w:tcPr>
          <w:p w:rsidR="00B958B1" w:rsidRPr="00F16DCB" w:rsidRDefault="00B958B1" w:rsidP="009F3B54">
            <w:pPr>
              <w:pStyle w:val="OGTableofFigures"/>
            </w:pPr>
            <w:r w:rsidRPr="00F16DCB">
              <w:t>86</w:t>
            </w:r>
          </w:p>
        </w:tc>
      </w:tr>
      <w:tr w:rsidR="00B958B1" w:rsidRPr="00F16DCB" w:rsidTr="009F3B54">
        <w:trPr>
          <w:cantSplit/>
        </w:trPr>
        <w:tc>
          <w:tcPr>
            <w:tcW w:w="7776" w:type="dxa"/>
            <w:gridSpan w:val="7"/>
            <w:tcBorders>
              <w:bottom w:val="single" w:sz="6" w:space="0" w:color="auto"/>
            </w:tcBorders>
          </w:tcPr>
          <w:p w:rsidR="00B958B1" w:rsidRPr="00F16DCB" w:rsidRDefault="00B958B1" w:rsidP="009F3B54">
            <w:pPr>
              <w:pStyle w:val="OGNotes"/>
            </w:pPr>
            <w:r w:rsidRPr="00547387">
              <w:t>The 2012</w:t>
            </w:r>
            <w:r w:rsidR="009F0F49">
              <w:noBreakHyphen/>
            </w:r>
            <w:r w:rsidRPr="00547387">
              <w:t>13 Expected Outcome is lower than the 2012</w:t>
            </w:r>
            <w:r w:rsidR="009F0F49">
              <w:noBreakHyphen/>
            </w:r>
            <w:r w:rsidRPr="00547387">
              <w:t>13 Target due to a higher than expected number of objections being received.</w:t>
            </w:r>
          </w:p>
        </w:tc>
      </w:tr>
      <w:tr w:rsidR="00B958B1" w:rsidTr="009F3B54">
        <w:trPr>
          <w:cantSplit/>
        </w:trPr>
        <w:tc>
          <w:tcPr>
            <w:tcW w:w="3152" w:type="dxa"/>
            <w:tcBorders>
              <w:top w:val="single" w:sz="6" w:space="0" w:color="auto"/>
              <w:bottom w:val="single" w:sz="6" w:space="0" w:color="auto"/>
            </w:tcBorders>
          </w:tcPr>
          <w:p w:rsidR="00B958B1" w:rsidRPr="00F16DCB" w:rsidRDefault="00B958B1" w:rsidP="009F3B54">
            <w:pPr>
              <w:pStyle w:val="OGTabText"/>
              <w:jc w:val="left"/>
            </w:pPr>
            <w:r w:rsidRPr="00F16DCB">
              <w:t>Timely handling of private rulings (within 90</w:t>
            </w:r>
            <w:r>
              <w:t> </w:t>
            </w:r>
            <w:r w:rsidRPr="00F16DCB">
              <w:t>days)</w:t>
            </w:r>
          </w:p>
        </w:tc>
        <w:tc>
          <w:tcPr>
            <w:tcW w:w="906" w:type="dxa"/>
            <w:tcBorders>
              <w:top w:val="single" w:sz="6" w:space="0" w:color="auto"/>
              <w:bottom w:val="single" w:sz="6" w:space="0" w:color="auto"/>
            </w:tcBorders>
          </w:tcPr>
          <w:p w:rsidR="00B958B1" w:rsidRPr="00F16DCB" w:rsidRDefault="00B958B1" w:rsidP="009F3B54">
            <w:pPr>
              <w:pStyle w:val="OGUoM"/>
            </w:pPr>
            <w:r>
              <w:t>per cent</w:t>
            </w:r>
          </w:p>
        </w:tc>
        <w:tc>
          <w:tcPr>
            <w:tcW w:w="907" w:type="dxa"/>
            <w:tcBorders>
              <w:top w:val="single" w:sz="6" w:space="0" w:color="auto"/>
              <w:bottom w:val="single" w:sz="6" w:space="0" w:color="auto"/>
            </w:tcBorders>
            <w:shd w:val="clear" w:color="auto" w:fill="D9D9D9"/>
          </w:tcPr>
          <w:p w:rsidR="00B958B1" w:rsidRPr="00F16DCB" w:rsidRDefault="00B958B1" w:rsidP="009F3B54">
            <w:pPr>
              <w:pStyle w:val="OGTableofFigures"/>
            </w:pPr>
            <w:r>
              <w:rPr>
                <w:rFonts w:cs="Calibri"/>
              </w:rPr>
              <w:t>≥</w:t>
            </w:r>
            <w:r w:rsidRPr="00F16DCB">
              <w:t>80</w:t>
            </w:r>
          </w:p>
        </w:tc>
        <w:tc>
          <w:tcPr>
            <w:tcW w:w="993" w:type="dxa"/>
            <w:tcBorders>
              <w:top w:val="single" w:sz="6" w:space="0" w:color="auto"/>
              <w:bottom w:val="single" w:sz="6" w:space="0" w:color="auto"/>
            </w:tcBorders>
          </w:tcPr>
          <w:p w:rsidR="00B958B1" w:rsidRPr="00F16DCB" w:rsidRDefault="00B958B1" w:rsidP="009F3B54">
            <w:pPr>
              <w:pStyle w:val="OGTableofFigures"/>
            </w:pPr>
            <w:r w:rsidRPr="00F16DCB">
              <w:t>80</w:t>
            </w:r>
          </w:p>
        </w:tc>
        <w:tc>
          <w:tcPr>
            <w:tcW w:w="907" w:type="dxa"/>
            <w:gridSpan w:val="2"/>
            <w:tcBorders>
              <w:top w:val="single" w:sz="6" w:space="0" w:color="auto"/>
              <w:bottom w:val="single" w:sz="6" w:space="0" w:color="auto"/>
            </w:tcBorders>
          </w:tcPr>
          <w:p w:rsidR="00B958B1" w:rsidRPr="00F16DCB" w:rsidRDefault="00B958B1" w:rsidP="009F3B54">
            <w:pPr>
              <w:pStyle w:val="OGTableofFigures"/>
            </w:pPr>
            <w:r>
              <w:rPr>
                <w:rFonts w:cs="Calibri"/>
              </w:rPr>
              <w:t>≥</w:t>
            </w:r>
            <w:r w:rsidRPr="00F16DCB">
              <w:t>80</w:t>
            </w:r>
          </w:p>
        </w:tc>
        <w:tc>
          <w:tcPr>
            <w:tcW w:w="911" w:type="dxa"/>
            <w:tcBorders>
              <w:top w:val="single" w:sz="6" w:space="0" w:color="auto"/>
              <w:bottom w:val="single" w:sz="6" w:space="0" w:color="auto"/>
            </w:tcBorders>
          </w:tcPr>
          <w:p w:rsidR="00B958B1" w:rsidRPr="002B0132" w:rsidRDefault="00B958B1" w:rsidP="009F3B54">
            <w:pPr>
              <w:pStyle w:val="OGTableofFigures"/>
            </w:pPr>
            <w:r w:rsidRPr="00F16DCB">
              <w:t>94</w:t>
            </w:r>
          </w:p>
        </w:tc>
      </w:tr>
      <w:tr w:rsidR="00B958B1" w:rsidTr="009F3B54">
        <w:trPr>
          <w:cantSplit/>
        </w:trPr>
        <w:tc>
          <w:tcPr>
            <w:tcW w:w="3152" w:type="dxa"/>
            <w:tcBorders>
              <w:top w:val="single" w:sz="6" w:space="0" w:color="auto"/>
            </w:tcBorders>
          </w:tcPr>
          <w:p w:rsidR="00B958B1" w:rsidRPr="00F16DCB" w:rsidRDefault="00B958B1" w:rsidP="009F3B54">
            <w:pPr>
              <w:pStyle w:val="OGTabHead"/>
            </w:pPr>
            <w:r>
              <w:t>Cost</w:t>
            </w:r>
          </w:p>
        </w:tc>
        <w:tc>
          <w:tcPr>
            <w:tcW w:w="906" w:type="dxa"/>
            <w:tcBorders>
              <w:top w:val="single" w:sz="6" w:space="0" w:color="auto"/>
            </w:tcBorders>
          </w:tcPr>
          <w:p w:rsidR="00B958B1" w:rsidRDefault="00B958B1" w:rsidP="009F3B54">
            <w:pPr>
              <w:pStyle w:val="OGUoM"/>
            </w:pPr>
          </w:p>
        </w:tc>
        <w:tc>
          <w:tcPr>
            <w:tcW w:w="907" w:type="dxa"/>
            <w:tcBorders>
              <w:top w:val="single" w:sz="6" w:space="0" w:color="auto"/>
            </w:tcBorders>
            <w:shd w:val="clear" w:color="auto" w:fill="D9D9D9"/>
          </w:tcPr>
          <w:p w:rsidR="00B958B1" w:rsidRPr="00F16DCB" w:rsidRDefault="00B958B1" w:rsidP="009F3B54">
            <w:pPr>
              <w:pStyle w:val="OGTableofFigures"/>
            </w:pPr>
          </w:p>
        </w:tc>
        <w:tc>
          <w:tcPr>
            <w:tcW w:w="993" w:type="dxa"/>
            <w:tcBorders>
              <w:top w:val="single" w:sz="6" w:space="0" w:color="auto"/>
            </w:tcBorders>
          </w:tcPr>
          <w:p w:rsidR="00B958B1" w:rsidRPr="00F16DCB" w:rsidRDefault="00B958B1" w:rsidP="009F3B54">
            <w:pPr>
              <w:pStyle w:val="OGTableofFigures"/>
            </w:pPr>
          </w:p>
        </w:tc>
        <w:tc>
          <w:tcPr>
            <w:tcW w:w="907" w:type="dxa"/>
            <w:gridSpan w:val="2"/>
            <w:tcBorders>
              <w:top w:val="single" w:sz="6" w:space="0" w:color="auto"/>
            </w:tcBorders>
          </w:tcPr>
          <w:p w:rsidR="00B958B1" w:rsidRPr="00F16DCB" w:rsidRDefault="00B958B1" w:rsidP="009F3B54">
            <w:pPr>
              <w:pStyle w:val="OGTableofFigures"/>
            </w:pPr>
          </w:p>
        </w:tc>
        <w:tc>
          <w:tcPr>
            <w:tcW w:w="911" w:type="dxa"/>
            <w:tcBorders>
              <w:top w:val="single" w:sz="6" w:space="0" w:color="auto"/>
            </w:tcBorders>
          </w:tcPr>
          <w:p w:rsidR="00B958B1" w:rsidRPr="00F16DCB" w:rsidRDefault="00B958B1" w:rsidP="009F3B54">
            <w:pPr>
              <w:pStyle w:val="OGTableofFigures"/>
            </w:pPr>
          </w:p>
        </w:tc>
      </w:tr>
      <w:tr w:rsidR="00B958B1" w:rsidTr="009F3B54">
        <w:trPr>
          <w:cantSplit/>
        </w:trPr>
        <w:tc>
          <w:tcPr>
            <w:tcW w:w="3152" w:type="dxa"/>
          </w:tcPr>
          <w:p w:rsidR="00B958B1" w:rsidRPr="002B0132" w:rsidRDefault="00B958B1" w:rsidP="009F3B54">
            <w:pPr>
              <w:pStyle w:val="TableText0"/>
              <w:spacing w:before="60" w:after="60"/>
              <w:rPr>
                <w:rFonts w:cs="Calibri"/>
                <w:color w:val="auto"/>
                <w:sz w:val="20"/>
                <w:szCs w:val="22"/>
              </w:rPr>
            </w:pPr>
            <w:r>
              <w:rPr>
                <w:rFonts w:cs="Calibri"/>
                <w:color w:val="auto"/>
                <w:sz w:val="20"/>
                <w:szCs w:val="22"/>
              </w:rPr>
              <w:t>Total output cost</w:t>
            </w:r>
          </w:p>
        </w:tc>
        <w:tc>
          <w:tcPr>
            <w:tcW w:w="906" w:type="dxa"/>
          </w:tcPr>
          <w:p w:rsidR="00B958B1" w:rsidRPr="002B0132" w:rsidRDefault="00B958B1" w:rsidP="009F3B54">
            <w:pPr>
              <w:pStyle w:val="TableText0"/>
              <w:spacing w:before="60" w:after="60"/>
              <w:jc w:val="center"/>
              <w:rPr>
                <w:rFonts w:cs="Calibri"/>
                <w:color w:val="auto"/>
                <w:sz w:val="20"/>
                <w:szCs w:val="22"/>
              </w:rPr>
            </w:pPr>
            <w:r>
              <w:rPr>
                <w:rFonts w:cs="Calibri"/>
                <w:color w:val="auto"/>
                <w:sz w:val="20"/>
                <w:szCs w:val="22"/>
              </w:rPr>
              <w:t>$ million</w:t>
            </w:r>
          </w:p>
        </w:tc>
        <w:tc>
          <w:tcPr>
            <w:tcW w:w="907" w:type="dxa"/>
            <w:shd w:val="clear" w:color="auto" w:fill="D9D9D9"/>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89.9</w:t>
            </w:r>
          </w:p>
        </w:tc>
        <w:tc>
          <w:tcPr>
            <w:tcW w:w="993" w:type="dxa"/>
          </w:tcPr>
          <w:p w:rsidR="00B958B1" w:rsidRDefault="00B958B1" w:rsidP="009F3B54">
            <w:pPr>
              <w:pStyle w:val="TableText0"/>
              <w:spacing w:before="60" w:after="60"/>
              <w:jc w:val="right"/>
              <w:rPr>
                <w:rFonts w:cs="Calibri"/>
                <w:color w:val="auto"/>
                <w:sz w:val="20"/>
                <w:szCs w:val="22"/>
              </w:rPr>
            </w:pPr>
            <w:r>
              <w:rPr>
                <w:rFonts w:cs="Calibri"/>
                <w:color w:val="auto"/>
                <w:sz w:val="20"/>
                <w:szCs w:val="22"/>
              </w:rPr>
              <w:t>75.6</w:t>
            </w:r>
          </w:p>
        </w:tc>
        <w:tc>
          <w:tcPr>
            <w:tcW w:w="907" w:type="dxa"/>
            <w:gridSpan w:val="2"/>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69.5</w:t>
            </w:r>
          </w:p>
        </w:tc>
        <w:tc>
          <w:tcPr>
            <w:tcW w:w="911" w:type="dxa"/>
          </w:tcPr>
          <w:p w:rsidR="00B958B1" w:rsidRPr="002B0132" w:rsidRDefault="00B958B1" w:rsidP="009F3B54">
            <w:pPr>
              <w:pStyle w:val="TableText0"/>
              <w:spacing w:before="60" w:after="60"/>
              <w:jc w:val="right"/>
              <w:rPr>
                <w:rFonts w:cs="Calibri"/>
                <w:color w:val="auto"/>
                <w:sz w:val="20"/>
                <w:szCs w:val="22"/>
              </w:rPr>
            </w:pPr>
            <w:r>
              <w:rPr>
                <w:rFonts w:cs="Calibri"/>
                <w:color w:val="auto"/>
                <w:sz w:val="20"/>
                <w:szCs w:val="22"/>
              </w:rPr>
              <w:t>76.8</w:t>
            </w:r>
          </w:p>
        </w:tc>
      </w:tr>
      <w:tr w:rsidR="00B958B1" w:rsidTr="009F3B54">
        <w:trPr>
          <w:cantSplit/>
        </w:trPr>
        <w:tc>
          <w:tcPr>
            <w:tcW w:w="7776" w:type="dxa"/>
            <w:gridSpan w:val="7"/>
            <w:tcBorders>
              <w:bottom w:val="single" w:sz="12" w:space="0" w:color="auto"/>
            </w:tcBorders>
          </w:tcPr>
          <w:p w:rsidR="00B958B1" w:rsidRPr="00547387" w:rsidRDefault="00B958B1" w:rsidP="009F3B54">
            <w:pPr>
              <w:pStyle w:val="OGNotes"/>
            </w:pPr>
            <w:r w:rsidRPr="00547387">
              <w:t>The 2012</w:t>
            </w:r>
            <w:r w:rsidR="009F0F49">
              <w:noBreakHyphen/>
            </w:r>
            <w:r w:rsidRPr="00547387">
              <w:t>13 Expected Outcome is higher than the 2012</w:t>
            </w:r>
            <w:r w:rsidR="009F0F49">
              <w:noBreakHyphen/>
            </w:r>
            <w:r w:rsidRPr="00547387">
              <w:t>13 Target due to the inclusion of additional funding for the implementation of the Fire Services Property Levy.</w:t>
            </w:r>
          </w:p>
          <w:p w:rsidR="00B958B1" w:rsidRPr="003202E9" w:rsidRDefault="00B958B1" w:rsidP="009F3B54">
            <w:pPr>
              <w:pStyle w:val="OGNotes"/>
            </w:pPr>
            <w:r w:rsidRPr="00547387">
              <w:t>The higher 2013</w:t>
            </w:r>
            <w:r w:rsidR="009F0F49">
              <w:noBreakHyphen/>
            </w:r>
            <w:r w:rsidRPr="00547387">
              <w:t>14 Target reflects the biennial purchase of municipal valuations resulting in a higher amortisation expense in the second year.</w:t>
            </w:r>
          </w:p>
        </w:tc>
      </w:tr>
    </w:tbl>
    <w:p w:rsidR="00B958B1" w:rsidRDefault="00B958B1" w:rsidP="009F3B54">
      <w:pPr>
        <w:pStyle w:val="Source"/>
      </w:pPr>
      <w:r>
        <w:t>Source: Department of Treasury and Finance</w:t>
      </w:r>
    </w:p>
    <w:p w:rsidR="00B958B1" w:rsidRDefault="00B958B1" w:rsidP="009F3B54">
      <w:pPr>
        <w:pStyle w:val="Source"/>
      </w:pPr>
      <w:r>
        <w:fldChar w:fldCharType="begin"/>
      </w:r>
      <w:r>
        <w:instrText xml:space="preserve"> XE "</w:instrText>
      </w:r>
      <w:r w:rsidRPr="002E7BB2">
        <w:instrText>Department of Treasury and Finance:Revenue Management Services</w:instrText>
      </w:r>
      <w:r>
        <w:instrText xml:space="preserve">" \r "BP3DTFRevenueMgmtSvces" </w:instrText>
      </w:r>
      <w:r>
        <w:fldChar w:fldCharType="end"/>
      </w:r>
    </w:p>
    <w:bookmarkEnd w:id="150"/>
    <w:p w:rsidR="00B958B1" w:rsidRDefault="00B958B1" w:rsidP="009F3B54"/>
    <w:p w:rsidR="00B958B1" w:rsidRDefault="00B958B1" w:rsidP="00497606"/>
    <w:p w:rsidR="00B958B1" w:rsidRDefault="00B958B1" w:rsidP="00C45CC5">
      <w:pPr>
        <w:sectPr w:rsidR="00B958B1" w:rsidSect="004B42A1">
          <w:footerReference w:type="even" r:id="rId37"/>
          <w:footerReference w:type="default" r:id="rId38"/>
          <w:pgSz w:w="9979" w:h="14181" w:code="138"/>
          <w:pgMar w:top="1138" w:right="1138" w:bottom="1138" w:left="1138" w:header="720" w:footer="720" w:gutter="0"/>
          <w:cols w:space="708"/>
          <w:docGrid w:linePitch="360"/>
        </w:sectPr>
      </w:pPr>
    </w:p>
    <w:p w:rsidR="00B958B1" w:rsidRPr="0002334A" w:rsidRDefault="00B958B1" w:rsidP="009F3B54">
      <w:pPr>
        <w:pStyle w:val="Heading1"/>
      </w:pPr>
      <w:bookmarkStart w:id="151" w:name="_Toc355362289"/>
      <w:r>
        <w:t>Parliament</w:t>
      </w:r>
      <w:bookmarkEnd w:id="151"/>
    </w:p>
    <w:p w:rsidR="00B958B1" w:rsidRDefault="00B958B1" w:rsidP="009F3B54">
      <w:pPr>
        <w:pStyle w:val="Heading2"/>
        <w:spacing w:after="60"/>
      </w:pPr>
      <w:r>
        <w:t>Departmental mission statement</w:t>
      </w:r>
    </w:p>
    <w:p w:rsidR="00B958B1" w:rsidRPr="006D3B54" w:rsidRDefault="00B958B1" w:rsidP="009F3B54">
      <w:pPr>
        <w:pStyle w:val="Heading3"/>
      </w:pPr>
      <w:r w:rsidRPr="006D3B54">
        <w:t>Parliament</w:t>
      </w:r>
    </w:p>
    <w:p w:rsidR="00B958B1" w:rsidRPr="006D3B54" w:rsidRDefault="00B958B1" w:rsidP="009F3B54">
      <w:pPr>
        <w:spacing w:before="60"/>
      </w:pPr>
      <w:r w:rsidRPr="006D3B54">
        <w:t>The Parliament of Victoria is an independent body that, through its elected representatives, is accountable to the Victorian community for the provision and conduct of representative government in the interests of Victorians.</w:t>
      </w:r>
    </w:p>
    <w:p w:rsidR="00B958B1" w:rsidRDefault="00B958B1" w:rsidP="009F3B54">
      <w:pPr>
        <w:spacing w:before="60"/>
      </w:pPr>
      <w:r w:rsidRPr="006D3B54">
        <w:t xml:space="preserve">The Parliament of Victoria </w:t>
      </w:r>
      <w:r>
        <w:t xml:space="preserve">aims to </w:t>
      </w:r>
      <w:r w:rsidRPr="006D3B54">
        <w:t>deliver apolitical, professional and innovative services which will support Victoria</w:t>
      </w:r>
      <w:r>
        <w:t>’</w:t>
      </w:r>
      <w:r w:rsidRPr="006D3B54">
        <w:t>s elected representatives and the Parliament as an institution to ensure the proper, effective and independent functioning of the Parliament.</w:t>
      </w:r>
    </w:p>
    <w:p w:rsidR="00B958B1" w:rsidRDefault="00B958B1" w:rsidP="009F3B54">
      <w:pPr>
        <w:pStyle w:val="Heading3"/>
      </w:pPr>
      <w:r>
        <w:t>Victorian Auditor</w:t>
      </w:r>
      <w:r w:rsidR="009F0F49">
        <w:noBreakHyphen/>
      </w:r>
      <w:r>
        <w:t>General’s Office</w:t>
      </w:r>
    </w:p>
    <w:p w:rsidR="00B958B1" w:rsidRDefault="00B958B1" w:rsidP="009F3B54">
      <w:pPr>
        <w:spacing w:before="60"/>
      </w:pPr>
      <w:r>
        <w:t xml:space="preserve">Victoria’s </w:t>
      </w:r>
      <w:r w:rsidRPr="00BD1035">
        <w:rPr>
          <w:i/>
        </w:rPr>
        <w:t>Constitution Act 1975</w:t>
      </w:r>
      <w:r>
        <w:t xml:space="preserve"> provides that the Auditor</w:t>
      </w:r>
      <w:r w:rsidR="009F0F49">
        <w:noBreakHyphen/>
      </w:r>
      <w:r>
        <w:t>General is an independent officer of Parliament. For budgetary purposes, the Victorian Auditor</w:t>
      </w:r>
      <w:r w:rsidR="009F0F49">
        <w:noBreakHyphen/>
      </w:r>
      <w:r>
        <w:t xml:space="preserve">General’s Office is included as an output classification within Parliament. </w:t>
      </w:r>
    </w:p>
    <w:p w:rsidR="00B958B1" w:rsidRPr="006D3B54" w:rsidRDefault="00B958B1" w:rsidP="009F3B54">
      <w:pPr>
        <w:spacing w:before="60"/>
      </w:pPr>
      <w:r>
        <w:t>The main purpose of the Victorian Auditor</w:t>
      </w:r>
      <w:r w:rsidR="009F0F49">
        <w:noBreakHyphen/>
      </w:r>
      <w:r>
        <w:t>General’s Office is to provide assurance to Parliament on the accountability and performance of the Victorian public sector.</w:t>
      </w:r>
    </w:p>
    <w:p w:rsidR="00B958B1" w:rsidRPr="006D3B54" w:rsidRDefault="00B958B1" w:rsidP="009F3B54">
      <w:pPr>
        <w:pStyle w:val="Heading2"/>
      </w:pPr>
      <w:r>
        <w:t xml:space="preserve">Departmental objectives </w:t>
      </w:r>
      <w:r w:rsidRPr="006D3B54">
        <w:t>and outputs</w:t>
      </w:r>
    </w:p>
    <w:p w:rsidR="00B958B1" w:rsidRPr="006D3B54" w:rsidRDefault="00B958B1" w:rsidP="009F3B54">
      <w:pPr>
        <w:pStyle w:val="Heading3"/>
      </w:pPr>
      <w:r w:rsidRPr="00E07BDB">
        <w:t>Parliament</w:t>
      </w:r>
      <w:r w:rsidRPr="006D3B54">
        <w:t xml:space="preserve"> </w:t>
      </w:r>
    </w:p>
    <w:p w:rsidR="00B958B1" w:rsidRPr="006D3B54" w:rsidRDefault="00B958B1" w:rsidP="009F3B54">
      <w:pPr>
        <w:spacing w:before="60"/>
      </w:pPr>
      <w:r w:rsidRPr="006D3B54">
        <w:t>The Departments of the Parliament of Victoria aim to:</w:t>
      </w:r>
    </w:p>
    <w:p w:rsidR="00B958B1" w:rsidRPr="006D3B54" w:rsidRDefault="00B958B1" w:rsidP="009F3B54">
      <w:pPr>
        <w:pStyle w:val="BulletText"/>
      </w:pPr>
      <w:r w:rsidRPr="006D3B54">
        <w:t xml:space="preserve">provide services that support operations, support to members, internal communication, knowledge and infrastructure management, legislation processing and </w:t>
      </w:r>
      <w:r w:rsidRPr="00BF2AAE">
        <w:t>compliance</w:t>
      </w:r>
      <w:r w:rsidRPr="006D3B54">
        <w:t>;</w:t>
      </w:r>
    </w:p>
    <w:p w:rsidR="00B958B1" w:rsidRPr="006D3B54" w:rsidRDefault="00B958B1" w:rsidP="009F3B54">
      <w:pPr>
        <w:pStyle w:val="BulletText"/>
      </w:pPr>
      <w:r w:rsidRPr="006D3B54">
        <w:t>provide fearless, apolitical and impartial advice;</w:t>
      </w:r>
    </w:p>
    <w:p w:rsidR="00B958B1" w:rsidRPr="006D3B54" w:rsidRDefault="00B958B1" w:rsidP="009F3B54">
      <w:pPr>
        <w:pStyle w:val="BulletText"/>
      </w:pPr>
      <w:r w:rsidRPr="006D3B54">
        <w:t>safeguard Parliament</w:t>
      </w:r>
      <w:r>
        <w:t>’</w:t>
      </w:r>
      <w:r w:rsidRPr="006D3B54">
        <w:t>s independence and integrity;</w:t>
      </w:r>
    </w:p>
    <w:p w:rsidR="00B958B1" w:rsidRPr="006D3B54" w:rsidRDefault="00B958B1" w:rsidP="009F3B54">
      <w:pPr>
        <w:pStyle w:val="BulletText"/>
      </w:pPr>
      <w:r w:rsidRPr="006D3B54">
        <w:t>strengthen links with the community;</w:t>
      </w:r>
    </w:p>
    <w:p w:rsidR="00B958B1" w:rsidRPr="006D3B54" w:rsidRDefault="00B958B1" w:rsidP="009F3B54">
      <w:pPr>
        <w:pStyle w:val="BulletText"/>
      </w:pPr>
      <w:r w:rsidRPr="006D3B54">
        <w:t>protect building heritage; and</w:t>
      </w:r>
    </w:p>
    <w:p w:rsidR="00B958B1" w:rsidRDefault="00B958B1" w:rsidP="009F3B54">
      <w:pPr>
        <w:pStyle w:val="BulletText"/>
      </w:pPr>
      <w:r w:rsidRPr="006D3B54">
        <w:t>strive for leadership and best practice in our activities and employment standards.</w:t>
      </w:r>
    </w:p>
    <w:p w:rsidR="00B958B1" w:rsidRDefault="00B958B1" w:rsidP="009F3B54">
      <w:pPr>
        <w:pStyle w:val="Heading3"/>
      </w:pPr>
      <w:r>
        <w:br w:type="page"/>
      </w:r>
      <w:r w:rsidRPr="00BF2AAE">
        <w:t>Victorian</w:t>
      </w:r>
      <w:r>
        <w:t xml:space="preserve"> Auditor</w:t>
      </w:r>
      <w:r w:rsidR="009F0F49">
        <w:noBreakHyphen/>
      </w:r>
      <w:r>
        <w:t>General’s Office</w:t>
      </w:r>
    </w:p>
    <w:p w:rsidR="00B958B1" w:rsidRDefault="00B958B1" w:rsidP="009F3B54">
      <w:r>
        <w:t>The Victorian Auditor</w:t>
      </w:r>
      <w:r w:rsidR="009F0F49">
        <w:noBreakHyphen/>
      </w:r>
      <w:r>
        <w:t>General’s Office aims to:</w:t>
      </w:r>
    </w:p>
    <w:p w:rsidR="00B958B1" w:rsidRDefault="00B958B1" w:rsidP="009F3B54">
      <w:pPr>
        <w:pStyle w:val="BulletText"/>
      </w:pPr>
      <w:r>
        <w:t>provide assurance to Parliament about the accountability and performance of the Victorian public sector through the provision of audits;</w:t>
      </w:r>
    </w:p>
    <w:p w:rsidR="00B958B1" w:rsidRDefault="00B958B1" w:rsidP="009F3B54">
      <w:pPr>
        <w:pStyle w:val="BulletText"/>
      </w:pPr>
      <w:r>
        <w:t>be authoritative and relevant and be highly regarded by Parliament;</w:t>
      </w:r>
    </w:p>
    <w:p w:rsidR="00B958B1" w:rsidRDefault="00B958B1" w:rsidP="009F3B54">
      <w:pPr>
        <w:pStyle w:val="BulletText"/>
      </w:pPr>
      <w:r>
        <w:t>leverage our systems and processes to improve organisational performance;</w:t>
      </w:r>
    </w:p>
    <w:p w:rsidR="00B958B1" w:rsidRDefault="00B958B1" w:rsidP="009F3B54">
      <w:pPr>
        <w:pStyle w:val="BulletText"/>
      </w:pPr>
      <w:r>
        <w:t>foster a stimulating working environment;</w:t>
      </w:r>
    </w:p>
    <w:p w:rsidR="00B958B1" w:rsidRDefault="00B958B1" w:rsidP="009F3B54">
      <w:pPr>
        <w:pStyle w:val="BulletText"/>
      </w:pPr>
      <w:r>
        <w:t>foster productive relationships with audit clients; and</w:t>
      </w:r>
    </w:p>
    <w:p w:rsidR="00B958B1" w:rsidRPr="00BD1035" w:rsidRDefault="00B958B1" w:rsidP="009F3B54">
      <w:pPr>
        <w:pStyle w:val="BulletText"/>
      </w:pPr>
      <w:r>
        <w:t>recruit and retain staff with specialised audit and investigative skills in the Victorian Auditor</w:t>
      </w:r>
      <w:r w:rsidR="009F0F49">
        <w:noBreakHyphen/>
      </w:r>
      <w:r>
        <w:t>General’s Office to meet the increasing complexity of audit effort within a competitive recruitment market.</w:t>
      </w:r>
    </w:p>
    <w:p w:rsidR="00B958B1" w:rsidRDefault="00B958B1" w:rsidP="009F3B54">
      <w:pPr>
        <w:pStyle w:val="Heading2"/>
      </w:pPr>
      <w:r>
        <w:t>Changes to the output structure</w:t>
      </w:r>
    </w:p>
    <w:p w:rsidR="00B958B1" w:rsidRDefault="00B958B1" w:rsidP="009F3B54">
      <w:r w:rsidRPr="00C534E5">
        <w:t>The Parliament has not made any changes to its output structure for 2013</w:t>
      </w:r>
      <w:r w:rsidR="009F0F49">
        <w:noBreakHyphen/>
      </w:r>
      <w:r w:rsidRPr="00C534E5">
        <w:t xml:space="preserve">14. </w:t>
      </w:r>
    </w:p>
    <w:p w:rsidR="00B958B1" w:rsidRDefault="00B958B1" w:rsidP="009F3B54">
      <w:r w:rsidRPr="00557E2A">
        <w:t xml:space="preserve">The following table summarises </w:t>
      </w:r>
      <w:r>
        <w:t xml:space="preserve">Parliament’s </w:t>
      </w:r>
      <w:r w:rsidRPr="00557E2A">
        <w:t xml:space="preserve">total output cost. </w:t>
      </w:r>
    </w:p>
    <w:p w:rsidR="00B958B1" w:rsidRDefault="00B958B1" w:rsidP="009F3B54">
      <w:pPr>
        <w:pStyle w:val="Tableheading"/>
      </w:pPr>
      <w:r>
        <w:t>Table 2.29:</w:t>
      </w:r>
      <w:r>
        <w:tab/>
        <w:t>Output summary</w:t>
      </w:r>
    </w:p>
    <w:p w:rsidR="00B958B1" w:rsidRPr="00477FC8" w:rsidRDefault="00B958B1" w:rsidP="009F3B54">
      <w:pPr>
        <w:pStyle w:val="million"/>
        <w:rPr>
          <w:sz w:val="20"/>
        </w:rPr>
      </w:pPr>
      <w:r>
        <w:rPr>
          <w:sz w:val="20"/>
        </w:rPr>
        <w:t>($ million)</w:t>
      </w:r>
    </w:p>
    <w:tbl>
      <w:tblPr>
        <w:tblW w:w="7776" w:type="dxa"/>
        <w:tblInd w:w="29" w:type="dxa"/>
        <w:tblLayout w:type="fixed"/>
        <w:tblCellMar>
          <w:left w:w="43" w:type="dxa"/>
          <w:right w:w="43" w:type="dxa"/>
        </w:tblCellMar>
        <w:tblLook w:val="0000" w:firstRow="0" w:lastRow="0" w:firstColumn="0" w:lastColumn="0" w:noHBand="0" w:noVBand="0"/>
      </w:tblPr>
      <w:tblGrid>
        <w:gridCol w:w="3974"/>
        <w:gridCol w:w="900"/>
        <w:gridCol w:w="900"/>
        <w:gridCol w:w="900"/>
        <w:gridCol w:w="1102"/>
      </w:tblGrid>
      <w:tr w:rsidR="00B958B1" w:rsidRPr="00477FC8" w:rsidTr="009F3B54">
        <w:tc>
          <w:tcPr>
            <w:tcW w:w="3974" w:type="dxa"/>
            <w:tcBorders>
              <w:top w:val="single" w:sz="4" w:space="0" w:color="auto"/>
              <w:left w:val="single" w:sz="4" w:space="0" w:color="auto"/>
              <w:bottom w:val="nil"/>
              <w:right w:val="nil"/>
            </w:tcBorders>
            <w:shd w:val="clear" w:color="auto" w:fill="000000"/>
          </w:tcPr>
          <w:p w:rsidR="00B958B1" w:rsidRPr="00477FC8" w:rsidRDefault="00B958B1" w:rsidP="009F3B54">
            <w:pPr>
              <w:pStyle w:val="Tabletext"/>
              <w:rPr>
                <w:lang w:eastAsia="en-AU"/>
              </w:rPr>
            </w:pPr>
            <w:r w:rsidRPr="00477FC8">
              <w:rPr>
                <w:lang w:eastAsia="en-AU"/>
              </w:rPr>
              <w:t xml:space="preserve">  </w:t>
            </w:r>
          </w:p>
        </w:tc>
        <w:tc>
          <w:tcPr>
            <w:tcW w:w="900" w:type="dxa"/>
            <w:tcBorders>
              <w:top w:val="single" w:sz="4" w:space="0" w:color="auto"/>
              <w:left w:val="nil"/>
              <w:bottom w:val="nil"/>
              <w:right w:val="nil"/>
            </w:tcBorders>
            <w:shd w:val="clear" w:color="auto" w:fill="000000"/>
          </w:tcPr>
          <w:p w:rsidR="00B958B1" w:rsidRPr="00477FC8" w:rsidRDefault="00B958B1" w:rsidP="009F3B54">
            <w:pPr>
              <w:pStyle w:val="Tabletextheading"/>
              <w:rPr>
                <w:lang w:eastAsia="en-AU"/>
              </w:rPr>
            </w:pPr>
            <w:r w:rsidRPr="00477FC8">
              <w:rPr>
                <w:lang w:eastAsia="en-AU"/>
              </w:rPr>
              <w:t>2012</w:t>
            </w:r>
            <w:r w:rsidR="009F0F49">
              <w:rPr>
                <w:lang w:eastAsia="en-AU"/>
              </w:rPr>
              <w:noBreakHyphen/>
            </w:r>
            <w:r w:rsidRPr="00477FC8">
              <w:rPr>
                <w:lang w:eastAsia="en-AU"/>
              </w:rPr>
              <w:t>13</w:t>
            </w:r>
          </w:p>
        </w:tc>
        <w:tc>
          <w:tcPr>
            <w:tcW w:w="900" w:type="dxa"/>
            <w:tcBorders>
              <w:top w:val="single" w:sz="4" w:space="0" w:color="auto"/>
              <w:left w:val="nil"/>
              <w:bottom w:val="nil"/>
              <w:right w:val="nil"/>
            </w:tcBorders>
            <w:shd w:val="clear" w:color="auto" w:fill="000000"/>
          </w:tcPr>
          <w:p w:rsidR="00B958B1" w:rsidRPr="00477FC8" w:rsidRDefault="00B958B1" w:rsidP="009F3B54">
            <w:pPr>
              <w:pStyle w:val="Tabletextheading"/>
              <w:rPr>
                <w:lang w:eastAsia="en-AU"/>
              </w:rPr>
            </w:pPr>
            <w:r w:rsidRPr="00477FC8">
              <w:rPr>
                <w:lang w:eastAsia="en-AU"/>
              </w:rPr>
              <w:t>2012</w:t>
            </w:r>
            <w:r w:rsidR="009F0F49">
              <w:rPr>
                <w:lang w:eastAsia="en-AU"/>
              </w:rPr>
              <w:noBreakHyphen/>
            </w:r>
            <w:r w:rsidRPr="00477FC8">
              <w:rPr>
                <w:lang w:eastAsia="en-AU"/>
              </w:rPr>
              <w:t>13</w:t>
            </w:r>
          </w:p>
        </w:tc>
        <w:tc>
          <w:tcPr>
            <w:tcW w:w="900" w:type="dxa"/>
            <w:tcBorders>
              <w:top w:val="single" w:sz="4" w:space="0" w:color="auto"/>
              <w:left w:val="nil"/>
              <w:bottom w:val="nil"/>
              <w:right w:val="nil"/>
            </w:tcBorders>
            <w:shd w:val="clear" w:color="auto" w:fill="000000"/>
          </w:tcPr>
          <w:p w:rsidR="00B958B1" w:rsidRPr="00477FC8" w:rsidRDefault="00B958B1" w:rsidP="009F3B54">
            <w:pPr>
              <w:pStyle w:val="Tabletextheading"/>
              <w:rPr>
                <w:lang w:eastAsia="en-AU"/>
              </w:rPr>
            </w:pPr>
            <w:r w:rsidRPr="00477FC8">
              <w:rPr>
                <w:lang w:eastAsia="en-AU"/>
              </w:rPr>
              <w:t>2013</w:t>
            </w:r>
            <w:r w:rsidR="009F0F49">
              <w:rPr>
                <w:lang w:eastAsia="en-AU"/>
              </w:rPr>
              <w:noBreakHyphen/>
            </w:r>
            <w:r w:rsidRPr="00477FC8">
              <w:rPr>
                <w:lang w:eastAsia="en-AU"/>
              </w:rPr>
              <w:t>14</w:t>
            </w:r>
          </w:p>
        </w:tc>
        <w:tc>
          <w:tcPr>
            <w:tcW w:w="1102" w:type="dxa"/>
            <w:tcBorders>
              <w:top w:val="single" w:sz="4" w:space="0" w:color="auto"/>
              <w:left w:val="nil"/>
              <w:bottom w:val="nil"/>
              <w:right w:val="single" w:sz="4" w:space="0" w:color="auto"/>
            </w:tcBorders>
            <w:shd w:val="clear" w:color="auto" w:fill="000000"/>
          </w:tcPr>
          <w:p w:rsidR="00B958B1" w:rsidRPr="00477FC8" w:rsidRDefault="00B958B1" w:rsidP="009F3B54">
            <w:pPr>
              <w:pStyle w:val="Tabletextheading"/>
              <w:rPr>
                <w:vertAlign w:val="superscript"/>
                <w:lang w:eastAsia="en-AU"/>
              </w:rPr>
            </w:pPr>
            <w:r w:rsidRPr="00477FC8">
              <w:rPr>
                <w:lang w:eastAsia="en-AU"/>
              </w:rPr>
              <w:t xml:space="preserve">Variation </w:t>
            </w:r>
            <w:r w:rsidRPr="00477FC8">
              <w:rPr>
                <w:vertAlign w:val="superscript"/>
                <w:lang w:eastAsia="en-AU"/>
              </w:rPr>
              <w:t>(a)</w:t>
            </w:r>
          </w:p>
        </w:tc>
      </w:tr>
      <w:tr w:rsidR="00B958B1" w:rsidRPr="00477FC8" w:rsidTr="009F3B54">
        <w:tc>
          <w:tcPr>
            <w:tcW w:w="3974" w:type="dxa"/>
            <w:tcBorders>
              <w:top w:val="nil"/>
              <w:left w:val="single" w:sz="4" w:space="0" w:color="auto"/>
              <w:bottom w:val="single" w:sz="4" w:space="0" w:color="auto"/>
              <w:right w:val="nil"/>
            </w:tcBorders>
            <w:shd w:val="clear" w:color="auto" w:fill="000000"/>
          </w:tcPr>
          <w:p w:rsidR="00B958B1" w:rsidRPr="00477FC8" w:rsidRDefault="00B958B1" w:rsidP="009F3B54">
            <w:pPr>
              <w:pStyle w:val="Tabletext"/>
              <w:rPr>
                <w:lang w:eastAsia="en-AU"/>
              </w:rPr>
            </w:pPr>
            <w:r w:rsidRPr="00477FC8">
              <w:rPr>
                <w:lang w:eastAsia="en-AU"/>
              </w:rPr>
              <w:t xml:space="preserve">  </w:t>
            </w:r>
          </w:p>
        </w:tc>
        <w:tc>
          <w:tcPr>
            <w:tcW w:w="900" w:type="dxa"/>
            <w:tcBorders>
              <w:top w:val="nil"/>
              <w:left w:val="nil"/>
              <w:bottom w:val="single" w:sz="4" w:space="0" w:color="auto"/>
              <w:right w:val="nil"/>
            </w:tcBorders>
            <w:shd w:val="clear" w:color="auto" w:fill="000000"/>
          </w:tcPr>
          <w:p w:rsidR="00B958B1" w:rsidRPr="00477FC8" w:rsidRDefault="00B958B1" w:rsidP="009F3B54">
            <w:pPr>
              <w:pStyle w:val="Tabletextheading"/>
              <w:rPr>
                <w:lang w:eastAsia="en-AU"/>
              </w:rPr>
            </w:pPr>
            <w:r w:rsidRPr="00477FC8">
              <w:rPr>
                <w:lang w:eastAsia="en-AU"/>
              </w:rPr>
              <w:t>Budget</w:t>
            </w:r>
          </w:p>
        </w:tc>
        <w:tc>
          <w:tcPr>
            <w:tcW w:w="900" w:type="dxa"/>
            <w:tcBorders>
              <w:top w:val="nil"/>
              <w:left w:val="nil"/>
              <w:bottom w:val="single" w:sz="4" w:space="0" w:color="auto"/>
              <w:right w:val="nil"/>
            </w:tcBorders>
            <w:shd w:val="clear" w:color="auto" w:fill="000000"/>
          </w:tcPr>
          <w:p w:rsidR="00B958B1" w:rsidRPr="00477FC8" w:rsidRDefault="00B958B1" w:rsidP="009F3B54">
            <w:pPr>
              <w:pStyle w:val="Tabletextheading"/>
              <w:rPr>
                <w:lang w:eastAsia="en-AU"/>
              </w:rPr>
            </w:pPr>
            <w:r w:rsidRPr="00477FC8">
              <w:rPr>
                <w:lang w:eastAsia="en-AU"/>
              </w:rPr>
              <w:t>Revised</w:t>
            </w:r>
          </w:p>
        </w:tc>
        <w:tc>
          <w:tcPr>
            <w:tcW w:w="900" w:type="dxa"/>
            <w:tcBorders>
              <w:top w:val="nil"/>
              <w:left w:val="nil"/>
              <w:bottom w:val="single" w:sz="4" w:space="0" w:color="auto"/>
              <w:right w:val="nil"/>
            </w:tcBorders>
            <w:shd w:val="clear" w:color="auto" w:fill="000000"/>
          </w:tcPr>
          <w:p w:rsidR="00B958B1" w:rsidRPr="00477FC8" w:rsidRDefault="00B958B1" w:rsidP="009F3B54">
            <w:pPr>
              <w:pStyle w:val="Tabletextheading"/>
              <w:rPr>
                <w:lang w:eastAsia="en-AU"/>
              </w:rPr>
            </w:pPr>
            <w:r w:rsidRPr="00477FC8">
              <w:rPr>
                <w:lang w:eastAsia="en-AU"/>
              </w:rPr>
              <w:t>Budget</w:t>
            </w:r>
          </w:p>
        </w:tc>
        <w:tc>
          <w:tcPr>
            <w:tcW w:w="1102" w:type="dxa"/>
            <w:tcBorders>
              <w:top w:val="nil"/>
              <w:left w:val="nil"/>
              <w:bottom w:val="single" w:sz="4" w:space="0" w:color="auto"/>
              <w:right w:val="single" w:sz="4" w:space="0" w:color="auto"/>
            </w:tcBorders>
            <w:shd w:val="clear" w:color="auto" w:fill="000000"/>
          </w:tcPr>
          <w:p w:rsidR="00B958B1" w:rsidRPr="00477FC8" w:rsidRDefault="00B958B1" w:rsidP="009F3B54">
            <w:pPr>
              <w:pStyle w:val="Tabletextheading"/>
              <w:rPr>
                <w:lang w:eastAsia="en-AU"/>
              </w:rPr>
            </w:pPr>
            <w:r w:rsidRPr="00477FC8">
              <w:rPr>
                <w:lang w:eastAsia="en-AU"/>
              </w:rPr>
              <w:t>%</w:t>
            </w:r>
          </w:p>
        </w:tc>
      </w:tr>
      <w:tr w:rsidR="00B958B1" w:rsidRPr="00477FC8" w:rsidTr="009F3B54">
        <w:tc>
          <w:tcPr>
            <w:tcW w:w="3974" w:type="dxa"/>
            <w:tcBorders>
              <w:top w:val="single" w:sz="4" w:space="0" w:color="auto"/>
              <w:left w:val="nil"/>
              <w:bottom w:val="nil"/>
              <w:right w:val="nil"/>
            </w:tcBorders>
          </w:tcPr>
          <w:p w:rsidR="00B958B1" w:rsidRPr="00477FC8" w:rsidRDefault="00B958B1" w:rsidP="009F3B54">
            <w:pPr>
              <w:pStyle w:val="Tabletext"/>
              <w:rPr>
                <w:color w:val="000000"/>
                <w:vertAlign w:val="superscript"/>
                <w:lang w:eastAsia="en-AU"/>
              </w:rPr>
            </w:pPr>
            <w:r w:rsidRPr="00477FC8">
              <w:rPr>
                <w:color w:val="000000"/>
                <w:lang w:eastAsia="en-AU"/>
              </w:rPr>
              <w:t>Legislative Council</w:t>
            </w:r>
            <w:r w:rsidRPr="00477FC8">
              <w:rPr>
                <w:color w:val="000000"/>
                <w:vertAlign w:val="superscript"/>
                <w:lang w:eastAsia="en-AU"/>
              </w:rPr>
              <w:t xml:space="preserve"> (b)</w:t>
            </w:r>
          </w:p>
        </w:tc>
        <w:tc>
          <w:tcPr>
            <w:tcW w:w="900" w:type="dxa"/>
            <w:tcBorders>
              <w:top w:val="single" w:sz="4" w:space="0" w:color="auto"/>
              <w:left w:val="nil"/>
              <w:bottom w:val="nil"/>
              <w:right w:val="nil"/>
            </w:tcBorders>
          </w:tcPr>
          <w:p w:rsidR="00B958B1" w:rsidRPr="00477FC8" w:rsidRDefault="00B958B1" w:rsidP="009F3B54">
            <w:pPr>
              <w:pStyle w:val="TableofFigures"/>
              <w:rPr>
                <w:color w:val="000000"/>
                <w:szCs w:val="22"/>
                <w:lang w:eastAsia="en-AU"/>
              </w:rPr>
            </w:pPr>
            <w:r w:rsidRPr="00477FC8">
              <w:rPr>
                <w:color w:val="000000"/>
                <w:szCs w:val="22"/>
                <w:lang w:eastAsia="en-AU"/>
              </w:rPr>
              <w:t>14.2</w:t>
            </w:r>
          </w:p>
        </w:tc>
        <w:tc>
          <w:tcPr>
            <w:tcW w:w="900" w:type="dxa"/>
            <w:tcBorders>
              <w:top w:val="single" w:sz="4" w:space="0" w:color="auto"/>
              <w:left w:val="nil"/>
              <w:bottom w:val="nil"/>
              <w:right w:val="nil"/>
            </w:tcBorders>
          </w:tcPr>
          <w:p w:rsidR="00B958B1" w:rsidRPr="00477FC8" w:rsidRDefault="00B958B1" w:rsidP="009F3B54">
            <w:pPr>
              <w:pStyle w:val="TableofFigures"/>
              <w:rPr>
                <w:color w:val="000000"/>
                <w:szCs w:val="22"/>
                <w:lang w:eastAsia="en-AU"/>
              </w:rPr>
            </w:pPr>
            <w:r w:rsidRPr="00477FC8">
              <w:rPr>
                <w:color w:val="000000"/>
                <w:szCs w:val="22"/>
                <w:lang w:eastAsia="en-AU"/>
              </w:rPr>
              <w:t>14.2</w:t>
            </w:r>
          </w:p>
        </w:tc>
        <w:tc>
          <w:tcPr>
            <w:tcW w:w="900" w:type="dxa"/>
            <w:tcBorders>
              <w:top w:val="single" w:sz="4" w:space="0" w:color="auto"/>
              <w:left w:val="nil"/>
              <w:bottom w:val="nil"/>
              <w:right w:val="nil"/>
            </w:tcBorders>
          </w:tcPr>
          <w:p w:rsidR="00B958B1" w:rsidRPr="00477FC8" w:rsidRDefault="00B958B1" w:rsidP="009F3B54">
            <w:pPr>
              <w:pStyle w:val="TableofFigures"/>
              <w:rPr>
                <w:color w:val="000000"/>
                <w:szCs w:val="22"/>
                <w:lang w:eastAsia="en-AU"/>
              </w:rPr>
            </w:pPr>
            <w:r w:rsidRPr="00477FC8">
              <w:rPr>
                <w:color w:val="000000"/>
                <w:szCs w:val="22"/>
                <w:lang w:eastAsia="en-AU"/>
              </w:rPr>
              <w:t>14.1</w:t>
            </w:r>
          </w:p>
        </w:tc>
        <w:tc>
          <w:tcPr>
            <w:tcW w:w="1102" w:type="dxa"/>
            <w:tcBorders>
              <w:top w:val="single" w:sz="4" w:space="0" w:color="auto"/>
              <w:left w:val="nil"/>
              <w:bottom w:val="nil"/>
              <w:right w:val="nil"/>
            </w:tcBorders>
          </w:tcPr>
          <w:p w:rsidR="00B958B1" w:rsidRPr="00477FC8" w:rsidRDefault="009F0F49" w:rsidP="009F3B54">
            <w:pPr>
              <w:pStyle w:val="TableofFigures"/>
              <w:rPr>
                <w:color w:val="000000"/>
                <w:szCs w:val="22"/>
                <w:lang w:eastAsia="en-AU"/>
              </w:rPr>
            </w:pPr>
            <w:r>
              <w:rPr>
                <w:color w:val="000000"/>
                <w:szCs w:val="22"/>
                <w:lang w:eastAsia="en-AU"/>
              </w:rPr>
              <w:noBreakHyphen/>
            </w:r>
            <w:r w:rsidR="00B958B1" w:rsidRPr="00477FC8">
              <w:rPr>
                <w:color w:val="000000"/>
                <w:szCs w:val="22"/>
                <w:lang w:eastAsia="en-AU"/>
              </w:rPr>
              <w:t>0.7</w:t>
            </w:r>
          </w:p>
        </w:tc>
      </w:tr>
      <w:tr w:rsidR="00B958B1" w:rsidRPr="00477FC8" w:rsidTr="009F3B54">
        <w:tc>
          <w:tcPr>
            <w:tcW w:w="3974" w:type="dxa"/>
            <w:tcBorders>
              <w:top w:val="nil"/>
              <w:left w:val="nil"/>
              <w:bottom w:val="nil"/>
              <w:right w:val="nil"/>
            </w:tcBorders>
          </w:tcPr>
          <w:p w:rsidR="00B958B1" w:rsidRPr="00477FC8" w:rsidRDefault="00B958B1" w:rsidP="009F3B54">
            <w:pPr>
              <w:pStyle w:val="Tabletext"/>
              <w:rPr>
                <w:color w:val="000000"/>
                <w:vertAlign w:val="superscript"/>
                <w:lang w:eastAsia="en-AU"/>
              </w:rPr>
            </w:pPr>
            <w:r w:rsidRPr="00477FC8">
              <w:rPr>
                <w:color w:val="000000"/>
                <w:lang w:eastAsia="en-AU"/>
              </w:rPr>
              <w:t xml:space="preserve">Legislative Assembly </w:t>
            </w:r>
            <w:r w:rsidRPr="00477FC8">
              <w:rPr>
                <w:color w:val="000000"/>
                <w:vertAlign w:val="superscript"/>
                <w:lang w:eastAsia="en-AU"/>
              </w:rPr>
              <w:t>(c)</w:t>
            </w:r>
          </w:p>
        </w:tc>
        <w:tc>
          <w:tcPr>
            <w:tcW w:w="900" w:type="dxa"/>
            <w:tcBorders>
              <w:top w:val="nil"/>
              <w:left w:val="nil"/>
              <w:bottom w:val="nil"/>
              <w:right w:val="nil"/>
            </w:tcBorders>
          </w:tcPr>
          <w:p w:rsidR="00B958B1" w:rsidRPr="00477FC8" w:rsidRDefault="00B958B1" w:rsidP="009F3B54">
            <w:pPr>
              <w:pStyle w:val="TableofFigures"/>
              <w:rPr>
                <w:color w:val="000000"/>
                <w:szCs w:val="22"/>
                <w:lang w:eastAsia="en-AU"/>
              </w:rPr>
            </w:pPr>
            <w:r w:rsidRPr="00477FC8">
              <w:rPr>
                <w:color w:val="000000"/>
                <w:szCs w:val="22"/>
                <w:lang w:eastAsia="en-AU"/>
              </w:rPr>
              <w:t>26.4</w:t>
            </w:r>
          </w:p>
        </w:tc>
        <w:tc>
          <w:tcPr>
            <w:tcW w:w="900" w:type="dxa"/>
            <w:tcBorders>
              <w:top w:val="nil"/>
              <w:left w:val="nil"/>
              <w:bottom w:val="nil"/>
              <w:right w:val="nil"/>
            </w:tcBorders>
          </w:tcPr>
          <w:p w:rsidR="00B958B1" w:rsidRPr="00477FC8" w:rsidRDefault="00B958B1" w:rsidP="009F3B54">
            <w:pPr>
              <w:pStyle w:val="TableofFigures"/>
              <w:rPr>
                <w:color w:val="000000"/>
                <w:szCs w:val="22"/>
                <w:lang w:eastAsia="en-AU"/>
              </w:rPr>
            </w:pPr>
            <w:r w:rsidRPr="00477FC8">
              <w:rPr>
                <w:color w:val="000000"/>
                <w:szCs w:val="22"/>
                <w:lang w:eastAsia="en-AU"/>
              </w:rPr>
              <w:t>26.9</w:t>
            </w:r>
          </w:p>
        </w:tc>
        <w:tc>
          <w:tcPr>
            <w:tcW w:w="900" w:type="dxa"/>
            <w:tcBorders>
              <w:top w:val="nil"/>
              <w:left w:val="nil"/>
              <w:bottom w:val="nil"/>
              <w:right w:val="nil"/>
            </w:tcBorders>
          </w:tcPr>
          <w:p w:rsidR="00B958B1" w:rsidRPr="00477FC8" w:rsidRDefault="00B958B1" w:rsidP="009F3B54">
            <w:pPr>
              <w:pStyle w:val="TableofFigures"/>
              <w:rPr>
                <w:color w:val="000000"/>
                <w:szCs w:val="22"/>
                <w:lang w:eastAsia="en-AU"/>
              </w:rPr>
            </w:pPr>
            <w:r w:rsidRPr="00477FC8">
              <w:rPr>
                <w:color w:val="000000"/>
                <w:szCs w:val="22"/>
                <w:lang w:eastAsia="en-AU"/>
              </w:rPr>
              <w:t>27.4</w:t>
            </w:r>
          </w:p>
        </w:tc>
        <w:tc>
          <w:tcPr>
            <w:tcW w:w="1102" w:type="dxa"/>
            <w:tcBorders>
              <w:top w:val="nil"/>
              <w:left w:val="nil"/>
              <w:bottom w:val="nil"/>
              <w:right w:val="nil"/>
            </w:tcBorders>
          </w:tcPr>
          <w:p w:rsidR="00B958B1" w:rsidRPr="00477FC8" w:rsidRDefault="00B958B1" w:rsidP="009F3B54">
            <w:pPr>
              <w:pStyle w:val="TableofFigures"/>
              <w:rPr>
                <w:color w:val="000000"/>
                <w:szCs w:val="22"/>
                <w:lang w:eastAsia="en-AU"/>
              </w:rPr>
            </w:pPr>
            <w:r w:rsidRPr="00477FC8">
              <w:rPr>
                <w:color w:val="000000"/>
                <w:szCs w:val="22"/>
                <w:lang w:eastAsia="en-AU"/>
              </w:rPr>
              <w:t>3.8</w:t>
            </w:r>
          </w:p>
        </w:tc>
      </w:tr>
      <w:tr w:rsidR="00B958B1" w:rsidRPr="00477FC8" w:rsidTr="009F3B54">
        <w:tc>
          <w:tcPr>
            <w:tcW w:w="3974" w:type="dxa"/>
            <w:tcBorders>
              <w:top w:val="nil"/>
              <w:left w:val="nil"/>
              <w:bottom w:val="nil"/>
              <w:right w:val="nil"/>
            </w:tcBorders>
          </w:tcPr>
          <w:p w:rsidR="00B958B1" w:rsidRPr="00477FC8" w:rsidRDefault="00B958B1" w:rsidP="009F3B54">
            <w:pPr>
              <w:pStyle w:val="Tabletext"/>
              <w:rPr>
                <w:color w:val="000000"/>
                <w:vertAlign w:val="superscript"/>
                <w:lang w:eastAsia="en-AU"/>
              </w:rPr>
            </w:pPr>
            <w:r w:rsidRPr="00477FC8">
              <w:rPr>
                <w:color w:val="000000"/>
                <w:lang w:eastAsia="en-AU"/>
              </w:rPr>
              <w:t xml:space="preserve">Parliamentary Services </w:t>
            </w:r>
            <w:r w:rsidRPr="00477FC8">
              <w:rPr>
                <w:color w:val="000000"/>
                <w:vertAlign w:val="superscript"/>
                <w:lang w:eastAsia="en-AU"/>
              </w:rPr>
              <w:t>(d)</w:t>
            </w:r>
          </w:p>
        </w:tc>
        <w:tc>
          <w:tcPr>
            <w:tcW w:w="900" w:type="dxa"/>
            <w:tcBorders>
              <w:top w:val="nil"/>
              <w:left w:val="nil"/>
              <w:bottom w:val="nil"/>
              <w:right w:val="nil"/>
            </w:tcBorders>
          </w:tcPr>
          <w:p w:rsidR="00B958B1" w:rsidRPr="00477FC8" w:rsidRDefault="00B958B1" w:rsidP="009F3B54">
            <w:pPr>
              <w:pStyle w:val="TableofFigures"/>
              <w:rPr>
                <w:color w:val="000000"/>
                <w:szCs w:val="22"/>
                <w:lang w:eastAsia="en-AU"/>
              </w:rPr>
            </w:pPr>
            <w:r w:rsidRPr="00477FC8">
              <w:rPr>
                <w:color w:val="000000"/>
                <w:szCs w:val="22"/>
                <w:lang w:eastAsia="en-AU"/>
              </w:rPr>
              <w:t>79.0</w:t>
            </w:r>
          </w:p>
        </w:tc>
        <w:tc>
          <w:tcPr>
            <w:tcW w:w="900" w:type="dxa"/>
            <w:tcBorders>
              <w:top w:val="nil"/>
              <w:left w:val="nil"/>
              <w:bottom w:val="nil"/>
              <w:right w:val="nil"/>
            </w:tcBorders>
          </w:tcPr>
          <w:p w:rsidR="00B958B1" w:rsidRPr="00477FC8" w:rsidRDefault="00B958B1" w:rsidP="009F3B54">
            <w:pPr>
              <w:pStyle w:val="TableofFigures"/>
              <w:rPr>
                <w:color w:val="000000"/>
                <w:szCs w:val="22"/>
                <w:lang w:eastAsia="en-AU"/>
              </w:rPr>
            </w:pPr>
            <w:r w:rsidRPr="00477FC8">
              <w:rPr>
                <w:color w:val="000000"/>
                <w:szCs w:val="22"/>
                <w:lang w:eastAsia="en-AU"/>
              </w:rPr>
              <w:t>80.5</w:t>
            </w:r>
          </w:p>
        </w:tc>
        <w:tc>
          <w:tcPr>
            <w:tcW w:w="900" w:type="dxa"/>
            <w:tcBorders>
              <w:top w:val="nil"/>
              <w:left w:val="nil"/>
              <w:bottom w:val="nil"/>
              <w:right w:val="nil"/>
            </w:tcBorders>
          </w:tcPr>
          <w:p w:rsidR="00B958B1" w:rsidRPr="00477FC8" w:rsidRDefault="00B958B1" w:rsidP="009F3B54">
            <w:pPr>
              <w:pStyle w:val="TableofFigures"/>
              <w:rPr>
                <w:color w:val="000000"/>
                <w:szCs w:val="22"/>
                <w:lang w:eastAsia="en-AU"/>
              </w:rPr>
            </w:pPr>
            <w:r w:rsidRPr="00477FC8">
              <w:rPr>
                <w:color w:val="000000"/>
                <w:szCs w:val="22"/>
                <w:lang w:eastAsia="en-AU"/>
              </w:rPr>
              <w:t>87.2</w:t>
            </w:r>
          </w:p>
        </w:tc>
        <w:tc>
          <w:tcPr>
            <w:tcW w:w="1102" w:type="dxa"/>
            <w:tcBorders>
              <w:top w:val="nil"/>
              <w:left w:val="nil"/>
              <w:bottom w:val="nil"/>
              <w:right w:val="nil"/>
            </w:tcBorders>
          </w:tcPr>
          <w:p w:rsidR="00B958B1" w:rsidRPr="00477FC8" w:rsidRDefault="00B958B1" w:rsidP="009F3B54">
            <w:pPr>
              <w:pStyle w:val="TableofFigures"/>
              <w:rPr>
                <w:color w:val="000000"/>
                <w:szCs w:val="22"/>
                <w:lang w:eastAsia="en-AU"/>
              </w:rPr>
            </w:pPr>
            <w:r w:rsidRPr="00477FC8">
              <w:rPr>
                <w:color w:val="000000"/>
                <w:szCs w:val="22"/>
                <w:lang w:eastAsia="en-AU"/>
              </w:rPr>
              <w:t>10.4</w:t>
            </w:r>
          </w:p>
        </w:tc>
      </w:tr>
      <w:tr w:rsidR="00B958B1" w:rsidRPr="00477FC8" w:rsidTr="009F3B54">
        <w:tc>
          <w:tcPr>
            <w:tcW w:w="3974" w:type="dxa"/>
            <w:tcBorders>
              <w:top w:val="nil"/>
              <w:left w:val="nil"/>
              <w:bottom w:val="nil"/>
              <w:right w:val="nil"/>
            </w:tcBorders>
          </w:tcPr>
          <w:p w:rsidR="00B958B1" w:rsidRPr="00477FC8" w:rsidRDefault="00B958B1" w:rsidP="009F3B54">
            <w:pPr>
              <w:pStyle w:val="Tabletext"/>
              <w:rPr>
                <w:color w:val="000000"/>
                <w:vertAlign w:val="superscript"/>
                <w:lang w:eastAsia="en-AU"/>
              </w:rPr>
            </w:pPr>
            <w:r w:rsidRPr="00477FC8">
              <w:rPr>
                <w:color w:val="000000"/>
                <w:lang w:eastAsia="en-AU"/>
              </w:rPr>
              <w:t xml:space="preserve">Parliamentary Investigatory Committees </w:t>
            </w:r>
            <w:r w:rsidRPr="00477FC8">
              <w:rPr>
                <w:color w:val="000000"/>
                <w:vertAlign w:val="superscript"/>
                <w:lang w:eastAsia="en-AU"/>
              </w:rPr>
              <w:t>(e)</w:t>
            </w:r>
          </w:p>
        </w:tc>
        <w:tc>
          <w:tcPr>
            <w:tcW w:w="900" w:type="dxa"/>
            <w:tcBorders>
              <w:top w:val="nil"/>
              <w:left w:val="nil"/>
              <w:bottom w:val="nil"/>
              <w:right w:val="nil"/>
            </w:tcBorders>
          </w:tcPr>
          <w:p w:rsidR="00B958B1" w:rsidRPr="00477FC8" w:rsidRDefault="00B958B1" w:rsidP="009F3B54">
            <w:pPr>
              <w:pStyle w:val="TableofFigures"/>
              <w:rPr>
                <w:color w:val="000000"/>
                <w:szCs w:val="22"/>
                <w:lang w:eastAsia="en-AU"/>
              </w:rPr>
            </w:pPr>
            <w:r w:rsidRPr="00477FC8">
              <w:rPr>
                <w:color w:val="000000"/>
                <w:szCs w:val="22"/>
                <w:lang w:eastAsia="en-AU"/>
              </w:rPr>
              <w:t>6.7</w:t>
            </w:r>
          </w:p>
        </w:tc>
        <w:tc>
          <w:tcPr>
            <w:tcW w:w="900" w:type="dxa"/>
            <w:tcBorders>
              <w:top w:val="nil"/>
              <w:left w:val="nil"/>
              <w:bottom w:val="nil"/>
              <w:right w:val="nil"/>
            </w:tcBorders>
          </w:tcPr>
          <w:p w:rsidR="00B958B1" w:rsidRPr="00477FC8" w:rsidRDefault="00B958B1" w:rsidP="009F3B54">
            <w:pPr>
              <w:pStyle w:val="TableofFigures"/>
              <w:rPr>
                <w:color w:val="000000"/>
                <w:szCs w:val="22"/>
                <w:lang w:eastAsia="en-AU"/>
              </w:rPr>
            </w:pPr>
            <w:r w:rsidRPr="00477FC8">
              <w:rPr>
                <w:color w:val="000000"/>
                <w:szCs w:val="22"/>
                <w:lang w:eastAsia="en-AU"/>
              </w:rPr>
              <w:t>6.9</w:t>
            </w:r>
          </w:p>
        </w:tc>
        <w:tc>
          <w:tcPr>
            <w:tcW w:w="900" w:type="dxa"/>
            <w:tcBorders>
              <w:top w:val="nil"/>
              <w:left w:val="nil"/>
              <w:bottom w:val="nil"/>
              <w:right w:val="nil"/>
            </w:tcBorders>
          </w:tcPr>
          <w:p w:rsidR="00B958B1" w:rsidRPr="00477FC8" w:rsidRDefault="00B958B1" w:rsidP="009F3B54">
            <w:pPr>
              <w:pStyle w:val="TableofFigures"/>
              <w:rPr>
                <w:color w:val="000000"/>
                <w:szCs w:val="22"/>
                <w:lang w:eastAsia="en-AU"/>
              </w:rPr>
            </w:pPr>
            <w:r w:rsidRPr="00477FC8">
              <w:rPr>
                <w:color w:val="000000"/>
                <w:szCs w:val="22"/>
                <w:lang w:eastAsia="en-AU"/>
              </w:rPr>
              <w:t>7.2</w:t>
            </w:r>
          </w:p>
        </w:tc>
        <w:tc>
          <w:tcPr>
            <w:tcW w:w="1102" w:type="dxa"/>
            <w:tcBorders>
              <w:top w:val="nil"/>
              <w:left w:val="nil"/>
              <w:bottom w:val="nil"/>
              <w:right w:val="nil"/>
            </w:tcBorders>
          </w:tcPr>
          <w:p w:rsidR="00B958B1" w:rsidRPr="00477FC8" w:rsidRDefault="00B958B1" w:rsidP="009F3B54">
            <w:pPr>
              <w:pStyle w:val="TableofFigures"/>
              <w:rPr>
                <w:color w:val="000000"/>
                <w:szCs w:val="22"/>
                <w:lang w:eastAsia="en-AU"/>
              </w:rPr>
            </w:pPr>
            <w:r w:rsidRPr="00477FC8">
              <w:rPr>
                <w:color w:val="000000"/>
                <w:szCs w:val="22"/>
                <w:lang w:eastAsia="en-AU"/>
              </w:rPr>
              <w:t>7.5</w:t>
            </w:r>
          </w:p>
        </w:tc>
      </w:tr>
      <w:tr w:rsidR="00B958B1" w:rsidRPr="00477FC8" w:rsidTr="009F3B54">
        <w:tc>
          <w:tcPr>
            <w:tcW w:w="3974" w:type="dxa"/>
            <w:tcBorders>
              <w:top w:val="nil"/>
              <w:left w:val="nil"/>
              <w:bottom w:val="nil"/>
              <w:right w:val="nil"/>
            </w:tcBorders>
          </w:tcPr>
          <w:p w:rsidR="00B958B1" w:rsidRPr="00477FC8" w:rsidRDefault="00B958B1" w:rsidP="009F3B54">
            <w:pPr>
              <w:pStyle w:val="Tabletext"/>
              <w:rPr>
                <w:color w:val="000000"/>
                <w:lang w:eastAsia="en-AU"/>
              </w:rPr>
            </w:pPr>
            <w:r w:rsidRPr="00477FC8">
              <w:rPr>
                <w:color w:val="000000"/>
                <w:lang w:eastAsia="en-AU"/>
              </w:rPr>
              <w:t>Victorian Auditor</w:t>
            </w:r>
            <w:r w:rsidR="009F0F49">
              <w:rPr>
                <w:color w:val="000000"/>
                <w:lang w:eastAsia="en-AU"/>
              </w:rPr>
              <w:noBreakHyphen/>
            </w:r>
            <w:r w:rsidRPr="00477FC8">
              <w:rPr>
                <w:color w:val="000000"/>
                <w:lang w:eastAsia="en-AU"/>
              </w:rPr>
              <w:t>General's Office</w:t>
            </w:r>
          </w:p>
        </w:tc>
        <w:tc>
          <w:tcPr>
            <w:tcW w:w="900" w:type="dxa"/>
            <w:tcBorders>
              <w:top w:val="nil"/>
              <w:left w:val="nil"/>
              <w:bottom w:val="nil"/>
              <w:right w:val="nil"/>
            </w:tcBorders>
          </w:tcPr>
          <w:p w:rsidR="00B958B1" w:rsidRPr="00477FC8" w:rsidRDefault="00B958B1" w:rsidP="009F3B54">
            <w:pPr>
              <w:pStyle w:val="TableofFigures"/>
              <w:rPr>
                <w:color w:val="000000"/>
                <w:szCs w:val="22"/>
                <w:lang w:eastAsia="en-AU"/>
              </w:rPr>
            </w:pPr>
            <w:r w:rsidRPr="00477FC8">
              <w:rPr>
                <w:color w:val="000000"/>
                <w:szCs w:val="22"/>
                <w:lang w:eastAsia="en-AU"/>
              </w:rPr>
              <w:t>37.6</w:t>
            </w:r>
          </w:p>
        </w:tc>
        <w:tc>
          <w:tcPr>
            <w:tcW w:w="900" w:type="dxa"/>
            <w:tcBorders>
              <w:top w:val="nil"/>
              <w:left w:val="nil"/>
              <w:bottom w:val="nil"/>
              <w:right w:val="nil"/>
            </w:tcBorders>
          </w:tcPr>
          <w:p w:rsidR="00B958B1" w:rsidRPr="00477FC8" w:rsidRDefault="00B958B1" w:rsidP="009F3B54">
            <w:pPr>
              <w:pStyle w:val="TableofFigures"/>
              <w:rPr>
                <w:color w:val="000000"/>
                <w:szCs w:val="22"/>
                <w:lang w:eastAsia="en-AU"/>
              </w:rPr>
            </w:pPr>
            <w:r w:rsidRPr="00477FC8">
              <w:rPr>
                <w:color w:val="000000"/>
                <w:szCs w:val="22"/>
                <w:lang w:eastAsia="en-AU"/>
              </w:rPr>
              <w:t>38.0</w:t>
            </w:r>
          </w:p>
        </w:tc>
        <w:tc>
          <w:tcPr>
            <w:tcW w:w="900" w:type="dxa"/>
            <w:tcBorders>
              <w:top w:val="nil"/>
              <w:left w:val="nil"/>
              <w:bottom w:val="nil"/>
              <w:right w:val="nil"/>
            </w:tcBorders>
          </w:tcPr>
          <w:p w:rsidR="00B958B1" w:rsidRPr="00477FC8" w:rsidRDefault="00B958B1" w:rsidP="009F3B54">
            <w:pPr>
              <w:pStyle w:val="TableofFigures"/>
              <w:rPr>
                <w:color w:val="000000"/>
                <w:szCs w:val="22"/>
                <w:lang w:eastAsia="en-AU"/>
              </w:rPr>
            </w:pPr>
            <w:r w:rsidRPr="00477FC8">
              <w:rPr>
                <w:color w:val="000000"/>
                <w:szCs w:val="22"/>
                <w:lang w:eastAsia="en-AU"/>
              </w:rPr>
              <w:t>37.6</w:t>
            </w:r>
          </w:p>
        </w:tc>
        <w:tc>
          <w:tcPr>
            <w:tcW w:w="1102" w:type="dxa"/>
            <w:tcBorders>
              <w:top w:val="nil"/>
              <w:left w:val="nil"/>
              <w:bottom w:val="nil"/>
              <w:right w:val="nil"/>
            </w:tcBorders>
          </w:tcPr>
          <w:p w:rsidR="00B958B1" w:rsidRPr="00477FC8" w:rsidRDefault="00B958B1" w:rsidP="009F3B54">
            <w:pPr>
              <w:pStyle w:val="TableofFigures"/>
              <w:rPr>
                <w:color w:val="000000"/>
                <w:szCs w:val="22"/>
                <w:lang w:eastAsia="en-AU"/>
              </w:rPr>
            </w:pPr>
            <w:r w:rsidRPr="00477FC8">
              <w:rPr>
                <w:color w:val="000000"/>
                <w:szCs w:val="22"/>
                <w:lang w:eastAsia="en-AU"/>
              </w:rPr>
              <w:t>2.9</w:t>
            </w:r>
          </w:p>
        </w:tc>
      </w:tr>
      <w:tr w:rsidR="00B958B1" w:rsidRPr="00477FC8" w:rsidTr="009F3B54">
        <w:tc>
          <w:tcPr>
            <w:tcW w:w="3974" w:type="dxa"/>
            <w:tcBorders>
              <w:top w:val="single" w:sz="6" w:space="0" w:color="auto"/>
              <w:left w:val="nil"/>
              <w:bottom w:val="single" w:sz="12" w:space="0" w:color="auto"/>
              <w:right w:val="nil"/>
            </w:tcBorders>
          </w:tcPr>
          <w:p w:rsidR="00B958B1" w:rsidRPr="00477FC8" w:rsidRDefault="00B958B1" w:rsidP="009F3B54">
            <w:pPr>
              <w:pStyle w:val="Tabletext"/>
              <w:rPr>
                <w:b/>
                <w:bCs/>
                <w:color w:val="000000"/>
                <w:lang w:eastAsia="en-AU"/>
              </w:rPr>
            </w:pPr>
            <w:r w:rsidRPr="00477FC8">
              <w:rPr>
                <w:b/>
                <w:bCs/>
                <w:color w:val="000000"/>
                <w:lang w:eastAsia="en-AU"/>
              </w:rPr>
              <w:t>Total</w:t>
            </w:r>
          </w:p>
        </w:tc>
        <w:tc>
          <w:tcPr>
            <w:tcW w:w="900" w:type="dxa"/>
            <w:tcBorders>
              <w:top w:val="single" w:sz="6" w:space="0" w:color="auto"/>
              <w:left w:val="nil"/>
              <w:bottom w:val="single" w:sz="12" w:space="0" w:color="auto"/>
              <w:right w:val="nil"/>
            </w:tcBorders>
          </w:tcPr>
          <w:p w:rsidR="00B958B1" w:rsidRPr="00477FC8" w:rsidRDefault="00B958B1" w:rsidP="009F3B54">
            <w:pPr>
              <w:pStyle w:val="TableofFigures"/>
              <w:rPr>
                <w:b/>
                <w:bCs/>
                <w:color w:val="000000"/>
                <w:szCs w:val="22"/>
                <w:lang w:eastAsia="en-AU"/>
              </w:rPr>
            </w:pPr>
            <w:r w:rsidRPr="00477FC8">
              <w:rPr>
                <w:b/>
                <w:bCs/>
                <w:color w:val="000000"/>
                <w:szCs w:val="22"/>
                <w:lang w:eastAsia="en-AU"/>
              </w:rPr>
              <w:t>163.9</w:t>
            </w:r>
          </w:p>
        </w:tc>
        <w:tc>
          <w:tcPr>
            <w:tcW w:w="900" w:type="dxa"/>
            <w:tcBorders>
              <w:top w:val="single" w:sz="6" w:space="0" w:color="auto"/>
              <w:left w:val="nil"/>
              <w:bottom w:val="single" w:sz="12" w:space="0" w:color="auto"/>
              <w:right w:val="nil"/>
            </w:tcBorders>
          </w:tcPr>
          <w:p w:rsidR="00B958B1" w:rsidRPr="00477FC8" w:rsidRDefault="00B958B1" w:rsidP="009F3B54">
            <w:pPr>
              <w:pStyle w:val="TableofFigures"/>
              <w:rPr>
                <w:b/>
                <w:bCs/>
                <w:color w:val="000000"/>
                <w:szCs w:val="22"/>
                <w:lang w:eastAsia="en-AU"/>
              </w:rPr>
            </w:pPr>
            <w:r w:rsidRPr="00477FC8">
              <w:rPr>
                <w:b/>
                <w:bCs/>
                <w:color w:val="000000"/>
                <w:szCs w:val="22"/>
                <w:lang w:eastAsia="en-AU"/>
              </w:rPr>
              <w:t>166.5</w:t>
            </w:r>
          </w:p>
        </w:tc>
        <w:tc>
          <w:tcPr>
            <w:tcW w:w="900" w:type="dxa"/>
            <w:tcBorders>
              <w:top w:val="single" w:sz="6" w:space="0" w:color="auto"/>
              <w:left w:val="nil"/>
              <w:bottom w:val="single" w:sz="12" w:space="0" w:color="auto"/>
              <w:right w:val="nil"/>
            </w:tcBorders>
          </w:tcPr>
          <w:p w:rsidR="00B958B1" w:rsidRPr="00477FC8" w:rsidRDefault="00B958B1" w:rsidP="009F3B54">
            <w:pPr>
              <w:pStyle w:val="TableofFigures"/>
              <w:rPr>
                <w:b/>
                <w:bCs/>
                <w:color w:val="000000"/>
                <w:szCs w:val="22"/>
                <w:lang w:eastAsia="en-AU"/>
              </w:rPr>
            </w:pPr>
            <w:r w:rsidRPr="00477FC8">
              <w:rPr>
                <w:b/>
                <w:bCs/>
                <w:color w:val="000000"/>
                <w:szCs w:val="22"/>
                <w:lang w:eastAsia="en-AU"/>
              </w:rPr>
              <w:t>173.5</w:t>
            </w:r>
          </w:p>
        </w:tc>
        <w:tc>
          <w:tcPr>
            <w:tcW w:w="1102" w:type="dxa"/>
            <w:tcBorders>
              <w:top w:val="single" w:sz="6" w:space="0" w:color="auto"/>
              <w:left w:val="nil"/>
              <w:bottom w:val="single" w:sz="12" w:space="0" w:color="auto"/>
              <w:right w:val="nil"/>
            </w:tcBorders>
          </w:tcPr>
          <w:p w:rsidR="00B958B1" w:rsidRPr="00477FC8" w:rsidRDefault="00B958B1" w:rsidP="009F3B54">
            <w:pPr>
              <w:pStyle w:val="TableofFigures"/>
              <w:rPr>
                <w:b/>
                <w:bCs/>
                <w:color w:val="000000"/>
                <w:szCs w:val="22"/>
                <w:lang w:eastAsia="en-AU"/>
              </w:rPr>
            </w:pPr>
            <w:r w:rsidRPr="00477FC8">
              <w:rPr>
                <w:b/>
                <w:bCs/>
                <w:color w:val="000000"/>
                <w:szCs w:val="22"/>
                <w:lang w:eastAsia="en-AU"/>
              </w:rPr>
              <w:t>5.9</w:t>
            </w:r>
          </w:p>
        </w:tc>
      </w:tr>
    </w:tbl>
    <w:p w:rsidR="00B958B1" w:rsidRPr="00C534E5" w:rsidRDefault="00B958B1" w:rsidP="009F3B54">
      <w:pPr>
        <w:pStyle w:val="Source"/>
      </w:pPr>
      <w:r w:rsidRPr="00C534E5">
        <w:t>Source</w:t>
      </w:r>
      <w:r>
        <w:t>s</w:t>
      </w:r>
      <w:r w:rsidRPr="00C534E5">
        <w:t>: Parliament of Victoria</w:t>
      </w:r>
      <w:r>
        <w:t xml:space="preserve"> and Department of Treasury and Finance</w:t>
      </w:r>
    </w:p>
    <w:p w:rsidR="00B958B1" w:rsidRPr="00C534E5" w:rsidRDefault="00B958B1" w:rsidP="009F3B54">
      <w:pPr>
        <w:pStyle w:val="Notes"/>
      </w:pPr>
      <w:r>
        <w:fldChar w:fldCharType="begin"/>
      </w:r>
      <w:r>
        <w:instrText xml:space="preserve"> XE "</w:instrText>
      </w:r>
      <w:r w:rsidRPr="00893F2A">
        <w:instrText>Parliament:Output summary</w:instrText>
      </w:r>
      <w:r>
        <w:instrText xml:space="preserve">" </w:instrText>
      </w:r>
      <w:r>
        <w:fldChar w:fldCharType="end"/>
      </w:r>
      <w:r w:rsidRPr="00C534E5">
        <w:t>Notes:</w:t>
      </w:r>
    </w:p>
    <w:p w:rsidR="00B958B1" w:rsidRPr="00C534E5" w:rsidRDefault="00B958B1" w:rsidP="009F3B54">
      <w:pPr>
        <w:pStyle w:val="Notes"/>
      </w:pPr>
      <w:r w:rsidRPr="00C534E5">
        <w:t>(a)</w:t>
      </w:r>
      <w:r w:rsidRPr="00C534E5">
        <w:tab/>
        <w:t>Variation between 2012</w:t>
      </w:r>
      <w:r w:rsidR="009F0F49">
        <w:noBreakHyphen/>
      </w:r>
      <w:r>
        <w:t>13 B</w:t>
      </w:r>
      <w:r w:rsidRPr="00C534E5">
        <w:t>udget and 2013</w:t>
      </w:r>
      <w:r w:rsidR="009F0F49">
        <w:noBreakHyphen/>
      </w:r>
      <w:r>
        <w:t>14 B</w:t>
      </w:r>
      <w:r w:rsidRPr="00C534E5">
        <w:t>udget.</w:t>
      </w:r>
    </w:p>
    <w:p w:rsidR="00B958B1" w:rsidRPr="00C534E5" w:rsidRDefault="00B958B1" w:rsidP="009F3B54">
      <w:pPr>
        <w:pStyle w:val="Notes"/>
      </w:pPr>
      <w:r w:rsidRPr="00C534E5">
        <w:t>(b)</w:t>
      </w:r>
      <w:r w:rsidRPr="00C534E5">
        <w:tab/>
      </w:r>
      <w:r w:rsidRPr="00C61034">
        <w:t>The total output cost for Legislative Council for 2013</w:t>
      </w:r>
      <w:r w:rsidR="009F0F49">
        <w:noBreakHyphen/>
      </w:r>
      <w:r w:rsidRPr="00C61034">
        <w:t>14 Budget is lower than 2012</w:t>
      </w:r>
      <w:r w:rsidR="009F0F49">
        <w:noBreakHyphen/>
      </w:r>
      <w:r w:rsidRPr="00C61034">
        <w:t>13 Budget due to smaller Special Appropriation allocation to Council for Member’s salaries and allowances compared to last year.</w:t>
      </w:r>
    </w:p>
    <w:p w:rsidR="00B958B1" w:rsidRDefault="00B958B1" w:rsidP="009F3B54">
      <w:pPr>
        <w:pStyle w:val="Notes"/>
      </w:pPr>
      <w:r w:rsidRPr="00C534E5">
        <w:t>(c)</w:t>
      </w:r>
      <w:r w:rsidRPr="00C534E5">
        <w:tab/>
      </w:r>
      <w:r w:rsidRPr="00C61034">
        <w:t>The total output cost for Legislative Assembly for 2013</w:t>
      </w:r>
      <w:r w:rsidR="009F0F49">
        <w:noBreakHyphen/>
      </w:r>
      <w:r w:rsidRPr="00C61034">
        <w:t>14 Budget is higher than 2012</w:t>
      </w:r>
      <w:r w:rsidR="009F0F49">
        <w:noBreakHyphen/>
      </w:r>
      <w:r w:rsidRPr="00C61034">
        <w:t>13 Budget due to higher Special Appropriation allocation to Assembly for Member’s salaries and allowances compared to last year.</w:t>
      </w:r>
    </w:p>
    <w:p w:rsidR="00B958B1" w:rsidRDefault="00B958B1" w:rsidP="009F3B54">
      <w:pPr>
        <w:pStyle w:val="Notes"/>
      </w:pPr>
      <w:r>
        <w:t>(d)</w:t>
      </w:r>
      <w:r>
        <w:tab/>
      </w:r>
      <w:r w:rsidRPr="00C61034">
        <w:t>The total output cost for Parliamentary Services for 2013</w:t>
      </w:r>
      <w:r w:rsidR="009F0F49">
        <w:noBreakHyphen/>
      </w:r>
      <w:r w:rsidRPr="00C61034">
        <w:t>14 Budget is higher than 2012</w:t>
      </w:r>
      <w:r w:rsidR="009F0F49">
        <w:noBreakHyphen/>
      </w:r>
      <w:r w:rsidRPr="00C61034">
        <w:t>13 Budget. This is due to an estimated carryover of expenditure in relation to Members’ electorate office and communication costs and increase in Parliament’s depreciation cost due to revaluation of Parliament House.</w:t>
      </w:r>
    </w:p>
    <w:p w:rsidR="00B958B1" w:rsidRPr="00C61034" w:rsidRDefault="00B958B1" w:rsidP="009F3B54">
      <w:pPr>
        <w:pStyle w:val="Notes"/>
      </w:pPr>
      <w:r>
        <w:t>(e)</w:t>
      </w:r>
      <w:r>
        <w:tab/>
      </w:r>
      <w:r w:rsidRPr="00C61034">
        <w:t>The total output cost for Parliamentary Investigatory Committees for 2013</w:t>
      </w:r>
      <w:r w:rsidR="009F0F49">
        <w:noBreakHyphen/>
      </w:r>
      <w:r w:rsidRPr="00C61034">
        <w:t>14 Budget is higher than 2012</w:t>
      </w:r>
      <w:r w:rsidR="009F0F49">
        <w:noBreakHyphen/>
      </w:r>
      <w:r w:rsidRPr="00C61034">
        <w:t xml:space="preserve">13 Budget. This is due to additional funding </w:t>
      </w:r>
      <w:r>
        <w:t>for</w:t>
      </w:r>
      <w:r w:rsidRPr="00C61034">
        <w:t xml:space="preserve"> two new investigatory committees and conduct the performance audit of Victorian Auditor</w:t>
      </w:r>
      <w:r w:rsidR="009F0F49">
        <w:noBreakHyphen/>
      </w:r>
      <w:r w:rsidRPr="00C61034">
        <w:t>General’s Office.</w:t>
      </w:r>
    </w:p>
    <w:p w:rsidR="00B958B1" w:rsidRPr="00C534E5" w:rsidRDefault="00B958B1" w:rsidP="009F3B54">
      <w:pPr>
        <w:pStyle w:val="Notes"/>
        <w:spacing w:after="40"/>
      </w:pPr>
    </w:p>
    <w:p w:rsidR="00B958B1" w:rsidRDefault="00B958B1" w:rsidP="009F3B54">
      <w:pPr>
        <w:pStyle w:val="Tableheading"/>
        <w:rPr>
          <w:kern w:val="28"/>
          <w:sz w:val="26"/>
          <w:szCs w:val="22"/>
        </w:rPr>
      </w:pPr>
      <w:r>
        <w:br w:type="page"/>
      </w:r>
      <w:r w:rsidRPr="009015CA">
        <w:rPr>
          <w:kern w:val="28"/>
          <w:sz w:val="26"/>
          <w:szCs w:val="22"/>
        </w:rPr>
        <w:t>Amounts available</w:t>
      </w:r>
    </w:p>
    <w:p w:rsidR="00B958B1" w:rsidRDefault="00B958B1" w:rsidP="009F3B54">
      <w:r>
        <w:t>The following tables detail the amounts available to the Department from Parliamentary authority and income generated through transactions.</w:t>
      </w:r>
    </w:p>
    <w:p w:rsidR="00B958B1" w:rsidRDefault="00B958B1" w:rsidP="009F3B54">
      <w:r>
        <w:t>Table 2.30 outlines the Department’s income from transactions and Table 2.31 summarises the sources of Parliamentary authority available to the Department to fund the provision of outputs, additions to the net asset base and payments made on behalf of the State.</w:t>
      </w:r>
    </w:p>
    <w:p w:rsidR="00B958B1" w:rsidRDefault="00B958B1" w:rsidP="009F3B54">
      <w:pPr>
        <w:pStyle w:val="Tableheading"/>
      </w:pPr>
      <w:r>
        <w:t>Table 2.30:</w:t>
      </w:r>
      <w:r>
        <w:tab/>
      </w:r>
      <w:r w:rsidRPr="00C534E5">
        <w:t>Income from transactions</w:t>
      </w:r>
    </w:p>
    <w:p w:rsidR="00B958B1" w:rsidRPr="00CB63AD" w:rsidRDefault="00B958B1" w:rsidP="009F3B54">
      <w:pPr>
        <w:pStyle w:val="million"/>
        <w:rPr>
          <w:lang w:eastAsia="en-AU"/>
        </w:rPr>
      </w:pPr>
      <w:r w:rsidRPr="00C534E5">
        <w:rPr>
          <w:lang w:eastAsia="en-AU"/>
        </w:rPr>
        <w:t>(</w:t>
      </w:r>
      <w:r>
        <w:rPr>
          <w:lang w:eastAsia="en-AU"/>
        </w:rPr>
        <w:t>$ million</w:t>
      </w:r>
      <w:r w:rsidRPr="00C534E5">
        <w:rPr>
          <w:lang w:eastAsia="en-AU"/>
        </w:rPr>
        <w:t>)</w:t>
      </w:r>
    </w:p>
    <w:tbl>
      <w:tblPr>
        <w:tblW w:w="7776" w:type="dxa"/>
        <w:tblInd w:w="29" w:type="dxa"/>
        <w:tblLayout w:type="fixed"/>
        <w:tblCellMar>
          <w:left w:w="43" w:type="dxa"/>
          <w:right w:w="43" w:type="dxa"/>
        </w:tblCellMar>
        <w:tblLook w:val="0000" w:firstRow="0" w:lastRow="0" w:firstColumn="0" w:lastColumn="0" w:noHBand="0" w:noVBand="0"/>
      </w:tblPr>
      <w:tblGrid>
        <w:gridCol w:w="4514"/>
        <w:gridCol w:w="815"/>
        <w:gridCol w:w="816"/>
        <w:gridCol w:w="815"/>
        <w:gridCol w:w="816"/>
      </w:tblGrid>
      <w:tr w:rsidR="00B958B1" w:rsidRPr="00CB63AD" w:rsidTr="009F3B54">
        <w:tc>
          <w:tcPr>
            <w:tcW w:w="4514" w:type="dxa"/>
            <w:tcBorders>
              <w:top w:val="single" w:sz="6" w:space="0" w:color="auto"/>
              <w:left w:val="single" w:sz="6" w:space="0" w:color="auto"/>
              <w:bottom w:val="nil"/>
              <w:right w:val="nil"/>
            </w:tcBorders>
            <w:shd w:val="clear" w:color="auto" w:fill="000000"/>
          </w:tcPr>
          <w:p w:rsidR="00B958B1" w:rsidRPr="00CB63AD" w:rsidRDefault="00B958B1" w:rsidP="009F3B54">
            <w:pPr>
              <w:pStyle w:val="Tabletext"/>
              <w:rPr>
                <w:lang w:eastAsia="en-AU"/>
              </w:rPr>
            </w:pPr>
            <w:r w:rsidRPr="00CB63AD">
              <w:rPr>
                <w:lang w:eastAsia="en-AU"/>
              </w:rPr>
              <w:t xml:space="preserve"> </w:t>
            </w:r>
          </w:p>
        </w:tc>
        <w:tc>
          <w:tcPr>
            <w:tcW w:w="815" w:type="dxa"/>
            <w:tcBorders>
              <w:top w:val="single" w:sz="6" w:space="0" w:color="auto"/>
              <w:left w:val="nil"/>
              <w:bottom w:val="nil"/>
              <w:right w:val="nil"/>
            </w:tcBorders>
            <w:shd w:val="clear" w:color="auto" w:fill="000000"/>
          </w:tcPr>
          <w:p w:rsidR="00B958B1" w:rsidRPr="00CB63AD" w:rsidRDefault="00B958B1" w:rsidP="009F3B54">
            <w:pPr>
              <w:pStyle w:val="Tabletextheading"/>
              <w:rPr>
                <w:lang w:eastAsia="en-AU"/>
              </w:rPr>
            </w:pPr>
            <w:r w:rsidRPr="00CB63AD">
              <w:rPr>
                <w:lang w:eastAsia="en-AU"/>
              </w:rPr>
              <w:t>2011</w:t>
            </w:r>
            <w:r w:rsidR="009F0F49">
              <w:rPr>
                <w:lang w:eastAsia="en-AU"/>
              </w:rPr>
              <w:noBreakHyphen/>
            </w:r>
            <w:r w:rsidRPr="00CB63AD">
              <w:rPr>
                <w:lang w:eastAsia="en-AU"/>
              </w:rPr>
              <w:t>12</w:t>
            </w:r>
          </w:p>
        </w:tc>
        <w:tc>
          <w:tcPr>
            <w:tcW w:w="816" w:type="dxa"/>
            <w:tcBorders>
              <w:top w:val="single" w:sz="6" w:space="0" w:color="auto"/>
              <w:left w:val="nil"/>
              <w:bottom w:val="nil"/>
              <w:right w:val="nil"/>
            </w:tcBorders>
            <w:shd w:val="clear" w:color="auto" w:fill="000000"/>
          </w:tcPr>
          <w:p w:rsidR="00B958B1" w:rsidRPr="00CB63AD" w:rsidRDefault="00B958B1" w:rsidP="009F3B54">
            <w:pPr>
              <w:pStyle w:val="Tabletextheading"/>
              <w:rPr>
                <w:lang w:eastAsia="en-AU"/>
              </w:rPr>
            </w:pPr>
            <w:r w:rsidRPr="00CB63AD">
              <w:rPr>
                <w:lang w:eastAsia="en-AU"/>
              </w:rPr>
              <w:t>2012</w:t>
            </w:r>
            <w:r w:rsidR="009F0F49">
              <w:rPr>
                <w:lang w:eastAsia="en-AU"/>
              </w:rPr>
              <w:noBreakHyphen/>
            </w:r>
            <w:r w:rsidRPr="00CB63AD">
              <w:rPr>
                <w:lang w:eastAsia="en-AU"/>
              </w:rPr>
              <w:t>13</w:t>
            </w:r>
          </w:p>
        </w:tc>
        <w:tc>
          <w:tcPr>
            <w:tcW w:w="815" w:type="dxa"/>
            <w:tcBorders>
              <w:top w:val="single" w:sz="6" w:space="0" w:color="auto"/>
              <w:left w:val="nil"/>
              <w:bottom w:val="nil"/>
              <w:right w:val="nil"/>
            </w:tcBorders>
            <w:shd w:val="clear" w:color="auto" w:fill="000000"/>
          </w:tcPr>
          <w:p w:rsidR="00B958B1" w:rsidRPr="00CB63AD" w:rsidRDefault="00B958B1" w:rsidP="009F3B54">
            <w:pPr>
              <w:pStyle w:val="Tabletextheading"/>
              <w:rPr>
                <w:lang w:eastAsia="en-AU"/>
              </w:rPr>
            </w:pPr>
            <w:r w:rsidRPr="00CB63AD">
              <w:rPr>
                <w:lang w:eastAsia="en-AU"/>
              </w:rPr>
              <w:t>2012</w:t>
            </w:r>
            <w:r w:rsidR="009F0F49">
              <w:rPr>
                <w:lang w:eastAsia="en-AU"/>
              </w:rPr>
              <w:noBreakHyphen/>
            </w:r>
            <w:r w:rsidRPr="00CB63AD">
              <w:rPr>
                <w:lang w:eastAsia="en-AU"/>
              </w:rPr>
              <w:t>13</w:t>
            </w:r>
          </w:p>
        </w:tc>
        <w:tc>
          <w:tcPr>
            <w:tcW w:w="816" w:type="dxa"/>
            <w:tcBorders>
              <w:top w:val="single" w:sz="6" w:space="0" w:color="auto"/>
              <w:left w:val="nil"/>
              <w:bottom w:val="nil"/>
              <w:right w:val="single" w:sz="6" w:space="0" w:color="auto"/>
            </w:tcBorders>
            <w:shd w:val="clear" w:color="auto" w:fill="000000"/>
          </w:tcPr>
          <w:p w:rsidR="00B958B1" w:rsidRPr="00CB63AD" w:rsidRDefault="00B958B1" w:rsidP="009F3B54">
            <w:pPr>
              <w:pStyle w:val="Tabletextheading"/>
              <w:rPr>
                <w:lang w:eastAsia="en-AU"/>
              </w:rPr>
            </w:pPr>
            <w:r w:rsidRPr="00CB63AD">
              <w:rPr>
                <w:lang w:eastAsia="en-AU"/>
              </w:rPr>
              <w:t>2013</w:t>
            </w:r>
            <w:r w:rsidR="009F0F49">
              <w:rPr>
                <w:lang w:eastAsia="en-AU"/>
              </w:rPr>
              <w:noBreakHyphen/>
            </w:r>
            <w:r w:rsidRPr="00CB63AD">
              <w:rPr>
                <w:lang w:eastAsia="en-AU"/>
              </w:rPr>
              <w:t>14</w:t>
            </w:r>
          </w:p>
        </w:tc>
      </w:tr>
      <w:tr w:rsidR="00B958B1" w:rsidRPr="00CB63AD" w:rsidTr="009F3B54">
        <w:tc>
          <w:tcPr>
            <w:tcW w:w="4514" w:type="dxa"/>
            <w:tcBorders>
              <w:top w:val="nil"/>
              <w:left w:val="single" w:sz="6" w:space="0" w:color="auto"/>
              <w:bottom w:val="single" w:sz="6" w:space="0" w:color="auto"/>
              <w:right w:val="nil"/>
            </w:tcBorders>
            <w:shd w:val="clear" w:color="auto" w:fill="000000"/>
          </w:tcPr>
          <w:p w:rsidR="00B958B1" w:rsidRPr="00CB63AD" w:rsidRDefault="00B958B1" w:rsidP="009F3B54">
            <w:pPr>
              <w:pStyle w:val="Tabletext"/>
              <w:rPr>
                <w:lang w:eastAsia="en-AU"/>
              </w:rPr>
            </w:pPr>
            <w:r w:rsidRPr="00CB63AD">
              <w:rPr>
                <w:lang w:eastAsia="en-AU"/>
              </w:rPr>
              <w:t xml:space="preserve"> </w:t>
            </w:r>
          </w:p>
        </w:tc>
        <w:tc>
          <w:tcPr>
            <w:tcW w:w="815" w:type="dxa"/>
            <w:tcBorders>
              <w:top w:val="nil"/>
              <w:left w:val="nil"/>
              <w:bottom w:val="single" w:sz="6" w:space="0" w:color="auto"/>
              <w:right w:val="nil"/>
            </w:tcBorders>
            <w:shd w:val="clear" w:color="auto" w:fill="000000"/>
          </w:tcPr>
          <w:p w:rsidR="00B958B1" w:rsidRPr="00CB63AD" w:rsidRDefault="00B958B1" w:rsidP="009F3B54">
            <w:pPr>
              <w:pStyle w:val="Tabletextheading"/>
              <w:rPr>
                <w:lang w:eastAsia="en-AU"/>
              </w:rPr>
            </w:pPr>
            <w:r w:rsidRPr="00CB63AD">
              <w:rPr>
                <w:lang w:eastAsia="en-AU"/>
              </w:rPr>
              <w:t>Actual</w:t>
            </w:r>
          </w:p>
        </w:tc>
        <w:tc>
          <w:tcPr>
            <w:tcW w:w="816" w:type="dxa"/>
            <w:tcBorders>
              <w:top w:val="nil"/>
              <w:left w:val="nil"/>
              <w:bottom w:val="single" w:sz="6" w:space="0" w:color="auto"/>
              <w:right w:val="nil"/>
            </w:tcBorders>
            <w:shd w:val="clear" w:color="auto" w:fill="000000"/>
          </w:tcPr>
          <w:p w:rsidR="00B958B1" w:rsidRPr="00CB63AD" w:rsidRDefault="00B958B1" w:rsidP="009F3B54">
            <w:pPr>
              <w:pStyle w:val="Tabletextheading"/>
              <w:rPr>
                <w:lang w:eastAsia="en-AU"/>
              </w:rPr>
            </w:pPr>
            <w:r w:rsidRPr="00CB63AD">
              <w:rPr>
                <w:lang w:eastAsia="en-AU"/>
              </w:rPr>
              <w:t xml:space="preserve">Budget </w:t>
            </w:r>
          </w:p>
        </w:tc>
        <w:tc>
          <w:tcPr>
            <w:tcW w:w="815" w:type="dxa"/>
            <w:tcBorders>
              <w:top w:val="nil"/>
              <w:left w:val="nil"/>
              <w:bottom w:val="single" w:sz="6" w:space="0" w:color="auto"/>
              <w:right w:val="nil"/>
            </w:tcBorders>
            <w:shd w:val="clear" w:color="auto" w:fill="000000"/>
          </w:tcPr>
          <w:p w:rsidR="00B958B1" w:rsidRPr="00CB63AD" w:rsidRDefault="00B958B1" w:rsidP="009F3B54">
            <w:pPr>
              <w:pStyle w:val="Tabletextheading"/>
              <w:rPr>
                <w:lang w:eastAsia="en-AU"/>
              </w:rPr>
            </w:pPr>
            <w:r w:rsidRPr="00CB63AD">
              <w:rPr>
                <w:lang w:eastAsia="en-AU"/>
              </w:rPr>
              <w:t>Revised</w:t>
            </w:r>
          </w:p>
        </w:tc>
        <w:tc>
          <w:tcPr>
            <w:tcW w:w="816" w:type="dxa"/>
            <w:tcBorders>
              <w:top w:val="nil"/>
              <w:left w:val="nil"/>
              <w:bottom w:val="single" w:sz="6" w:space="0" w:color="auto"/>
              <w:right w:val="single" w:sz="6" w:space="0" w:color="auto"/>
            </w:tcBorders>
            <w:shd w:val="clear" w:color="auto" w:fill="000000"/>
          </w:tcPr>
          <w:p w:rsidR="00B958B1" w:rsidRPr="00CB63AD" w:rsidRDefault="00B958B1" w:rsidP="009F3B54">
            <w:pPr>
              <w:pStyle w:val="Tabletextheading"/>
              <w:rPr>
                <w:lang w:eastAsia="en-AU"/>
              </w:rPr>
            </w:pPr>
            <w:r w:rsidRPr="00CB63AD">
              <w:rPr>
                <w:lang w:eastAsia="en-AU"/>
              </w:rPr>
              <w:t>Budget</w:t>
            </w:r>
          </w:p>
        </w:tc>
      </w:tr>
      <w:tr w:rsidR="00B958B1" w:rsidRPr="00CB63AD" w:rsidTr="009F3B54">
        <w:tc>
          <w:tcPr>
            <w:tcW w:w="4514" w:type="dxa"/>
            <w:tcBorders>
              <w:top w:val="single" w:sz="6" w:space="0" w:color="auto"/>
              <w:left w:val="nil"/>
              <w:bottom w:val="nil"/>
              <w:right w:val="nil"/>
            </w:tcBorders>
          </w:tcPr>
          <w:p w:rsidR="00B958B1" w:rsidRPr="00CB63AD" w:rsidRDefault="00B958B1" w:rsidP="009F3B54">
            <w:pPr>
              <w:pStyle w:val="Tabletext"/>
              <w:rPr>
                <w:lang w:eastAsia="en-AU"/>
              </w:rPr>
            </w:pPr>
            <w:r w:rsidRPr="00CB63AD">
              <w:rPr>
                <w:lang w:eastAsia="en-AU"/>
              </w:rPr>
              <w:t>Output appropriations</w:t>
            </w:r>
          </w:p>
        </w:tc>
        <w:tc>
          <w:tcPr>
            <w:tcW w:w="815" w:type="dxa"/>
            <w:tcBorders>
              <w:top w:val="single" w:sz="6" w:space="0" w:color="auto"/>
              <w:left w:val="nil"/>
              <w:bottom w:val="nil"/>
              <w:right w:val="nil"/>
            </w:tcBorders>
          </w:tcPr>
          <w:p w:rsidR="00B958B1" w:rsidRPr="00CB63AD" w:rsidRDefault="00B958B1" w:rsidP="009F3B54">
            <w:pPr>
              <w:pStyle w:val="TableofFigures"/>
              <w:rPr>
                <w:lang w:eastAsia="en-AU"/>
              </w:rPr>
            </w:pPr>
            <w:r w:rsidRPr="00CB63AD">
              <w:rPr>
                <w:lang w:eastAsia="en-AU"/>
              </w:rPr>
              <w:t xml:space="preserve"> 123.6</w:t>
            </w:r>
          </w:p>
        </w:tc>
        <w:tc>
          <w:tcPr>
            <w:tcW w:w="816" w:type="dxa"/>
            <w:tcBorders>
              <w:top w:val="single" w:sz="6" w:space="0" w:color="auto"/>
              <w:left w:val="nil"/>
              <w:bottom w:val="nil"/>
              <w:right w:val="nil"/>
            </w:tcBorders>
          </w:tcPr>
          <w:p w:rsidR="00B958B1" w:rsidRPr="00CB63AD" w:rsidRDefault="00B958B1" w:rsidP="009F3B54">
            <w:pPr>
              <w:pStyle w:val="TableofFigures"/>
              <w:rPr>
                <w:lang w:eastAsia="en-AU"/>
              </w:rPr>
            </w:pPr>
            <w:r w:rsidRPr="00CB63AD">
              <w:rPr>
                <w:lang w:eastAsia="en-AU"/>
              </w:rPr>
              <w:t xml:space="preserve"> 130.0</w:t>
            </w:r>
          </w:p>
        </w:tc>
        <w:tc>
          <w:tcPr>
            <w:tcW w:w="815" w:type="dxa"/>
            <w:tcBorders>
              <w:top w:val="single" w:sz="6" w:space="0" w:color="auto"/>
              <w:left w:val="nil"/>
              <w:bottom w:val="nil"/>
              <w:right w:val="nil"/>
            </w:tcBorders>
          </w:tcPr>
          <w:p w:rsidR="00B958B1" w:rsidRPr="00CB63AD" w:rsidRDefault="00B958B1" w:rsidP="009F3B54">
            <w:pPr>
              <w:pStyle w:val="TableofFigures"/>
              <w:rPr>
                <w:lang w:eastAsia="en-AU"/>
              </w:rPr>
            </w:pPr>
            <w:r w:rsidRPr="00CB63AD">
              <w:rPr>
                <w:lang w:eastAsia="en-AU"/>
              </w:rPr>
              <w:t xml:space="preserve"> 131.8</w:t>
            </w:r>
          </w:p>
        </w:tc>
        <w:tc>
          <w:tcPr>
            <w:tcW w:w="816" w:type="dxa"/>
            <w:tcBorders>
              <w:top w:val="single" w:sz="6" w:space="0" w:color="auto"/>
              <w:left w:val="nil"/>
              <w:bottom w:val="nil"/>
              <w:right w:val="nil"/>
            </w:tcBorders>
          </w:tcPr>
          <w:p w:rsidR="00B958B1" w:rsidRPr="00CB63AD" w:rsidRDefault="00B958B1" w:rsidP="009F3B54">
            <w:pPr>
              <w:pStyle w:val="TableofFigures"/>
              <w:rPr>
                <w:lang w:eastAsia="en-AU"/>
              </w:rPr>
            </w:pPr>
            <w:r w:rsidRPr="00CB63AD">
              <w:rPr>
                <w:lang w:eastAsia="en-AU"/>
              </w:rPr>
              <w:t xml:space="preserve"> 138.8</w:t>
            </w:r>
          </w:p>
        </w:tc>
      </w:tr>
      <w:tr w:rsidR="00B958B1" w:rsidRPr="00CB63AD" w:rsidTr="009F3B54">
        <w:tc>
          <w:tcPr>
            <w:tcW w:w="4514" w:type="dxa"/>
            <w:tcBorders>
              <w:top w:val="nil"/>
              <w:left w:val="nil"/>
              <w:bottom w:val="nil"/>
              <w:right w:val="nil"/>
            </w:tcBorders>
          </w:tcPr>
          <w:p w:rsidR="00B958B1" w:rsidRPr="00CB63AD" w:rsidRDefault="00B958B1" w:rsidP="009F3B54">
            <w:pPr>
              <w:pStyle w:val="Tabletext"/>
              <w:rPr>
                <w:lang w:eastAsia="en-AU"/>
              </w:rPr>
            </w:pPr>
            <w:r w:rsidRPr="00CB63AD">
              <w:rPr>
                <w:lang w:eastAsia="en-AU"/>
              </w:rPr>
              <w:t>Special appropriations</w:t>
            </w:r>
          </w:p>
        </w:tc>
        <w:tc>
          <w:tcPr>
            <w:tcW w:w="815" w:type="dxa"/>
            <w:tcBorders>
              <w:top w:val="nil"/>
              <w:left w:val="nil"/>
              <w:bottom w:val="nil"/>
              <w:right w:val="nil"/>
            </w:tcBorders>
          </w:tcPr>
          <w:p w:rsidR="00B958B1" w:rsidRPr="00CB63AD" w:rsidRDefault="00B958B1" w:rsidP="009F3B54">
            <w:pPr>
              <w:pStyle w:val="TableofFigures"/>
              <w:rPr>
                <w:lang w:eastAsia="en-AU"/>
              </w:rPr>
            </w:pPr>
            <w:r w:rsidRPr="00CB63AD">
              <w:rPr>
                <w:lang w:eastAsia="en-AU"/>
              </w:rPr>
              <w:t xml:space="preserve"> 32.6</w:t>
            </w:r>
          </w:p>
        </w:tc>
        <w:tc>
          <w:tcPr>
            <w:tcW w:w="816" w:type="dxa"/>
            <w:tcBorders>
              <w:top w:val="nil"/>
              <w:left w:val="nil"/>
              <w:bottom w:val="nil"/>
              <w:right w:val="nil"/>
            </w:tcBorders>
          </w:tcPr>
          <w:p w:rsidR="00B958B1" w:rsidRPr="00CB63AD" w:rsidRDefault="00B958B1" w:rsidP="009F3B54">
            <w:pPr>
              <w:pStyle w:val="TableofFigures"/>
              <w:rPr>
                <w:lang w:eastAsia="en-AU"/>
              </w:rPr>
            </w:pPr>
            <w:r w:rsidRPr="00CB63AD">
              <w:rPr>
                <w:lang w:eastAsia="en-AU"/>
              </w:rPr>
              <w:t xml:space="preserve"> 33.8</w:t>
            </w:r>
          </w:p>
        </w:tc>
        <w:tc>
          <w:tcPr>
            <w:tcW w:w="815" w:type="dxa"/>
            <w:tcBorders>
              <w:top w:val="nil"/>
              <w:left w:val="nil"/>
              <w:bottom w:val="nil"/>
              <w:right w:val="nil"/>
            </w:tcBorders>
          </w:tcPr>
          <w:p w:rsidR="00B958B1" w:rsidRPr="00CB63AD" w:rsidRDefault="00B958B1" w:rsidP="009F3B54">
            <w:pPr>
              <w:pStyle w:val="TableofFigures"/>
              <w:rPr>
                <w:lang w:eastAsia="en-AU"/>
              </w:rPr>
            </w:pPr>
            <w:r w:rsidRPr="00CB63AD">
              <w:rPr>
                <w:lang w:eastAsia="en-AU"/>
              </w:rPr>
              <w:t xml:space="preserve"> 33.8</w:t>
            </w:r>
          </w:p>
        </w:tc>
        <w:tc>
          <w:tcPr>
            <w:tcW w:w="816" w:type="dxa"/>
            <w:tcBorders>
              <w:top w:val="nil"/>
              <w:left w:val="nil"/>
              <w:bottom w:val="nil"/>
              <w:right w:val="nil"/>
            </w:tcBorders>
          </w:tcPr>
          <w:p w:rsidR="00B958B1" w:rsidRPr="00CB63AD" w:rsidRDefault="00B958B1" w:rsidP="009F3B54">
            <w:pPr>
              <w:pStyle w:val="TableofFigures"/>
              <w:rPr>
                <w:lang w:eastAsia="en-AU"/>
              </w:rPr>
            </w:pPr>
            <w:r w:rsidRPr="00CB63AD">
              <w:rPr>
                <w:lang w:eastAsia="en-AU"/>
              </w:rPr>
              <w:t xml:space="preserve"> 34.4</w:t>
            </w:r>
          </w:p>
        </w:tc>
      </w:tr>
      <w:tr w:rsidR="00B958B1" w:rsidRPr="00CB63AD" w:rsidTr="009F3B54">
        <w:tc>
          <w:tcPr>
            <w:tcW w:w="4514" w:type="dxa"/>
            <w:tcBorders>
              <w:top w:val="nil"/>
              <w:left w:val="nil"/>
              <w:bottom w:val="nil"/>
              <w:right w:val="nil"/>
            </w:tcBorders>
          </w:tcPr>
          <w:p w:rsidR="00B958B1" w:rsidRPr="00CB63AD" w:rsidRDefault="00B958B1" w:rsidP="009F3B54">
            <w:pPr>
              <w:pStyle w:val="Tabletext"/>
              <w:rPr>
                <w:lang w:eastAsia="en-AU"/>
              </w:rPr>
            </w:pPr>
            <w:r w:rsidRPr="00CB63AD">
              <w:rPr>
                <w:lang w:eastAsia="en-AU"/>
              </w:rPr>
              <w:t>Sale of goods and services</w:t>
            </w:r>
          </w:p>
        </w:tc>
        <w:tc>
          <w:tcPr>
            <w:tcW w:w="815" w:type="dxa"/>
            <w:tcBorders>
              <w:top w:val="nil"/>
              <w:left w:val="nil"/>
              <w:bottom w:val="nil"/>
              <w:right w:val="nil"/>
            </w:tcBorders>
          </w:tcPr>
          <w:p w:rsidR="00B958B1" w:rsidRPr="00CB63AD" w:rsidRDefault="00B958B1" w:rsidP="009F3B54">
            <w:pPr>
              <w:pStyle w:val="TableofFigures"/>
              <w:rPr>
                <w:lang w:eastAsia="en-AU"/>
              </w:rPr>
            </w:pPr>
            <w:r w:rsidRPr="00CB63AD">
              <w:rPr>
                <w:lang w:eastAsia="en-AU"/>
              </w:rPr>
              <w:t xml:space="preserve"> 1.4</w:t>
            </w:r>
          </w:p>
        </w:tc>
        <w:tc>
          <w:tcPr>
            <w:tcW w:w="816" w:type="dxa"/>
            <w:tcBorders>
              <w:top w:val="nil"/>
              <w:left w:val="nil"/>
              <w:bottom w:val="nil"/>
              <w:right w:val="nil"/>
            </w:tcBorders>
          </w:tcPr>
          <w:p w:rsidR="00B958B1" w:rsidRPr="00CB63AD" w:rsidRDefault="00B958B1" w:rsidP="009F3B54">
            <w:pPr>
              <w:pStyle w:val="TableofFigures"/>
              <w:rPr>
                <w:lang w:eastAsia="en-AU"/>
              </w:rPr>
            </w:pPr>
            <w:r w:rsidRPr="00CB63AD">
              <w:rPr>
                <w:lang w:eastAsia="en-AU"/>
              </w:rPr>
              <w:t>..</w:t>
            </w:r>
          </w:p>
        </w:tc>
        <w:tc>
          <w:tcPr>
            <w:tcW w:w="815" w:type="dxa"/>
            <w:tcBorders>
              <w:top w:val="nil"/>
              <w:left w:val="nil"/>
              <w:bottom w:val="nil"/>
              <w:right w:val="nil"/>
            </w:tcBorders>
          </w:tcPr>
          <w:p w:rsidR="00B958B1" w:rsidRPr="00CB63AD" w:rsidRDefault="00B958B1" w:rsidP="009F3B54">
            <w:pPr>
              <w:pStyle w:val="TableofFigures"/>
              <w:rPr>
                <w:lang w:eastAsia="en-AU"/>
              </w:rPr>
            </w:pPr>
            <w:r w:rsidRPr="00CB63AD">
              <w:rPr>
                <w:lang w:eastAsia="en-AU"/>
              </w:rPr>
              <w:t>..</w:t>
            </w:r>
          </w:p>
        </w:tc>
        <w:tc>
          <w:tcPr>
            <w:tcW w:w="816" w:type="dxa"/>
            <w:tcBorders>
              <w:top w:val="nil"/>
              <w:left w:val="nil"/>
              <w:bottom w:val="nil"/>
              <w:right w:val="nil"/>
            </w:tcBorders>
          </w:tcPr>
          <w:p w:rsidR="00B958B1" w:rsidRPr="00CB63AD" w:rsidRDefault="00B958B1" w:rsidP="009F3B54">
            <w:pPr>
              <w:pStyle w:val="TableofFigures"/>
              <w:rPr>
                <w:lang w:eastAsia="en-AU"/>
              </w:rPr>
            </w:pPr>
            <w:r w:rsidRPr="00CB63AD">
              <w:rPr>
                <w:lang w:eastAsia="en-AU"/>
              </w:rPr>
              <w:t>..</w:t>
            </w:r>
          </w:p>
        </w:tc>
      </w:tr>
      <w:tr w:rsidR="00B958B1" w:rsidRPr="00CB63AD" w:rsidTr="009F3B54">
        <w:tc>
          <w:tcPr>
            <w:tcW w:w="4514" w:type="dxa"/>
            <w:tcBorders>
              <w:top w:val="nil"/>
              <w:left w:val="nil"/>
              <w:bottom w:val="nil"/>
              <w:right w:val="nil"/>
            </w:tcBorders>
          </w:tcPr>
          <w:p w:rsidR="00B958B1" w:rsidRPr="00CB63AD" w:rsidRDefault="00B958B1" w:rsidP="009F3B54">
            <w:pPr>
              <w:pStyle w:val="Tabletext"/>
              <w:rPr>
                <w:lang w:eastAsia="en-AU"/>
              </w:rPr>
            </w:pPr>
            <w:r w:rsidRPr="00CB63AD">
              <w:rPr>
                <w:lang w:eastAsia="en-AU"/>
              </w:rPr>
              <w:t>Fair value of assets and services received free of charge or for nominal consideration</w:t>
            </w:r>
          </w:p>
        </w:tc>
        <w:tc>
          <w:tcPr>
            <w:tcW w:w="815" w:type="dxa"/>
            <w:tcBorders>
              <w:top w:val="nil"/>
              <w:left w:val="nil"/>
              <w:bottom w:val="nil"/>
              <w:right w:val="nil"/>
            </w:tcBorders>
          </w:tcPr>
          <w:p w:rsidR="00B958B1" w:rsidRPr="00CB63AD" w:rsidRDefault="00B958B1" w:rsidP="009F3B54">
            <w:pPr>
              <w:pStyle w:val="TableofFigures"/>
              <w:rPr>
                <w:lang w:eastAsia="en-AU"/>
              </w:rPr>
            </w:pPr>
            <w:r w:rsidRPr="00CB63AD">
              <w:rPr>
                <w:lang w:eastAsia="en-AU"/>
              </w:rPr>
              <w:t xml:space="preserve"> 0.2</w:t>
            </w:r>
          </w:p>
        </w:tc>
        <w:tc>
          <w:tcPr>
            <w:tcW w:w="816" w:type="dxa"/>
            <w:tcBorders>
              <w:top w:val="nil"/>
              <w:left w:val="nil"/>
              <w:bottom w:val="nil"/>
              <w:right w:val="nil"/>
            </w:tcBorders>
          </w:tcPr>
          <w:p w:rsidR="00B958B1" w:rsidRPr="00CB63AD" w:rsidRDefault="00B958B1" w:rsidP="009F3B54">
            <w:pPr>
              <w:pStyle w:val="TableofFigures"/>
              <w:rPr>
                <w:lang w:eastAsia="en-AU"/>
              </w:rPr>
            </w:pPr>
            <w:r w:rsidRPr="00CB63AD">
              <w:rPr>
                <w:lang w:eastAsia="en-AU"/>
              </w:rPr>
              <w:t xml:space="preserve"> 0.0</w:t>
            </w:r>
          </w:p>
        </w:tc>
        <w:tc>
          <w:tcPr>
            <w:tcW w:w="815" w:type="dxa"/>
            <w:tcBorders>
              <w:top w:val="nil"/>
              <w:left w:val="nil"/>
              <w:bottom w:val="nil"/>
              <w:right w:val="nil"/>
            </w:tcBorders>
          </w:tcPr>
          <w:p w:rsidR="00B958B1" w:rsidRPr="00CB63AD" w:rsidRDefault="00B958B1" w:rsidP="009F3B54">
            <w:pPr>
              <w:pStyle w:val="TableofFigures"/>
              <w:rPr>
                <w:lang w:eastAsia="en-AU"/>
              </w:rPr>
            </w:pPr>
            <w:r w:rsidRPr="00CB63AD">
              <w:rPr>
                <w:lang w:eastAsia="en-AU"/>
              </w:rPr>
              <w:t xml:space="preserve"> 0.0</w:t>
            </w:r>
          </w:p>
        </w:tc>
        <w:tc>
          <w:tcPr>
            <w:tcW w:w="816" w:type="dxa"/>
            <w:tcBorders>
              <w:top w:val="nil"/>
              <w:left w:val="nil"/>
              <w:bottom w:val="nil"/>
              <w:right w:val="nil"/>
            </w:tcBorders>
          </w:tcPr>
          <w:p w:rsidR="00B958B1" w:rsidRPr="00CB63AD" w:rsidRDefault="00B958B1" w:rsidP="009F3B54">
            <w:pPr>
              <w:pStyle w:val="TableofFigures"/>
              <w:rPr>
                <w:lang w:eastAsia="en-AU"/>
              </w:rPr>
            </w:pPr>
            <w:r w:rsidRPr="00CB63AD">
              <w:rPr>
                <w:lang w:eastAsia="en-AU"/>
              </w:rPr>
              <w:t xml:space="preserve"> 0.3</w:t>
            </w:r>
          </w:p>
        </w:tc>
      </w:tr>
      <w:tr w:rsidR="00B958B1" w:rsidRPr="00CB63AD" w:rsidTr="009F3B54">
        <w:tc>
          <w:tcPr>
            <w:tcW w:w="4514" w:type="dxa"/>
            <w:tcBorders>
              <w:top w:val="nil"/>
              <w:left w:val="nil"/>
              <w:bottom w:val="single" w:sz="12" w:space="0" w:color="auto"/>
              <w:right w:val="nil"/>
            </w:tcBorders>
          </w:tcPr>
          <w:p w:rsidR="00B958B1" w:rsidRPr="00CB63AD" w:rsidRDefault="00B958B1" w:rsidP="009F3B54">
            <w:pPr>
              <w:pStyle w:val="Tabletext"/>
              <w:rPr>
                <w:b/>
                <w:bCs/>
                <w:lang w:eastAsia="en-AU"/>
              </w:rPr>
            </w:pPr>
            <w:r w:rsidRPr="00CB63AD">
              <w:rPr>
                <w:b/>
                <w:bCs/>
                <w:lang w:eastAsia="en-AU"/>
              </w:rPr>
              <w:t>Total income from transactions</w:t>
            </w:r>
          </w:p>
        </w:tc>
        <w:tc>
          <w:tcPr>
            <w:tcW w:w="815" w:type="dxa"/>
            <w:tcBorders>
              <w:top w:val="nil"/>
              <w:left w:val="nil"/>
              <w:bottom w:val="single" w:sz="12" w:space="0" w:color="auto"/>
              <w:right w:val="nil"/>
            </w:tcBorders>
          </w:tcPr>
          <w:p w:rsidR="00B958B1" w:rsidRPr="00CB63AD" w:rsidRDefault="00B958B1" w:rsidP="009F3B54">
            <w:pPr>
              <w:pStyle w:val="TableofFigures"/>
              <w:rPr>
                <w:lang w:eastAsia="en-AU"/>
              </w:rPr>
            </w:pPr>
            <w:r w:rsidRPr="00CB63AD">
              <w:rPr>
                <w:lang w:eastAsia="en-AU"/>
              </w:rPr>
              <w:t xml:space="preserve"> 157.7</w:t>
            </w:r>
          </w:p>
        </w:tc>
        <w:tc>
          <w:tcPr>
            <w:tcW w:w="816" w:type="dxa"/>
            <w:tcBorders>
              <w:top w:val="nil"/>
              <w:left w:val="nil"/>
              <w:bottom w:val="single" w:sz="12" w:space="0" w:color="auto"/>
              <w:right w:val="nil"/>
            </w:tcBorders>
          </w:tcPr>
          <w:p w:rsidR="00B958B1" w:rsidRPr="00CB63AD" w:rsidRDefault="00B958B1" w:rsidP="009F3B54">
            <w:pPr>
              <w:pStyle w:val="TableofFigures"/>
              <w:rPr>
                <w:lang w:eastAsia="en-AU"/>
              </w:rPr>
            </w:pPr>
            <w:r w:rsidRPr="00CB63AD">
              <w:rPr>
                <w:lang w:eastAsia="en-AU"/>
              </w:rPr>
              <w:t xml:space="preserve"> 163.9</w:t>
            </w:r>
          </w:p>
        </w:tc>
        <w:tc>
          <w:tcPr>
            <w:tcW w:w="815" w:type="dxa"/>
            <w:tcBorders>
              <w:top w:val="nil"/>
              <w:left w:val="nil"/>
              <w:bottom w:val="single" w:sz="12" w:space="0" w:color="auto"/>
              <w:right w:val="nil"/>
            </w:tcBorders>
          </w:tcPr>
          <w:p w:rsidR="00B958B1" w:rsidRPr="00CB63AD" w:rsidRDefault="00B958B1" w:rsidP="009F3B54">
            <w:pPr>
              <w:pStyle w:val="TableofFigures"/>
              <w:rPr>
                <w:lang w:eastAsia="en-AU"/>
              </w:rPr>
            </w:pPr>
            <w:r w:rsidRPr="00CB63AD">
              <w:rPr>
                <w:lang w:eastAsia="en-AU"/>
              </w:rPr>
              <w:t xml:space="preserve"> 165.7</w:t>
            </w:r>
          </w:p>
        </w:tc>
        <w:tc>
          <w:tcPr>
            <w:tcW w:w="816" w:type="dxa"/>
            <w:tcBorders>
              <w:top w:val="nil"/>
              <w:left w:val="nil"/>
              <w:bottom w:val="single" w:sz="12" w:space="0" w:color="auto"/>
              <w:right w:val="nil"/>
            </w:tcBorders>
          </w:tcPr>
          <w:p w:rsidR="00B958B1" w:rsidRPr="00CB63AD" w:rsidRDefault="00B958B1" w:rsidP="009F3B54">
            <w:pPr>
              <w:pStyle w:val="TableofFigures"/>
              <w:rPr>
                <w:b/>
                <w:bCs/>
                <w:lang w:eastAsia="en-AU"/>
              </w:rPr>
            </w:pPr>
            <w:r w:rsidRPr="00CB63AD">
              <w:rPr>
                <w:b/>
                <w:bCs/>
                <w:lang w:eastAsia="en-AU"/>
              </w:rPr>
              <w:t xml:space="preserve"> 173.5</w:t>
            </w:r>
          </w:p>
        </w:tc>
      </w:tr>
    </w:tbl>
    <w:p w:rsidR="00B958B1" w:rsidRDefault="00B958B1" w:rsidP="009F3B54">
      <w:pPr>
        <w:pStyle w:val="Source"/>
        <w:rPr>
          <w:lang w:eastAsia="en-AU"/>
        </w:rPr>
      </w:pPr>
      <w:r w:rsidRPr="00C534E5">
        <w:rPr>
          <w:lang w:eastAsia="en-AU"/>
        </w:rPr>
        <w:t>Sources: Parliament of Victoria and Department of Treasury and Finance</w:t>
      </w:r>
    </w:p>
    <w:p w:rsidR="00B958B1" w:rsidRPr="000E12EE" w:rsidRDefault="00B958B1" w:rsidP="009F3B54">
      <w:pPr>
        <w:pStyle w:val="Notes"/>
      </w:pPr>
      <w:r>
        <w:fldChar w:fldCharType="begin"/>
      </w:r>
      <w:r>
        <w:instrText xml:space="preserve"> XE "</w:instrText>
      </w:r>
      <w:r w:rsidRPr="00FA42D5">
        <w:instrText>Parliament:Income from transactions</w:instrText>
      </w:r>
      <w:r>
        <w:instrText xml:space="preserve">" </w:instrText>
      </w:r>
      <w:r>
        <w:fldChar w:fldCharType="end"/>
      </w:r>
    </w:p>
    <w:p w:rsidR="00B958B1" w:rsidRDefault="00B958B1" w:rsidP="009F3B54">
      <w:pPr>
        <w:pStyle w:val="Tableheading"/>
        <w:rPr>
          <w:lang w:eastAsia="en-AU"/>
        </w:rPr>
      </w:pPr>
      <w:r w:rsidRPr="00C534E5">
        <w:t>Table</w:t>
      </w:r>
      <w:r>
        <w:t> 2.31</w:t>
      </w:r>
      <w:r w:rsidRPr="00C534E5">
        <w:t xml:space="preserve">: </w:t>
      </w:r>
      <w:r>
        <w:tab/>
      </w:r>
      <w:r w:rsidRPr="00C534E5">
        <w:t>Parliamentary authority for resources</w:t>
      </w:r>
    </w:p>
    <w:p w:rsidR="00B958B1" w:rsidRPr="00CB63AD" w:rsidRDefault="00B958B1" w:rsidP="009F3B54">
      <w:pPr>
        <w:pStyle w:val="million"/>
        <w:rPr>
          <w:rFonts w:ascii="Garamond" w:hAnsi="Garamond"/>
          <w:sz w:val="22"/>
          <w:lang w:eastAsia="en-AU"/>
        </w:rPr>
      </w:pPr>
      <w:r w:rsidRPr="00C534E5">
        <w:rPr>
          <w:rFonts w:cs="Calibri"/>
          <w:iCs/>
          <w:sz w:val="20"/>
          <w:lang w:eastAsia="en-AU"/>
        </w:rPr>
        <w:t>(</w:t>
      </w:r>
      <w:r>
        <w:rPr>
          <w:rFonts w:cs="Calibri"/>
          <w:iCs/>
          <w:sz w:val="20"/>
          <w:lang w:eastAsia="en-AU"/>
        </w:rPr>
        <w:t>$ million</w:t>
      </w:r>
      <w:r w:rsidRPr="00C534E5">
        <w:rPr>
          <w:rFonts w:cs="Calibri"/>
          <w:iCs/>
          <w:sz w:val="20"/>
          <w:lang w:eastAsia="en-AU"/>
        </w:rPr>
        <w:t>)</w:t>
      </w:r>
    </w:p>
    <w:tbl>
      <w:tblPr>
        <w:tblW w:w="7776" w:type="dxa"/>
        <w:tblInd w:w="29" w:type="dxa"/>
        <w:tblLayout w:type="fixed"/>
        <w:tblCellMar>
          <w:left w:w="43" w:type="dxa"/>
          <w:right w:w="43" w:type="dxa"/>
        </w:tblCellMar>
        <w:tblLook w:val="0000" w:firstRow="0" w:lastRow="0" w:firstColumn="0" w:lastColumn="0" w:noHBand="0" w:noVBand="0"/>
      </w:tblPr>
      <w:tblGrid>
        <w:gridCol w:w="4964"/>
        <w:gridCol w:w="937"/>
        <w:gridCol w:w="937"/>
        <w:gridCol w:w="938"/>
      </w:tblGrid>
      <w:tr w:rsidR="00B958B1" w:rsidRPr="00CB63AD" w:rsidTr="009F3B54">
        <w:tc>
          <w:tcPr>
            <w:tcW w:w="4964" w:type="dxa"/>
            <w:tcBorders>
              <w:top w:val="single" w:sz="6" w:space="0" w:color="auto"/>
              <w:left w:val="single" w:sz="6" w:space="0" w:color="auto"/>
              <w:bottom w:val="nil"/>
              <w:right w:val="nil"/>
            </w:tcBorders>
            <w:shd w:val="clear" w:color="auto" w:fill="000000"/>
          </w:tcPr>
          <w:p w:rsidR="00B958B1" w:rsidRPr="00CB63AD" w:rsidRDefault="00B958B1" w:rsidP="009F3B54">
            <w:pPr>
              <w:pStyle w:val="Tabletext"/>
              <w:rPr>
                <w:lang w:eastAsia="en-AU"/>
              </w:rPr>
            </w:pPr>
            <w:r w:rsidRPr="00CB63AD">
              <w:rPr>
                <w:lang w:eastAsia="en-AU"/>
              </w:rPr>
              <w:t xml:space="preserve"> </w:t>
            </w:r>
          </w:p>
        </w:tc>
        <w:tc>
          <w:tcPr>
            <w:tcW w:w="937" w:type="dxa"/>
            <w:tcBorders>
              <w:top w:val="single" w:sz="6" w:space="0" w:color="auto"/>
              <w:left w:val="nil"/>
              <w:bottom w:val="nil"/>
              <w:right w:val="nil"/>
            </w:tcBorders>
            <w:shd w:val="clear" w:color="auto" w:fill="000000"/>
          </w:tcPr>
          <w:p w:rsidR="00B958B1" w:rsidRPr="00CB63AD" w:rsidRDefault="00B958B1" w:rsidP="009F3B54">
            <w:pPr>
              <w:pStyle w:val="Tabletextheading"/>
              <w:rPr>
                <w:lang w:eastAsia="en-AU"/>
              </w:rPr>
            </w:pPr>
            <w:r w:rsidRPr="00CB63AD">
              <w:rPr>
                <w:lang w:eastAsia="en-AU"/>
              </w:rPr>
              <w:t>2012</w:t>
            </w:r>
            <w:r w:rsidR="009F0F49">
              <w:rPr>
                <w:lang w:eastAsia="en-AU"/>
              </w:rPr>
              <w:noBreakHyphen/>
            </w:r>
            <w:r w:rsidRPr="00CB63AD">
              <w:rPr>
                <w:lang w:eastAsia="en-AU"/>
              </w:rPr>
              <w:t>13</w:t>
            </w:r>
          </w:p>
        </w:tc>
        <w:tc>
          <w:tcPr>
            <w:tcW w:w="937" w:type="dxa"/>
            <w:tcBorders>
              <w:top w:val="single" w:sz="6" w:space="0" w:color="auto"/>
              <w:left w:val="nil"/>
              <w:bottom w:val="nil"/>
              <w:right w:val="nil"/>
            </w:tcBorders>
            <w:shd w:val="clear" w:color="auto" w:fill="000000"/>
          </w:tcPr>
          <w:p w:rsidR="00B958B1" w:rsidRPr="00CB63AD" w:rsidRDefault="00B958B1" w:rsidP="009F3B54">
            <w:pPr>
              <w:pStyle w:val="Tabletextheading"/>
              <w:rPr>
                <w:lang w:eastAsia="en-AU"/>
              </w:rPr>
            </w:pPr>
            <w:r w:rsidRPr="00CB63AD">
              <w:rPr>
                <w:lang w:eastAsia="en-AU"/>
              </w:rPr>
              <w:t>2012</w:t>
            </w:r>
            <w:r w:rsidR="009F0F49">
              <w:rPr>
                <w:lang w:eastAsia="en-AU"/>
              </w:rPr>
              <w:noBreakHyphen/>
            </w:r>
            <w:r w:rsidRPr="00CB63AD">
              <w:rPr>
                <w:lang w:eastAsia="en-AU"/>
              </w:rPr>
              <w:t>13</w:t>
            </w:r>
          </w:p>
        </w:tc>
        <w:tc>
          <w:tcPr>
            <w:tcW w:w="938" w:type="dxa"/>
            <w:tcBorders>
              <w:top w:val="single" w:sz="6" w:space="0" w:color="auto"/>
              <w:left w:val="nil"/>
              <w:bottom w:val="nil"/>
              <w:right w:val="single" w:sz="6" w:space="0" w:color="auto"/>
            </w:tcBorders>
            <w:shd w:val="clear" w:color="auto" w:fill="000000"/>
          </w:tcPr>
          <w:p w:rsidR="00B958B1" w:rsidRPr="00CB63AD" w:rsidRDefault="00B958B1" w:rsidP="009F3B54">
            <w:pPr>
              <w:pStyle w:val="Tabletextheading"/>
              <w:rPr>
                <w:lang w:eastAsia="en-AU"/>
              </w:rPr>
            </w:pPr>
            <w:r w:rsidRPr="00CB63AD">
              <w:rPr>
                <w:lang w:eastAsia="en-AU"/>
              </w:rPr>
              <w:t>2013</w:t>
            </w:r>
            <w:r w:rsidR="009F0F49">
              <w:rPr>
                <w:lang w:eastAsia="en-AU"/>
              </w:rPr>
              <w:noBreakHyphen/>
            </w:r>
            <w:r w:rsidRPr="00CB63AD">
              <w:rPr>
                <w:lang w:eastAsia="en-AU"/>
              </w:rPr>
              <w:t>14</w:t>
            </w:r>
          </w:p>
        </w:tc>
      </w:tr>
      <w:tr w:rsidR="00B958B1" w:rsidRPr="00CB63AD" w:rsidTr="009F3B54">
        <w:tc>
          <w:tcPr>
            <w:tcW w:w="4964" w:type="dxa"/>
            <w:tcBorders>
              <w:top w:val="nil"/>
              <w:left w:val="single" w:sz="6" w:space="0" w:color="auto"/>
              <w:bottom w:val="single" w:sz="6" w:space="0" w:color="auto"/>
              <w:right w:val="nil"/>
            </w:tcBorders>
            <w:shd w:val="clear" w:color="auto" w:fill="000000"/>
          </w:tcPr>
          <w:p w:rsidR="00B958B1" w:rsidRPr="00CB63AD" w:rsidRDefault="00B958B1" w:rsidP="009F3B54">
            <w:pPr>
              <w:pStyle w:val="Tabletext"/>
              <w:rPr>
                <w:lang w:eastAsia="en-AU"/>
              </w:rPr>
            </w:pPr>
            <w:r w:rsidRPr="00CB63AD">
              <w:rPr>
                <w:lang w:eastAsia="en-AU"/>
              </w:rPr>
              <w:t xml:space="preserve"> </w:t>
            </w:r>
          </w:p>
        </w:tc>
        <w:tc>
          <w:tcPr>
            <w:tcW w:w="937" w:type="dxa"/>
            <w:tcBorders>
              <w:top w:val="nil"/>
              <w:left w:val="nil"/>
              <w:bottom w:val="single" w:sz="6" w:space="0" w:color="auto"/>
              <w:right w:val="nil"/>
            </w:tcBorders>
            <w:shd w:val="clear" w:color="auto" w:fill="000000"/>
          </w:tcPr>
          <w:p w:rsidR="00B958B1" w:rsidRPr="00CB63AD" w:rsidRDefault="00B958B1" w:rsidP="009F3B54">
            <w:pPr>
              <w:pStyle w:val="Tabletextheading"/>
              <w:rPr>
                <w:lang w:eastAsia="en-AU"/>
              </w:rPr>
            </w:pPr>
            <w:r w:rsidRPr="00CB63AD">
              <w:rPr>
                <w:lang w:eastAsia="en-AU"/>
              </w:rPr>
              <w:t>Budget</w:t>
            </w:r>
          </w:p>
        </w:tc>
        <w:tc>
          <w:tcPr>
            <w:tcW w:w="937" w:type="dxa"/>
            <w:tcBorders>
              <w:top w:val="nil"/>
              <w:left w:val="nil"/>
              <w:bottom w:val="single" w:sz="6" w:space="0" w:color="auto"/>
              <w:right w:val="nil"/>
            </w:tcBorders>
            <w:shd w:val="clear" w:color="auto" w:fill="000000"/>
          </w:tcPr>
          <w:p w:rsidR="00B958B1" w:rsidRPr="00CB63AD" w:rsidRDefault="00B958B1" w:rsidP="009F3B54">
            <w:pPr>
              <w:pStyle w:val="Tabletextheading"/>
              <w:rPr>
                <w:lang w:eastAsia="en-AU"/>
              </w:rPr>
            </w:pPr>
            <w:r w:rsidRPr="00CB63AD">
              <w:rPr>
                <w:lang w:eastAsia="en-AU"/>
              </w:rPr>
              <w:t>Revised</w:t>
            </w:r>
          </w:p>
        </w:tc>
        <w:tc>
          <w:tcPr>
            <w:tcW w:w="938" w:type="dxa"/>
            <w:tcBorders>
              <w:top w:val="nil"/>
              <w:left w:val="nil"/>
              <w:bottom w:val="single" w:sz="6" w:space="0" w:color="auto"/>
              <w:right w:val="single" w:sz="6" w:space="0" w:color="auto"/>
            </w:tcBorders>
            <w:shd w:val="clear" w:color="auto" w:fill="000000"/>
          </w:tcPr>
          <w:p w:rsidR="00B958B1" w:rsidRPr="00CB63AD" w:rsidRDefault="00B958B1" w:rsidP="009F3B54">
            <w:pPr>
              <w:pStyle w:val="Tabletextheading"/>
              <w:rPr>
                <w:lang w:eastAsia="en-AU"/>
              </w:rPr>
            </w:pPr>
            <w:r w:rsidRPr="00CB63AD">
              <w:rPr>
                <w:lang w:eastAsia="en-AU"/>
              </w:rPr>
              <w:t>Budget</w:t>
            </w:r>
          </w:p>
        </w:tc>
      </w:tr>
      <w:tr w:rsidR="00B958B1" w:rsidRPr="00CB63AD" w:rsidTr="009F3B54">
        <w:tc>
          <w:tcPr>
            <w:tcW w:w="4964" w:type="dxa"/>
            <w:tcBorders>
              <w:top w:val="single" w:sz="6" w:space="0" w:color="auto"/>
              <w:left w:val="nil"/>
              <w:bottom w:val="nil"/>
              <w:right w:val="nil"/>
            </w:tcBorders>
            <w:shd w:val="solid" w:color="FFFFFF" w:fill="auto"/>
          </w:tcPr>
          <w:p w:rsidR="00B958B1" w:rsidRPr="00CB63AD" w:rsidRDefault="00B958B1" w:rsidP="009F3B54">
            <w:pPr>
              <w:pStyle w:val="Tabletext"/>
              <w:rPr>
                <w:b/>
                <w:bCs/>
                <w:lang w:eastAsia="en-AU"/>
              </w:rPr>
            </w:pPr>
            <w:r w:rsidRPr="00CB63AD">
              <w:rPr>
                <w:b/>
                <w:bCs/>
                <w:lang w:eastAsia="en-AU"/>
              </w:rPr>
              <w:t>Annual appropriations</w:t>
            </w:r>
          </w:p>
        </w:tc>
        <w:tc>
          <w:tcPr>
            <w:tcW w:w="937" w:type="dxa"/>
            <w:tcBorders>
              <w:top w:val="single" w:sz="6" w:space="0" w:color="auto"/>
              <w:left w:val="nil"/>
              <w:bottom w:val="nil"/>
              <w:right w:val="nil"/>
            </w:tcBorders>
            <w:shd w:val="solid" w:color="FFFFFF" w:fill="auto"/>
          </w:tcPr>
          <w:p w:rsidR="00B958B1" w:rsidRPr="00CB63AD" w:rsidRDefault="00B958B1" w:rsidP="009F3B54">
            <w:pPr>
              <w:pStyle w:val="TableofFigures"/>
              <w:rPr>
                <w:b/>
                <w:bCs/>
                <w:lang w:eastAsia="en-AU"/>
              </w:rPr>
            </w:pPr>
            <w:r w:rsidRPr="00CB63AD">
              <w:rPr>
                <w:b/>
                <w:bCs/>
                <w:lang w:eastAsia="en-AU"/>
              </w:rPr>
              <w:t xml:space="preserve"> 101.2</w:t>
            </w:r>
          </w:p>
        </w:tc>
        <w:tc>
          <w:tcPr>
            <w:tcW w:w="937" w:type="dxa"/>
            <w:tcBorders>
              <w:top w:val="single" w:sz="6" w:space="0" w:color="auto"/>
              <w:left w:val="nil"/>
              <w:bottom w:val="nil"/>
              <w:right w:val="nil"/>
            </w:tcBorders>
            <w:shd w:val="solid" w:color="FFFFFF" w:fill="auto"/>
          </w:tcPr>
          <w:p w:rsidR="00B958B1" w:rsidRPr="00CB63AD" w:rsidRDefault="00B958B1" w:rsidP="009F3B54">
            <w:pPr>
              <w:pStyle w:val="TableofFigures"/>
              <w:rPr>
                <w:b/>
                <w:bCs/>
                <w:lang w:eastAsia="en-AU"/>
              </w:rPr>
            </w:pPr>
            <w:r w:rsidRPr="00CB63AD">
              <w:rPr>
                <w:b/>
                <w:bCs/>
                <w:lang w:eastAsia="en-AU"/>
              </w:rPr>
              <w:t xml:space="preserve"> 104.3</w:t>
            </w:r>
          </w:p>
        </w:tc>
        <w:tc>
          <w:tcPr>
            <w:tcW w:w="938" w:type="dxa"/>
            <w:tcBorders>
              <w:top w:val="single" w:sz="6" w:space="0" w:color="auto"/>
              <w:left w:val="nil"/>
              <w:bottom w:val="nil"/>
              <w:right w:val="nil"/>
            </w:tcBorders>
            <w:shd w:val="solid" w:color="FFFFFF" w:fill="auto"/>
          </w:tcPr>
          <w:p w:rsidR="00B958B1" w:rsidRPr="00CB63AD" w:rsidRDefault="00B958B1" w:rsidP="009F3B54">
            <w:pPr>
              <w:pStyle w:val="TableofFigures"/>
              <w:rPr>
                <w:b/>
                <w:bCs/>
                <w:lang w:eastAsia="en-AU"/>
              </w:rPr>
            </w:pPr>
            <w:r w:rsidRPr="00CB63AD">
              <w:rPr>
                <w:b/>
                <w:bCs/>
                <w:lang w:eastAsia="en-AU"/>
              </w:rPr>
              <w:t xml:space="preserve"> 112.2</w:t>
            </w:r>
          </w:p>
        </w:tc>
      </w:tr>
      <w:tr w:rsidR="00B958B1" w:rsidRPr="00CB63AD" w:rsidTr="009F3B54">
        <w:tc>
          <w:tcPr>
            <w:tcW w:w="4964" w:type="dxa"/>
            <w:tcBorders>
              <w:top w:val="nil"/>
              <w:left w:val="nil"/>
              <w:bottom w:val="nil"/>
              <w:right w:val="nil"/>
            </w:tcBorders>
            <w:shd w:val="solid" w:color="FFFFFF" w:fill="auto"/>
          </w:tcPr>
          <w:p w:rsidR="00B958B1" w:rsidRPr="00CB63AD" w:rsidRDefault="00B958B1" w:rsidP="009F3B54">
            <w:pPr>
              <w:pStyle w:val="Tabletext"/>
              <w:rPr>
                <w:lang w:eastAsia="en-AU"/>
              </w:rPr>
            </w:pPr>
            <w:r w:rsidRPr="00CB63AD">
              <w:rPr>
                <w:lang w:eastAsia="en-AU"/>
              </w:rPr>
              <w:t xml:space="preserve"> Provision of outputs</w:t>
            </w:r>
          </w:p>
        </w:tc>
        <w:tc>
          <w:tcPr>
            <w:tcW w:w="937" w:type="dxa"/>
            <w:tcBorders>
              <w:top w:val="nil"/>
              <w:left w:val="nil"/>
              <w:bottom w:val="nil"/>
              <w:right w:val="nil"/>
            </w:tcBorders>
            <w:shd w:val="solid" w:color="FFFFFF" w:fill="auto"/>
          </w:tcPr>
          <w:p w:rsidR="00B958B1" w:rsidRPr="00CB63AD" w:rsidRDefault="00B958B1" w:rsidP="009F3B54">
            <w:pPr>
              <w:pStyle w:val="TableofFigures"/>
              <w:rPr>
                <w:lang w:eastAsia="en-AU"/>
              </w:rPr>
            </w:pPr>
            <w:r w:rsidRPr="00CB63AD">
              <w:rPr>
                <w:lang w:eastAsia="en-AU"/>
              </w:rPr>
              <w:t xml:space="preserve"> 101.2</w:t>
            </w:r>
          </w:p>
        </w:tc>
        <w:tc>
          <w:tcPr>
            <w:tcW w:w="937" w:type="dxa"/>
            <w:tcBorders>
              <w:top w:val="nil"/>
              <w:left w:val="nil"/>
              <w:bottom w:val="nil"/>
              <w:right w:val="nil"/>
            </w:tcBorders>
            <w:shd w:val="solid" w:color="FFFFFF" w:fill="auto"/>
          </w:tcPr>
          <w:p w:rsidR="00B958B1" w:rsidRPr="00CB63AD" w:rsidRDefault="00B958B1" w:rsidP="009F3B54">
            <w:pPr>
              <w:pStyle w:val="TableofFigures"/>
              <w:rPr>
                <w:lang w:eastAsia="en-AU"/>
              </w:rPr>
            </w:pPr>
            <w:r w:rsidRPr="00CB63AD">
              <w:rPr>
                <w:lang w:eastAsia="en-AU"/>
              </w:rPr>
              <w:t xml:space="preserve"> 104.3</w:t>
            </w:r>
          </w:p>
        </w:tc>
        <w:tc>
          <w:tcPr>
            <w:tcW w:w="938" w:type="dxa"/>
            <w:tcBorders>
              <w:top w:val="nil"/>
              <w:left w:val="nil"/>
              <w:bottom w:val="nil"/>
              <w:right w:val="nil"/>
            </w:tcBorders>
            <w:shd w:val="solid" w:color="FFFFFF" w:fill="auto"/>
          </w:tcPr>
          <w:p w:rsidR="00B958B1" w:rsidRPr="00CB63AD" w:rsidRDefault="00B958B1" w:rsidP="009F3B54">
            <w:pPr>
              <w:pStyle w:val="TableofFigures"/>
              <w:rPr>
                <w:lang w:eastAsia="en-AU"/>
              </w:rPr>
            </w:pPr>
            <w:r w:rsidRPr="00CB63AD">
              <w:rPr>
                <w:lang w:eastAsia="en-AU"/>
              </w:rPr>
              <w:t xml:space="preserve"> 112.2</w:t>
            </w:r>
          </w:p>
        </w:tc>
      </w:tr>
      <w:tr w:rsidR="00B958B1" w:rsidRPr="00CB63AD" w:rsidTr="009F3B54">
        <w:tc>
          <w:tcPr>
            <w:tcW w:w="4964" w:type="dxa"/>
            <w:tcBorders>
              <w:top w:val="nil"/>
              <w:left w:val="nil"/>
              <w:bottom w:val="nil"/>
              <w:right w:val="nil"/>
            </w:tcBorders>
            <w:shd w:val="solid" w:color="FFFFFF" w:fill="auto"/>
          </w:tcPr>
          <w:p w:rsidR="00B958B1" w:rsidRPr="00CB63AD" w:rsidRDefault="00B958B1" w:rsidP="009F3B54">
            <w:pPr>
              <w:pStyle w:val="Tabletext"/>
              <w:rPr>
                <w:lang w:eastAsia="en-AU"/>
              </w:rPr>
            </w:pPr>
            <w:r w:rsidRPr="00CB63AD">
              <w:rPr>
                <w:lang w:eastAsia="en-AU"/>
              </w:rPr>
              <w:t>Receipts credited to appropriations</w:t>
            </w:r>
          </w:p>
        </w:tc>
        <w:tc>
          <w:tcPr>
            <w:tcW w:w="937" w:type="dxa"/>
            <w:tcBorders>
              <w:top w:val="nil"/>
              <w:left w:val="nil"/>
              <w:bottom w:val="nil"/>
              <w:right w:val="nil"/>
            </w:tcBorders>
            <w:shd w:val="solid" w:color="FFFFFF" w:fill="auto"/>
          </w:tcPr>
          <w:p w:rsidR="00B958B1" w:rsidRPr="00CB63AD" w:rsidRDefault="00B958B1" w:rsidP="009F3B54">
            <w:pPr>
              <w:pStyle w:val="TableofFigures"/>
              <w:rPr>
                <w:lang w:eastAsia="en-AU"/>
              </w:rPr>
            </w:pPr>
            <w:r w:rsidRPr="00CB63AD">
              <w:rPr>
                <w:lang w:eastAsia="en-AU"/>
              </w:rPr>
              <w:t xml:space="preserve"> 22.5</w:t>
            </w:r>
          </w:p>
        </w:tc>
        <w:tc>
          <w:tcPr>
            <w:tcW w:w="937" w:type="dxa"/>
            <w:tcBorders>
              <w:top w:val="nil"/>
              <w:left w:val="nil"/>
              <w:bottom w:val="nil"/>
              <w:right w:val="nil"/>
            </w:tcBorders>
            <w:shd w:val="solid" w:color="FFFFFF" w:fill="auto"/>
          </w:tcPr>
          <w:p w:rsidR="00B958B1" w:rsidRPr="00CB63AD" w:rsidRDefault="00B958B1" w:rsidP="009F3B54">
            <w:pPr>
              <w:pStyle w:val="TableofFigures"/>
              <w:rPr>
                <w:lang w:eastAsia="en-AU"/>
              </w:rPr>
            </w:pPr>
            <w:r w:rsidRPr="00CB63AD">
              <w:rPr>
                <w:lang w:eastAsia="en-AU"/>
              </w:rPr>
              <w:t xml:space="preserve"> 22.5</w:t>
            </w:r>
          </w:p>
        </w:tc>
        <w:tc>
          <w:tcPr>
            <w:tcW w:w="938" w:type="dxa"/>
            <w:tcBorders>
              <w:top w:val="nil"/>
              <w:left w:val="nil"/>
              <w:bottom w:val="nil"/>
              <w:right w:val="nil"/>
            </w:tcBorders>
            <w:shd w:val="solid" w:color="FFFFFF" w:fill="auto"/>
          </w:tcPr>
          <w:p w:rsidR="00B958B1" w:rsidRPr="00CB63AD" w:rsidRDefault="00B958B1" w:rsidP="009F3B54">
            <w:pPr>
              <w:pStyle w:val="TableofFigures"/>
              <w:rPr>
                <w:lang w:eastAsia="en-AU"/>
              </w:rPr>
            </w:pPr>
            <w:r w:rsidRPr="00CB63AD">
              <w:rPr>
                <w:lang w:eastAsia="en-AU"/>
              </w:rPr>
              <w:t xml:space="preserve"> 21.6</w:t>
            </w:r>
          </w:p>
        </w:tc>
      </w:tr>
      <w:tr w:rsidR="00B958B1" w:rsidRPr="00CB63AD" w:rsidTr="009F3B54">
        <w:tc>
          <w:tcPr>
            <w:tcW w:w="4964" w:type="dxa"/>
            <w:tcBorders>
              <w:top w:val="nil"/>
              <w:left w:val="nil"/>
              <w:bottom w:val="nil"/>
              <w:right w:val="nil"/>
            </w:tcBorders>
            <w:shd w:val="solid" w:color="FFFFFF" w:fill="auto"/>
          </w:tcPr>
          <w:p w:rsidR="00B958B1" w:rsidRPr="00CB63AD" w:rsidRDefault="00B958B1" w:rsidP="009F3B54">
            <w:pPr>
              <w:pStyle w:val="Tabletext"/>
              <w:rPr>
                <w:b/>
                <w:bCs/>
                <w:lang w:eastAsia="en-AU"/>
              </w:rPr>
            </w:pPr>
            <w:r w:rsidRPr="00CB63AD">
              <w:rPr>
                <w:b/>
                <w:bCs/>
                <w:lang w:eastAsia="en-AU"/>
              </w:rPr>
              <w:t>Unapplied previous years appropriation</w:t>
            </w:r>
          </w:p>
        </w:tc>
        <w:tc>
          <w:tcPr>
            <w:tcW w:w="937" w:type="dxa"/>
            <w:tcBorders>
              <w:top w:val="nil"/>
              <w:left w:val="nil"/>
              <w:bottom w:val="nil"/>
              <w:right w:val="nil"/>
            </w:tcBorders>
            <w:shd w:val="solid" w:color="FFFFFF" w:fill="auto"/>
          </w:tcPr>
          <w:p w:rsidR="00B958B1" w:rsidRPr="00CB63AD" w:rsidRDefault="00B958B1" w:rsidP="009F3B54">
            <w:pPr>
              <w:pStyle w:val="TableofFigures"/>
              <w:rPr>
                <w:lang w:eastAsia="en-AU"/>
              </w:rPr>
            </w:pPr>
            <w:r w:rsidRPr="00CB63AD">
              <w:rPr>
                <w:lang w:eastAsia="en-AU"/>
              </w:rPr>
              <w:t xml:space="preserve"> 6.4</w:t>
            </w:r>
          </w:p>
        </w:tc>
        <w:tc>
          <w:tcPr>
            <w:tcW w:w="937" w:type="dxa"/>
            <w:tcBorders>
              <w:top w:val="nil"/>
              <w:left w:val="nil"/>
              <w:bottom w:val="nil"/>
              <w:right w:val="nil"/>
            </w:tcBorders>
            <w:shd w:val="solid" w:color="FFFFFF" w:fill="auto"/>
          </w:tcPr>
          <w:p w:rsidR="00B958B1" w:rsidRPr="00CB63AD" w:rsidRDefault="00B958B1" w:rsidP="009F3B54">
            <w:pPr>
              <w:pStyle w:val="TableofFigures"/>
              <w:rPr>
                <w:lang w:eastAsia="en-AU"/>
              </w:rPr>
            </w:pPr>
            <w:r w:rsidRPr="00CB63AD">
              <w:rPr>
                <w:lang w:eastAsia="en-AU"/>
              </w:rPr>
              <w:t xml:space="preserve"> 5.0</w:t>
            </w:r>
          </w:p>
        </w:tc>
        <w:tc>
          <w:tcPr>
            <w:tcW w:w="938" w:type="dxa"/>
            <w:tcBorders>
              <w:top w:val="nil"/>
              <w:left w:val="nil"/>
              <w:bottom w:val="nil"/>
              <w:right w:val="nil"/>
            </w:tcBorders>
            <w:shd w:val="solid" w:color="FFFFFF" w:fill="auto"/>
          </w:tcPr>
          <w:p w:rsidR="00B958B1" w:rsidRPr="00CB63AD" w:rsidRDefault="00B958B1" w:rsidP="009F3B54">
            <w:pPr>
              <w:pStyle w:val="TableofFigures"/>
              <w:rPr>
                <w:lang w:eastAsia="en-AU"/>
              </w:rPr>
            </w:pPr>
            <w:r w:rsidRPr="00CB63AD">
              <w:rPr>
                <w:lang w:eastAsia="en-AU"/>
              </w:rPr>
              <w:t xml:space="preserve"> 5.0</w:t>
            </w:r>
          </w:p>
        </w:tc>
      </w:tr>
      <w:tr w:rsidR="00B958B1" w:rsidRPr="00CB63AD" w:rsidTr="009F3B54">
        <w:tc>
          <w:tcPr>
            <w:tcW w:w="4964" w:type="dxa"/>
            <w:tcBorders>
              <w:top w:val="nil"/>
              <w:left w:val="nil"/>
              <w:bottom w:val="nil"/>
              <w:right w:val="nil"/>
            </w:tcBorders>
            <w:shd w:val="solid" w:color="FFFFFF" w:fill="auto"/>
          </w:tcPr>
          <w:p w:rsidR="00B958B1" w:rsidRPr="00CB63AD" w:rsidRDefault="00B958B1" w:rsidP="009F3B54">
            <w:pPr>
              <w:pStyle w:val="Tabletext"/>
              <w:rPr>
                <w:lang w:eastAsia="en-AU"/>
              </w:rPr>
            </w:pPr>
            <w:r w:rsidRPr="00CB63AD">
              <w:rPr>
                <w:lang w:eastAsia="en-AU"/>
              </w:rPr>
              <w:t xml:space="preserve"> Provision of outputs</w:t>
            </w:r>
          </w:p>
        </w:tc>
        <w:tc>
          <w:tcPr>
            <w:tcW w:w="937" w:type="dxa"/>
            <w:tcBorders>
              <w:top w:val="nil"/>
              <w:left w:val="nil"/>
              <w:bottom w:val="nil"/>
              <w:right w:val="nil"/>
            </w:tcBorders>
            <w:shd w:val="solid" w:color="FFFFFF" w:fill="auto"/>
          </w:tcPr>
          <w:p w:rsidR="00B958B1" w:rsidRPr="00CB63AD" w:rsidRDefault="00B958B1" w:rsidP="009F3B54">
            <w:pPr>
              <w:pStyle w:val="TableofFigures"/>
              <w:rPr>
                <w:lang w:eastAsia="en-AU"/>
              </w:rPr>
            </w:pPr>
            <w:r w:rsidRPr="00CB63AD">
              <w:rPr>
                <w:lang w:eastAsia="en-AU"/>
              </w:rPr>
              <w:t xml:space="preserve"> 6.4</w:t>
            </w:r>
          </w:p>
        </w:tc>
        <w:tc>
          <w:tcPr>
            <w:tcW w:w="937" w:type="dxa"/>
            <w:tcBorders>
              <w:top w:val="nil"/>
              <w:left w:val="nil"/>
              <w:bottom w:val="nil"/>
              <w:right w:val="nil"/>
            </w:tcBorders>
            <w:shd w:val="solid" w:color="FFFFFF" w:fill="auto"/>
          </w:tcPr>
          <w:p w:rsidR="00B958B1" w:rsidRPr="00CB63AD" w:rsidRDefault="00B958B1" w:rsidP="009F3B54">
            <w:pPr>
              <w:pStyle w:val="TableofFigures"/>
              <w:rPr>
                <w:lang w:eastAsia="en-AU"/>
              </w:rPr>
            </w:pPr>
            <w:r w:rsidRPr="00CB63AD">
              <w:rPr>
                <w:lang w:eastAsia="en-AU"/>
              </w:rPr>
              <w:t xml:space="preserve"> 5.0</w:t>
            </w:r>
          </w:p>
        </w:tc>
        <w:tc>
          <w:tcPr>
            <w:tcW w:w="938" w:type="dxa"/>
            <w:tcBorders>
              <w:top w:val="nil"/>
              <w:left w:val="nil"/>
              <w:bottom w:val="nil"/>
              <w:right w:val="nil"/>
            </w:tcBorders>
            <w:shd w:val="solid" w:color="FFFFFF" w:fill="auto"/>
          </w:tcPr>
          <w:p w:rsidR="00B958B1" w:rsidRPr="00CB63AD" w:rsidRDefault="00B958B1" w:rsidP="009F3B54">
            <w:pPr>
              <w:pStyle w:val="TableofFigures"/>
              <w:rPr>
                <w:lang w:eastAsia="en-AU"/>
              </w:rPr>
            </w:pPr>
            <w:r w:rsidRPr="00CB63AD">
              <w:rPr>
                <w:lang w:eastAsia="en-AU"/>
              </w:rPr>
              <w:t xml:space="preserve"> 5.0</w:t>
            </w:r>
          </w:p>
        </w:tc>
      </w:tr>
      <w:tr w:rsidR="00B958B1" w:rsidRPr="00CB63AD" w:rsidTr="009F3B54">
        <w:tc>
          <w:tcPr>
            <w:tcW w:w="4964" w:type="dxa"/>
            <w:tcBorders>
              <w:top w:val="nil"/>
              <w:left w:val="nil"/>
              <w:bottom w:val="single" w:sz="6" w:space="0" w:color="auto"/>
              <w:right w:val="nil"/>
            </w:tcBorders>
            <w:shd w:val="solid" w:color="FFFFFF" w:fill="auto"/>
          </w:tcPr>
          <w:p w:rsidR="00B958B1" w:rsidRPr="00CB63AD" w:rsidRDefault="00B958B1" w:rsidP="009F3B54">
            <w:pPr>
              <w:pStyle w:val="Tabletext"/>
              <w:rPr>
                <w:lang w:eastAsia="en-AU"/>
              </w:rPr>
            </w:pPr>
            <w:r w:rsidRPr="00CB63AD">
              <w:rPr>
                <w:lang w:eastAsia="en-AU"/>
              </w:rPr>
              <w:t>Accumulated surplus – previously applied appropriation</w:t>
            </w:r>
          </w:p>
        </w:tc>
        <w:tc>
          <w:tcPr>
            <w:tcW w:w="937" w:type="dxa"/>
            <w:tcBorders>
              <w:top w:val="nil"/>
              <w:left w:val="nil"/>
              <w:bottom w:val="single" w:sz="6" w:space="0" w:color="auto"/>
              <w:right w:val="nil"/>
            </w:tcBorders>
            <w:shd w:val="solid" w:color="FFFFFF" w:fill="auto"/>
          </w:tcPr>
          <w:p w:rsidR="00B958B1" w:rsidRPr="00CB63AD" w:rsidRDefault="00B958B1" w:rsidP="009F3B54">
            <w:pPr>
              <w:pStyle w:val="TableofFigures"/>
              <w:rPr>
                <w:lang w:eastAsia="en-AU"/>
              </w:rPr>
            </w:pPr>
            <w:r w:rsidRPr="00CB63AD">
              <w:rPr>
                <w:lang w:eastAsia="en-AU"/>
              </w:rPr>
              <w:t xml:space="preserve"> 4.3</w:t>
            </w:r>
          </w:p>
        </w:tc>
        <w:tc>
          <w:tcPr>
            <w:tcW w:w="937" w:type="dxa"/>
            <w:tcBorders>
              <w:top w:val="nil"/>
              <w:left w:val="nil"/>
              <w:bottom w:val="single" w:sz="6" w:space="0" w:color="auto"/>
              <w:right w:val="nil"/>
            </w:tcBorders>
            <w:shd w:val="solid" w:color="FFFFFF" w:fill="auto"/>
          </w:tcPr>
          <w:p w:rsidR="00B958B1" w:rsidRPr="00CB63AD" w:rsidRDefault="00B958B1" w:rsidP="009F3B54">
            <w:pPr>
              <w:pStyle w:val="TableofFigures"/>
              <w:rPr>
                <w:lang w:eastAsia="en-AU"/>
              </w:rPr>
            </w:pPr>
            <w:r w:rsidRPr="00CB63AD">
              <w:rPr>
                <w:lang w:eastAsia="en-AU"/>
              </w:rPr>
              <w:t xml:space="preserve"> 5.2</w:t>
            </w:r>
          </w:p>
        </w:tc>
        <w:tc>
          <w:tcPr>
            <w:tcW w:w="938" w:type="dxa"/>
            <w:tcBorders>
              <w:top w:val="nil"/>
              <w:left w:val="nil"/>
              <w:bottom w:val="single" w:sz="6" w:space="0" w:color="auto"/>
              <w:right w:val="nil"/>
            </w:tcBorders>
            <w:shd w:val="solid" w:color="FFFFFF" w:fill="auto"/>
          </w:tcPr>
          <w:p w:rsidR="00B958B1" w:rsidRPr="00CB63AD" w:rsidRDefault="00B958B1" w:rsidP="009F3B54">
            <w:pPr>
              <w:pStyle w:val="TableofFigures"/>
              <w:rPr>
                <w:lang w:eastAsia="en-AU"/>
              </w:rPr>
            </w:pPr>
            <w:r w:rsidRPr="00CB63AD">
              <w:rPr>
                <w:lang w:eastAsia="en-AU"/>
              </w:rPr>
              <w:t xml:space="preserve"> 0.6</w:t>
            </w:r>
          </w:p>
        </w:tc>
      </w:tr>
      <w:tr w:rsidR="00B958B1" w:rsidRPr="00CB63AD" w:rsidTr="009F3B54">
        <w:tc>
          <w:tcPr>
            <w:tcW w:w="4964" w:type="dxa"/>
            <w:tcBorders>
              <w:top w:val="nil"/>
              <w:left w:val="nil"/>
              <w:bottom w:val="nil"/>
              <w:right w:val="nil"/>
            </w:tcBorders>
            <w:shd w:val="solid" w:color="FFFFFF" w:fill="auto"/>
          </w:tcPr>
          <w:p w:rsidR="00B958B1" w:rsidRPr="00CB63AD" w:rsidRDefault="00B958B1" w:rsidP="009F3B54">
            <w:pPr>
              <w:pStyle w:val="Tabletext"/>
              <w:rPr>
                <w:b/>
                <w:bCs/>
                <w:lang w:eastAsia="en-AU"/>
              </w:rPr>
            </w:pPr>
            <w:r w:rsidRPr="00CB63AD">
              <w:rPr>
                <w:b/>
                <w:bCs/>
                <w:lang w:eastAsia="en-AU"/>
              </w:rPr>
              <w:t>Gross annual appropriation</w:t>
            </w:r>
          </w:p>
        </w:tc>
        <w:tc>
          <w:tcPr>
            <w:tcW w:w="937" w:type="dxa"/>
            <w:tcBorders>
              <w:top w:val="nil"/>
              <w:left w:val="nil"/>
              <w:bottom w:val="nil"/>
              <w:right w:val="nil"/>
            </w:tcBorders>
            <w:shd w:val="solid" w:color="FFFFFF" w:fill="auto"/>
          </w:tcPr>
          <w:p w:rsidR="00B958B1" w:rsidRPr="00CB63AD" w:rsidRDefault="00B958B1" w:rsidP="009F3B54">
            <w:pPr>
              <w:pStyle w:val="TableofFigures"/>
              <w:rPr>
                <w:b/>
                <w:bCs/>
                <w:lang w:eastAsia="en-AU"/>
              </w:rPr>
            </w:pPr>
            <w:r w:rsidRPr="00CB63AD">
              <w:rPr>
                <w:b/>
                <w:bCs/>
                <w:lang w:eastAsia="en-AU"/>
              </w:rPr>
              <w:t xml:space="preserve"> 134.3</w:t>
            </w:r>
          </w:p>
        </w:tc>
        <w:tc>
          <w:tcPr>
            <w:tcW w:w="937" w:type="dxa"/>
            <w:tcBorders>
              <w:top w:val="nil"/>
              <w:left w:val="nil"/>
              <w:bottom w:val="nil"/>
              <w:right w:val="nil"/>
            </w:tcBorders>
            <w:shd w:val="solid" w:color="FFFFFF" w:fill="auto"/>
          </w:tcPr>
          <w:p w:rsidR="00B958B1" w:rsidRPr="00CB63AD" w:rsidRDefault="00B958B1" w:rsidP="009F3B54">
            <w:pPr>
              <w:pStyle w:val="TableofFigures"/>
              <w:rPr>
                <w:b/>
                <w:bCs/>
                <w:lang w:eastAsia="en-AU"/>
              </w:rPr>
            </w:pPr>
            <w:r w:rsidRPr="00CB63AD">
              <w:rPr>
                <w:b/>
                <w:bCs/>
                <w:lang w:eastAsia="en-AU"/>
              </w:rPr>
              <w:t xml:space="preserve"> 137.0</w:t>
            </w:r>
          </w:p>
        </w:tc>
        <w:tc>
          <w:tcPr>
            <w:tcW w:w="938" w:type="dxa"/>
            <w:tcBorders>
              <w:top w:val="nil"/>
              <w:left w:val="nil"/>
              <w:bottom w:val="nil"/>
              <w:right w:val="nil"/>
            </w:tcBorders>
            <w:shd w:val="solid" w:color="FFFFFF" w:fill="auto"/>
          </w:tcPr>
          <w:p w:rsidR="00B958B1" w:rsidRPr="00CB63AD" w:rsidRDefault="00B958B1" w:rsidP="009F3B54">
            <w:pPr>
              <w:pStyle w:val="TableofFigures"/>
              <w:rPr>
                <w:b/>
                <w:bCs/>
                <w:lang w:eastAsia="en-AU"/>
              </w:rPr>
            </w:pPr>
            <w:r w:rsidRPr="00CB63AD">
              <w:rPr>
                <w:b/>
                <w:bCs/>
                <w:lang w:eastAsia="en-AU"/>
              </w:rPr>
              <w:t xml:space="preserve"> 139.5</w:t>
            </w:r>
          </w:p>
        </w:tc>
      </w:tr>
      <w:tr w:rsidR="00B958B1" w:rsidRPr="00CB63AD" w:rsidTr="009F3B54">
        <w:tc>
          <w:tcPr>
            <w:tcW w:w="4964" w:type="dxa"/>
            <w:tcBorders>
              <w:top w:val="nil"/>
              <w:left w:val="nil"/>
              <w:bottom w:val="nil"/>
              <w:right w:val="nil"/>
            </w:tcBorders>
            <w:shd w:val="solid" w:color="FFFFFF" w:fill="auto"/>
          </w:tcPr>
          <w:p w:rsidR="00B958B1" w:rsidRPr="00CB63AD" w:rsidRDefault="00B958B1" w:rsidP="009F3B54">
            <w:pPr>
              <w:pStyle w:val="Tabletext"/>
              <w:rPr>
                <w:lang w:eastAsia="en-AU"/>
              </w:rPr>
            </w:pPr>
            <w:r w:rsidRPr="00CB63AD">
              <w:rPr>
                <w:lang w:eastAsia="en-AU"/>
              </w:rPr>
              <w:t>Special appropriations</w:t>
            </w:r>
          </w:p>
        </w:tc>
        <w:tc>
          <w:tcPr>
            <w:tcW w:w="937" w:type="dxa"/>
            <w:tcBorders>
              <w:top w:val="nil"/>
              <w:left w:val="nil"/>
              <w:bottom w:val="nil"/>
              <w:right w:val="nil"/>
            </w:tcBorders>
            <w:shd w:val="solid" w:color="FFFFFF" w:fill="auto"/>
          </w:tcPr>
          <w:p w:rsidR="00B958B1" w:rsidRPr="00CB63AD" w:rsidRDefault="00B958B1" w:rsidP="009F3B54">
            <w:pPr>
              <w:pStyle w:val="TableofFigures"/>
              <w:rPr>
                <w:lang w:eastAsia="en-AU"/>
              </w:rPr>
            </w:pPr>
            <w:r w:rsidRPr="00CB63AD">
              <w:rPr>
                <w:lang w:eastAsia="en-AU"/>
              </w:rPr>
              <w:t xml:space="preserve"> 33.8</w:t>
            </w:r>
          </w:p>
        </w:tc>
        <w:tc>
          <w:tcPr>
            <w:tcW w:w="937" w:type="dxa"/>
            <w:tcBorders>
              <w:top w:val="nil"/>
              <w:left w:val="nil"/>
              <w:bottom w:val="nil"/>
              <w:right w:val="nil"/>
            </w:tcBorders>
            <w:shd w:val="solid" w:color="FFFFFF" w:fill="auto"/>
          </w:tcPr>
          <w:p w:rsidR="00B958B1" w:rsidRPr="00CB63AD" w:rsidRDefault="00B958B1" w:rsidP="009F3B54">
            <w:pPr>
              <w:pStyle w:val="TableofFigures"/>
              <w:rPr>
                <w:lang w:eastAsia="en-AU"/>
              </w:rPr>
            </w:pPr>
            <w:r w:rsidRPr="00CB63AD">
              <w:rPr>
                <w:lang w:eastAsia="en-AU"/>
              </w:rPr>
              <w:t xml:space="preserve"> 33.8</w:t>
            </w:r>
          </w:p>
        </w:tc>
        <w:tc>
          <w:tcPr>
            <w:tcW w:w="938" w:type="dxa"/>
            <w:tcBorders>
              <w:top w:val="nil"/>
              <w:left w:val="nil"/>
              <w:bottom w:val="nil"/>
              <w:right w:val="nil"/>
            </w:tcBorders>
            <w:shd w:val="solid" w:color="FFFFFF" w:fill="auto"/>
          </w:tcPr>
          <w:p w:rsidR="00B958B1" w:rsidRPr="00CB63AD" w:rsidRDefault="00B958B1" w:rsidP="009F3B54">
            <w:pPr>
              <w:pStyle w:val="TableofFigures"/>
              <w:rPr>
                <w:lang w:eastAsia="en-AU"/>
              </w:rPr>
            </w:pPr>
            <w:r w:rsidRPr="00CB63AD">
              <w:rPr>
                <w:lang w:eastAsia="en-AU"/>
              </w:rPr>
              <w:t xml:space="preserve"> 34.4</w:t>
            </w:r>
          </w:p>
        </w:tc>
      </w:tr>
      <w:tr w:rsidR="00B958B1" w:rsidRPr="00CB63AD" w:rsidTr="009F3B54">
        <w:tc>
          <w:tcPr>
            <w:tcW w:w="4964" w:type="dxa"/>
            <w:tcBorders>
              <w:top w:val="nil"/>
              <w:left w:val="nil"/>
              <w:bottom w:val="single" w:sz="6" w:space="0" w:color="auto"/>
              <w:right w:val="nil"/>
            </w:tcBorders>
            <w:shd w:val="solid" w:color="FFFFFF" w:fill="auto"/>
          </w:tcPr>
          <w:p w:rsidR="00B958B1" w:rsidRPr="00CB63AD" w:rsidRDefault="00B958B1" w:rsidP="009F3B54">
            <w:pPr>
              <w:pStyle w:val="Tabletext"/>
              <w:rPr>
                <w:lang w:eastAsia="en-AU"/>
              </w:rPr>
            </w:pPr>
            <w:r w:rsidRPr="00CB63AD">
              <w:rPr>
                <w:lang w:eastAsia="en-AU"/>
              </w:rPr>
              <w:t>Trust funds</w:t>
            </w:r>
          </w:p>
        </w:tc>
        <w:tc>
          <w:tcPr>
            <w:tcW w:w="937" w:type="dxa"/>
            <w:tcBorders>
              <w:top w:val="nil"/>
              <w:left w:val="nil"/>
              <w:bottom w:val="single" w:sz="6" w:space="0" w:color="auto"/>
              <w:right w:val="nil"/>
            </w:tcBorders>
            <w:shd w:val="solid" w:color="FFFFFF" w:fill="auto"/>
          </w:tcPr>
          <w:p w:rsidR="00B958B1" w:rsidRPr="00CB63AD" w:rsidRDefault="00B958B1" w:rsidP="009F3B54">
            <w:pPr>
              <w:pStyle w:val="TableofFigures"/>
              <w:rPr>
                <w:lang w:eastAsia="en-AU"/>
              </w:rPr>
            </w:pPr>
            <w:r w:rsidRPr="00CB63AD">
              <w:rPr>
                <w:lang w:eastAsia="en-AU"/>
              </w:rPr>
              <w:t xml:space="preserve"> 0.0</w:t>
            </w:r>
          </w:p>
        </w:tc>
        <w:tc>
          <w:tcPr>
            <w:tcW w:w="937" w:type="dxa"/>
            <w:tcBorders>
              <w:top w:val="nil"/>
              <w:left w:val="nil"/>
              <w:bottom w:val="single" w:sz="6" w:space="0" w:color="auto"/>
              <w:right w:val="nil"/>
            </w:tcBorders>
            <w:shd w:val="solid" w:color="FFFFFF" w:fill="auto"/>
          </w:tcPr>
          <w:p w:rsidR="00B958B1" w:rsidRPr="00CB63AD" w:rsidRDefault="00B958B1" w:rsidP="009F3B54">
            <w:pPr>
              <w:pStyle w:val="TableofFigures"/>
              <w:rPr>
                <w:lang w:eastAsia="en-AU"/>
              </w:rPr>
            </w:pPr>
            <w:r w:rsidRPr="00CB63AD">
              <w:rPr>
                <w:lang w:eastAsia="en-AU"/>
              </w:rPr>
              <w:t xml:space="preserve"> 0.0</w:t>
            </w:r>
          </w:p>
        </w:tc>
        <w:tc>
          <w:tcPr>
            <w:tcW w:w="938" w:type="dxa"/>
            <w:tcBorders>
              <w:top w:val="nil"/>
              <w:left w:val="nil"/>
              <w:bottom w:val="single" w:sz="6" w:space="0" w:color="auto"/>
              <w:right w:val="nil"/>
            </w:tcBorders>
            <w:shd w:val="solid" w:color="FFFFFF" w:fill="auto"/>
          </w:tcPr>
          <w:p w:rsidR="00B958B1" w:rsidRPr="00CB63AD" w:rsidRDefault="00B958B1" w:rsidP="009F3B54">
            <w:pPr>
              <w:pStyle w:val="TableofFigures"/>
              <w:rPr>
                <w:lang w:eastAsia="en-AU"/>
              </w:rPr>
            </w:pPr>
            <w:r w:rsidRPr="00CB63AD">
              <w:rPr>
                <w:lang w:eastAsia="en-AU"/>
              </w:rPr>
              <w:t xml:space="preserve"> 0.0</w:t>
            </w:r>
          </w:p>
        </w:tc>
      </w:tr>
      <w:tr w:rsidR="00B958B1" w:rsidRPr="00CB63AD" w:rsidTr="009F3B54">
        <w:tc>
          <w:tcPr>
            <w:tcW w:w="4964" w:type="dxa"/>
            <w:tcBorders>
              <w:top w:val="nil"/>
              <w:left w:val="nil"/>
              <w:bottom w:val="single" w:sz="12" w:space="0" w:color="auto"/>
              <w:right w:val="nil"/>
            </w:tcBorders>
            <w:shd w:val="solid" w:color="FFFFFF" w:fill="auto"/>
          </w:tcPr>
          <w:p w:rsidR="00B958B1" w:rsidRPr="00CB63AD" w:rsidRDefault="00B958B1" w:rsidP="009F3B54">
            <w:pPr>
              <w:pStyle w:val="Tabletext"/>
              <w:rPr>
                <w:b/>
                <w:bCs/>
                <w:lang w:eastAsia="en-AU"/>
              </w:rPr>
            </w:pPr>
            <w:r w:rsidRPr="00CB63AD">
              <w:rPr>
                <w:b/>
                <w:bCs/>
                <w:lang w:eastAsia="en-AU"/>
              </w:rPr>
              <w:t>Total parliamentary authority</w:t>
            </w:r>
          </w:p>
        </w:tc>
        <w:tc>
          <w:tcPr>
            <w:tcW w:w="937" w:type="dxa"/>
            <w:tcBorders>
              <w:top w:val="nil"/>
              <w:left w:val="nil"/>
              <w:bottom w:val="single" w:sz="12" w:space="0" w:color="auto"/>
              <w:right w:val="nil"/>
            </w:tcBorders>
            <w:shd w:val="solid" w:color="FFFFFF" w:fill="auto"/>
          </w:tcPr>
          <w:p w:rsidR="00B958B1" w:rsidRPr="00CB63AD" w:rsidRDefault="00B958B1" w:rsidP="009F3B54">
            <w:pPr>
              <w:pStyle w:val="TableofFigures"/>
              <w:rPr>
                <w:b/>
                <w:bCs/>
                <w:lang w:eastAsia="en-AU"/>
              </w:rPr>
            </w:pPr>
            <w:r w:rsidRPr="00CB63AD">
              <w:rPr>
                <w:b/>
                <w:bCs/>
                <w:lang w:eastAsia="en-AU"/>
              </w:rPr>
              <w:t xml:space="preserve"> 168.1</w:t>
            </w:r>
          </w:p>
        </w:tc>
        <w:tc>
          <w:tcPr>
            <w:tcW w:w="937" w:type="dxa"/>
            <w:tcBorders>
              <w:top w:val="nil"/>
              <w:left w:val="nil"/>
              <w:bottom w:val="single" w:sz="12" w:space="0" w:color="auto"/>
              <w:right w:val="nil"/>
            </w:tcBorders>
            <w:shd w:val="solid" w:color="FFFFFF" w:fill="auto"/>
          </w:tcPr>
          <w:p w:rsidR="00B958B1" w:rsidRPr="00CB63AD" w:rsidRDefault="00B958B1" w:rsidP="009F3B54">
            <w:pPr>
              <w:pStyle w:val="TableofFigures"/>
              <w:rPr>
                <w:b/>
                <w:bCs/>
                <w:lang w:eastAsia="en-AU"/>
              </w:rPr>
            </w:pPr>
            <w:r w:rsidRPr="00CB63AD">
              <w:rPr>
                <w:b/>
                <w:bCs/>
                <w:lang w:eastAsia="en-AU"/>
              </w:rPr>
              <w:t xml:space="preserve"> 170.8</w:t>
            </w:r>
          </w:p>
        </w:tc>
        <w:tc>
          <w:tcPr>
            <w:tcW w:w="938" w:type="dxa"/>
            <w:tcBorders>
              <w:top w:val="nil"/>
              <w:left w:val="nil"/>
              <w:bottom w:val="single" w:sz="12" w:space="0" w:color="auto"/>
              <w:right w:val="nil"/>
            </w:tcBorders>
            <w:shd w:val="solid" w:color="FFFFFF" w:fill="auto"/>
          </w:tcPr>
          <w:p w:rsidR="00B958B1" w:rsidRPr="00CB63AD" w:rsidRDefault="00B958B1" w:rsidP="009F3B54">
            <w:pPr>
              <w:pStyle w:val="TableofFigures"/>
              <w:rPr>
                <w:b/>
                <w:bCs/>
                <w:lang w:eastAsia="en-AU"/>
              </w:rPr>
            </w:pPr>
            <w:r w:rsidRPr="00CB63AD">
              <w:rPr>
                <w:b/>
                <w:bCs/>
                <w:lang w:eastAsia="en-AU"/>
              </w:rPr>
              <w:t xml:space="preserve"> 173.9</w:t>
            </w:r>
          </w:p>
        </w:tc>
      </w:tr>
    </w:tbl>
    <w:p w:rsidR="00B958B1" w:rsidRDefault="00B958B1" w:rsidP="009F3B54">
      <w:pPr>
        <w:pStyle w:val="Source"/>
        <w:rPr>
          <w:lang w:eastAsia="en-AU"/>
        </w:rPr>
      </w:pPr>
      <w:r w:rsidRPr="00C534E5">
        <w:rPr>
          <w:lang w:eastAsia="en-AU"/>
        </w:rPr>
        <w:t>Sources: Parliament of Victoria and Department of Treasury and Finance</w:t>
      </w:r>
    </w:p>
    <w:p w:rsidR="00B958B1" w:rsidRPr="00DC16C4" w:rsidRDefault="00B958B1" w:rsidP="009F3B54">
      <w:pPr>
        <w:pStyle w:val="Source"/>
        <w:rPr>
          <w:lang w:eastAsia="en-AU"/>
        </w:rPr>
      </w:pPr>
      <w:r>
        <w:rPr>
          <w:lang w:eastAsia="en-AU"/>
        </w:rPr>
        <w:fldChar w:fldCharType="begin"/>
      </w:r>
      <w:r>
        <w:instrText xml:space="preserve"> XE "</w:instrText>
      </w:r>
      <w:r w:rsidRPr="00473CF5">
        <w:instrText>Parliament:Parliamentary authority for resources</w:instrText>
      </w:r>
      <w:r>
        <w:instrText xml:space="preserve">" </w:instrText>
      </w:r>
      <w:r>
        <w:rPr>
          <w:lang w:eastAsia="en-AU"/>
        </w:rPr>
        <w:fldChar w:fldCharType="end"/>
      </w:r>
    </w:p>
    <w:p w:rsidR="00B958B1" w:rsidRDefault="00B958B1" w:rsidP="009F3B54">
      <w:pPr>
        <w:pStyle w:val="OGHeading1"/>
      </w:pPr>
      <w:r>
        <w:br w:type="page"/>
      </w:r>
      <w:bookmarkStart w:id="152" w:name="BP3ParliamentLegisCouncil"/>
      <w:r w:rsidRPr="004E6D9D">
        <w:t>Legislative Council</w:t>
      </w:r>
    </w:p>
    <w:tbl>
      <w:tblPr>
        <w:tblW w:w="7782" w:type="dxa"/>
        <w:tblInd w:w="29" w:type="dxa"/>
        <w:tblLayout w:type="fixed"/>
        <w:tblCellMar>
          <w:left w:w="43" w:type="dxa"/>
          <w:right w:w="43" w:type="dxa"/>
        </w:tblCellMar>
        <w:tblLook w:val="04A0" w:firstRow="1" w:lastRow="0" w:firstColumn="1" w:lastColumn="0" w:noHBand="0" w:noVBand="1"/>
      </w:tblPr>
      <w:tblGrid>
        <w:gridCol w:w="3154"/>
        <w:gridCol w:w="908"/>
        <w:gridCol w:w="907"/>
        <w:gridCol w:w="994"/>
        <w:gridCol w:w="907"/>
        <w:gridCol w:w="906"/>
        <w:gridCol w:w="6"/>
      </w:tblGrid>
      <w:tr w:rsidR="00B958B1" w:rsidRPr="00773447" w:rsidTr="009F3B54">
        <w:trPr>
          <w:cantSplit/>
        </w:trPr>
        <w:tc>
          <w:tcPr>
            <w:tcW w:w="3154" w:type="dxa"/>
            <w:tcBorders>
              <w:top w:val="single" w:sz="4" w:space="0" w:color="auto"/>
              <w:left w:val="single" w:sz="4" w:space="0" w:color="auto"/>
              <w:bottom w:val="single" w:sz="4" w:space="0" w:color="auto"/>
              <w:right w:val="nil"/>
            </w:tcBorders>
            <w:shd w:val="clear" w:color="auto" w:fill="000000"/>
            <w:vAlign w:val="bottom"/>
          </w:tcPr>
          <w:p w:rsidR="00B958B1" w:rsidRPr="00773447" w:rsidRDefault="00B958B1" w:rsidP="009F3B54">
            <w:pPr>
              <w:spacing w:before="30" w:after="30"/>
              <w:rPr>
                <w:rFonts w:ascii="Calibri" w:hAnsi="Calibri"/>
                <w:b/>
                <w:i/>
                <w:sz w:val="20"/>
                <w:szCs w:val="18"/>
                <w:lang w:eastAsia="en-AU"/>
              </w:rPr>
            </w:pPr>
            <w:r w:rsidRPr="00773447">
              <w:rPr>
                <w:rFonts w:ascii="Calibri" w:hAnsi="Calibri"/>
                <w:b/>
                <w:sz w:val="20"/>
                <w:szCs w:val="18"/>
                <w:lang w:eastAsia="en-AU"/>
              </w:rPr>
              <w:t>Major Outputs/Deliverables</w:t>
            </w:r>
            <w:r w:rsidRPr="00773447">
              <w:rPr>
                <w:rFonts w:ascii="Calibri" w:hAnsi="Calibri"/>
                <w:b/>
                <w:sz w:val="20"/>
                <w:szCs w:val="18"/>
                <w:lang w:eastAsia="en-AU"/>
              </w:rPr>
              <w:br/>
            </w:r>
            <w:r w:rsidRPr="00773447">
              <w:rPr>
                <w:rFonts w:ascii="Calibri" w:hAnsi="Calibri"/>
                <w:i/>
                <w:sz w:val="20"/>
                <w:szCs w:val="18"/>
                <w:lang w:eastAsia="en-AU"/>
              </w:rPr>
              <w:t>Performance measures</w:t>
            </w:r>
          </w:p>
        </w:tc>
        <w:tc>
          <w:tcPr>
            <w:tcW w:w="908"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center"/>
              <w:rPr>
                <w:rFonts w:ascii="Calibri" w:hAnsi="Calibri"/>
                <w:b/>
                <w:sz w:val="20"/>
                <w:szCs w:val="18"/>
                <w:lang w:eastAsia="en-AU"/>
              </w:rPr>
            </w:pPr>
            <w:r w:rsidRPr="00773447">
              <w:rPr>
                <w:rFonts w:ascii="Calibri" w:hAnsi="Calibri"/>
                <w:b/>
                <w:sz w:val="20"/>
                <w:szCs w:val="18"/>
                <w:lang w:eastAsia="en-AU"/>
              </w:rPr>
              <w:t xml:space="preserve">Unit of </w:t>
            </w:r>
            <w:r w:rsidRPr="00773447">
              <w:rPr>
                <w:rFonts w:ascii="Calibri" w:hAnsi="Calibri"/>
                <w:b/>
                <w:sz w:val="20"/>
                <w:szCs w:val="18"/>
                <w:lang w:eastAsia="en-AU"/>
              </w:rPr>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2013</w:t>
            </w:r>
            <w:r w:rsidR="009F0F49">
              <w:rPr>
                <w:rFonts w:ascii="Calibri" w:hAnsi="Calibri"/>
                <w:b/>
                <w:sz w:val="20"/>
                <w:szCs w:val="18"/>
              </w:rPr>
              <w:noBreakHyphen/>
            </w:r>
            <w:r w:rsidRPr="00773447">
              <w:rPr>
                <w:rFonts w:ascii="Calibri" w:hAnsi="Calibri"/>
                <w:b/>
                <w:sz w:val="20"/>
                <w:szCs w:val="18"/>
              </w:rPr>
              <w:t>14 Target</w:t>
            </w:r>
          </w:p>
        </w:tc>
        <w:tc>
          <w:tcPr>
            <w:tcW w:w="994"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2012</w:t>
            </w:r>
            <w:r w:rsidR="009F0F49">
              <w:rPr>
                <w:rFonts w:ascii="Calibri" w:hAnsi="Calibri"/>
                <w:b/>
                <w:sz w:val="20"/>
                <w:szCs w:val="18"/>
              </w:rPr>
              <w:noBreakHyphen/>
            </w:r>
            <w:r w:rsidRPr="00773447">
              <w:rPr>
                <w:rFonts w:ascii="Calibri" w:hAnsi="Calibri"/>
                <w:b/>
                <w:sz w:val="20"/>
                <w:szCs w:val="18"/>
              </w:rPr>
              <w:t>13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2012</w:t>
            </w:r>
            <w:r w:rsidR="009F0F49">
              <w:rPr>
                <w:rFonts w:ascii="Calibri" w:hAnsi="Calibri"/>
                <w:b/>
                <w:sz w:val="20"/>
                <w:szCs w:val="18"/>
              </w:rPr>
              <w:noBreakHyphen/>
            </w:r>
            <w:r w:rsidRPr="00773447">
              <w:rPr>
                <w:rFonts w:ascii="Calibri" w:hAnsi="Calibri"/>
                <w:b/>
                <w:sz w:val="20"/>
                <w:szCs w:val="18"/>
              </w:rPr>
              <w:t>13 Target</w:t>
            </w:r>
          </w:p>
        </w:tc>
        <w:tc>
          <w:tcPr>
            <w:tcW w:w="912" w:type="dxa"/>
            <w:gridSpan w:val="2"/>
            <w:tcBorders>
              <w:top w:val="single" w:sz="4" w:space="0" w:color="auto"/>
              <w:left w:val="nil"/>
              <w:bottom w:val="single" w:sz="4" w:space="0" w:color="auto"/>
              <w:right w:val="single" w:sz="4" w:space="0" w:color="auto"/>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2011</w:t>
            </w:r>
            <w:r w:rsidR="009F0F49">
              <w:rPr>
                <w:rFonts w:ascii="Calibri" w:hAnsi="Calibri"/>
                <w:b/>
                <w:sz w:val="20"/>
                <w:szCs w:val="18"/>
              </w:rPr>
              <w:noBreakHyphen/>
            </w:r>
            <w:r w:rsidRPr="00773447">
              <w:rPr>
                <w:rFonts w:ascii="Calibri" w:hAnsi="Calibri"/>
                <w:b/>
                <w:sz w:val="20"/>
                <w:szCs w:val="18"/>
              </w:rPr>
              <w:t>12 Actual</w:t>
            </w:r>
          </w:p>
        </w:tc>
      </w:tr>
      <w:tr w:rsidR="00B958B1" w:rsidRPr="0063173D" w:rsidTr="009F3B54">
        <w:trPr>
          <w:gridAfter w:val="1"/>
          <w:wAfter w:w="6" w:type="dxa"/>
          <w:cantSplit/>
        </w:trPr>
        <w:tc>
          <w:tcPr>
            <w:tcW w:w="7776" w:type="dxa"/>
            <w:gridSpan w:val="6"/>
            <w:tcBorders>
              <w:top w:val="nil"/>
              <w:left w:val="nil"/>
              <w:bottom w:val="nil"/>
              <w:right w:val="nil"/>
            </w:tcBorders>
            <w:shd w:val="clear" w:color="auto" w:fill="auto"/>
            <w:vAlign w:val="bottom"/>
            <w:hideMark/>
          </w:tcPr>
          <w:p w:rsidR="00B958B1" w:rsidRPr="004E6D9D" w:rsidRDefault="00B958B1" w:rsidP="009F3B54">
            <w:pPr>
              <w:pStyle w:val="OGHeading2"/>
              <w:rPr>
                <w:lang w:eastAsia="en-AU"/>
              </w:rPr>
            </w:pPr>
            <w:r w:rsidRPr="0063173D">
              <w:rPr>
                <w:lang w:eastAsia="en-AU"/>
              </w:rPr>
              <w:t>Procedural Support, Documentation Preparation and Provision of Information for Council</w:t>
            </w:r>
          </w:p>
        </w:tc>
      </w:tr>
      <w:tr w:rsidR="00B958B1" w:rsidRPr="0063173D"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3173D" w:rsidRDefault="00B958B1" w:rsidP="009F3B54">
            <w:pPr>
              <w:pStyle w:val="OGText"/>
              <w:rPr>
                <w:lang w:eastAsia="en-AU"/>
              </w:rPr>
            </w:pPr>
            <w:r w:rsidRPr="0063173D">
              <w:rPr>
                <w:lang w:eastAsia="en-AU"/>
              </w:rPr>
              <w:t>This output involves the provision of procedural advice to Members of the Legislative Council including: processing of legislation, preparation of the records of the proceedings and documentation required for the sittings of the Council, provision of assistance to Parliamentary Committees, provision of information relating to the proceedings of the Council, and the enhancement of public awareness of Parliament.</w:t>
            </w:r>
          </w:p>
        </w:tc>
      </w:tr>
      <w:tr w:rsidR="00B958B1" w:rsidRPr="001A0FFE"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1A0FFE" w:rsidRDefault="00B958B1" w:rsidP="009F3B54">
            <w:pPr>
              <w:pStyle w:val="OGTabHead"/>
            </w:pPr>
            <w:r w:rsidRPr="001A0FFE">
              <w:t>Quantity</w:t>
            </w:r>
          </w:p>
        </w:tc>
        <w:tc>
          <w:tcPr>
            <w:tcW w:w="908" w:type="dxa"/>
            <w:tcBorders>
              <w:top w:val="single" w:sz="6" w:space="0" w:color="auto"/>
              <w:left w:val="nil"/>
              <w:bottom w:val="nil"/>
              <w:right w:val="nil"/>
            </w:tcBorders>
            <w:shd w:val="clear" w:color="auto" w:fill="auto"/>
            <w:noWrap/>
            <w:vAlign w:val="bottom"/>
            <w:hideMark/>
          </w:tcPr>
          <w:p w:rsidR="00B958B1" w:rsidRPr="001A0FFE" w:rsidRDefault="00B958B1" w:rsidP="009F3B54">
            <w:pPr>
              <w:pStyle w:val="OGTabHead"/>
            </w:pPr>
          </w:p>
        </w:tc>
        <w:tc>
          <w:tcPr>
            <w:tcW w:w="907" w:type="dxa"/>
            <w:tcBorders>
              <w:top w:val="single" w:sz="6" w:space="0" w:color="auto"/>
              <w:left w:val="nil"/>
              <w:bottom w:val="nil"/>
              <w:right w:val="nil"/>
            </w:tcBorders>
            <w:shd w:val="clear" w:color="auto" w:fill="D9D9D9"/>
            <w:noWrap/>
            <w:vAlign w:val="bottom"/>
            <w:hideMark/>
          </w:tcPr>
          <w:p w:rsidR="00B958B1" w:rsidRPr="001A0FFE" w:rsidRDefault="00B958B1" w:rsidP="009F3B54">
            <w:pPr>
              <w:pStyle w:val="OGTabHead"/>
            </w:pPr>
          </w:p>
        </w:tc>
        <w:tc>
          <w:tcPr>
            <w:tcW w:w="994" w:type="dxa"/>
            <w:tcBorders>
              <w:top w:val="single" w:sz="6" w:space="0" w:color="auto"/>
              <w:left w:val="nil"/>
              <w:bottom w:val="nil"/>
              <w:right w:val="nil"/>
            </w:tcBorders>
            <w:shd w:val="clear" w:color="auto" w:fill="auto"/>
            <w:noWrap/>
            <w:vAlign w:val="bottom"/>
            <w:hideMark/>
          </w:tcPr>
          <w:p w:rsidR="00B958B1" w:rsidRPr="001A0FFE" w:rsidRDefault="00B958B1" w:rsidP="009F3B54">
            <w:pPr>
              <w:pStyle w:val="OGTabHead"/>
            </w:pPr>
          </w:p>
        </w:tc>
        <w:tc>
          <w:tcPr>
            <w:tcW w:w="907" w:type="dxa"/>
            <w:tcBorders>
              <w:top w:val="single" w:sz="6" w:space="0" w:color="auto"/>
              <w:left w:val="nil"/>
              <w:bottom w:val="nil"/>
              <w:right w:val="nil"/>
            </w:tcBorders>
            <w:shd w:val="clear" w:color="auto" w:fill="auto"/>
            <w:noWrap/>
            <w:vAlign w:val="bottom"/>
            <w:hideMark/>
          </w:tcPr>
          <w:p w:rsidR="00B958B1" w:rsidRPr="001A0FFE" w:rsidRDefault="00B958B1" w:rsidP="009F3B54">
            <w:pPr>
              <w:pStyle w:val="OGTabHead"/>
            </w:pPr>
          </w:p>
        </w:tc>
        <w:tc>
          <w:tcPr>
            <w:tcW w:w="906" w:type="dxa"/>
            <w:tcBorders>
              <w:top w:val="single" w:sz="6" w:space="0" w:color="auto"/>
              <w:left w:val="nil"/>
              <w:bottom w:val="nil"/>
              <w:right w:val="nil"/>
            </w:tcBorders>
            <w:shd w:val="clear" w:color="auto" w:fill="auto"/>
            <w:noWrap/>
            <w:vAlign w:val="bottom"/>
            <w:hideMark/>
          </w:tcPr>
          <w:p w:rsidR="00B958B1" w:rsidRPr="001A0FFE" w:rsidRDefault="00B958B1" w:rsidP="009F3B54">
            <w:pPr>
              <w:pStyle w:val="OGTabHead"/>
            </w:pPr>
          </w:p>
        </w:tc>
      </w:tr>
      <w:tr w:rsidR="00B958B1" w:rsidRPr="0063173D"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Procedural References updated biannually</w:t>
            </w:r>
          </w:p>
        </w:tc>
        <w:tc>
          <w:tcPr>
            <w:tcW w:w="908" w:type="dxa"/>
            <w:tcBorders>
              <w:top w:val="nil"/>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sidRPr="0063173D">
              <w:rPr>
                <w:color w:val="000000"/>
                <w:lang w:eastAsia="en-AU"/>
              </w:rPr>
              <w:t>number</w:t>
            </w:r>
          </w:p>
        </w:tc>
        <w:tc>
          <w:tcPr>
            <w:tcW w:w="907" w:type="dxa"/>
            <w:tcBorders>
              <w:top w:val="nil"/>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2</w:t>
            </w:r>
          </w:p>
        </w:tc>
        <w:tc>
          <w:tcPr>
            <w:tcW w:w="994"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2</w:t>
            </w:r>
          </w:p>
        </w:tc>
        <w:tc>
          <w:tcPr>
            <w:tcW w:w="907"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2</w:t>
            </w:r>
          </w:p>
        </w:tc>
        <w:tc>
          <w:tcPr>
            <w:tcW w:w="906"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2</w:t>
            </w:r>
          </w:p>
        </w:tc>
      </w:tr>
      <w:tr w:rsidR="00B958B1" w:rsidRPr="0063173D"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63173D" w:rsidRDefault="00B958B1" w:rsidP="009F3B54">
            <w:pPr>
              <w:pStyle w:val="OGTabHead"/>
              <w:rPr>
                <w:lang w:eastAsia="en-AU"/>
              </w:rPr>
            </w:pPr>
            <w:r w:rsidRPr="0063173D">
              <w:rPr>
                <w:lang w:eastAsia="en-AU"/>
              </w:rPr>
              <w:t>Quality</w:t>
            </w:r>
          </w:p>
        </w:tc>
        <w:tc>
          <w:tcPr>
            <w:tcW w:w="908"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7" w:type="dxa"/>
            <w:tcBorders>
              <w:top w:val="single" w:sz="6" w:space="0" w:color="auto"/>
              <w:left w:val="nil"/>
              <w:right w:val="nil"/>
            </w:tcBorders>
            <w:shd w:val="clear" w:color="auto" w:fill="D9D9D9"/>
            <w:noWrap/>
            <w:vAlign w:val="bottom"/>
            <w:hideMark/>
          </w:tcPr>
          <w:p w:rsidR="00B958B1" w:rsidRPr="0063173D" w:rsidRDefault="00B958B1" w:rsidP="009F3B54">
            <w:pPr>
              <w:pStyle w:val="OGTabHead"/>
              <w:rPr>
                <w:lang w:eastAsia="en-AU"/>
              </w:rPr>
            </w:pPr>
          </w:p>
        </w:tc>
        <w:tc>
          <w:tcPr>
            <w:tcW w:w="994"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7"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6"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r>
      <w:tr w:rsidR="00B958B1" w:rsidRPr="0063173D"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Bills and amendments processed accurately through all relevant stages and other business of the House conducted according to law, Standing and Sessional Orders</w:t>
            </w:r>
          </w:p>
        </w:tc>
        <w:tc>
          <w:tcPr>
            <w:tcW w:w="908" w:type="dxa"/>
            <w:tcBorders>
              <w:top w:val="nil"/>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100</w:t>
            </w:r>
          </w:p>
        </w:tc>
        <w:tc>
          <w:tcPr>
            <w:tcW w:w="994"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100</w:t>
            </w:r>
          </w:p>
        </w:tc>
        <w:tc>
          <w:tcPr>
            <w:tcW w:w="907"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100</w:t>
            </w:r>
          </w:p>
        </w:tc>
        <w:tc>
          <w:tcPr>
            <w:tcW w:w="906"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100</w:t>
            </w:r>
          </w:p>
        </w:tc>
      </w:tr>
      <w:tr w:rsidR="00B958B1" w:rsidRPr="0063173D"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Member satisfaction with accuracy, clarity and timeliness of advice</w:t>
            </w:r>
          </w:p>
        </w:tc>
        <w:tc>
          <w:tcPr>
            <w:tcW w:w="908"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90</w:t>
            </w:r>
          </w:p>
        </w:tc>
        <w:tc>
          <w:tcPr>
            <w:tcW w:w="994"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90</w:t>
            </w:r>
          </w:p>
        </w:tc>
        <w:tc>
          <w:tcPr>
            <w:tcW w:w="907"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90</w:t>
            </w:r>
          </w:p>
        </w:tc>
        <w:tc>
          <w:tcPr>
            <w:tcW w:w="906"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100</w:t>
            </w:r>
          </w:p>
        </w:tc>
      </w:tr>
      <w:tr w:rsidR="00B958B1" w:rsidRPr="0063173D"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63173D" w:rsidRDefault="00B958B1" w:rsidP="009F3B54">
            <w:pPr>
              <w:pStyle w:val="OGTabHead"/>
              <w:rPr>
                <w:lang w:eastAsia="en-AU"/>
              </w:rPr>
            </w:pPr>
            <w:r w:rsidRPr="0063173D">
              <w:rPr>
                <w:lang w:eastAsia="en-AU"/>
              </w:rPr>
              <w:t>Timeliness</w:t>
            </w:r>
          </w:p>
        </w:tc>
        <w:tc>
          <w:tcPr>
            <w:tcW w:w="908"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7" w:type="dxa"/>
            <w:tcBorders>
              <w:top w:val="single" w:sz="6" w:space="0" w:color="auto"/>
              <w:left w:val="nil"/>
              <w:right w:val="nil"/>
            </w:tcBorders>
            <w:shd w:val="clear" w:color="auto" w:fill="D9D9D9"/>
            <w:noWrap/>
            <w:vAlign w:val="bottom"/>
            <w:hideMark/>
          </w:tcPr>
          <w:p w:rsidR="00B958B1" w:rsidRPr="0063173D" w:rsidRDefault="00B958B1" w:rsidP="009F3B54">
            <w:pPr>
              <w:pStyle w:val="OGTabHead"/>
              <w:rPr>
                <w:lang w:eastAsia="en-AU"/>
              </w:rPr>
            </w:pPr>
          </w:p>
        </w:tc>
        <w:tc>
          <w:tcPr>
            <w:tcW w:w="994"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7"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6"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r>
      <w:tr w:rsidR="00B958B1" w:rsidRPr="0063173D"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Documents tabled within time guidelines</w:t>
            </w:r>
          </w:p>
        </w:tc>
        <w:tc>
          <w:tcPr>
            <w:tcW w:w="908" w:type="dxa"/>
            <w:tcBorders>
              <w:top w:val="nil"/>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95</w:t>
            </w:r>
          </w:p>
        </w:tc>
        <w:tc>
          <w:tcPr>
            <w:tcW w:w="994"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95</w:t>
            </w:r>
          </w:p>
        </w:tc>
        <w:tc>
          <w:tcPr>
            <w:tcW w:w="907"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95</w:t>
            </w:r>
          </w:p>
        </w:tc>
        <w:tc>
          <w:tcPr>
            <w:tcW w:w="906"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95</w:t>
            </w:r>
          </w:p>
        </w:tc>
      </w:tr>
      <w:tr w:rsidR="00B958B1" w:rsidRPr="0063173D"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House documents and other Sitting related information available online one day after sitting day</w:t>
            </w:r>
          </w:p>
        </w:tc>
        <w:tc>
          <w:tcPr>
            <w:tcW w:w="908"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98</w:t>
            </w:r>
          </w:p>
        </w:tc>
        <w:tc>
          <w:tcPr>
            <w:tcW w:w="994"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98</w:t>
            </w:r>
          </w:p>
        </w:tc>
        <w:tc>
          <w:tcPr>
            <w:tcW w:w="907"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98</w:t>
            </w:r>
          </w:p>
        </w:tc>
        <w:tc>
          <w:tcPr>
            <w:tcW w:w="906"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98</w:t>
            </w:r>
          </w:p>
        </w:tc>
      </w:tr>
      <w:tr w:rsidR="00B958B1" w:rsidRPr="0063173D"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63173D" w:rsidRDefault="00B958B1" w:rsidP="009F3B54">
            <w:pPr>
              <w:pStyle w:val="OGTabHead"/>
              <w:rPr>
                <w:lang w:eastAsia="en-AU"/>
              </w:rPr>
            </w:pPr>
            <w:r w:rsidRPr="0063173D">
              <w:rPr>
                <w:lang w:eastAsia="en-AU"/>
              </w:rPr>
              <w:t>Cost</w:t>
            </w:r>
          </w:p>
        </w:tc>
        <w:tc>
          <w:tcPr>
            <w:tcW w:w="908"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7" w:type="dxa"/>
            <w:tcBorders>
              <w:top w:val="single" w:sz="6" w:space="0" w:color="auto"/>
              <w:left w:val="nil"/>
              <w:right w:val="nil"/>
            </w:tcBorders>
            <w:shd w:val="clear" w:color="auto" w:fill="D9D9D9"/>
            <w:noWrap/>
            <w:vAlign w:val="bottom"/>
            <w:hideMark/>
          </w:tcPr>
          <w:p w:rsidR="00B958B1" w:rsidRPr="0063173D" w:rsidRDefault="00B958B1" w:rsidP="009F3B54">
            <w:pPr>
              <w:pStyle w:val="OGTabHead"/>
              <w:rPr>
                <w:lang w:eastAsia="en-AU"/>
              </w:rPr>
            </w:pPr>
          </w:p>
        </w:tc>
        <w:tc>
          <w:tcPr>
            <w:tcW w:w="994"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7"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6"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r>
      <w:tr w:rsidR="00B958B1" w:rsidRPr="0063173D" w:rsidTr="009F3B54">
        <w:trPr>
          <w:gridAfter w:val="1"/>
          <w:wAfter w:w="6" w:type="dxa"/>
          <w:cantSplit/>
        </w:trPr>
        <w:tc>
          <w:tcPr>
            <w:tcW w:w="3154" w:type="dxa"/>
            <w:tcBorders>
              <w:top w:val="nil"/>
              <w:left w:val="nil"/>
              <w:bottom w:val="nil"/>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Total output cost</w:t>
            </w:r>
          </w:p>
        </w:tc>
        <w:tc>
          <w:tcPr>
            <w:tcW w:w="908" w:type="dxa"/>
            <w:tcBorders>
              <w:top w:val="nil"/>
              <w:left w:val="nil"/>
              <w:bottom w:val="nil"/>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 million</w:t>
            </w:r>
          </w:p>
        </w:tc>
        <w:tc>
          <w:tcPr>
            <w:tcW w:w="907" w:type="dxa"/>
            <w:tcBorders>
              <w:top w:val="nil"/>
              <w:left w:val="nil"/>
              <w:bottom w:val="nil"/>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14.1</w:t>
            </w:r>
          </w:p>
        </w:tc>
        <w:tc>
          <w:tcPr>
            <w:tcW w:w="994" w:type="dxa"/>
            <w:tcBorders>
              <w:top w:val="nil"/>
              <w:left w:val="nil"/>
              <w:bottom w:val="nil"/>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14.2</w:t>
            </w:r>
          </w:p>
        </w:tc>
        <w:tc>
          <w:tcPr>
            <w:tcW w:w="907" w:type="dxa"/>
            <w:tcBorders>
              <w:top w:val="nil"/>
              <w:left w:val="nil"/>
              <w:bottom w:val="nil"/>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14.2</w:t>
            </w:r>
          </w:p>
        </w:tc>
        <w:tc>
          <w:tcPr>
            <w:tcW w:w="906" w:type="dxa"/>
            <w:tcBorders>
              <w:top w:val="nil"/>
              <w:left w:val="nil"/>
              <w:bottom w:val="nil"/>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13.4</w:t>
            </w:r>
          </w:p>
        </w:tc>
      </w:tr>
      <w:tr w:rsidR="00B958B1" w:rsidRPr="00321AC4" w:rsidTr="009F3B54">
        <w:trPr>
          <w:gridAfter w:val="1"/>
          <w:wAfter w:w="6" w:type="dxa"/>
          <w:cantSplit/>
        </w:trPr>
        <w:tc>
          <w:tcPr>
            <w:tcW w:w="7776" w:type="dxa"/>
            <w:gridSpan w:val="6"/>
            <w:tcBorders>
              <w:top w:val="nil"/>
              <w:left w:val="nil"/>
              <w:bottom w:val="single" w:sz="12" w:space="0" w:color="auto"/>
              <w:right w:val="nil"/>
            </w:tcBorders>
            <w:shd w:val="clear" w:color="000000" w:fill="FFFFFF"/>
          </w:tcPr>
          <w:p w:rsidR="00B958B1" w:rsidRPr="00321AC4" w:rsidRDefault="00B958B1" w:rsidP="009F3B54">
            <w:pPr>
              <w:pStyle w:val="OGNotes"/>
            </w:pPr>
            <w:r>
              <w:t>The total output cost for Legislative Council for 2013</w:t>
            </w:r>
            <w:r w:rsidR="009F0F49">
              <w:noBreakHyphen/>
            </w:r>
            <w:r>
              <w:t>14 Budget is lower than 2012</w:t>
            </w:r>
            <w:r w:rsidR="009F0F49">
              <w:noBreakHyphen/>
            </w:r>
            <w:r>
              <w:t>13 Budget due to smaller Special Appropriation allocation to Council for Member’s salaries and allowances compared to last year.</w:t>
            </w:r>
          </w:p>
        </w:tc>
      </w:tr>
    </w:tbl>
    <w:p w:rsidR="00B958B1" w:rsidRDefault="00B958B1" w:rsidP="009F3B54">
      <w:pPr>
        <w:pStyle w:val="Source"/>
      </w:pPr>
      <w:r>
        <w:t>Source: Parliament of Victoria</w:t>
      </w:r>
    </w:p>
    <w:p w:rsidR="00B958B1" w:rsidRPr="00DC16C4" w:rsidRDefault="00B958B1" w:rsidP="009F3B54">
      <w:pPr>
        <w:pStyle w:val="Source"/>
      </w:pPr>
      <w:r>
        <w:fldChar w:fldCharType="begin"/>
      </w:r>
      <w:r>
        <w:instrText xml:space="preserve"> XE "</w:instrText>
      </w:r>
      <w:r w:rsidRPr="003D5E68">
        <w:instrText>Parliament:Legaslative Council</w:instrText>
      </w:r>
      <w:r>
        <w:instrText xml:space="preserve">" \r "BP3ParliamentLegisCouncil" </w:instrText>
      </w:r>
      <w:r>
        <w:fldChar w:fldCharType="end"/>
      </w:r>
    </w:p>
    <w:bookmarkEnd w:id="152"/>
    <w:p w:rsidR="00B958B1" w:rsidRDefault="00B958B1" w:rsidP="009F3B54">
      <w:pPr>
        <w:pStyle w:val="OGHeading1"/>
        <w:rPr>
          <w:lang w:eastAsia="en-AU"/>
        </w:rPr>
      </w:pPr>
      <w:r>
        <w:rPr>
          <w:rFonts w:ascii="Garamond" w:hAnsi="Garamond"/>
          <w:sz w:val="22"/>
          <w:szCs w:val="20"/>
        </w:rPr>
        <w:br w:type="page"/>
      </w:r>
      <w:bookmarkStart w:id="153" w:name="BP3ParliamentLegisAssemb"/>
      <w:r w:rsidRPr="0063173D">
        <w:rPr>
          <w:lang w:eastAsia="en-AU"/>
        </w:rPr>
        <w:t>Legislative Assembly</w:t>
      </w:r>
    </w:p>
    <w:tbl>
      <w:tblPr>
        <w:tblW w:w="7782" w:type="dxa"/>
        <w:tblInd w:w="29" w:type="dxa"/>
        <w:tblLayout w:type="fixed"/>
        <w:tblCellMar>
          <w:left w:w="43" w:type="dxa"/>
          <w:right w:w="43" w:type="dxa"/>
        </w:tblCellMar>
        <w:tblLook w:val="04A0" w:firstRow="1" w:lastRow="0" w:firstColumn="1" w:lastColumn="0" w:noHBand="0" w:noVBand="1"/>
      </w:tblPr>
      <w:tblGrid>
        <w:gridCol w:w="3154"/>
        <w:gridCol w:w="908"/>
        <w:gridCol w:w="907"/>
        <w:gridCol w:w="994"/>
        <w:gridCol w:w="907"/>
        <w:gridCol w:w="906"/>
        <w:gridCol w:w="6"/>
      </w:tblGrid>
      <w:tr w:rsidR="00B958B1" w:rsidRPr="00773447" w:rsidTr="009F3B54">
        <w:trPr>
          <w:cantSplit/>
        </w:trPr>
        <w:tc>
          <w:tcPr>
            <w:tcW w:w="3154" w:type="dxa"/>
            <w:tcBorders>
              <w:top w:val="single" w:sz="4" w:space="0" w:color="auto"/>
              <w:left w:val="single" w:sz="4" w:space="0" w:color="auto"/>
              <w:bottom w:val="single" w:sz="4" w:space="0" w:color="auto"/>
              <w:right w:val="nil"/>
            </w:tcBorders>
            <w:shd w:val="clear" w:color="auto" w:fill="000000"/>
            <w:vAlign w:val="bottom"/>
          </w:tcPr>
          <w:p w:rsidR="00B958B1" w:rsidRPr="00773447" w:rsidRDefault="00B958B1" w:rsidP="009F3B54">
            <w:pPr>
              <w:spacing w:before="30" w:after="30"/>
              <w:rPr>
                <w:rFonts w:ascii="Calibri" w:hAnsi="Calibri"/>
                <w:b/>
                <w:i/>
                <w:sz w:val="20"/>
                <w:szCs w:val="18"/>
                <w:lang w:eastAsia="en-AU"/>
              </w:rPr>
            </w:pPr>
            <w:r w:rsidRPr="00773447">
              <w:rPr>
                <w:rFonts w:ascii="Calibri" w:hAnsi="Calibri"/>
                <w:b/>
                <w:sz w:val="20"/>
                <w:szCs w:val="18"/>
                <w:lang w:eastAsia="en-AU"/>
              </w:rPr>
              <w:t>Major Outputs/Deliverables</w:t>
            </w:r>
            <w:r w:rsidRPr="00773447">
              <w:rPr>
                <w:rFonts w:ascii="Calibri" w:hAnsi="Calibri"/>
                <w:b/>
                <w:sz w:val="20"/>
                <w:szCs w:val="18"/>
                <w:lang w:eastAsia="en-AU"/>
              </w:rPr>
              <w:br/>
            </w:r>
            <w:r w:rsidRPr="00773447">
              <w:rPr>
                <w:rFonts w:ascii="Calibri" w:hAnsi="Calibri"/>
                <w:i/>
                <w:sz w:val="20"/>
                <w:szCs w:val="18"/>
                <w:lang w:eastAsia="en-AU"/>
              </w:rPr>
              <w:t>Performance measures</w:t>
            </w:r>
          </w:p>
        </w:tc>
        <w:tc>
          <w:tcPr>
            <w:tcW w:w="908"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center"/>
              <w:rPr>
                <w:rFonts w:ascii="Calibri" w:hAnsi="Calibri"/>
                <w:b/>
                <w:sz w:val="20"/>
                <w:szCs w:val="18"/>
                <w:lang w:eastAsia="en-AU"/>
              </w:rPr>
            </w:pPr>
            <w:r w:rsidRPr="00773447">
              <w:rPr>
                <w:rFonts w:ascii="Calibri" w:hAnsi="Calibri"/>
                <w:b/>
                <w:sz w:val="20"/>
                <w:szCs w:val="18"/>
                <w:lang w:eastAsia="en-AU"/>
              </w:rPr>
              <w:t xml:space="preserve">Unit of </w:t>
            </w:r>
            <w:r w:rsidRPr="00773447">
              <w:rPr>
                <w:rFonts w:ascii="Calibri" w:hAnsi="Calibri"/>
                <w:b/>
                <w:sz w:val="20"/>
                <w:szCs w:val="18"/>
                <w:lang w:eastAsia="en-AU"/>
              </w:rPr>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2013</w:t>
            </w:r>
            <w:r w:rsidR="009F0F49">
              <w:rPr>
                <w:rFonts w:ascii="Calibri" w:hAnsi="Calibri"/>
                <w:b/>
                <w:sz w:val="20"/>
                <w:szCs w:val="18"/>
              </w:rPr>
              <w:noBreakHyphen/>
            </w:r>
            <w:r w:rsidRPr="00773447">
              <w:rPr>
                <w:rFonts w:ascii="Calibri" w:hAnsi="Calibri"/>
                <w:b/>
                <w:sz w:val="20"/>
                <w:szCs w:val="18"/>
              </w:rPr>
              <w:t>14 Target</w:t>
            </w:r>
          </w:p>
        </w:tc>
        <w:tc>
          <w:tcPr>
            <w:tcW w:w="994"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2012</w:t>
            </w:r>
            <w:r w:rsidR="009F0F49">
              <w:rPr>
                <w:rFonts w:ascii="Calibri" w:hAnsi="Calibri"/>
                <w:b/>
                <w:sz w:val="20"/>
                <w:szCs w:val="18"/>
              </w:rPr>
              <w:noBreakHyphen/>
            </w:r>
            <w:r w:rsidRPr="00773447">
              <w:rPr>
                <w:rFonts w:ascii="Calibri" w:hAnsi="Calibri"/>
                <w:b/>
                <w:sz w:val="20"/>
                <w:szCs w:val="18"/>
              </w:rPr>
              <w:t>13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2012</w:t>
            </w:r>
            <w:r w:rsidR="009F0F49">
              <w:rPr>
                <w:rFonts w:ascii="Calibri" w:hAnsi="Calibri"/>
                <w:b/>
                <w:sz w:val="20"/>
                <w:szCs w:val="18"/>
              </w:rPr>
              <w:noBreakHyphen/>
            </w:r>
            <w:r w:rsidRPr="00773447">
              <w:rPr>
                <w:rFonts w:ascii="Calibri" w:hAnsi="Calibri"/>
                <w:b/>
                <w:sz w:val="20"/>
                <w:szCs w:val="18"/>
              </w:rPr>
              <w:t>13 Target</w:t>
            </w:r>
          </w:p>
        </w:tc>
        <w:tc>
          <w:tcPr>
            <w:tcW w:w="912" w:type="dxa"/>
            <w:gridSpan w:val="2"/>
            <w:tcBorders>
              <w:top w:val="single" w:sz="4" w:space="0" w:color="auto"/>
              <w:left w:val="nil"/>
              <w:bottom w:val="single" w:sz="4" w:space="0" w:color="auto"/>
              <w:right w:val="single" w:sz="4" w:space="0" w:color="auto"/>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2011</w:t>
            </w:r>
            <w:r w:rsidR="009F0F49">
              <w:rPr>
                <w:rFonts w:ascii="Calibri" w:hAnsi="Calibri"/>
                <w:b/>
                <w:sz w:val="20"/>
                <w:szCs w:val="18"/>
              </w:rPr>
              <w:noBreakHyphen/>
            </w:r>
            <w:r w:rsidRPr="00773447">
              <w:rPr>
                <w:rFonts w:ascii="Calibri" w:hAnsi="Calibri"/>
                <w:b/>
                <w:sz w:val="20"/>
                <w:szCs w:val="18"/>
              </w:rPr>
              <w:t>12 Actual</w:t>
            </w:r>
          </w:p>
        </w:tc>
      </w:tr>
      <w:tr w:rsidR="00B958B1" w:rsidRPr="0063173D" w:rsidTr="009F3B54">
        <w:trPr>
          <w:gridAfter w:val="1"/>
          <w:wAfter w:w="6" w:type="dxa"/>
          <w:cantSplit/>
        </w:trPr>
        <w:tc>
          <w:tcPr>
            <w:tcW w:w="7776" w:type="dxa"/>
            <w:gridSpan w:val="6"/>
            <w:tcBorders>
              <w:top w:val="nil"/>
              <w:left w:val="nil"/>
              <w:bottom w:val="nil"/>
              <w:right w:val="nil"/>
            </w:tcBorders>
            <w:shd w:val="clear" w:color="auto" w:fill="auto"/>
            <w:vAlign w:val="bottom"/>
            <w:hideMark/>
          </w:tcPr>
          <w:p w:rsidR="00B958B1" w:rsidRPr="0063173D" w:rsidRDefault="00B958B1" w:rsidP="009F3B54">
            <w:pPr>
              <w:pStyle w:val="OGHeading2"/>
              <w:rPr>
                <w:lang w:eastAsia="en-AU"/>
              </w:rPr>
            </w:pPr>
            <w:r w:rsidRPr="0063173D">
              <w:rPr>
                <w:lang w:eastAsia="en-AU"/>
              </w:rPr>
              <w:t>Procedural Support, Documentation Preparation and Provision of Information for Assembly</w:t>
            </w:r>
          </w:p>
        </w:tc>
      </w:tr>
      <w:tr w:rsidR="00B958B1" w:rsidRPr="0063173D"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3173D" w:rsidRDefault="00B958B1" w:rsidP="009F3B54">
            <w:pPr>
              <w:pStyle w:val="OGText"/>
              <w:rPr>
                <w:lang w:eastAsia="en-AU"/>
              </w:rPr>
            </w:pPr>
            <w:r w:rsidRPr="0063173D">
              <w:rPr>
                <w:lang w:eastAsia="en-AU"/>
              </w:rPr>
              <w:t>This output involves the provision of procedural advice to Members of the Legislative Assembly including: processing of legislation, preparation of the records of the proceedings and documentation required for the sittings of the Assembly, provision of assistance to Parliamentary Committees, provision of information relating to the proceedings of the Assembly, and the enhancement of public awareness of Parliament.</w:t>
            </w:r>
          </w:p>
        </w:tc>
      </w:tr>
      <w:tr w:rsidR="00B958B1" w:rsidRPr="0063173D"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63173D" w:rsidRDefault="00B958B1" w:rsidP="009F3B54">
            <w:pPr>
              <w:pStyle w:val="OGTabHead"/>
              <w:rPr>
                <w:lang w:eastAsia="en-AU"/>
              </w:rPr>
            </w:pPr>
            <w:r w:rsidRPr="0063173D">
              <w:rPr>
                <w:lang w:eastAsia="en-AU"/>
              </w:rPr>
              <w:t>Quantity</w:t>
            </w:r>
          </w:p>
        </w:tc>
        <w:tc>
          <w:tcPr>
            <w:tcW w:w="908"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7" w:type="dxa"/>
            <w:tcBorders>
              <w:top w:val="single" w:sz="6" w:space="0" w:color="auto"/>
              <w:left w:val="nil"/>
              <w:right w:val="nil"/>
            </w:tcBorders>
            <w:shd w:val="clear" w:color="auto" w:fill="D9D9D9"/>
            <w:noWrap/>
            <w:vAlign w:val="bottom"/>
            <w:hideMark/>
          </w:tcPr>
          <w:p w:rsidR="00B958B1" w:rsidRPr="0063173D" w:rsidRDefault="00B958B1" w:rsidP="009F3B54">
            <w:pPr>
              <w:pStyle w:val="OGTabHead"/>
              <w:rPr>
                <w:lang w:eastAsia="en-AU"/>
              </w:rPr>
            </w:pPr>
          </w:p>
        </w:tc>
        <w:tc>
          <w:tcPr>
            <w:tcW w:w="994"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7"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6"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r>
      <w:tr w:rsidR="00B958B1" w:rsidRPr="0063173D"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Procedural References updated biannually</w:t>
            </w:r>
          </w:p>
        </w:tc>
        <w:tc>
          <w:tcPr>
            <w:tcW w:w="908" w:type="dxa"/>
            <w:tcBorders>
              <w:top w:val="nil"/>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sidRPr="0063173D">
              <w:rPr>
                <w:color w:val="000000"/>
                <w:lang w:eastAsia="en-AU"/>
              </w:rPr>
              <w:t>number</w:t>
            </w:r>
          </w:p>
        </w:tc>
        <w:tc>
          <w:tcPr>
            <w:tcW w:w="907" w:type="dxa"/>
            <w:tcBorders>
              <w:top w:val="nil"/>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2</w:t>
            </w:r>
          </w:p>
        </w:tc>
        <w:tc>
          <w:tcPr>
            <w:tcW w:w="994"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2</w:t>
            </w:r>
          </w:p>
        </w:tc>
        <w:tc>
          <w:tcPr>
            <w:tcW w:w="907"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2</w:t>
            </w:r>
          </w:p>
        </w:tc>
        <w:tc>
          <w:tcPr>
            <w:tcW w:w="906"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2</w:t>
            </w:r>
          </w:p>
        </w:tc>
      </w:tr>
      <w:tr w:rsidR="00B958B1" w:rsidRPr="0063173D"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Regional visits to schools to conduct Parliamentary information talks and Parliamentary role plays</w:t>
            </w:r>
          </w:p>
        </w:tc>
        <w:tc>
          <w:tcPr>
            <w:tcW w:w="908"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sidRPr="0063173D">
              <w:rPr>
                <w:color w:val="000000"/>
                <w:lang w:eastAsia="en-AU"/>
              </w:rPr>
              <w:t>number</w:t>
            </w:r>
          </w:p>
        </w:tc>
        <w:tc>
          <w:tcPr>
            <w:tcW w:w="907" w:type="dxa"/>
            <w:tcBorders>
              <w:top w:val="single" w:sz="6" w:space="0" w:color="auto"/>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5</w:t>
            </w:r>
          </w:p>
        </w:tc>
        <w:tc>
          <w:tcPr>
            <w:tcW w:w="994"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5</w:t>
            </w:r>
          </w:p>
        </w:tc>
        <w:tc>
          <w:tcPr>
            <w:tcW w:w="907"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5</w:t>
            </w:r>
          </w:p>
        </w:tc>
        <w:tc>
          <w:tcPr>
            <w:tcW w:w="906"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7</w:t>
            </w:r>
          </w:p>
        </w:tc>
      </w:tr>
      <w:tr w:rsidR="00B958B1" w:rsidRPr="0063173D"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63173D" w:rsidRDefault="00B958B1" w:rsidP="009F3B54">
            <w:pPr>
              <w:pStyle w:val="OGTabHead"/>
              <w:rPr>
                <w:lang w:eastAsia="en-AU"/>
              </w:rPr>
            </w:pPr>
            <w:r w:rsidRPr="0063173D">
              <w:rPr>
                <w:lang w:eastAsia="en-AU"/>
              </w:rPr>
              <w:t>Quality</w:t>
            </w:r>
          </w:p>
        </w:tc>
        <w:tc>
          <w:tcPr>
            <w:tcW w:w="908"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7" w:type="dxa"/>
            <w:tcBorders>
              <w:top w:val="single" w:sz="6" w:space="0" w:color="auto"/>
              <w:left w:val="nil"/>
              <w:right w:val="nil"/>
            </w:tcBorders>
            <w:shd w:val="clear" w:color="auto" w:fill="D9D9D9"/>
            <w:noWrap/>
            <w:vAlign w:val="bottom"/>
            <w:hideMark/>
          </w:tcPr>
          <w:p w:rsidR="00B958B1" w:rsidRPr="0063173D" w:rsidRDefault="00B958B1" w:rsidP="009F3B54">
            <w:pPr>
              <w:pStyle w:val="OGTabHead"/>
              <w:rPr>
                <w:lang w:eastAsia="en-AU"/>
              </w:rPr>
            </w:pPr>
          </w:p>
        </w:tc>
        <w:tc>
          <w:tcPr>
            <w:tcW w:w="994"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7"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6"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r>
      <w:tr w:rsidR="00B958B1" w:rsidRPr="0063173D"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Bills and amendments processed accurately through all relevant stages in compliance with constitutional requirements and standing orders</w:t>
            </w:r>
          </w:p>
        </w:tc>
        <w:tc>
          <w:tcPr>
            <w:tcW w:w="908" w:type="dxa"/>
            <w:tcBorders>
              <w:top w:val="nil"/>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100</w:t>
            </w:r>
          </w:p>
        </w:tc>
        <w:tc>
          <w:tcPr>
            <w:tcW w:w="994"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100</w:t>
            </w:r>
          </w:p>
        </w:tc>
        <w:tc>
          <w:tcPr>
            <w:tcW w:w="907"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100</w:t>
            </w:r>
          </w:p>
        </w:tc>
        <w:tc>
          <w:tcPr>
            <w:tcW w:w="906"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100</w:t>
            </w:r>
          </w:p>
        </w:tc>
      </w:tr>
      <w:tr w:rsidR="00B958B1" w:rsidRPr="0063173D"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Member satisfaction that advice is responsive, prompt, clear and objective</w:t>
            </w:r>
          </w:p>
        </w:tc>
        <w:tc>
          <w:tcPr>
            <w:tcW w:w="908"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80</w:t>
            </w:r>
          </w:p>
        </w:tc>
        <w:tc>
          <w:tcPr>
            <w:tcW w:w="994"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80</w:t>
            </w:r>
          </w:p>
        </w:tc>
        <w:tc>
          <w:tcPr>
            <w:tcW w:w="907"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80</w:t>
            </w:r>
          </w:p>
        </w:tc>
        <w:tc>
          <w:tcPr>
            <w:tcW w:w="906"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90</w:t>
            </w:r>
          </w:p>
        </w:tc>
      </w:tr>
      <w:tr w:rsidR="00B958B1" w:rsidRPr="0063173D"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Teacher satisfaction with tours of Parliament for school groups</w:t>
            </w:r>
          </w:p>
        </w:tc>
        <w:tc>
          <w:tcPr>
            <w:tcW w:w="908"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95</w:t>
            </w:r>
          </w:p>
        </w:tc>
        <w:tc>
          <w:tcPr>
            <w:tcW w:w="994"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95</w:t>
            </w:r>
          </w:p>
        </w:tc>
        <w:tc>
          <w:tcPr>
            <w:tcW w:w="907"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95</w:t>
            </w:r>
          </w:p>
        </w:tc>
        <w:tc>
          <w:tcPr>
            <w:tcW w:w="906"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97</w:t>
            </w:r>
          </w:p>
        </w:tc>
      </w:tr>
      <w:tr w:rsidR="00B958B1" w:rsidRPr="0063173D"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63173D" w:rsidRDefault="00B958B1" w:rsidP="009F3B54">
            <w:pPr>
              <w:pStyle w:val="OGTabHead"/>
              <w:rPr>
                <w:lang w:eastAsia="en-AU"/>
              </w:rPr>
            </w:pPr>
            <w:r w:rsidRPr="0063173D">
              <w:rPr>
                <w:lang w:eastAsia="en-AU"/>
              </w:rPr>
              <w:t>Timeliness</w:t>
            </w:r>
          </w:p>
        </w:tc>
        <w:tc>
          <w:tcPr>
            <w:tcW w:w="908"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7" w:type="dxa"/>
            <w:tcBorders>
              <w:top w:val="single" w:sz="6" w:space="0" w:color="auto"/>
              <w:left w:val="nil"/>
              <w:right w:val="nil"/>
            </w:tcBorders>
            <w:shd w:val="clear" w:color="auto" w:fill="D9D9D9"/>
            <w:noWrap/>
            <w:vAlign w:val="bottom"/>
            <w:hideMark/>
          </w:tcPr>
          <w:p w:rsidR="00B958B1" w:rsidRPr="0063173D" w:rsidRDefault="00B958B1" w:rsidP="009F3B54">
            <w:pPr>
              <w:pStyle w:val="OGTabHead"/>
              <w:rPr>
                <w:lang w:eastAsia="en-AU"/>
              </w:rPr>
            </w:pPr>
          </w:p>
        </w:tc>
        <w:tc>
          <w:tcPr>
            <w:tcW w:w="994"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7"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6"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r>
      <w:tr w:rsidR="00B958B1" w:rsidRPr="0063173D"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Documents tabled within time guidelines</w:t>
            </w:r>
          </w:p>
        </w:tc>
        <w:tc>
          <w:tcPr>
            <w:tcW w:w="908" w:type="dxa"/>
            <w:tcBorders>
              <w:top w:val="nil"/>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per cent</w:t>
            </w:r>
          </w:p>
        </w:tc>
        <w:tc>
          <w:tcPr>
            <w:tcW w:w="907" w:type="dxa"/>
            <w:tcBorders>
              <w:top w:val="nil"/>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90</w:t>
            </w:r>
          </w:p>
        </w:tc>
        <w:tc>
          <w:tcPr>
            <w:tcW w:w="994"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90</w:t>
            </w:r>
          </w:p>
        </w:tc>
        <w:tc>
          <w:tcPr>
            <w:tcW w:w="907"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90</w:t>
            </w:r>
          </w:p>
        </w:tc>
        <w:tc>
          <w:tcPr>
            <w:tcW w:w="906"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100</w:t>
            </w:r>
          </w:p>
        </w:tc>
      </w:tr>
      <w:tr w:rsidR="00B958B1" w:rsidRPr="0063173D"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House documents available one day after sitting day</w:t>
            </w:r>
          </w:p>
        </w:tc>
        <w:tc>
          <w:tcPr>
            <w:tcW w:w="908"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100</w:t>
            </w:r>
          </w:p>
        </w:tc>
        <w:tc>
          <w:tcPr>
            <w:tcW w:w="994"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100</w:t>
            </w:r>
          </w:p>
        </w:tc>
        <w:tc>
          <w:tcPr>
            <w:tcW w:w="907"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100</w:t>
            </w:r>
          </w:p>
        </w:tc>
        <w:tc>
          <w:tcPr>
            <w:tcW w:w="906"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100</w:t>
            </w:r>
          </w:p>
        </w:tc>
      </w:tr>
      <w:tr w:rsidR="00B958B1" w:rsidRPr="0063173D"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Online information relating to bills updated within one day</w:t>
            </w:r>
          </w:p>
        </w:tc>
        <w:tc>
          <w:tcPr>
            <w:tcW w:w="908"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98</w:t>
            </w:r>
          </w:p>
        </w:tc>
        <w:tc>
          <w:tcPr>
            <w:tcW w:w="994"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98</w:t>
            </w:r>
          </w:p>
        </w:tc>
        <w:tc>
          <w:tcPr>
            <w:tcW w:w="907"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98</w:t>
            </w:r>
          </w:p>
        </w:tc>
        <w:tc>
          <w:tcPr>
            <w:tcW w:w="906"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100</w:t>
            </w:r>
          </w:p>
        </w:tc>
      </w:tr>
      <w:tr w:rsidR="00B958B1" w:rsidRPr="0063173D"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63173D" w:rsidRDefault="00B958B1" w:rsidP="009F3B54">
            <w:pPr>
              <w:pStyle w:val="OGTabHead"/>
              <w:rPr>
                <w:lang w:eastAsia="en-AU"/>
              </w:rPr>
            </w:pPr>
            <w:r w:rsidRPr="0063173D">
              <w:rPr>
                <w:lang w:eastAsia="en-AU"/>
              </w:rPr>
              <w:t>Cost</w:t>
            </w:r>
          </w:p>
        </w:tc>
        <w:tc>
          <w:tcPr>
            <w:tcW w:w="908"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7" w:type="dxa"/>
            <w:tcBorders>
              <w:top w:val="single" w:sz="6" w:space="0" w:color="auto"/>
              <w:left w:val="nil"/>
              <w:right w:val="nil"/>
            </w:tcBorders>
            <w:shd w:val="clear" w:color="auto" w:fill="D9D9D9"/>
            <w:noWrap/>
            <w:vAlign w:val="bottom"/>
            <w:hideMark/>
          </w:tcPr>
          <w:p w:rsidR="00B958B1" w:rsidRPr="0063173D" w:rsidRDefault="00B958B1" w:rsidP="009F3B54">
            <w:pPr>
              <w:pStyle w:val="OGTabHead"/>
              <w:rPr>
                <w:lang w:eastAsia="en-AU"/>
              </w:rPr>
            </w:pPr>
          </w:p>
        </w:tc>
        <w:tc>
          <w:tcPr>
            <w:tcW w:w="994"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7"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6"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r>
      <w:tr w:rsidR="00B958B1" w:rsidRPr="0063173D" w:rsidTr="009F3B54">
        <w:trPr>
          <w:gridAfter w:val="1"/>
          <w:wAfter w:w="6" w:type="dxa"/>
          <w:cantSplit/>
        </w:trPr>
        <w:tc>
          <w:tcPr>
            <w:tcW w:w="3154" w:type="dxa"/>
            <w:tcBorders>
              <w:top w:val="nil"/>
              <w:left w:val="nil"/>
              <w:bottom w:val="nil"/>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Total output cost</w:t>
            </w:r>
          </w:p>
        </w:tc>
        <w:tc>
          <w:tcPr>
            <w:tcW w:w="908" w:type="dxa"/>
            <w:tcBorders>
              <w:top w:val="nil"/>
              <w:left w:val="nil"/>
              <w:bottom w:val="nil"/>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 million</w:t>
            </w:r>
          </w:p>
        </w:tc>
        <w:tc>
          <w:tcPr>
            <w:tcW w:w="907" w:type="dxa"/>
            <w:tcBorders>
              <w:top w:val="nil"/>
              <w:left w:val="nil"/>
              <w:bottom w:val="nil"/>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27.4</w:t>
            </w:r>
          </w:p>
        </w:tc>
        <w:tc>
          <w:tcPr>
            <w:tcW w:w="994" w:type="dxa"/>
            <w:tcBorders>
              <w:top w:val="nil"/>
              <w:left w:val="nil"/>
              <w:bottom w:val="nil"/>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26.9</w:t>
            </w:r>
          </w:p>
        </w:tc>
        <w:tc>
          <w:tcPr>
            <w:tcW w:w="907" w:type="dxa"/>
            <w:tcBorders>
              <w:top w:val="nil"/>
              <w:left w:val="nil"/>
              <w:bottom w:val="nil"/>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26.4</w:t>
            </w:r>
          </w:p>
        </w:tc>
        <w:tc>
          <w:tcPr>
            <w:tcW w:w="906" w:type="dxa"/>
            <w:tcBorders>
              <w:top w:val="nil"/>
              <w:left w:val="nil"/>
              <w:bottom w:val="nil"/>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26.2</w:t>
            </w:r>
          </w:p>
        </w:tc>
      </w:tr>
      <w:tr w:rsidR="00B958B1" w:rsidRPr="0063173D" w:rsidTr="009F3B54">
        <w:trPr>
          <w:gridAfter w:val="1"/>
          <w:wAfter w:w="6" w:type="dxa"/>
          <w:cantSplit/>
        </w:trPr>
        <w:tc>
          <w:tcPr>
            <w:tcW w:w="7776" w:type="dxa"/>
            <w:gridSpan w:val="6"/>
            <w:tcBorders>
              <w:top w:val="nil"/>
              <w:left w:val="nil"/>
              <w:bottom w:val="single" w:sz="12" w:space="0" w:color="auto"/>
              <w:right w:val="nil"/>
            </w:tcBorders>
            <w:shd w:val="clear" w:color="000000" w:fill="FFFFFF"/>
          </w:tcPr>
          <w:p w:rsidR="00B958B1" w:rsidRPr="0063173D" w:rsidRDefault="00B958B1" w:rsidP="009F3B54">
            <w:pPr>
              <w:pStyle w:val="OGNotes"/>
              <w:rPr>
                <w:color w:val="000000"/>
              </w:rPr>
            </w:pPr>
            <w:r>
              <w:t>The total output cost for Legislative Assembly for 2013</w:t>
            </w:r>
            <w:r w:rsidR="009F0F49">
              <w:noBreakHyphen/>
            </w:r>
            <w:r>
              <w:t>14 Budget is higher than 2012</w:t>
            </w:r>
            <w:r w:rsidR="009F0F49">
              <w:noBreakHyphen/>
            </w:r>
            <w:r>
              <w:t>13 Budget due to higher Special Appropriation allocation to Assembly for Member’s salaries and allowances compared to last year.</w:t>
            </w:r>
          </w:p>
        </w:tc>
      </w:tr>
    </w:tbl>
    <w:p w:rsidR="00B958B1" w:rsidRDefault="00B958B1" w:rsidP="009F3B54">
      <w:pPr>
        <w:pStyle w:val="Source"/>
      </w:pPr>
      <w:r>
        <w:t>Source: Parliament of Victoria</w:t>
      </w:r>
    </w:p>
    <w:bookmarkEnd w:id="153"/>
    <w:p w:rsidR="00B958B1" w:rsidRPr="00DC16C4" w:rsidRDefault="00B958B1" w:rsidP="009F3B54">
      <w:pPr>
        <w:pStyle w:val="Source"/>
      </w:pPr>
      <w:r>
        <w:fldChar w:fldCharType="begin"/>
      </w:r>
      <w:r>
        <w:instrText xml:space="preserve"> XE "</w:instrText>
      </w:r>
      <w:r w:rsidRPr="00804C68">
        <w:instrText>Parliament:Legaslative Assembly</w:instrText>
      </w:r>
      <w:r>
        <w:instrText xml:space="preserve">" \r "BP3ParliamentLegisAssemb" </w:instrText>
      </w:r>
      <w:r>
        <w:fldChar w:fldCharType="end"/>
      </w:r>
    </w:p>
    <w:p w:rsidR="00B958B1" w:rsidRDefault="00B958B1" w:rsidP="009F3B54">
      <w:pPr>
        <w:pStyle w:val="OGHeading1"/>
        <w:rPr>
          <w:lang w:eastAsia="en-AU"/>
        </w:rPr>
      </w:pPr>
      <w:r>
        <w:rPr>
          <w:rFonts w:ascii="Garamond" w:hAnsi="Garamond"/>
          <w:sz w:val="22"/>
          <w:szCs w:val="20"/>
        </w:rPr>
        <w:br w:type="page"/>
      </w:r>
      <w:bookmarkStart w:id="154" w:name="BP3ParliamentParliamentSvces"/>
      <w:r w:rsidRPr="0063173D">
        <w:rPr>
          <w:lang w:eastAsia="en-AU"/>
        </w:rPr>
        <w:t>Parliamentary Services</w:t>
      </w:r>
    </w:p>
    <w:tbl>
      <w:tblPr>
        <w:tblW w:w="7782" w:type="dxa"/>
        <w:tblInd w:w="29" w:type="dxa"/>
        <w:tblLayout w:type="fixed"/>
        <w:tblCellMar>
          <w:left w:w="43" w:type="dxa"/>
          <w:right w:w="43" w:type="dxa"/>
        </w:tblCellMar>
        <w:tblLook w:val="04A0" w:firstRow="1" w:lastRow="0" w:firstColumn="1" w:lastColumn="0" w:noHBand="0" w:noVBand="1"/>
      </w:tblPr>
      <w:tblGrid>
        <w:gridCol w:w="3152"/>
        <w:gridCol w:w="907"/>
        <w:gridCol w:w="908"/>
        <w:gridCol w:w="995"/>
        <w:gridCol w:w="908"/>
        <w:gridCol w:w="906"/>
        <w:gridCol w:w="6"/>
      </w:tblGrid>
      <w:tr w:rsidR="00B958B1" w:rsidRPr="00773447" w:rsidTr="009F3B54">
        <w:trPr>
          <w:cantSplit/>
        </w:trPr>
        <w:tc>
          <w:tcPr>
            <w:tcW w:w="3152" w:type="dxa"/>
            <w:tcBorders>
              <w:top w:val="single" w:sz="4" w:space="0" w:color="auto"/>
              <w:left w:val="single" w:sz="4" w:space="0" w:color="auto"/>
              <w:bottom w:val="single" w:sz="4" w:space="0" w:color="auto"/>
              <w:right w:val="nil"/>
            </w:tcBorders>
            <w:shd w:val="clear" w:color="auto" w:fill="000000"/>
            <w:vAlign w:val="bottom"/>
          </w:tcPr>
          <w:p w:rsidR="00B958B1" w:rsidRPr="00773447" w:rsidRDefault="00B958B1" w:rsidP="009F3B54">
            <w:pPr>
              <w:spacing w:before="30" w:after="30"/>
              <w:rPr>
                <w:rFonts w:ascii="Calibri" w:hAnsi="Calibri"/>
                <w:b/>
                <w:i/>
                <w:sz w:val="20"/>
                <w:szCs w:val="18"/>
                <w:lang w:eastAsia="en-AU"/>
              </w:rPr>
            </w:pPr>
            <w:r w:rsidRPr="00773447">
              <w:rPr>
                <w:rFonts w:ascii="Calibri" w:hAnsi="Calibri"/>
                <w:b/>
                <w:sz w:val="20"/>
                <w:szCs w:val="18"/>
                <w:lang w:eastAsia="en-AU"/>
              </w:rPr>
              <w:t>Major Outputs/Deliverables</w:t>
            </w:r>
            <w:r w:rsidRPr="00773447">
              <w:rPr>
                <w:rFonts w:ascii="Calibri" w:hAnsi="Calibri"/>
                <w:b/>
                <w:sz w:val="20"/>
                <w:szCs w:val="18"/>
                <w:lang w:eastAsia="en-AU"/>
              </w:rPr>
              <w:br/>
            </w:r>
            <w:r w:rsidRPr="00773447">
              <w:rPr>
                <w:rFonts w:ascii="Calibri" w:hAnsi="Calibri"/>
                <w:i/>
                <w:sz w:val="20"/>
                <w:szCs w:val="18"/>
                <w:lang w:eastAsia="en-AU"/>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center"/>
              <w:rPr>
                <w:rFonts w:ascii="Calibri" w:hAnsi="Calibri"/>
                <w:b/>
                <w:sz w:val="20"/>
                <w:szCs w:val="18"/>
                <w:lang w:eastAsia="en-AU"/>
              </w:rPr>
            </w:pPr>
            <w:r w:rsidRPr="00773447">
              <w:rPr>
                <w:rFonts w:ascii="Calibri" w:hAnsi="Calibri"/>
                <w:b/>
                <w:sz w:val="20"/>
                <w:szCs w:val="18"/>
                <w:lang w:eastAsia="en-AU"/>
              </w:rPr>
              <w:t xml:space="preserve">Unit of </w:t>
            </w:r>
            <w:r w:rsidRPr="00773447">
              <w:rPr>
                <w:rFonts w:ascii="Calibri" w:hAnsi="Calibri"/>
                <w:b/>
                <w:sz w:val="20"/>
                <w:szCs w:val="18"/>
                <w:lang w:eastAsia="en-AU"/>
              </w:rPr>
              <w:br/>
              <w:t>Measure</w:t>
            </w:r>
          </w:p>
        </w:tc>
        <w:tc>
          <w:tcPr>
            <w:tcW w:w="908"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2013</w:t>
            </w:r>
            <w:r w:rsidR="009F0F49">
              <w:rPr>
                <w:rFonts w:ascii="Calibri" w:hAnsi="Calibri"/>
                <w:b/>
                <w:sz w:val="20"/>
                <w:szCs w:val="18"/>
              </w:rPr>
              <w:noBreakHyphen/>
            </w:r>
            <w:r w:rsidRPr="00773447">
              <w:rPr>
                <w:rFonts w:ascii="Calibri" w:hAnsi="Calibri"/>
                <w:b/>
                <w:sz w:val="20"/>
                <w:szCs w:val="18"/>
              </w:rPr>
              <w:t>14 Target</w:t>
            </w:r>
          </w:p>
        </w:tc>
        <w:tc>
          <w:tcPr>
            <w:tcW w:w="995"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2012</w:t>
            </w:r>
            <w:r w:rsidR="009F0F49">
              <w:rPr>
                <w:rFonts w:ascii="Calibri" w:hAnsi="Calibri"/>
                <w:b/>
                <w:sz w:val="20"/>
                <w:szCs w:val="18"/>
              </w:rPr>
              <w:noBreakHyphen/>
            </w:r>
            <w:r w:rsidRPr="00773447">
              <w:rPr>
                <w:rFonts w:ascii="Calibri" w:hAnsi="Calibri"/>
                <w:b/>
                <w:sz w:val="20"/>
                <w:szCs w:val="18"/>
              </w:rPr>
              <w:t>13 Expected Outcome</w:t>
            </w:r>
          </w:p>
        </w:tc>
        <w:tc>
          <w:tcPr>
            <w:tcW w:w="908"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2012</w:t>
            </w:r>
            <w:r w:rsidR="009F0F49">
              <w:rPr>
                <w:rFonts w:ascii="Calibri" w:hAnsi="Calibri"/>
                <w:b/>
                <w:sz w:val="20"/>
                <w:szCs w:val="18"/>
              </w:rPr>
              <w:noBreakHyphen/>
            </w:r>
            <w:r w:rsidRPr="00773447">
              <w:rPr>
                <w:rFonts w:ascii="Calibri" w:hAnsi="Calibri"/>
                <w:b/>
                <w:sz w:val="20"/>
                <w:szCs w:val="18"/>
              </w:rPr>
              <w:t>13 Target</w:t>
            </w:r>
          </w:p>
        </w:tc>
        <w:tc>
          <w:tcPr>
            <w:tcW w:w="912" w:type="dxa"/>
            <w:gridSpan w:val="2"/>
            <w:tcBorders>
              <w:top w:val="single" w:sz="4" w:space="0" w:color="auto"/>
              <w:left w:val="nil"/>
              <w:bottom w:val="single" w:sz="4" w:space="0" w:color="auto"/>
              <w:right w:val="single" w:sz="4" w:space="0" w:color="auto"/>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2011</w:t>
            </w:r>
            <w:r w:rsidR="009F0F49">
              <w:rPr>
                <w:rFonts w:ascii="Calibri" w:hAnsi="Calibri"/>
                <w:b/>
                <w:sz w:val="20"/>
                <w:szCs w:val="18"/>
              </w:rPr>
              <w:noBreakHyphen/>
            </w:r>
            <w:r w:rsidRPr="00773447">
              <w:rPr>
                <w:rFonts w:ascii="Calibri" w:hAnsi="Calibri"/>
                <w:b/>
                <w:sz w:val="20"/>
                <w:szCs w:val="18"/>
              </w:rPr>
              <w:t>12 Actual</w:t>
            </w:r>
          </w:p>
        </w:tc>
      </w:tr>
      <w:tr w:rsidR="00B958B1" w:rsidRPr="0063173D" w:rsidTr="009F3B54">
        <w:trPr>
          <w:gridAfter w:val="1"/>
          <w:wAfter w:w="6" w:type="dxa"/>
          <w:cantSplit/>
        </w:trPr>
        <w:tc>
          <w:tcPr>
            <w:tcW w:w="7776" w:type="dxa"/>
            <w:gridSpan w:val="6"/>
            <w:tcBorders>
              <w:top w:val="nil"/>
              <w:left w:val="nil"/>
              <w:bottom w:val="nil"/>
              <w:right w:val="nil"/>
            </w:tcBorders>
            <w:shd w:val="clear" w:color="auto" w:fill="auto"/>
            <w:vAlign w:val="bottom"/>
            <w:hideMark/>
          </w:tcPr>
          <w:p w:rsidR="00B958B1" w:rsidRPr="0063173D" w:rsidRDefault="00B958B1" w:rsidP="009F3B54">
            <w:pPr>
              <w:pStyle w:val="OGHeading2"/>
              <w:rPr>
                <w:lang w:eastAsia="en-AU"/>
              </w:rPr>
            </w:pPr>
            <w:r w:rsidRPr="0063173D">
              <w:rPr>
                <w:lang w:eastAsia="en-AU"/>
              </w:rPr>
              <w:t>Provision of Information and Resources to Parliament</w:t>
            </w:r>
          </w:p>
        </w:tc>
      </w:tr>
      <w:tr w:rsidR="00B958B1" w:rsidRPr="0063173D"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3173D" w:rsidRDefault="00B958B1" w:rsidP="009F3B54">
            <w:pPr>
              <w:pStyle w:val="OGText"/>
              <w:rPr>
                <w:lang w:eastAsia="en-AU"/>
              </w:rPr>
            </w:pPr>
            <w:r w:rsidRPr="0063173D">
              <w:rPr>
                <w:lang w:eastAsia="en-AU"/>
              </w:rPr>
              <w:t>Parliamentary Services provides consultancy, advisory and support services in the areas of library, Hansard, education, human resources, finance, information technology (IT), maintenance, grounds and facilities along with planning, implementation and management of capital projects, for the Parliament of Victoria.</w:t>
            </w:r>
          </w:p>
        </w:tc>
      </w:tr>
      <w:tr w:rsidR="00B958B1" w:rsidRPr="0063173D" w:rsidTr="009F3B54">
        <w:trPr>
          <w:gridAfter w:val="1"/>
          <w:wAfter w:w="6" w:type="dxa"/>
          <w:cantSplit/>
        </w:trPr>
        <w:tc>
          <w:tcPr>
            <w:tcW w:w="3152" w:type="dxa"/>
            <w:tcBorders>
              <w:top w:val="single" w:sz="6" w:space="0" w:color="auto"/>
              <w:left w:val="nil"/>
              <w:right w:val="nil"/>
            </w:tcBorders>
            <w:shd w:val="clear" w:color="auto" w:fill="auto"/>
            <w:vAlign w:val="bottom"/>
            <w:hideMark/>
          </w:tcPr>
          <w:p w:rsidR="00B958B1" w:rsidRPr="0063173D" w:rsidRDefault="00B958B1" w:rsidP="009F3B54">
            <w:pPr>
              <w:pStyle w:val="OGTabHead"/>
              <w:rPr>
                <w:lang w:eastAsia="en-AU"/>
              </w:rPr>
            </w:pPr>
            <w:r w:rsidRPr="0063173D">
              <w:rPr>
                <w:lang w:eastAsia="en-AU"/>
              </w:rPr>
              <w:t>Quantity</w:t>
            </w:r>
          </w:p>
        </w:tc>
        <w:tc>
          <w:tcPr>
            <w:tcW w:w="907"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8" w:type="dxa"/>
            <w:tcBorders>
              <w:top w:val="single" w:sz="6" w:space="0" w:color="auto"/>
              <w:left w:val="nil"/>
              <w:right w:val="nil"/>
            </w:tcBorders>
            <w:shd w:val="clear" w:color="auto" w:fill="D9D9D9"/>
            <w:noWrap/>
            <w:vAlign w:val="bottom"/>
            <w:hideMark/>
          </w:tcPr>
          <w:p w:rsidR="00B958B1" w:rsidRPr="0063173D" w:rsidRDefault="00B958B1" w:rsidP="009F3B54">
            <w:pPr>
              <w:pStyle w:val="OGTabHead"/>
              <w:rPr>
                <w:lang w:eastAsia="en-AU"/>
              </w:rPr>
            </w:pPr>
          </w:p>
        </w:tc>
        <w:tc>
          <w:tcPr>
            <w:tcW w:w="995"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8"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6"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r>
      <w:tr w:rsidR="00B958B1" w:rsidRPr="0063173D" w:rsidTr="009F3B54">
        <w:trPr>
          <w:gridAfter w:val="1"/>
          <w:wAfter w:w="6" w:type="dxa"/>
          <w:cantSplit/>
        </w:trPr>
        <w:tc>
          <w:tcPr>
            <w:tcW w:w="3152" w:type="dxa"/>
            <w:tcBorders>
              <w:top w:val="nil"/>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IT systems availability</w:t>
            </w:r>
            <w:r>
              <w:rPr>
                <w:color w:val="000000"/>
                <w:lang w:eastAsia="en-AU"/>
              </w:rPr>
              <w:t xml:space="preserve"> – </w:t>
            </w:r>
            <w:r w:rsidRPr="0063173D">
              <w:rPr>
                <w:color w:val="000000"/>
                <w:lang w:eastAsia="en-AU"/>
              </w:rPr>
              <w:t>(Parliament and Electorate Offices)</w:t>
            </w:r>
          </w:p>
        </w:tc>
        <w:tc>
          <w:tcPr>
            <w:tcW w:w="907" w:type="dxa"/>
            <w:tcBorders>
              <w:top w:val="nil"/>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per cent</w:t>
            </w:r>
          </w:p>
        </w:tc>
        <w:tc>
          <w:tcPr>
            <w:tcW w:w="908" w:type="dxa"/>
            <w:tcBorders>
              <w:top w:val="nil"/>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99</w:t>
            </w:r>
          </w:p>
        </w:tc>
        <w:tc>
          <w:tcPr>
            <w:tcW w:w="995"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99</w:t>
            </w:r>
          </w:p>
        </w:tc>
        <w:tc>
          <w:tcPr>
            <w:tcW w:w="908"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99</w:t>
            </w:r>
          </w:p>
        </w:tc>
        <w:tc>
          <w:tcPr>
            <w:tcW w:w="906"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99</w:t>
            </w:r>
          </w:p>
        </w:tc>
      </w:tr>
      <w:tr w:rsidR="00B958B1" w:rsidRPr="0063173D" w:rsidTr="009F3B54">
        <w:trPr>
          <w:gridAfter w:val="1"/>
          <w:wAfter w:w="6" w:type="dxa"/>
          <w:cantSplit/>
        </w:trPr>
        <w:tc>
          <w:tcPr>
            <w:tcW w:w="3152"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Monthly management reports to MPs and departments</w:t>
            </w:r>
          </w:p>
        </w:tc>
        <w:tc>
          <w:tcPr>
            <w:tcW w:w="907"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sidRPr="0063173D">
              <w:rPr>
                <w:color w:val="000000"/>
                <w:lang w:eastAsia="en-AU"/>
              </w:rPr>
              <w:t>number</w:t>
            </w:r>
          </w:p>
        </w:tc>
        <w:tc>
          <w:tcPr>
            <w:tcW w:w="908" w:type="dxa"/>
            <w:tcBorders>
              <w:top w:val="single" w:sz="6" w:space="0" w:color="auto"/>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12</w:t>
            </w:r>
          </w:p>
        </w:tc>
        <w:tc>
          <w:tcPr>
            <w:tcW w:w="995"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12</w:t>
            </w:r>
          </w:p>
        </w:tc>
        <w:tc>
          <w:tcPr>
            <w:tcW w:w="908"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12</w:t>
            </w:r>
          </w:p>
        </w:tc>
        <w:tc>
          <w:tcPr>
            <w:tcW w:w="906"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12</w:t>
            </w:r>
          </w:p>
        </w:tc>
      </w:tr>
      <w:tr w:rsidR="00B958B1" w:rsidRPr="0063173D" w:rsidTr="009F3B54">
        <w:trPr>
          <w:gridAfter w:val="1"/>
          <w:wAfter w:w="6" w:type="dxa"/>
          <w:cantSplit/>
        </w:trPr>
        <w:tc>
          <w:tcPr>
            <w:tcW w:w="3152"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Parliamentary audio system transmission availability</w:t>
            </w:r>
          </w:p>
        </w:tc>
        <w:tc>
          <w:tcPr>
            <w:tcW w:w="907"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per cent</w:t>
            </w:r>
          </w:p>
        </w:tc>
        <w:tc>
          <w:tcPr>
            <w:tcW w:w="908" w:type="dxa"/>
            <w:tcBorders>
              <w:top w:val="single" w:sz="6" w:space="0" w:color="auto"/>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99</w:t>
            </w:r>
          </w:p>
        </w:tc>
        <w:tc>
          <w:tcPr>
            <w:tcW w:w="995"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99</w:t>
            </w:r>
          </w:p>
        </w:tc>
        <w:tc>
          <w:tcPr>
            <w:tcW w:w="908"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99</w:t>
            </w:r>
          </w:p>
        </w:tc>
        <w:tc>
          <w:tcPr>
            <w:tcW w:w="906"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100</w:t>
            </w:r>
          </w:p>
        </w:tc>
      </w:tr>
      <w:tr w:rsidR="00B958B1" w:rsidRPr="0063173D" w:rsidTr="009F3B54">
        <w:trPr>
          <w:gridAfter w:val="1"/>
          <w:wAfter w:w="6" w:type="dxa"/>
          <w:cantSplit/>
        </w:trPr>
        <w:tc>
          <w:tcPr>
            <w:tcW w:w="3152"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Provide MPs with a functional electorate office</w:t>
            </w:r>
          </w:p>
        </w:tc>
        <w:tc>
          <w:tcPr>
            <w:tcW w:w="907"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per cent</w:t>
            </w:r>
          </w:p>
        </w:tc>
        <w:tc>
          <w:tcPr>
            <w:tcW w:w="908" w:type="dxa"/>
            <w:tcBorders>
              <w:top w:val="single" w:sz="6" w:space="0" w:color="auto"/>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95</w:t>
            </w:r>
          </w:p>
        </w:tc>
        <w:tc>
          <w:tcPr>
            <w:tcW w:w="995"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95</w:t>
            </w:r>
          </w:p>
        </w:tc>
        <w:tc>
          <w:tcPr>
            <w:tcW w:w="908"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95</w:t>
            </w:r>
          </w:p>
        </w:tc>
        <w:tc>
          <w:tcPr>
            <w:tcW w:w="906"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100</w:t>
            </w:r>
          </w:p>
        </w:tc>
      </w:tr>
      <w:tr w:rsidR="00B958B1" w:rsidRPr="0063173D" w:rsidTr="009F3B54">
        <w:trPr>
          <w:gridAfter w:val="1"/>
          <w:wAfter w:w="6" w:type="dxa"/>
          <w:cantSplit/>
        </w:trPr>
        <w:tc>
          <w:tcPr>
            <w:tcW w:w="3152" w:type="dxa"/>
            <w:tcBorders>
              <w:top w:val="single" w:sz="6" w:space="0" w:color="auto"/>
              <w:left w:val="nil"/>
              <w:right w:val="nil"/>
            </w:tcBorders>
            <w:shd w:val="clear" w:color="auto" w:fill="auto"/>
            <w:vAlign w:val="bottom"/>
            <w:hideMark/>
          </w:tcPr>
          <w:p w:rsidR="00B958B1" w:rsidRPr="0063173D" w:rsidRDefault="00B958B1" w:rsidP="009F3B54">
            <w:pPr>
              <w:pStyle w:val="OGTabHead"/>
              <w:rPr>
                <w:lang w:eastAsia="en-AU"/>
              </w:rPr>
            </w:pPr>
            <w:r w:rsidRPr="0063173D">
              <w:rPr>
                <w:lang w:eastAsia="en-AU"/>
              </w:rPr>
              <w:t>Quality</w:t>
            </w:r>
          </w:p>
        </w:tc>
        <w:tc>
          <w:tcPr>
            <w:tcW w:w="907"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8" w:type="dxa"/>
            <w:tcBorders>
              <w:top w:val="single" w:sz="6" w:space="0" w:color="auto"/>
              <w:left w:val="nil"/>
              <w:right w:val="nil"/>
            </w:tcBorders>
            <w:shd w:val="clear" w:color="auto" w:fill="D9D9D9"/>
            <w:noWrap/>
            <w:vAlign w:val="bottom"/>
            <w:hideMark/>
          </w:tcPr>
          <w:p w:rsidR="00B958B1" w:rsidRPr="0063173D" w:rsidRDefault="00B958B1" w:rsidP="009F3B54">
            <w:pPr>
              <w:pStyle w:val="OGTabHead"/>
              <w:rPr>
                <w:lang w:eastAsia="en-AU"/>
              </w:rPr>
            </w:pPr>
          </w:p>
        </w:tc>
        <w:tc>
          <w:tcPr>
            <w:tcW w:w="995"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8"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6"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r>
      <w:tr w:rsidR="00B958B1" w:rsidRPr="0063173D" w:rsidTr="009F3B54">
        <w:trPr>
          <w:gridAfter w:val="1"/>
          <w:wAfter w:w="6" w:type="dxa"/>
          <w:cantSplit/>
        </w:trPr>
        <w:tc>
          <w:tcPr>
            <w:tcW w:w="3152" w:type="dxa"/>
            <w:tcBorders>
              <w:top w:val="nil"/>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Clear Audit opinion on Parliamentary Financial Statements (previous year)</w:t>
            </w:r>
          </w:p>
        </w:tc>
        <w:tc>
          <w:tcPr>
            <w:tcW w:w="907" w:type="dxa"/>
            <w:tcBorders>
              <w:top w:val="nil"/>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per cent</w:t>
            </w:r>
          </w:p>
        </w:tc>
        <w:tc>
          <w:tcPr>
            <w:tcW w:w="908" w:type="dxa"/>
            <w:tcBorders>
              <w:top w:val="nil"/>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100</w:t>
            </w:r>
          </w:p>
        </w:tc>
        <w:tc>
          <w:tcPr>
            <w:tcW w:w="995"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100</w:t>
            </w:r>
          </w:p>
        </w:tc>
        <w:tc>
          <w:tcPr>
            <w:tcW w:w="908"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100</w:t>
            </w:r>
          </w:p>
        </w:tc>
        <w:tc>
          <w:tcPr>
            <w:tcW w:w="906"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100</w:t>
            </w:r>
          </w:p>
        </w:tc>
      </w:tr>
      <w:tr w:rsidR="00B958B1" w:rsidRPr="0063173D" w:rsidTr="009F3B54">
        <w:trPr>
          <w:gridAfter w:val="1"/>
          <w:wAfter w:w="6" w:type="dxa"/>
          <w:cantSplit/>
        </w:trPr>
        <w:tc>
          <w:tcPr>
            <w:tcW w:w="3152"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Clients satisfied with quality of information provided by Library staff</w:t>
            </w:r>
          </w:p>
        </w:tc>
        <w:tc>
          <w:tcPr>
            <w:tcW w:w="907"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per cent</w:t>
            </w:r>
          </w:p>
        </w:tc>
        <w:tc>
          <w:tcPr>
            <w:tcW w:w="908" w:type="dxa"/>
            <w:tcBorders>
              <w:top w:val="single" w:sz="6" w:space="0" w:color="auto"/>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85</w:t>
            </w:r>
          </w:p>
        </w:tc>
        <w:tc>
          <w:tcPr>
            <w:tcW w:w="995"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85</w:t>
            </w:r>
          </w:p>
        </w:tc>
        <w:tc>
          <w:tcPr>
            <w:tcW w:w="908"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85</w:t>
            </w:r>
          </w:p>
        </w:tc>
        <w:tc>
          <w:tcPr>
            <w:tcW w:w="906"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99</w:t>
            </w:r>
          </w:p>
        </w:tc>
      </w:tr>
      <w:tr w:rsidR="00B958B1" w:rsidRPr="0063173D" w:rsidTr="009F3B54">
        <w:trPr>
          <w:gridAfter w:val="1"/>
          <w:wAfter w:w="6" w:type="dxa"/>
          <w:cantSplit/>
        </w:trPr>
        <w:tc>
          <w:tcPr>
            <w:tcW w:w="3152"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Maintain and secure the parliamentary precinct and have it available for legislative program</w:t>
            </w:r>
          </w:p>
        </w:tc>
        <w:tc>
          <w:tcPr>
            <w:tcW w:w="907"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per cent</w:t>
            </w:r>
          </w:p>
        </w:tc>
        <w:tc>
          <w:tcPr>
            <w:tcW w:w="908" w:type="dxa"/>
            <w:tcBorders>
              <w:top w:val="single" w:sz="6" w:space="0" w:color="auto"/>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95</w:t>
            </w:r>
          </w:p>
        </w:tc>
        <w:tc>
          <w:tcPr>
            <w:tcW w:w="995"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95</w:t>
            </w:r>
          </w:p>
        </w:tc>
        <w:tc>
          <w:tcPr>
            <w:tcW w:w="908"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95</w:t>
            </w:r>
          </w:p>
        </w:tc>
        <w:tc>
          <w:tcPr>
            <w:tcW w:w="906"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100</w:t>
            </w:r>
          </w:p>
        </w:tc>
      </w:tr>
      <w:tr w:rsidR="00B958B1" w:rsidRPr="0063173D" w:rsidTr="009F3B54">
        <w:trPr>
          <w:gridAfter w:val="1"/>
          <w:wAfter w:w="6" w:type="dxa"/>
          <w:cantSplit/>
        </w:trPr>
        <w:tc>
          <w:tcPr>
            <w:tcW w:w="3152" w:type="dxa"/>
            <w:tcBorders>
              <w:top w:val="single" w:sz="6" w:space="0" w:color="auto"/>
              <w:left w:val="nil"/>
              <w:right w:val="nil"/>
            </w:tcBorders>
            <w:shd w:val="clear" w:color="auto" w:fill="auto"/>
            <w:vAlign w:val="bottom"/>
            <w:hideMark/>
          </w:tcPr>
          <w:p w:rsidR="00B958B1" w:rsidRPr="0063173D" w:rsidRDefault="00B958B1" w:rsidP="009F3B54">
            <w:pPr>
              <w:pStyle w:val="OGTabHead"/>
              <w:rPr>
                <w:lang w:eastAsia="en-AU"/>
              </w:rPr>
            </w:pPr>
            <w:r w:rsidRPr="0063173D">
              <w:rPr>
                <w:lang w:eastAsia="en-AU"/>
              </w:rPr>
              <w:t>Timeliness</w:t>
            </w:r>
          </w:p>
        </w:tc>
        <w:tc>
          <w:tcPr>
            <w:tcW w:w="907"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8" w:type="dxa"/>
            <w:tcBorders>
              <w:top w:val="single" w:sz="6" w:space="0" w:color="auto"/>
              <w:left w:val="nil"/>
              <w:right w:val="nil"/>
            </w:tcBorders>
            <w:shd w:val="clear" w:color="auto" w:fill="D9D9D9"/>
            <w:noWrap/>
            <w:vAlign w:val="bottom"/>
            <w:hideMark/>
          </w:tcPr>
          <w:p w:rsidR="00B958B1" w:rsidRPr="0063173D" w:rsidRDefault="00B958B1" w:rsidP="009F3B54">
            <w:pPr>
              <w:pStyle w:val="OGTabHead"/>
              <w:rPr>
                <w:lang w:eastAsia="en-AU"/>
              </w:rPr>
            </w:pPr>
          </w:p>
        </w:tc>
        <w:tc>
          <w:tcPr>
            <w:tcW w:w="995"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8"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6"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r>
      <w:tr w:rsidR="00B958B1" w:rsidRPr="0063173D" w:rsidTr="009F3B54">
        <w:trPr>
          <w:gridAfter w:val="1"/>
          <w:wAfter w:w="6" w:type="dxa"/>
          <w:cantSplit/>
        </w:trPr>
        <w:tc>
          <w:tcPr>
            <w:tcW w:w="3152" w:type="dxa"/>
            <w:tcBorders>
              <w:top w:val="nil"/>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Indexes, records and speeches and transcripts provided within agreed timeframes</w:t>
            </w:r>
          </w:p>
        </w:tc>
        <w:tc>
          <w:tcPr>
            <w:tcW w:w="907" w:type="dxa"/>
            <w:tcBorders>
              <w:top w:val="nil"/>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per cent</w:t>
            </w:r>
          </w:p>
        </w:tc>
        <w:tc>
          <w:tcPr>
            <w:tcW w:w="908" w:type="dxa"/>
            <w:tcBorders>
              <w:top w:val="nil"/>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90</w:t>
            </w:r>
          </w:p>
        </w:tc>
        <w:tc>
          <w:tcPr>
            <w:tcW w:w="995"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90</w:t>
            </w:r>
          </w:p>
        </w:tc>
        <w:tc>
          <w:tcPr>
            <w:tcW w:w="908"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90</w:t>
            </w:r>
          </w:p>
        </w:tc>
        <w:tc>
          <w:tcPr>
            <w:tcW w:w="906"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94</w:t>
            </w:r>
          </w:p>
        </w:tc>
      </w:tr>
      <w:tr w:rsidR="00B958B1" w:rsidRPr="0063173D" w:rsidTr="009F3B54">
        <w:trPr>
          <w:gridAfter w:val="1"/>
          <w:wAfter w:w="6" w:type="dxa"/>
          <w:cantSplit/>
        </w:trPr>
        <w:tc>
          <w:tcPr>
            <w:tcW w:w="3152"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Payroll processing completed accurately and within agreed timeframes</w:t>
            </w:r>
          </w:p>
        </w:tc>
        <w:tc>
          <w:tcPr>
            <w:tcW w:w="907"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per cent</w:t>
            </w:r>
          </w:p>
        </w:tc>
        <w:tc>
          <w:tcPr>
            <w:tcW w:w="908" w:type="dxa"/>
            <w:tcBorders>
              <w:top w:val="single" w:sz="6" w:space="0" w:color="auto"/>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99</w:t>
            </w:r>
          </w:p>
        </w:tc>
        <w:tc>
          <w:tcPr>
            <w:tcW w:w="995"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99</w:t>
            </w:r>
          </w:p>
        </w:tc>
        <w:tc>
          <w:tcPr>
            <w:tcW w:w="908"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99</w:t>
            </w:r>
          </w:p>
        </w:tc>
        <w:tc>
          <w:tcPr>
            <w:tcW w:w="906"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100</w:t>
            </w:r>
          </w:p>
        </w:tc>
      </w:tr>
      <w:tr w:rsidR="00B958B1" w:rsidRPr="0063173D" w:rsidTr="009F3B54">
        <w:trPr>
          <w:gridAfter w:val="1"/>
          <w:wAfter w:w="6" w:type="dxa"/>
          <w:cantSplit/>
        </w:trPr>
        <w:tc>
          <w:tcPr>
            <w:tcW w:w="3152" w:type="dxa"/>
            <w:tcBorders>
              <w:top w:val="single" w:sz="6" w:space="0" w:color="auto"/>
              <w:left w:val="nil"/>
              <w:right w:val="nil"/>
            </w:tcBorders>
            <w:shd w:val="clear" w:color="auto" w:fill="auto"/>
            <w:vAlign w:val="bottom"/>
            <w:hideMark/>
          </w:tcPr>
          <w:p w:rsidR="00B958B1" w:rsidRPr="0063173D" w:rsidRDefault="00B958B1" w:rsidP="009F3B54">
            <w:pPr>
              <w:pStyle w:val="OGTabHead"/>
              <w:rPr>
                <w:lang w:eastAsia="en-AU"/>
              </w:rPr>
            </w:pPr>
            <w:r w:rsidRPr="0063173D">
              <w:rPr>
                <w:lang w:eastAsia="en-AU"/>
              </w:rPr>
              <w:t>Cost</w:t>
            </w:r>
          </w:p>
        </w:tc>
        <w:tc>
          <w:tcPr>
            <w:tcW w:w="907"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8" w:type="dxa"/>
            <w:tcBorders>
              <w:top w:val="single" w:sz="6" w:space="0" w:color="auto"/>
              <w:left w:val="nil"/>
              <w:right w:val="nil"/>
            </w:tcBorders>
            <w:shd w:val="clear" w:color="auto" w:fill="D9D9D9"/>
            <w:noWrap/>
            <w:vAlign w:val="bottom"/>
            <w:hideMark/>
          </w:tcPr>
          <w:p w:rsidR="00B958B1" w:rsidRPr="0063173D" w:rsidRDefault="00B958B1" w:rsidP="009F3B54">
            <w:pPr>
              <w:pStyle w:val="OGTabHead"/>
              <w:rPr>
                <w:lang w:eastAsia="en-AU"/>
              </w:rPr>
            </w:pPr>
          </w:p>
        </w:tc>
        <w:tc>
          <w:tcPr>
            <w:tcW w:w="995"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8"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6"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r>
      <w:tr w:rsidR="00B958B1" w:rsidRPr="0063173D" w:rsidTr="009F3B54">
        <w:trPr>
          <w:gridAfter w:val="1"/>
          <w:wAfter w:w="6" w:type="dxa"/>
          <w:cantSplit/>
        </w:trPr>
        <w:tc>
          <w:tcPr>
            <w:tcW w:w="3152" w:type="dxa"/>
            <w:tcBorders>
              <w:top w:val="nil"/>
              <w:left w:val="nil"/>
              <w:bottom w:val="nil"/>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Total output cost</w:t>
            </w:r>
          </w:p>
        </w:tc>
        <w:tc>
          <w:tcPr>
            <w:tcW w:w="907" w:type="dxa"/>
            <w:tcBorders>
              <w:top w:val="nil"/>
              <w:left w:val="nil"/>
              <w:bottom w:val="nil"/>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 million</w:t>
            </w:r>
          </w:p>
        </w:tc>
        <w:tc>
          <w:tcPr>
            <w:tcW w:w="908" w:type="dxa"/>
            <w:tcBorders>
              <w:top w:val="nil"/>
              <w:left w:val="nil"/>
              <w:bottom w:val="nil"/>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87.2</w:t>
            </w:r>
          </w:p>
        </w:tc>
        <w:tc>
          <w:tcPr>
            <w:tcW w:w="995" w:type="dxa"/>
            <w:tcBorders>
              <w:top w:val="nil"/>
              <w:left w:val="nil"/>
              <w:bottom w:val="nil"/>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80.5</w:t>
            </w:r>
          </w:p>
        </w:tc>
        <w:tc>
          <w:tcPr>
            <w:tcW w:w="908" w:type="dxa"/>
            <w:tcBorders>
              <w:top w:val="nil"/>
              <w:left w:val="nil"/>
              <w:bottom w:val="nil"/>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79</w:t>
            </w:r>
          </w:p>
        </w:tc>
        <w:tc>
          <w:tcPr>
            <w:tcW w:w="906" w:type="dxa"/>
            <w:tcBorders>
              <w:top w:val="nil"/>
              <w:left w:val="nil"/>
              <w:bottom w:val="nil"/>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72.7</w:t>
            </w:r>
          </w:p>
        </w:tc>
      </w:tr>
      <w:tr w:rsidR="00B958B1" w:rsidRPr="0063173D" w:rsidTr="009F3B54">
        <w:trPr>
          <w:gridAfter w:val="1"/>
          <w:wAfter w:w="6" w:type="dxa"/>
          <w:cantSplit/>
        </w:trPr>
        <w:tc>
          <w:tcPr>
            <w:tcW w:w="7776" w:type="dxa"/>
            <w:gridSpan w:val="6"/>
            <w:tcBorders>
              <w:top w:val="nil"/>
              <w:left w:val="nil"/>
              <w:bottom w:val="single" w:sz="12" w:space="0" w:color="auto"/>
              <w:right w:val="nil"/>
            </w:tcBorders>
            <w:shd w:val="clear" w:color="000000" w:fill="FFFFFF"/>
          </w:tcPr>
          <w:p w:rsidR="00B958B1" w:rsidRPr="00321AC4" w:rsidRDefault="00B958B1" w:rsidP="009F3B54">
            <w:pPr>
              <w:pStyle w:val="OGNotes"/>
            </w:pPr>
            <w:r w:rsidRPr="00C534E5">
              <w:t>The total output cost for Parliamentary Services for 2013</w:t>
            </w:r>
            <w:r w:rsidR="009F0F49">
              <w:noBreakHyphen/>
            </w:r>
            <w:r w:rsidRPr="00C534E5">
              <w:t>14 Budget is higher than 2012</w:t>
            </w:r>
            <w:r w:rsidR="009F0F49">
              <w:noBreakHyphen/>
            </w:r>
            <w:r w:rsidRPr="00C534E5">
              <w:t>13 Budget. Th</w:t>
            </w:r>
            <w:r>
              <w:t>is is due to an estimated carry</w:t>
            </w:r>
            <w:r w:rsidRPr="00C534E5">
              <w:t>over of expenditure in relation to Members’ electorate office and communication costs and increase in Parliament’s depreciation cost due to revaluation of Parliament House.</w:t>
            </w:r>
          </w:p>
        </w:tc>
      </w:tr>
    </w:tbl>
    <w:p w:rsidR="00B958B1" w:rsidRPr="00DC16C4" w:rsidRDefault="00B958B1" w:rsidP="009F3B54">
      <w:pPr>
        <w:pStyle w:val="Source"/>
      </w:pPr>
      <w:r>
        <w:t xml:space="preserve">Source: Parliament of Victoria </w:t>
      </w:r>
      <w:r>
        <w:fldChar w:fldCharType="begin"/>
      </w:r>
      <w:r>
        <w:instrText xml:space="preserve"> XE "</w:instrText>
      </w:r>
      <w:r w:rsidRPr="00BA2E9A">
        <w:instrText>Parliament:Parliamentary Services</w:instrText>
      </w:r>
      <w:r>
        <w:instrText xml:space="preserve">" \r "BP3ParliamentParliamentSvces" </w:instrText>
      </w:r>
      <w:r>
        <w:fldChar w:fldCharType="end"/>
      </w:r>
    </w:p>
    <w:bookmarkEnd w:id="154"/>
    <w:p w:rsidR="00B958B1" w:rsidRDefault="00B958B1" w:rsidP="009F3B54">
      <w:pPr>
        <w:pStyle w:val="OGHeading1"/>
        <w:rPr>
          <w:lang w:eastAsia="en-AU"/>
        </w:rPr>
      </w:pPr>
      <w:r>
        <w:rPr>
          <w:rFonts w:ascii="Garamond" w:hAnsi="Garamond"/>
          <w:sz w:val="22"/>
          <w:szCs w:val="20"/>
        </w:rPr>
        <w:br w:type="page"/>
      </w:r>
      <w:bookmarkStart w:id="155" w:name="BP3ParliamentParliamentInvestigatCommit"/>
      <w:r w:rsidRPr="0063173D">
        <w:rPr>
          <w:lang w:eastAsia="en-AU"/>
        </w:rPr>
        <w:t>Parliamentary Investigatory Committees</w:t>
      </w:r>
    </w:p>
    <w:tbl>
      <w:tblPr>
        <w:tblW w:w="7782" w:type="dxa"/>
        <w:tblInd w:w="29" w:type="dxa"/>
        <w:tblLayout w:type="fixed"/>
        <w:tblCellMar>
          <w:left w:w="43" w:type="dxa"/>
          <w:right w:w="43" w:type="dxa"/>
        </w:tblCellMar>
        <w:tblLook w:val="04A0" w:firstRow="1" w:lastRow="0" w:firstColumn="1" w:lastColumn="0" w:noHBand="0" w:noVBand="1"/>
      </w:tblPr>
      <w:tblGrid>
        <w:gridCol w:w="3152"/>
        <w:gridCol w:w="907"/>
        <w:gridCol w:w="908"/>
        <w:gridCol w:w="995"/>
        <w:gridCol w:w="908"/>
        <w:gridCol w:w="906"/>
        <w:gridCol w:w="6"/>
      </w:tblGrid>
      <w:tr w:rsidR="00B958B1" w:rsidRPr="00773447" w:rsidTr="009F3B54">
        <w:trPr>
          <w:cantSplit/>
        </w:trPr>
        <w:tc>
          <w:tcPr>
            <w:tcW w:w="3152" w:type="dxa"/>
            <w:tcBorders>
              <w:top w:val="single" w:sz="4" w:space="0" w:color="auto"/>
              <w:left w:val="single" w:sz="4" w:space="0" w:color="auto"/>
              <w:bottom w:val="single" w:sz="4" w:space="0" w:color="auto"/>
              <w:right w:val="nil"/>
            </w:tcBorders>
            <w:shd w:val="clear" w:color="auto" w:fill="000000"/>
            <w:vAlign w:val="bottom"/>
          </w:tcPr>
          <w:p w:rsidR="00B958B1" w:rsidRPr="00773447" w:rsidRDefault="00B958B1" w:rsidP="009F3B54">
            <w:pPr>
              <w:spacing w:before="30" w:after="30"/>
              <w:rPr>
                <w:rFonts w:ascii="Calibri" w:hAnsi="Calibri"/>
                <w:b/>
                <w:i/>
                <w:sz w:val="20"/>
                <w:szCs w:val="18"/>
                <w:lang w:eastAsia="en-AU"/>
              </w:rPr>
            </w:pPr>
            <w:r w:rsidRPr="00773447">
              <w:rPr>
                <w:rFonts w:ascii="Calibri" w:hAnsi="Calibri"/>
                <w:b/>
                <w:sz w:val="20"/>
                <w:szCs w:val="18"/>
                <w:lang w:eastAsia="en-AU"/>
              </w:rPr>
              <w:t>Major Outputs/Deliverables</w:t>
            </w:r>
            <w:r w:rsidRPr="00773447">
              <w:rPr>
                <w:rFonts w:ascii="Calibri" w:hAnsi="Calibri"/>
                <w:b/>
                <w:sz w:val="20"/>
                <w:szCs w:val="18"/>
                <w:lang w:eastAsia="en-AU"/>
              </w:rPr>
              <w:br/>
            </w:r>
            <w:r w:rsidRPr="00773447">
              <w:rPr>
                <w:rFonts w:ascii="Calibri" w:hAnsi="Calibri"/>
                <w:i/>
                <w:sz w:val="20"/>
                <w:szCs w:val="18"/>
                <w:lang w:eastAsia="en-AU"/>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center"/>
              <w:rPr>
                <w:rFonts w:ascii="Calibri" w:hAnsi="Calibri"/>
                <w:b/>
                <w:sz w:val="20"/>
                <w:szCs w:val="18"/>
                <w:lang w:eastAsia="en-AU"/>
              </w:rPr>
            </w:pPr>
            <w:r w:rsidRPr="00773447">
              <w:rPr>
                <w:rFonts w:ascii="Calibri" w:hAnsi="Calibri"/>
                <w:b/>
                <w:sz w:val="20"/>
                <w:szCs w:val="18"/>
                <w:lang w:eastAsia="en-AU"/>
              </w:rPr>
              <w:t xml:space="preserve">Unit of </w:t>
            </w:r>
            <w:r w:rsidRPr="00773447">
              <w:rPr>
                <w:rFonts w:ascii="Calibri" w:hAnsi="Calibri"/>
                <w:b/>
                <w:sz w:val="20"/>
                <w:szCs w:val="18"/>
                <w:lang w:eastAsia="en-AU"/>
              </w:rPr>
              <w:br/>
              <w:t>Measure</w:t>
            </w:r>
          </w:p>
        </w:tc>
        <w:tc>
          <w:tcPr>
            <w:tcW w:w="908"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2013</w:t>
            </w:r>
            <w:r w:rsidR="009F0F49">
              <w:rPr>
                <w:rFonts w:ascii="Calibri" w:hAnsi="Calibri"/>
                <w:b/>
                <w:sz w:val="20"/>
                <w:szCs w:val="18"/>
              </w:rPr>
              <w:noBreakHyphen/>
            </w:r>
            <w:r w:rsidRPr="00773447">
              <w:rPr>
                <w:rFonts w:ascii="Calibri" w:hAnsi="Calibri"/>
                <w:b/>
                <w:sz w:val="20"/>
                <w:szCs w:val="18"/>
              </w:rPr>
              <w:t>14 Target</w:t>
            </w:r>
          </w:p>
        </w:tc>
        <w:tc>
          <w:tcPr>
            <w:tcW w:w="995"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2012</w:t>
            </w:r>
            <w:r w:rsidR="009F0F49">
              <w:rPr>
                <w:rFonts w:ascii="Calibri" w:hAnsi="Calibri"/>
                <w:b/>
                <w:sz w:val="20"/>
                <w:szCs w:val="18"/>
              </w:rPr>
              <w:noBreakHyphen/>
            </w:r>
            <w:r w:rsidRPr="00773447">
              <w:rPr>
                <w:rFonts w:ascii="Calibri" w:hAnsi="Calibri"/>
                <w:b/>
                <w:sz w:val="20"/>
                <w:szCs w:val="18"/>
              </w:rPr>
              <w:t>13 Expected Outcome</w:t>
            </w:r>
          </w:p>
        </w:tc>
        <w:tc>
          <w:tcPr>
            <w:tcW w:w="908"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2012</w:t>
            </w:r>
            <w:r w:rsidR="009F0F49">
              <w:rPr>
                <w:rFonts w:ascii="Calibri" w:hAnsi="Calibri"/>
                <w:b/>
                <w:sz w:val="20"/>
                <w:szCs w:val="18"/>
              </w:rPr>
              <w:noBreakHyphen/>
            </w:r>
            <w:r w:rsidRPr="00773447">
              <w:rPr>
                <w:rFonts w:ascii="Calibri" w:hAnsi="Calibri"/>
                <w:b/>
                <w:sz w:val="20"/>
                <w:szCs w:val="18"/>
              </w:rPr>
              <w:t>13 Target</w:t>
            </w:r>
          </w:p>
        </w:tc>
        <w:tc>
          <w:tcPr>
            <w:tcW w:w="912" w:type="dxa"/>
            <w:gridSpan w:val="2"/>
            <w:tcBorders>
              <w:top w:val="single" w:sz="4" w:space="0" w:color="auto"/>
              <w:left w:val="nil"/>
              <w:bottom w:val="single" w:sz="4" w:space="0" w:color="auto"/>
              <w:right w:val="single" w:sz="4" w:space="0" w:color="auto"/>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2011</w:t>
            </w:r>
            <w:r w:rsidR="009F0F49">
              <w:rPr>
                <w:rFonts w:ascii="Calibri" w:hAnsi="Calibri"/>
                <w:b/>
                <w:sz w:val="20"/>
                <w:szCs w:val="18"/>
              </w:rPr>
              <w:noBreakHyphen/>
            </w:r>
            <w:r w:rsidRPr="00773447">
              <w:rPr>
                <w:rFonts w:ascii="Calibri" w:hAnsi="Calibri"/>
                <w:b/>
                <w:sz w:val="20"/>
                <w:szCs w:val="18"/>
              </w:rPr>
              <w:t>12 Actual</w:t>
            </w:r>
          </w:p>
        </w:tc>
      </w:tr>
      <w:tr w:rsidR="00B958B1" w:rsidRPr="0063173D" w:rsidTr="009F3B54">
        <w:trPr>
          <w:gridAfter w:val="1"/>
          <w:wAfter w:w="6" w:type="dxa"/>
          <w:cantSplit/>
        </w:trPr>
        <w:tc>
          <w:tcPr>
            <w:tcW w:w="7776" w:type="dxa"/>
            <w:gridSpan w:val="6"/>
            <w:tcBorders>
              <w:top w:val="nil"/>
              <w:left w:val="nil"/>
              <w:bottom w:val="nil"/>
              <w:right w:val="nil"/>
            </w:tcBorders>
            <w:shd w:val="clear" w:color="auto" w:fill="auto"/>
            <w:vAlign w:val="bottom"/>
            <w:hideMark/>
          </w:tcPr>
          <w:p w:rsidR="00B958B1" w:rsidRPr="0063173D" w:rsidRDefault="00B958B1" w:rsidP="009F3B54">
            <w:pPr>
              <w:pStyle w:val="OGHeading2"/>
              <w:rPr>
                <w:lang w:eastAsia="en-AU"/>
              </w:rPr>
            </w:pPr>
            <w:r w:rsidRPr="0063173D">
              <w:rPr>
                <w:lang w:eastAsia="en-AU"/>
              </w:rPr>
              <w:t>Reports tabled and papers published</w:t>
            </w:r>
          </w:p>
        </w:tc>
      </w:tr>
      <w:tr w:rsidR="00B958B1" w:rsidRPr="0063173D"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3173D" w:rsidRDefault="00B958B1" w:rsidP="009F3B54">
            <w:pPr>
              <w:pStyle w:val="OGText"/>
              <w:rPr>
                <w:lang w:eastAsia="en-AU"/>
              </w:rPr>
            </w:pPr>
            <w:r w:rsidRPr="0063173D">
              <w:rPr>
                <w:lang w:eastAsia="en-AU"/>
              </w:rPr>
              <w:t xml:space="preserve">Joint Investigatory Committees are appointed pursuant to the </w:t>
            </w:r>
            <w:r w:rsidRPr="0063173D">
              <w:rPr>
                <w:i/>
                <w:iCs/>
                <w:lang w:eastAsia="en-AU"/>
              </w:rPr>
              <w:t>Parliamentary Committees Act 2003</w:t>
            </w:r>
            <w:r w:rsidRPr="0063173D">
              <w:rPr>
                <w:lang w:eastAsia="en-AU"/>
              </w:rPr>
              <w:t xml:space="preserve"> to inquire into and report on matters referred by either House or the Governor in Council, or which may be self</w:t>
            </w:r>
            <w:r w:rsidR="009F0F49">
              <w:rPr>
                <w:lang w:eastAsia="en-AU"/>
              </w:rPr>
              <w:noBreakHyphen/>
            </w:r>
            <w:r w:rsidRPr="0063173D">
              <w:rPr>
                <w:lang w:eastAsia="en-AU"/>
              </w:rPr>
              <w:t>generated by a committee.</w:t>
            </w:r>
          </w:p>
        </w:tc>
      </w:tr>
      <w:tr w:rsidR="00B958B1" w:rsidRPr="0063173D" w:rsidTr="009F3B54">
        <w:trPr>
          <w:gridAfter w:val="1"/>
          <w:wAfter w:w="6" w:type="dxa"/>
          <w:cantSplit/>
        </w:trPr>
        <w:tc>
          <w:tcPr>
            <w:tcW w:w="3152" w:type="dxa"/>
            <w:tcBorders>
              <w:top w:val="single" w:sz="6" w:space="0" w:color="auto"/>
              <w:left w:val="nil"/>
              <w:bottom w:val="nil"/>
              <w:right w:val="nil"/>
            </w:tcBorders>
            <w:shd w:val="clear" w:color="auto" w:fill="auto"/>
            <w:vAlign w:val="bottom"/>
            <w:hideMark/>
          </w:tcPr>
          <w:p w:rsidR="00B958B1" w:rsidRPr="0063173D" w:rsidRDefault="00B958B1" w:rsidP="009F3B54">
            <w:pPr>
              <w:pStyle w:val="OGTabHead"/>
              <w:rPr>
                <w:lang w:eastAsia="en-AU"/>
              </w:rPr>
            </w:pPr>
            <w:r w:rsidRPr="0063173D">
              <w:rPr>
                <w:lang w:eastAsia="en-AU"/>
              </w:rPr>
              <w:t>Quantity</w:t>
            </w:r>
          </w:p>
        </w:tc>
        <w:tc>
          <w:tcPr>
            <w:tcW w:w="907" w:type="dxa"/>
            <w:tcBorders>
              <w:top w:val="single" w:sz="6" w:space="0" w:color="auto"/>
              <w:left w:val="nil"/>
              <w:bottom w:val="nil"/>
              <w:right w:val="nil"/>
            </w:tcBorders>
            <w:shd w:val="clear" w:color="auto" w:fill="auto"/>
            <w:noWrap/>
            <w:vAlign w:val="bottom"/>
            <w:hideMark/>
          </w:tcPr>
          <w:p w:rsidR="00B958B1" w:rsidRPr="0063173D" w:rsidRDefault="00B958B1" w:rsidP="009F3B54">
            <w:pPr>
              <w:pStyle w:val="OGTabHead"/>
              <w:rPr>
                <w:lang w:eastAsia="en-AU"/>
              </w:rPr>
            </w:pPr>
          </w:p>
        </w:tc>
        <w:tc>
          <w:tcPr>
            <w:tcW w:w="908" w:type="dxa"/>
            <w:tcBorders>
              <w:top w:val="single" w:sz="6" w:space="0" w:color="auto"/>
              <w:left w:val="nil"/>
              <w:bottom w:val="nil"/>
              <w:right w:val="nil"/>
            </w:tcBorders>
            <w:shd w:val="clear" w:color="auto" w:fill="D9D9D9"/>
            <w:noWrap/>
            <w:vAlign w:val="bottom"/>
            <w:hideMark/>
          </w:tcPr>
          <w:p w:rsidR="00B958B1" w:rsidRPr="0063173D" w:rsidRDefault="00B958B1" w:rsidP="009F3B54">
            <w:pPr>
              <w:pStyle w:val="OGTabHead"/>
              <w:rPr>
                <w:lang w:eastAsia="en-AU"/>
              </w:rPr>
            </w:pPr>
          </w:p>
        </w:tc>
        <w:tc>
          <w:tcPr>
            <w:tcW w:w="995" w:type="dxa"/>
            <w:tcBorders>
              <w:top w:val="single" w:sz="6" w:space="0" w:color="auto"/>
              <w:left w:val="nil"/>
              <w:bottom w:val="nil"/>
              <w:right w:val="nil"/>
            </w:tcBorders>
            <w:shd w:val="clear" w:color="auto" w:fill="auto"/>
            <w:noWrap/>
            <w:vAlign w:val="bottom"/>
            <w:hideMark/>
          </w:tcPr>
          <w:p w:rsidR="00B958B1" w:rsidRPr="0063173D" w:rsidRDefault="00B958B1" w:rsidP="009F3B54">
            <w:pPr>
              <w:pStyle w:val="OGTabHead"/>
              <w:rPr>
                <w:lang w:eastAsia="en-AU"/>
              </w:rPr>
            </w:pPr>
          </w:p>
        </w:tc>
        <w:tc>
          <w:tcPr>
            <w:tcW w:w="908" w:type="dxa"/>
            <w:tcBorders>
              <w:top w:val="single" w:sz="6" w:space="0" w:color="auto"/>
              <w:left w:val="nil"/>
              <w:bottom w:val="nil"/>
              <w:right w:val="nil"/>
            </w:tcBorders>
            <w:shd w:val="clear" w:color="auto" w:fill="auto"/>
            <w:noWrap/>
            <w:vAlign w:val="bottom"/>
            <w:hideMark/>
          </w:tcPr>
          <w:p w:rsidR="00B958B1" w:rsidRPr="0063173D" w:rsidRDefault="00B958B1" w:rsidP="009F3B54">
            <w:pPr>
              <w:pStyle w:val="OGTabHead"/>
              <w:rPr>
                <w:lang w:eastAsia="en-AU"/>
              </w:rPr>
            </w:pPr>
          </w:p>
        </w:tc>
        <w:tc>
          <w:tcPr>
            <w:tcW w:w="906" w:type="dxa"/>
            <w:tcBorders>
              <w:top w:val="single" w:sz="6" w:space="0" w:color="auto"/>
              <w:left w:val="nil"/>
              <w:bottom w:val="nil"/>
              <w:right w:val="nil"/>
            </w:tcBorders>
            <w:shd w:val="clear" w:color="auto" w:fill="auto"/>
            <w:noWrap/>
            <w:vAlign w:val="bottom"/>
            <w:hideMark/>
          </w:tcPr>
          <w:p w:rsidR="00B958B1" w:rsidRPr="0063173D" w:rsidRDefault="00B958B1" w:rsidP="009F3B54">
            <w:pPr>
              <w:pStyle w:val="OGTabHead"/>
              <w:rPr>
                <w:lang w:eastAsia="en-AU"/>
              </w:rPr>
            </w:pPr>
          </w:p>
        </w:tc>
      </w:tr>
      <w:tr w:rsidR="00B958B1" w:rsidRPr="0063173D" w:rsidTr="009F3B54">
        <w:trPr>
          <w:gridAfter w:val="1"/>
          <w:wAfter w:w="6" w:type="dxa"/>
          <w:cantSplit/>
        </w:trPr>
        <w:tc>
          <w:tcPr>
            <w:tcW w:w="3152" w:type="dxa"/>
            <w:tcBorders>
              <w:top w:val="nil"/>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Reports tabled per annum</w:t>
            </w:r>
          </w:p>
        </w:tc>
        <w:tc>
          <w:tcPr>
            <w:tcW w:w="907" w:type="dxa"/>
            <w:tcBorders>
              <w:top w:val="nil"/>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sidRPr="0063173D">
              <w:rPr>
                <w:color w:val="000000"/>
                <w:lang w:eastAsia="en-AU"/>
              </w:rPr>
              <w:t>number</w:t>
            </w:r>
          </w:p>
        </w:tc>
        <w:tc>
          <w:tcPr>
            <w:tcW w:w="908" w:type="dxa"/>
            <w:tcBorders>
              <w:top w:val="nil"/>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28</w:t>
            </w:r>
          </w:p>
        </w:tc>
        <w:tc>
          <w:tcPr>
            <w:tcW w:w="995"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28</w:t>
            </w:r>
          </w:p>
        </w:tc>
        <w:tc>
          <w:tcPr>
            <w:tcW w:w="908"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28</w:t>
            </w:r>
          </w:p>
        </w:tc>
        <w:tc>
          <w:tcPr>
            <w:tcW w:w="906"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40</w:t>
            </w:r>
          </w:p>
        </w:tc>
      </w:tr>
      <w:tr w:rsidR="00B958B1" w:rsidRPr="0063173D" w:rsidTr="009F3B54">
        <w:trPr>
          <w:gridAfter w:val="1"/>
          <w:wAfter w:w="6" w:type="dxa"/>
          <w:cantSplit/>
        </w:trPr>
        <w:tc>
          <w:tcPr>
            <w:tcW w:w="3152" w:type="dxa"/>
            <w:tcBorders>
              <w:top w:val="single" w:sz="6" w:space="0" w:color="auto"/>
              <w:left w:val="nil"/>
              <w:right w:val="nil"/>
            </w:tcBorders>
            <w:shd w:val="clear" w:color="auto" w:fill="auto"/>
            <w:vAlign w:val="bottom"/>
            <w:hideMark/>
          </w:tcPr>
          <w:p w:rsidR="00B958B1" w:rsidRPr="0063173D" w:rsidRDefault="00B958B1" w:rsidP="009F3B54">
            <w:pPr>
              <w:pStyle w:val="OGTabHead"/>
              <w:rPr>
                <w:lang w:eastAsia="en-AU"/>
              </w:rPr>
            </w:pPr>
            <w:r w:rsidRPr="0063173D">
              <w:rPr>
                <w:lang w:eastAsia="en-AU"/>
              </w:rPr>
              <w:t>Quality</w:t>
            </w:r>
          </w:p>
        </w:tc>
        <w:tc>
          <w:tcPr>
            <w:tcW w:w="907"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8" w:type="dxa"/>
            <w:tcBorders>
              <w:top w:val="single" w:sz="6" w:space="0" w:color="auto"/>
              <w:left w:val="nil"/>
              <w:right w:val="nil"/>
            </w:tcBorders>
            <w:shd w:val="clear" w:color="auto" w:fill="D9D9D9"/>
            <w:noWrap/>
            <w:vAlign w:val="bottom"/>
            <w:hideMark/>
          </w:tcPr>
          <w:p w:rsidR="00B958B1" w:rsidRPr="0063173D" w:rsidRDefault="00B958B1" w:rsidP="009F3B54">
            <w:pPr>
              <w:pStyle w:val="OGTabHead"/>
              <w:rPr>
                <w:lang w:eastAsia="en-AU"/>
              </w:rPr>
            </w:pPr>
          </w:p>
        </w:tc>
        <w:tc>
          <w:tcPr>
            <w:tcW w:w="995"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8"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6"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r>
      <w:tr w:rsidR="00B958B1" w:rsidRPr="0063173D" w:rsidTr="009F3B54">
        <w:trPr>
          <w:gridAfter w:val="1"/>
          <w:wAfter w:w="6" w:type="dxa"/>
          <w:cantSplit/>
        </w:trPr>
        <w:tc>
          <w:tcPr>
            <w:tcW w:w="3152" w:type="dxa"/>
            <w:tcBorders>
              <w:top w:val="nil"/>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Committee members satisfied that advice about procedure, research and administration is responsive, clear, objective and prompt</w:t>
            </w:r>
          </w:p>
        </w:tc>
        <w:tc>
          <w:tcPr>
            <w:tcW w:w="907" w:type="dxa"/>
            <w:tcBorders>
              <w:top w:val="nil"/>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per cent</w:t>
            </w:r>
          </w:p>
        </w:tc>
        <w:tc>
          <w:tcPr>
            <w:tcW w:w="908" w:type="dxa"/>
            <w:tcBorders>
              <w:top w:val="nil"/>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80</w:t>
            </w:r>
          </w:p>
        </w:tc>
        <w:tc>
          <w:tcPr>
            <w:tcW w:w="995"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80</w:t>
            </w:r>
          </w:p>
        </w:tc>
        <w:tc>
          <w:tcPr>
            <w:tcW w:w="908"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80</w:t>
            </w:r>
          </w:p>
        </w:tc>
        <w:tc>
          <w:tcPr>
            <w:tcW w:w="906"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96</w:t>
            </w:r>
          </w:p>
        </w:tc>
      </w:tr>
      <w:tr w:rsidR="00B958B1" w:rsidRPr="0063173D" w:rsidTr="009F3B54">
        <w:trPr>
          <w:gridAfter w:val="1"/>
          <w:wAfter w:w="6" w:type="dxa"/>
          <w:cantSplit/>
        </w:trPr>
        <w:tc>
          <w:tcPr>
            <w:tcW w:w="3152"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Inquiries conducted and reports produced in compliance with procedural and legislative requirements</w:t>
            </w:r>
          </w:p>
        </w:tc>
        <w:tc>
          <w:tcPr>
            <w:tcW w:w="907"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per cent</w:t>
            </w:r>
          </w:p>
        </w:tc>
        <w:tc>
          <w:tcPr>
            <w:tcW w:w="908" w:type="dxa"/>
            <w:tcBorders>
              <w:top w:val="single" w:sz="6" w:space="0" w:color="auto"/>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95</w:t>
            </w:r>
          </w:p>
        </w:tc>
        <w:tc>
          <w:tcPr>
            <w:tcW w:w="995"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95</w:t>
            </w:r>
          </w:p>
        </w:tc>
        <w:tc>
          <w:tcPr>
            <w:tcW w:w="908"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95</w:t>
            </w:r>
          </w:p>
        </w:tc>
        <w:tc>
          <w:tcPr>
            <w:tcW w:w="906" w:type="dxa"/>
            <w:tcBorders>
              <w:top w:val="single" w:sz="6" w:space="0" w:color="auto"/>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95</w:t>
            </w:r>
          </w:p>
        </w:tc>
      </w:tr>
      <w:tr w:rsidR="00B958B1" w:rsidRPr="0063173D" w:rsidTr="009F3B54">
        <w:trPr>
          <w:gridAfter w:val="1"/>
          <w:wAfter w:w="6" w:type="dxa"/>
          <w:cantSplit/>
        </w:trPr>
        <w:tc>
          <w:tcPr>
            <w:tcW w:w="3152" w:type="dxa"/>
            <w:tcBorders>
              <w:top w:val="single" w:sz="6" w:space="0" w:color="auto"/>
              <w:left w:val="nil"/>
              <w:bottom w:val="nil"/>
              <w:right w:val="nil"/>
            </w:tcBorders>
            <w:shd w:val="clear" w:color="auto" w:fill="auto"/>
            <w:vAlign w:val="bottom"/>
            <w:hideMark/>
          </w:tcPr>
          <w:p w:rsidR="00B958B1" w:rsidRPr="0063173D" w:rsidRDefault="00B958B1" w:rsidP="009F3B54">
            <w:pPr>
              <w:pStyle w:val="OGTabHead"/>
              <w:rPr>
                <w:lang w:eastAsia="en-AU"/>
              </w:rPr>
            </w:pPr>
            <w:r w:rsidRPr="0063173D">
              <w:rPr>
                <w:lang w:eastAsia="en-AU"/>
              </w:rPr>
              <w:t>Timeliness</w:t>
            </w:r>
          </w:p>
        </w:tc>
        <w:tc>
          <w:tcPr>
            <w:tcW w:w="907" w:type="dxa"/>
            <w:tcBorders>
              <w:top w:val="single" w:sz="6" w:space="0" w:color="auto"/>
              <w:left w:val="nil"/>
              <w:bottom w:val="nil"/>
              <w:right w:val="nil"/>
            </w:tcBorders>
            <w:shd w:val="clear" w:color="auto" w:fill="auto"/>
            <w:noWrap/>
            <w:vAlign w:val="bottom"/>
            <w:hideMark/>
          </w:tcPr>
          <w:p w:rsidR="00B958B1" w:rsidRPr="0063173D" w:rsidRDefault="00B958B1" w:rsidP="009F3B54">
            <w:pPr>
              <w:pStyle w:val="OGTabHead"/>
              <w:rPr>
                <w:lang w:eastAsia="en-AU"/>
              </w:rPr>
            </w:pPr>
          </w:p>
        </w:tc>
        <w:tc>
          <w:tcPr>
            <w:tcW w:w="908" w:type="dxa"/>
            <w:tcBorders>
              <w:top w:val="single" w:sz="6" w:space="0" w:color="auto"/>
              <w:left w:val="nil"/>
              <w:bottom w:val="nil"/>
              <w:right w:val="nil"/>
            </w:tcBorders>
            <w:shd w:val="clear" w:color="auto" w:fill="D9D9D9"/>
            <w:noWrap/>
            <w:vAlign w:val="bottom"/>
            <w:hideMark/>
          </w:tcPr>
          <w:p w:rsidR="00B958B1" w:rsidRPr="0063173D" w:rsidRDefault="00B958B1" w:rsidP="009F3B54">
            <w:pPr>
              <w:pStyle w:val="OGTabHead"/>
              <w:rPr>
                <w:lang w:eastAsia="en-AU"/>
              </w:rPr>
            </w:pPr>
          </w:p>
        </w:tc>
        <w:tc>
          <w:tcPr>
            <w:tcW w:w="995" w:type="dxa"/>
            <w:tcBorders>
              <w:top w:val="single" w:sz="6" w:space="0" w:color="auto"/>
              <w:left w:val="nil"/>
              <w:bottom w:val="nil"/>
              <w:right w:val="nil"/>
            </w:tcBorders>
            <w:shd w:val="clear" w:color="auto" w:fill="auto"/>
            <w:noWrap/>
            <w:vAlign w:val="bottom"/>
            <w:hideMark/>
          </w:tcPr>
          <w:p w:rsidR="00B958B1" w:rsidRPr="0063173D" w:rsidRDefault="00B958B1" w:rsidP="009F3B54">
            <w:pPr>
              <w:pStyle w:val="OGTabHead"/>
              <w:rPr>
                <w:lang w:eastAsia="en-AU"/>
              </w:rPr>
            </w:pPr>
          </w:p>
        </w:tc>
        <w:tc>
          <w:tcPr>
            <w:tcW w:w="908" w:type="dxa"/>
            <w:tcBorders>
              <w:top w:val="single" w:sz="6" w:space="0" w:color="auto"/>
              <w:left w:val="nil"/>
              <w:bottom w:val="nil"/>
              <w:right w:val="nil"/>
            </w:tcBorders>
            <w:shd w:val="clear" w:color="auto" w:fill="auto"/>
            <w:noWrap/>
            <w:vAlign w:val="bottom"/>
            <w:hideMark/>
          </w:tcPr>
          <w:p w:rsidR="00B958B1" w:rsidRPr="0063173D" w:rsidRDefault="00B958B1" w:rsidP="009F3B54">
            <w:pPr>
              <w:pStyle w:val="OGTabHead"/>
              <w:rPr>
                <w:lang w:eastAsia="en-AU"/>
              </w:rPr>
            </w:pPr>
          </w:p>
        </w:tc>
        <w:tc>
          <w:tcPr>
            <w:tcW w:w="906" w:type="dxa"/>
            <w:tcBorders>
              <w:top w:val="single" w:sz="6" w:space="0" w:color="auto"/>
              <w:left w:val="nil"/>
              <w:bottom w:val="nil"/>
              <w:right w:val="nil"/>
            </w:tcBorders>
            <w:shd w:val="clear" w:color="auto" w:fill="auto"/>
            <w:noWrap/>
            <w:vAlign w:val="bottom"/>
            <w:hideMark/>
          </w:tcPr>
          <w:p w:rsidR="00B958B1" w:rsidRPr="0063173D" w:rsidRDefault="00B958B1" w:rsidP="009F3B54">
            <w:pPr>
              <w:pStyle w:val="OGTabHead"/>
              <w:rPr>
                <w:lang w:eastAsia="en-AU"/>
              </w:rPr>
            </w:pPr>
          </w:p>
        </w:tc>
      </w:tr>
      <w:tr w:rsidR="00B958B1" w:rsidRPr="0063173D" w:rsidTr="009F3B54">
        <w:trPr>
          <w:gridAfter w:val="1"/>
          <w:wAfter w:w="6" w:type="dxa"/>
          <w:cantSplit/>
        </w:trPr>
        <w:tc>
          <w:tcPr>
            <w:tcW w:w="3152" w:type="dxa"/>
            <w:tcBorders>
              <w:top w:val="nil"/>
              <w:left w:val="nil"/>
              <w:bottom w:val="single" w:sz="6" w:space="0" w:color="auto"/>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Reports tabled in compliance with procedural and legislative deadlines</w:t>
            </w:r>
          </w:p>
        </w:tc>
        <w:tc>
          <w:tcPr>
            <w:tcW w:w="907" w:type="dxa"/>
            <w:tcBorders>
              <w:top w:val="nil"/>
              <w:left w:val="nil"/>
              <w:bottom w:val="single" w:sz="6" w:space="0" w:color="auto"/>
              <w:right w:val="nil"/>
            </w:tcBorders>
            <w:shd w:val="clear" w:color="000000" w:fill="FFFFFF"/>
            <w:hideMark/>
          </w:tcPr>
          <w:p w:rsidR="00B958B1" w:rsidRPr="0063173D" w:rsidRDefault="00B958B1" w:rsidP="009F3B54">
            <w:pPr>
              <w:pStyle w:val="OGUoM"/>
              <w:rPr>
                <w:color w:val="000000"/>
                <w:lang w:eastAsia="en-AU"/>
              </w:rPr>
            </w:pPr>
            <w:r>
              <w:rPr>
                <w:color w:val="000000"/>
                <w:lang w:eastAsia="en-AU"/>
              </w:rPr>
              <w:t>per cent</w:t>
            </w:r>
          </w:p>
        </w:tc>
        <w:tc>
          <w:tcPr>
            <w:tcW w:w="908" w:type="dxa"/>
            <w:tcBorders>
              <w:top w:val="nil"/>
              <w:left w:val="nil"/>
              <w:bottom w:val="single" w:sz="6" w:space="0" w:color="auto"/>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95</w:t>
            </w:r>
          </w:p>
        </w:tc>
        <w:tc>
          <w:tcPr>
            <w:tcW w:w="995"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95</w:t>
            </w:r>
          </w:p>
        </w:tc>
        <w:tc>
          <w:tcPr>
            <w:tcW w:w="908"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95</w:t>
            </w:r>
          </w:p>
        </w:tc>
        <w:tc>
          <w:tcPr>
            <w:tcW w:w="906" w:type="dxa"/>
            <w:tcBorders>
              <w:top w:val="nil"/>
              <w:left w:val="nil"/>
              <w:bottom w:val="single" w:sz="6" w:space="0" w:color="auto"/>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95</w:t>
            </w:r>
          </w:p>
        </w:tc>
      </w:tr>
      <w:tr w:rsidR="00B958B1" w:rsidRPr="0063173D" w:rsidTr="009F3B54">
        <w:trPr>
          <w:gridAfter w:val="1"/>
          <w:wAfter w:w="6" w:type="dxa"/>
          <w:cantSplit/>
        </w:trPr>
        <w:tc>
          <w:tcPr>
            <w:tcW w:w="3152" w:type="dxa"/>
            <w:tcBorders>
              <w:top w:val="single" w:sz="6" w:space="0" w:color="auto"/>
              <w:left w:val="nil"/>
              <w:right w:val="nil"/>
            </w:tcBorders>
            <w:shd w:val="clear" w:color="auto" w:fill="auto"/>
            <w:vAlign w:val="bottom"/>
            <w:hideMark/>
          </w:tcPr>
          <w:p w:rsidR="00B958B1" w:rsidRPr="0063173D" w:rsidRDefault="00B958B1" w:rsidP="009F3B54">
            <w:pPr>
              <w:pStyle w:val="OGTabHead"/>
              <w:rPr>
                <w:lang w:eastAsia="en-AU"/>
              </w:rPr>
            </w:pPr>
            <w:r w:rsidRPr="0063173D">
              <w:rPr>
                <w:lang w:eastAsia="en-AU"/>
              </w:rPr>
              <w:t>Cost</w:t>
            </w:r>
          </w:p>
        </w:tc>
        <w:tc>
          <w:tcPr>
            <w:tcW w:w="907"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8" w:type="dxa"/>
            <w:tcBorders>
              <w:top w:val="single" w:sz="6" w:space="0" w:color="auto"/>
              <w:left w:val="nil"/>
              <w:right w:val="nil"/>
            </w:tcBorders>
            <w:shd w:val="clear" w:color="auto" w:fill="D9D9D9"/>
            <w:noWrap/>
            <w:vAlign w:val="bottom"/>
            <w:hideMark/>
          </w:tcPr>
          <w:p w:rsidR="00B958B1" w:rsidRPr="0063173D" w:rsidRDefault="00B958B1" w:rsidP="009F3B54">
            <w:pPr>
              <w:pStyle w:val="OGTabHead"/>
              <w:rPr>
                <w:lang w:eastAsia="en-AU"/>
              </w:rPr>
            </w:pPr>
          </w:p>
        </w:tc>
        <w:tc>
          <w:tcPr>
            <w:tcW w:w="995"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8"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c>
          <w:tcPr>
            <w:tcW w:w="906" w:type="dxa"/>
            <w:tcBorders>
              <w:top w:val="single" w:sz="6" w:space="0" w:color="auto"/>
              <w:left w:val="nil"/>
              <w:right w:val="nil"/>
            </w:tcBorders>
            <w:shd w:val="clear" w:color="auto" w:fill="auto"/>
            <w:noWrap/>
            <w:vAlign w:val="bottom"/>
            <w:hideMark/>
          </w:tcPr>
          <w:p w:rsidR="00B958B1" w:rsidRPr="0063173D" w:rsidRDefault="00B958B1" w:rsidP="009F3B54">
            <w:pPr>
              <w:pStyle w:val="OGTabHead"/>
              <w:rPr>
                <w:lang w:eastAsia="en-AU"/>
              </w:rPr>
            </w:pPr>
          </w:p>
        </w:tc>
      </w:tr>
      <w:tr w:rsidR="00B958B1" w:rsidRPr="0063173D" w:rsidTr="009F3B54">
        <w:trPr>
          <w:gridAfter w:val="1"/>
          <w:wAfter w:w="6" w:type="dxa"/>
          <w:cantSplit/>
        </w:trPr>
        <w:tc>
          <w:tcPr>
            <w:tcW w:w="3152" w:type="dxa"/>
            <w:tcBorders>
              <w:top w:val="nil"/>
              <w:left w:val="nil"/>
              <w:bottom w:val="nil"/>
              <w:right w:val="nil"/>
            </w:tcBorders>
            <w:shd w:val="clear" w:color="000000" w:fill="FFFFFF"/>
            <w:hideMark/>
          </w:tcPr>
          <w:p w:rsidR="00B958B1" w:rsidRPr="0063173D" w:rsidRDefault="00B958B1" w:rsidP="009F3B54">
            <w:pPr>
              <w:pStyle w:val="OGTabText"/>
              <w:rPr>
                <w:color w:val="000000"/>
                <w:lang w:eastAsia="en-AU"/>
              </w:rPr>
            </w:pPr>
            <w:r w:rsidRPr="0063173D">
              <w:rPr>
                <w:color w:val="000000"/>
                <w:lang w:eastAsia="en-AU"/>
              </w:rPr>
              <w:t>Total output cost</w:t>
            </w:r>
          </w:p>
        </w:tc>
        <w:tc>
          <w:tcPr>
            <w:tcW w:w="907" w:type="dxa"/>
            <w:tcBorders>
              <w:top w:val="nil"/>
              <w:left w:val="nil"/>
              <w:bottom w:val="nil"/>
              <w:right w:val="nil"/>
            </w:tcBorders>
            <w:shd w:val="clear" w:color="000000" w:fill="FFFFFF"/>
            <w:hideMark/>
          </w:tcPr>
          <w:p w:rsidR="00B958B1" w:rsidRPr="0063173D" w:rsidRDefault="00B958B1" w:rsidP="009F3B54">
            <w:pPr>
              <w:pStyle w:val="OGUoM"/>
              <w:rPr>
                <w:lang w:eastAsia="en-AU"/>
              </w:rPr>
            </w:pPr>
            <w:r>
              <w:rPr>
                <w:lang w:eastAsia="en-AU"/>
              </w:rPr>
              <w:t>$ million</w:t>
            </w:r>
          </w:p>
        </w:tc>
        <w:tc>
          <w:tcPr>
            <w:tcW w:w="908" w:type="dxa"/>
            <w:tcBorders>
              <w:top w:val="nil"/>
              <w:left w:val="nil"/>
              <w:bottom w:val="nil"/>
              <w:right w:val="nil"/>
            </w:tcBorders>
            <w:shd w:val="clear" w:color="auto" w:fill="D9D9D9"/>
            <w:hideMark/>
          </w:tcPr>
          <w:p w:rsidR="00B958B1" w:rsidRPr="0063173D" w:rsidRDefault="00B958B1" w:rsidP="009F3B54">
            <w:pPr>
              <w:pStyle w:val="OGTableofFigures"/>
              <w:rPr>
                <w:color w:val="000000"/>
                <w:lang w:eastAsia="en-AU"/>
              </w:rPr>
            </w:pPr>
            <w:r w:rsidRPr="0063173D">
              <w:rPr>
                <w:color w:val="000000"/>
                <w:lang w:eastAsia="en-AU"/>
              </w:rPr>
              <w:t>7.2</w:t>
            </w:r>
          </w:p>
        </w:tc>
        <w:tc>
          <w:tcPr>
            <w:tcW w:w="995" w:type="dxa"/>
            <w:tcBorders>
              <w:top w:val="nil"/>
              <w:left w:val="nil"/>
              <w:bottom w:val="nil"/>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6.9</w:t>
            </w:r>
          </w:p>
        </w:tc>
        <w:tc>
          <w:tcPr>
            <w:tcW w:w="908" w:type="dxa"/>
            <w:tcBorders>
              <w:top w:val="nil"/>
              <w:left w:val="nil"/>
              <w:bottom w:val="nil"/>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6.7</w:t>
            </w:r>
          </w:p>
        </w:tc>
        <w:tc>
          <w:tcPr>
            <w:tcW w:w="906" w:type="dxa"/>
            <w:tcBorders>
              <w:top w:val="nil"/>
              <w:left w:val="nil"/>
              <w:bottom w:val="nil"/>
              <w:right w:val="nil"/>
            </w:tcBorders>
            <w:shd w:val="clear" w:color="000000" w:fill="FFFFFF"/>
            <w:hideMark/>
          </w:tcPr>
          <w:p w:rsidR="00B958B1" w:rsidRPr="0063173D" w:rsidRDefault="00B958B1" w:rsidP="009F3B54">
            <w:pPr>
              <w:pStyle w:val="OGTableofFigures"/>
              <w:rPr>
                <w:color w:val="000000"/>
                <w:lang w:eastAsia="en-AU"/>
              </w:rPr>
            </w:pPr>
            <w:r w:rsidRPr="0063173D">
              <w:rPr>
                <w:color w:val="000000"/>
                <w:lang w:eastAsia="en-AU"/>
              </w:rPr>
              <w:t>6.9</w:t>
            </w:r>
          </w:p>
        </w:tc>
      </w:tr>
      <w:tr w:rsidR="00B958B1" w:rsidRPr="008D1592" w:rsidTr="009F3B54">
        <w:trPr>
          <w:gridAfter w:val="1"/>
          <w:wAfter w:w="6" w:type="dxa"/>
          <w:cantSplit/>
        </w:trPr>
        <w:tc>
          <w:tcPr>
            <w:tcW w:w="7776" w:type="dxa"/>
            <w:gridSpan w:val="6"/>
            <w:tcBorders>
              <w:top w:val="nil"/>
              <w:left w:val="nil"/>
              <w:bottom w:val="single" w:sz="12" w:space="0" w:color="auto"/>
              <w:right w:val="nil"/>
            </w:tcBorders>
            <w:shd w:val="clear" w:color="000000" w:fill="FFFFFF"/>
          </w:tcPr>
          <w:p w:rsidR="00B958B1" w:rsidRPr="008D1592" w:rsidRDefault="00B958B1" w:rsidP="009F3B54">
            <w:pPr>
              <w:pStyle w:val="OGNotes"/>
            </w:pPr>
            <w:r w:rsidRPr="00C534E5">
              <w:t>The total output cost for Parliamentary Investigatory Committees for 2013</w:t>
            </w:r>
            <w:r w:rsidR="009F0F49">
              <w:noBreakHyphen/>
            </w:r>
            <w:r w:rsidRPr="00C534E5">
              <w:t>14 Budget is higher than 2012</w:t>
            </w:r>
            <w:r w:rsidR="009F0F49">
              <w:noBreakHyphen/>
            </w:r>
            <w:r w:rsidRPr="00C534E5">
              <w:t xml:space="preserve">13 Budget. This is due to </w:t>
            </w:r>
            <w:r>
              <w:t>new</w:t>
            </w:r>
            <w:r w:rsidRPr="00C534E5">
              <w:t xml:space="preserve"> funding </w:t>
            </w:r>
            <w:r>
              <w:t>for</w:t>
            </w:r>
            <w:r w:rsidRPr="00C534E5">
              <w:t xml:space="preserve"> two new investigatory committees and conduct the performance audit of Victorian Auditor</w:t>
            </w:r>
            <w:r w:rsidR="009F0F49">
              <w:noBreakHyphen/>
            </w:r>
            <w:r w:rsidRPr="00C534E5">
              <w:t>General’s Office.</w:t>
            </w:r>
          </w:p>
        </w:tc>
      </w:tr>
    </w:tbl>
    <w:p w:rsidR="00B958B1" w:rsidRDefault="00B958B1" w:rsidP="009F3B54">
      <w:pPr>
        <w:pStyle w:val="Source"/>
      </w:pPr>
      <w:r>
        <w:t>Source: Parliament of Victoria</w:t>
      </w:r>
    </w:p>
    <w:p w:rsidR="00B958B1" w:rsidRDefault="00B958B1" w:rsidP="009F3B54">
      <w:pPr>
        <w:pStyle w:val="Source"/>
      </w:pPr>
      <w:r>
        <w:fldChar w:fldCharType="begin"/>
      </w:r>
      <w:r>
        <w:instrText xml:space="preserve"> XE "</w:instrText>
      </w:r>
      <w:r w:rsidRPr="006603C5">
        <w:instrText>Parliament:Parliamentary Investigatory Committees</w:instrText>
      </w:r>
      <w:r>
        <w:instrText xml:space="preserve">" \r "BP3ParliamentParliamentInvestigatCommit" </w:instrText>
      </w:r>
      <w:r>
        <w:fldChar w:fldCharType="end"/>
      </w:r>
      <w:bookmarkEnd w:id="155"/>
    </w:p>
    <w:p w:rsidR="00B958B1" w:rsidRPr="006F6005" w:rsidRDefault="00B958B1" w:rsidP="009F3B54">
      <w:pPr>
        <w:pStyle w:val="OGHeading1"/>
        <w:rPr>
          <w:lang w:eastAsia="en-AU"/>
        </w:rPr>
      </w:pPr>
      <w:r>
        <w:br w:type="page"/>
      </w:r>
      <w:bookmarkStart w:id="156" w:name="BP3ParliamentVicAuditorGenOffice"/>
      <w:r w:rsidRPr="006F6005">
        <w:t>Victorian Auditor</w:t>
      </w:r>
      <w:r w:rsidR="009F0F49">
        <w:noBreakHyphen/>
      </w:r>
      <w:r w:rsidRPr="006F6005">
        <w:t>General</w:t>
      </w:r>
      <w:r>
        <w:t>’</w:t>
      </w:r>
      <w:r w:rsidRPr="006F6005">
        <w:t>s Office</w:t>
      </w:r>
    </w:p>
    <w:p w:rsidR="00B958B1" w:rsidRDefault="00B958B1" w:rsidP="009F3B54">
      <w:pPr>
        <w:pStyle w:val="OGText"/>
        <w:rPr>
          <w:lang w:eastAsia="en-AU"/>
        </w:rPr>
      </w:pPr>
      <w:r w:rsidRPr="006F6005">
        <w:rPr>
          <w:lang w:eastAsia="en-AU"/>
        </w:rPr>
        <w:t>The purpose of the Victorian Auditor</w:t>
      </w:r>
      <w:r w:rsidR="009F0F49">
        <w:rPr>
          <w:lang w:eastAsia="en-AU"/>
        </w:rPr>
        <w:noBreakHyphen/>
      </w:r>
      <w:r w:rsidRPr="006F6005">
        <w:rPr>
          <w:lang w:eastAsia="en-AU"/>
        </w:rPr>
        <w:t>General</w:t>
      </w:r>
      <w:r>
        <w:rPr>
          <w:lang w:eastAsia="en-AU"/>
        </w:rPr>
        <w:t>’</w:t>
      </w:r>
      <w:r w:rsidRPr="006F6005">
        <w:rPr>
          <w:lang w:eastAsia="en-AU"/>
        </w:rPr>
        <w:t xml:space="preserve">s Office is to provide assurance to Parliament on the accountability and performance of the Victorian public sector. Under the </w:t>
      </w:r>
      <w:r w:rsidRPr="006F6005">
        <w:rPr>
          <w:i/>
          <w:iCs/>
          <w:lang w:eastAsia="en-AU"/>
        </w:rPr>
        <w:t>Audit Act 1994</w:t>
      </w:r>
      <w:r w:rsidRPr="006F6005">
        <w:rPr>
          <w:lang w:eastAsia="en-AU"/>
        </w:rPr>
        <w:t>, the Auditor</w:t>
      </w:r>
      <w:r w:rsidR="009F0F49">
        <w:rPr>
          <w:lang w:eastAsia="en-AU"/>
        </w:rPr>
        <w:noBreakHyphen/>
      </w:r>
      <w:r w:rsidRPr="006F6005">
        <w:rPr>
          <w:lang w:eastAsia="en-AU"/>
        </w:rPr>
        <w:t>General audits financial statements prepared by Victorian public sector agencies and issues audit reports. In addition, the Auditor</w:t>
      </w:r>
      <w:r w:rsidR="009F0F49">
        <w:rPr>
          <w:lang w:eastAsia="en-AU"/>
        </w:rPr>
        <w:noBreakHyphen/>
      </w:r>
      <w:r w:rsidRPr="006F6005">
        <w:rPr>
          <w:lang w:eastAsia="en-AU"/>
        </w:rPr>
        <w:t>General carries out performance audits to determine whether authorities, operations or activities are operating effectively, economically and efficiently in compliance with all relevant Acts.</w:t>
      </w:r>
    </w:p>
    <w:tbl>
      <w:tblPr>
        <w:tblW w:w="7782" w:type="dxa"/>
        <w:tblInd w:w="29" w:type="dxa"/>
        <w:tblLayout w:type="fixed"/>
        <w:tblCellMar>
          <w:left w:w="43" w:type="dxa"/>
          <w:right w:w="43" w:type="dxa"/>
        </w:tblCellMar>
        <w:tblLook w:val="04A0" w:firstRow="1" w:lastRow="0" w:firstColumn="1" w:lastColumn="0" w:noHBand="0" w:noVBand="1"/>
      </w:tblPr>
      <w:tblGrid>
        <w:gridCol w:w="3154"/>
        <w:gridCol w:w="908"/>
        <w:gridCol w:w="907"/>
        <w:gridCol w:w="994"/>
        <w:gridCol w:w="907"/>
        <w:gridCol w:w="906"/>
        <w:gridCol w:w="6"/>
      </w:tblGrid>
      <w:tr w:rsidR="00B958B1" w:rsidRPr="00773447" w:rsidTr="009F3B54">
        <w:trPr>
          <w:cantSplit/>
          <w:tblHeader/>
        </w:trPr>
        <w:tc>
          <w:tcPr>
            <w:tcW w:w="3154" w:type="dxa"/>
            <w:tcBorders>
              <w:top w:val="single" w:sz="4" w:space="0" w:color="auto"/>
              <w:left w:val="single" w:sz="4" w:space="0" w:color="auto"/>
              <w:bottom w:val="single" w:sz="4" w:space="0" w:color="auto"/>
              <w:right w:val="nil"/>
            </w:tcBorders>
            <w:shd w:val="clear" w:color="auto" w:fill="000000"/>
            <w:vAlign w:val="bottom"/>
          </w:tcPr>
          <w:p w:rsidR="00B958B1" w:rsidRPr="00773447" w:rsidRDefault="00B958B1" w:rsidP="009F3B54">
            <w:pPr>
              <w:spacing w:before="30" w:after="30"/>
              <w:rPr>
                <w:rFonts w:ascii="Calibri" w:hAnsi="Calibri"/>
                <w:b/>
                <w:i/>
                <w:sz w:val="20"/>
                <w:szCs w:val="18"/>
                <w:lang w:eastAsia="en-AU"/>
              </w:rPr>
            </w:pPr>
            <w:r w:rsidRPr="00773447">
              <w:rPr>
                <w:rFonts w:ascii="Calibri" w:hAnsi="Calibri"/>
                <w:b/>
                <w:sz w:val="20"/>
                <w:szCs w:val="18"/>
                <w:lang w:eastAsia="en-AU"/>
              </w:rPr>
              <w:t>Major Outputs/Deliverables</w:t>
            </w:r>
            <w:r w:rsidRPr="00773447">
              <w:rPr>
                <w:rFonts w:ascii="Calibri" w:hAnsi="Calibri"/>
                <w:b/>
                <w:sz w:val="20"/>
                <w:szCs w:val="18"/>
                <w:lang w:eastAsia="en-AU"/>
              </w:rPr>
              <w:br/>
            </w:r>
            <w:r w:rsidRPr="00773447">
              <w:rPr>
                <w:rFonts w:ascii="Calibri" w:hAnsi="Calibri"/>
                <w:i/>
                <w:sz w:val="20"/>
                <w:szCs w:val="18"/>
                <w:lang w:eastAsia="en-AU"/>
              </w:rPr>
              <w:t>Performance measures</w:t>
            </w:r>
          </w:p>
        </w:tc>
        <w:tc>
          <w:tcPr>
            <w:tcW w:w="908"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center"/>
              <w:rPr>
                <w:rFonts w:ascii="Calibri" w:hAnsi="Calibri"/>
                <w:b/>
                <w:sz w:val="20"/>
                <w:szCs w:val="18"/>
                <w:lang w:eastAsia="en-AU"/>
              </w:rPr>
            </w:pPr>
            <w:r w:rsidRPr="00773447">
              <w:rPr>
                <w:rFonts w:ascii="Calibri" w:hAnsi="Calibri"/>
                <w:b/>
                <w:sz w:val="20"/>
                <w:szCs w:val="18"/>
                <w:lang w:eastAsia="en-AU"/>
              </w:rPr>
              <w:t xml:space="preserve">unit of </w:t>
            </w:r>
            <w:r w:rsidRPr="00773447">
              <w:rPr>
                <w:rFonts w:ascii="Calibri" w:hAnsi="Calibri"/>
                <w:b/>
                <w:sz w:val="20"/>
                <w:szCs w:val="18"/>
                <w:lang w:eastAsia="en-AU"/>
              </w:rPr>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2013</w:t>
            </w:r>
            <w:r w:rsidR="009F0F49">
              <w:rPr>
                <w:rFonts w:ascii="Calibri" w:hAnsi="Calibri"/>
                <w:b/>
                <w:sz w:val="20"/>
                <w:szCs w:val="18"/>
              </w:rPr>
              <w:noBreakHyphen/>
            </w:r>
            <w:r w:rsidRPr="00773447">
              <w:rPr>
                <w:rFonts w:ascii="Calibri" w:hAnsi="Calibri"/>
                <w:b/>
                <w:sz w:val="20"/>
                <w:szCs w:val="18"/>
              </w:rPr>
              <w:t>14 Target</w:t>
            </w:r>
          </w:p>
        </w:tc>
        <w:tc>
          <w:tcPr>
            <w:tcW w:w="994"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2012</w:t>
            </w:r>
            <w:r w:rsidR="009F0F49">
              <w:rPr>
                <w:rFonts w:ascii="Calibri" w:hAnsi="Calibri"/>
                <w:b/>
                <w:sz w:val="20"/>
                <w:szCs w:val="18"/>
              </w:rPr>
              <w:noBreakHyphen/>
            </w:r>
            <w:r w:rsidRPr="00773447">
              <w:rPr>
                <w:rFonts w:ascii="Calibri" w:hAnsi="Calibri"/>
                <w:b/>
                <w:sz w:val="20"/>
                <w:szCs w:val="18"/>
              </w:rPr>
              <w:t>13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2012</w:t>
            </w:r>
            <w:r w:rsidR="009F0F49">
              <w:rPr>
                <w:rFonts w:ascii="Calibri" w:hAnsi="Calibri"/>
                <w:b/>
                <w:sz w:val="20"/>
                <w:szCs w:val="18"/>
              </w:rPr>
              <w:noBreakHyphen/>
            </w:r>
            <w:r w:rsidRPr="00773447">
              <w:rPr>
                <w:rFonts w:ascii="Calibri" w:hAnsi="Calibri"/>
                <w:b/>
                <w:sz w:val="20"/>
                <w:szCs w:val="18"/>
              </w:rPr>
              <w:t>13 Target</w:t>
            </w:r>
          </w:p>
        </w:tc>
        <w:tc>
          <w:tcPr>
            <w:tcW w:w="912" w:type="dxa"/>
            <w:gridSpan w:val="2"/>
            <w:tcBorders>
              <w:top w:val="single" w:sz="4" w:space="0" w:color="auto"/>
              <w:left w:val="nil"/>
              <w:bottom w:val="single" w:sz="4" w:space="0" w:color="auto"/>
              <w:right w:val="single" w:sz="4" w:space="0" w:color="auto"/>
            </w:tcBorders>
            <w:shd w:val="clear" w:color="auto" w:fill="000000"/>
            <w:noWrap/>
            <w:vAlign w:val="bottom"/>
            <w:hideMark/>
          </w:tcPr>
          <w:p w:rsidR="00B958B1" w:rsidRPr="00773447" w:rsidRDefault="00B958B1" w:rsidP="009F3B54">
            <w:pPr>
              <w:spacing w:before="30" w:after="30"/>
              <w:jc w:val="right"/>
              <w:rPr>
                <w:rFonts w:ascii="Calibri" w:hAnsi="Calibri"/>
                <w:b/>
                <w:sz w:val="20"/>
                <w:szCs w:val="18"/>
              </w:rPr>
            </w:pPr>
            <w:r w:rsidRPr="00773447">
              <w:rPr>
                <w:rFonts w:ascii="Calibri" w:hAnsi="Calibri"/>
                <w:b/>
                <w:sz w:val="20"/>
                <w:szCs w:val="18"/>
              </w:rPr>
              <w:t>2011</w:t>
            </w:r>
            <w:r w:rsidR="009F0F49">
              <w:rPr>
                <w:rFonts w:ascii="Calibri" w:hAnsi="Calibri"/>
                <w:b/>
                <w:sz w:val="20"/>
                <w:szCs w:val="18"/>
              </w:rPr>
              <w:noBreakHyphen/>
            </w:r>
            <w:r w:rsidRPr="00773447">
              <w:rPr>
                <w:rFonts w:ascii="Calibri" w:hAnsi="Calibri"/>
                <w:b/>
                <w:sz w:val="20"/>
                <w:szCs w:val="18"/>
              </w:rPr>
              <w:t>12 Actual</w:t>
            </w:r>
          </w:p>
        </w:tc>
      </w:tr>
      <w:tr w:rsidR="00B958B1" w:rsidRPr="006F6005"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F6005" w:rsidRDefault="00B958B1" w:rsidP="009F3B54">
            <w:pPr>
              <w:pStyle w:val="OGHeading2"/>
              <w:rPr>
                <w:lang w:eastAsia="en-AU"/>
              </w:rPr>
            </w:pPr>
            <w:r w:rsidRPr="006F6005">
              <w:rPr>
                <w:lang w:eastAsia="en-AU"/>
              </w:rPr>
              <w:t>Parliamentary Reports and Services</w:t>
            </w:r>
          </w:p>
        </w:tc>
      </w:tr>
      <w:tr w:rsidR="00B958B1" w:rsidRPr="006F6005"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6F6005" w:rsidRDefault="00B958B1" w:rsidP="009F3B54">
            <w:pPr>
              <w:pStyle w:val="OGTabHead"/>
              <w:rPr>
                <w:lang w:eastAsia="en-AU"/>
              </w:rPr>
            </w:pPr>
            <w:r w:rsidRPr="006F6005">
              <w:rPr>
                <w:lang w:eastAsia="en-AU"/>
              </w:rPr>
              <w:t>Quantity</w:t>
            </w:r>
          </w:p>
        </w:tc>
        <w:tc>
          <w:tcPr>
            <w:tcW w:w="908" w:type="dxa"/>
            <w:tcBorders>
              <w:top w:val="single" w:sz="6" w:space="0" w:color="auto"/>
              <w:left w:val="nil"/>
              <w:right w:val="nil"/>
            </w:tcBorders>
            <w:shd w:val="clear" w:color="auto" w:fill="auto"/>
            <w:hideMark/>
          </w:tcPr>
          <w:p w:rsidR="00B958B1" w:rsidRPr="006F6005" w:rsidRDefault="00B958B1" w:rsidP="009F3B54">
            <w:pPr>
              <w:pStyle w:val="OGUoM"/>
              <w:rPr>
                <w:lang w:eastAsia="en-AU"/>
              </w:rPr>
            </w:pPr>
          </w:p>
        </w:tc>
        <w:tc>
          <w:tcPr>
            <w:tcW w:w="907" w:type="dxa"/>
            <w:tcBorders>
              <w:top w:val="single" w:sz="6" w:space="0" w:color="auto"/>
              <w:left w:val="nil"/>
              <w:right w:val="nil"/>
            </w:tcBorders>
            <w:shd w:val="clear" w:color="auto" w:fill="D9D9D9"/>
            <w:hideMark/>
          </w:tcPr>
          <w:p w:rsidR="00B958B1" w:rsidRPr="006F6005" w:rsidRDefault="00B958B1" w:rsidP="009F3B54">
            <w:pPr>
              <w:pStyle w:val="OGTableofFigures"/>
              <w:rPr>
                <w:lang w:eastAsia="en-AU"/>
              </w:rPr>
            </w:pPr>
          </w:p>
        </w:tc>
        <w:tc>
          <w:tcPr>
            <w:tcW w:w="994" w:type="dxa"/>
            <w:tcBorders>
              <w:top w:val="single" w:sz="6" w:space="0" w:color="auto"/>
              <w:left w:val="nil"/>
              <w:right w:val="nil"/>
            </w:tcBorders>
            <w:shd w:val="clear" w:color="auto" w:fill="auto"/>
            <w:hideMark/>
          </w:tcPr>
          <w:p w:rsidR="00B958B1" w:rsidRPr="006F6005" w:rsidRDefault="00B958B1" w:rsidP="009F3B54">
            <w:pPr>
              <w:pStyle w:val="OGTableofFigures"/>
              <w:rPr>
                <w:lang w:eastAsia="en-AU"/>
              </w:rPr>
            </w:pPr>
          </w:p>
        </w:tc>
        <w:tc>
          <w:tcPr>
            <w:tcW w:w="907" w:type="dxa"/>
            <w:tcBorders>
              <w:top w:val="single" w:sz="6" w:space="0" w:color="auto"/>
              <w:left w:val="nil"/>
              <w:right w:val="nil"/>
            </w:tcBorders>
            <w:shd w:val="clear" w:color="auto" w:fill="auto"/>
            <w:hideMark/>
          </w:tcPr>
          <w:p w:rsidR="00B958B1" w:rsidRPr="006F6005" w:rsidRDefault="00B958B1" w:rsidP="009F3B54">
            <w:pPr>
              <w:pStyle w:val="OGTableofFigures"/>
              <w:rPr>
                <w:lang w:eastAsia="en-AU"/>
              </w:rPr>
            </w:pPr>
          </w:p>
        </w:tc>
        <w:tc>
          <w:tcPr>
            <w:tcW w:w="906" w:type="dxa"/>
            <w:tcBorders>
              <w:top w:val="single" w:sz="6" w:space="0" w:color="auto"/>
              <w:left w:val="nil"/>
              <w:right w:val="nil"/>
            </w:tcBorders>
            <w:shd w:val="clear" w:color="auto" w:fill="auto"/>
            <w:hideMark/>
          </w:tcPr>
          <w:p w:rsidR="00B958B1" w:rsidRPr="006F6005" w:rsidRDefault="00B958B1" w:rsidP="009F3B54">
            <w:pPr>
              <w:pStyle w:val="OGTableofFigures"/>
              <w:rPr>
                <w:lang w:eastAsia="en-AU"/>
              </w:rPr>
            </w:pPr>
          </w:p>
        </w:tc>
      </w:tr>
      <w:tr w:rsidR="00B958B1" w:rsidRPr="006F6005"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F6005" w:rsidRDefault="00B958B1" w:rsidP="009F3B54">
            <w:pPr>
              <w:pStyle w:val="OGTabText"/>
              <w:rPr>
                <w:lang w:eastAsia="en-AU"/>
              </w:rPr>
            </w:pPr>
            <w:r w:rsidRPr="006F6005">
              <w:rPr>
                <w:lang w:eastAsia="en-AU"/>
              </w:rPr>
              <w:t>Auditor</w:t>
            </w:r>
            <w:r w:rsidR="009F0F49">
              <w:rPr>
                <w:lang w:eastAsia="en-AU"/>
              </w:rPr>
              <w:noBreakHyphen/>
            </w:r>
            <w:r w:rsidRPr="006F6005">
              <w:rPr>
                <w:lang w:eastAsia="en-AU"/>
              </w:rPr>
              <w:t>General</w:t>
            </w:r>
            <w:r>
              <w:rPr>
                <w:lang w:eastAsia="en-AU"/>
              </w:rPr>
              <w:t>’</w:t>
            </w:r>
            <w:r w:rsidRPr="006F6005">
              <w:rPr>
                <w:lang w:eastAsia="en-AU"/>
              </w:rPr>
              <w:t>s Reports</w:t>
            </w:r>
          </w:p>
        </w:tc>
        <w:tc>
          <w:tcPr>
            <w:tcW w:w="908" w:type="dxa"/>
            <w:tcBorders>
              <w:top w:val="nil"/>
              <w:left w:val="nil"/>
              <w:bottom w:val="single" w:sz="6" w:space="0" w:color="auto"/>
              <w:right w:val="nil"/>
            </w:tcBorders>
            <w:shd w:val="clear" w:color="000000" w:fill="FFFFFF"/>
            <w:hideMark/>
          </w:tcPr>
          <w:p w:rsidR="00B958B1" w:rsidRPr="006F6005" w:rsidRDefault="00B958B1" w:rsidP="009F3B54">
            <w:pPr>
              <w:pStyle w:val="OGUoM"/>
              <w:rPr>
                <w:lang w:eastAsia="en-AU"/>
              </w:rPr>
            </w:pPr>
            <w:r w:rsidRPr="006F6005">
              <w:rPr>
                <w:lang w:eastAsia="en-AU"/>
              </w:rPr>
              <w:t>number</w:t>
            </w:r>
          </w:p>
        </w:tc>
        <w:tc>
          <w:tcPr>
            <w:tcW w:w="907" w:type="dxa"/>
            <w:tcBorders>
              <w:top w:val="nil"/>
              <w:left w:val="nil"/>
              <w:bottom w:val="single" w:sz="6" w:space="0" w:color="auto"/>
              <w:right w:val="nil"/>
            </w:tcBorders>
            <w:shd w:val="clear" w:color="auto" w:fill="D9D9D9"/>
            <w:hideMark/>
          </w:tcPr>
          <w:p w:rsidR="00B958B1" w:rsidRPr="006F6005" w:rsidRDefault="00B958B1" w:rsidP="009F3B54">
            <w:pPr>
              <w:pStyle w:val="OGTableofFigures"/>
              <w:rPr>
                <w:lang w:eastAsia="en-AU"/>
              </w:rPr>
            </w:pPr>
            <w:r w:rsidRPr="006F6005">
              <w:rPr>
                <w:lang w:eastAsia="en-AU"/>
              </w:rPr>
              <w:t>36</w:t>
            </w:r>
          </w:p>
        </w:tc>
        <w:tc>
          <w:tcPr>
            <w:tcW w:w="994" w:type="dxa"/>
            <w:tcBorders>
              <w:top w:val="nil"/>
              <w:left w:val="nil"/>
              <w:bottom w:val="single" w:sz="6" w:space="0" w:color="auto"/>
              <w:right w:val="nil"/>
            </w:tcBorders>
            <w:shd w:val="clear" w:color="000000" w:fill="FFFFFF"/>
            <w:hideMark/>
          </w:tcPr>
          <w:p w:rsidR="00B958B1" w:rsidRPr="006F6005" w:rsidRDefault="00B958B1" w:rsidP="009F3B54">
            <w:pPr>
              <w:pStyle w:val="OGTableofFigures"/>
              <w:rPr>
                <w:lang w:eastAsia="en-AU"/>
              </w:rPr>
            </w:pPr>
            <w:r w:rsidRPr="006F6005">
              <w:rPr>
                <w:lang w:eastAsia="en-AU"/>
              </w:rPr>
              <w:t>37</w:t>
            </w:r>
          </w:p>
        </w:tc>
        <w:tc>
          <w:tcPr>
            <w:tcW w:w="907" w:type="dxa"/>
            <w:tcBorders>
              <w:top w:val="nil"/>
              <w:left w:val="nil"/>
              <w:bottom w:val="single" w:sz="6" w:space="0" w:color="auto"/>
              <w:right w:val="nil"/>
            </w:tcBorders>
            <w:shd w:val="clear" w:color="000000" w:fill="FFFFFF"/>
            <w:hideMark/>
          </w:tcPr>
          <w:p w:rsidR="00B958B1" w:rsidRPr="006F6005" w:rsidRDefault="00B958B1" w:rsidP="009F3B54">
            <w:pPr>
              <w:pStyle w:val="OGTableofFigures"/>
              <w:rPr>
                <w:lang w:eastAsia="en-AU"/>
              </w:rPr>
            </w:pPr>
            <w:r w:rsidRPr="006F6005">
              <w:rPr>
                <w:lang w:eastAsia="en-AU"/>
              </w:rPr>
              <w:t>36</w:t>
            </w:r>
          </w:p>
        </w:tc>
        <w:tc>
          <w:tcPr>
            <w:tcW w:w="906" w:type="dxa"/>
            <w:tcBorders>
              <w:top w:val="nil"/>
              <w:left w:val="nil"/>
              <w:bottom w:val="single" w:sz="6" w:space="0" w:color="auto"/>
              <w:right w:val="nil"/>
            </w:tcBorders>
            <w:shd w:val="clear" w:color="000000" w:fill="FFFFFF"/>
            <w:hideMark/>
          </w:tcPr>
          <w:p w:rsidR="00B958B1" w:rsidRPr="006F6005" w:rsidRDefault="00B958B1" w:rsidP="009F3B54">
            <w:pPr>
              <w:pStyle w:val="OGTableofFigures"/>
              <w:rPr>
                <w:lang w:eastAsia="en-AU"/>
              </w:rPr>
            </w:pPr>
            <w:r w:rsidRPr="006F6005">
              <w:rPr>
                <w:lang w:eastAsia="en-AU"/>
              </w:rPr>
              <w:t>37</w:t>
            </w:r>
          </w:p>
        </w:tc>
      </w:tr>
      <w:tr w:rsidR="00B958B1" w:rsidRPr="006F6005"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F6005" w:rsidRDefault="00B958B1" w:rsidP="009F3B54">
            <w:pPr>
              <w:pStyle w:val="OGTabHead"/>
              <w:rPr>
                <w:lang w:eastAsia="en-AU"/>
              </w:rPr>
            </w:pPr>
            <w:r w:rsidRPr="006F6005">
              <w:rPr>
                <w:lang w:eastAsia="en-AU"/>
              </w:rPr>
              <w:t>Quality</w:t>
            </w:r>
          </w:p>
        </w:tc>
        <w:tc>
          <w:tcPr>
            <w:tcW w:w="908" w:type="dxa"/>
            <w:tcBorders>
              <w:top w:val="single" w:sz="6" w:space="0" w:color="auto"/>
              <w:left w:val="nil"/>
              <w:bottom w:val="nil"/>
              <w:right w:val="nil"/>
            </w:tcBorders>
            <w:shd w:val="clear" w:color="auto" w:fill="auto"/>
            <w:hideMark/>
          </w:tcPr>
          <w:p w:rsidR="00B958B1" w:rsidRPr="006F6005" w:rsidRDefault="00B958B1" w:rsidP="009F3B54">
            <w:pPr>
              <w:pStyle w:val="OGUoM"/>
              <w:rPr>
                <w:lang w:eastAsia="en-AU"/>
              </w:rPr>
            </w:pPr>
          </w:p>
        </w:tc>
        <w:tc>
          <w:tcPr>
            <w:tcW w:w="907" w:type="dxa"/>
            <w:tcBorders>
              <w:top w:val="single" w:sz="6" w:space="0" w:color="auto"/>
              <w:left w:val="nil"/>
              <w:bottom w:val="nil"/>
              <w:right w:val="nil"/>
            </w:tcBorders>
            <w:shd w:val="clear" w:color="auto" w:fill="D9D9D9"/>
            <w:hideMark/>
          </w:tcPr>
          <w:p w:rsidR="00B958B1" w:rsidRPr="006F6005"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hideMark/>
          </w:tcPr>
          <w:p w:rsidR="00B958B1" w:rsidRPr="006F6005"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hideMark/>
          </w:tcPr>
          <w:p w:rsidR="00B958B1" w:rsidRPr="006F6005"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hideMark/>
          </w:tcPr>
          <w:p w:rsidR="00B958B1" w:rsidRPr="006F6005" w:rsidRDefault="00B958B1" w:rsidP="009F3B54">
            <w:pPr>
              <w:pStyle w:val="OGTableofFigures"/>
              <w:rPr>
                <w:lang w:eastAsia="en-AU"/>
              </w:rPr>
            </w:pPr>
          </w:p>
        </w:tc>
      </w:tr>
      <w:tr w:rsidR="00B958B1" w:rsidRPr="006F6005" w:rsidTr="009F3B54">
        <w:trPr>
          <w:gridAfter w:val="1"/>
          <w:wAfter w:w="6" w:type="dxa"/>
          <w:cantSplit/>
        </w:trPr>
        <w:tc>
          <w:tcPr>
            <w:tcW w:w="3154" w:type="dxa"/>
            <w:tcBorders>
              <w:top w:val="nil"/>
              <w:left w:val="nil"/>
              <w:right w:val="nil"/>
            </w:tcBorders>
            <w:shd w:val="clear" w:color="000000" w:fill="FFFFFF"/>
            <w:hideMark/>
          </w:tcPr>
          <w:p w:rsidR="00B958B1" w:rsidRPr="006F6005" w:rsidRDefault="00B958B1" w:rsidP="009F3B54">
            <w:pPr>
              <w:pStyle w:val="OGTabText"/>
              <w:rPr>
                <w:lang w:eastAsia="en-AU"/>
              </w:rPr>
            </w:pPr>
            <w:r w:rsidRPr="006F6005">
              <w:rPr>
                <w:lang w:eastAsia="en-AU"/>
              </w:rPr>
              <w:t>Average score of audit reports by external/peer assessors</w:t>
            </w:r>
          </w:p>
        </w:tc>
        <w:tc>
          <w:tcPr>
            <w:tcW w:w="908" w:type="dxa"/>
            <w:tcBorders>
              <w:top w:val="nil"/>
              <w:left w:val="nil"/>
              <w:right w:val="nil"/>
            </w:tcBorders>
            <w:shd w:val="clear" w:color="000000" w:fill="FFFFFF"/>
            <w:hideMark/>
          </w:tcPr>
          <w:p w:rsidR="00B958B1" w:rsidRPr="006F6005" w:rsidRDefault="00B958B1" w:rsidP="009F3B54">
            <w:pPr>
              <w:pStyle w:val="OGUoM"/>
              <w:rPr>
                <w:lang w:eastAsia="en-AU"/>
              </w:rPr>
            </w:pPr>
            <w:r>
              <w:rPr>
                <w:lang w:eastAsia="en-AU"/>
              </w:rPr>
              <w:t>per cent</w:t>
            </w:r>
          </w:p>
        </w:tc>
        <w:tc>
          <w:tcPr>
            <w:tcW w:w="907" w:type="dxa"/>
            <w:tcBorders>
              <w:top w:val="nil"/>
              <w:left w:val="nil"/>
              <w:right w:val="nil"/>
            </w:tcBorders>
            <w:shd w:val="clear" w:color="auto" w:fill="D9D9D9"/>
            <w:hideMark/>
          </w:tcPr>
          <w:p w:rsidR="00B958B1" w:rsidRPr="006F6005" w:rsidRDefault="00B958B1" w:rsidP="009F3B54">
            <w:pPr>
              <w:pStyle w:val="OGTableofFigures"/>
              <w:rPr>
                <w:lang w:eastAsia="en-AU"/>
              </w:rPr>
            </w:pPr>
            <w:r w:rsidRPr="006F6005">
              <w:rPr>
                <w:lang w:eastAsia="en-AU"/>
              </w:rPr>
              <w:t>80</w:t>
            </w:r>
          </w:p>
        </w:tc>
        <w:tc>
          <w:tcPr>
            <w:tcW w:w="994" w:type="dxa"/>
            <w:tcBorders>
              <w:top w:val="nil"/>
              <w:left w:val="nil"/>
              <w:right w:val="nil"/>
            </w:tcBorders>
            <w:shd w:val="clear" w:color="000000" w:fill="FFFFFF"/>
            <w:hideMark/>
          </w:tcPr>
          <w:p w:rsidR="00B958B1" w:rsidRPr="006F6005" w:rsidRDefault="00B958B1" w:rsidP="009F3B54">
            <w:pPr>
              <w:pStyle w:val="OGTableofFigures"/>
              <w:rPr>
                <w:lang w:eastAsia="en-AU"/>
              </w:rPr>
            </w:pPr>
            <w:r w:rsidRPr="006F6005">
              <w:rPr>
                <w:lang w:eastAsia="en-AU"/>
              </w:rPr>
              <w:t>80</w:t>
            </w:r>
          </w:p>
        </w:tc>
        <w:tc>
          <w:tcPr>
            <w:tcW w:w="907" w:type="dxa"/>
            <w:tcBorders>
              <w:top w:val="nil"/>
              <w:left w:val="nil"/>
              <w:right w:val="nil"/>
            </w:tcBorders>
            <w:shd w:val="clear" w:color="000000" w:fill="FFFFFF"/>
            <w:hideMark/>
          </w:tcPr>
          <w:p w:rsidR="00B958B1" w:rsidRPr="006F6005" w:rsidRDefault="00B958B1" w:rsidP="009F3B54">
            <w:pPr>
              <w:pStyle w:val="OGTableofFigures"/>
              <w:rPr>
                <w:lang w:eastAsia="en-AU"/>
              </w:rPr>
            </w:pPr>
            <w:r w:rsidRPr="006F6005">
              <w:rPr>
                <w:lang w:eastAsia="en-AU"/>
              </w:rPr>
              <w:t>80</w:t>
            </w:r>
          </w:p>
        </w:tc>
        <w:tc>
          <w:tcPr>
            <w:tcW w:w="906" w:type="dxa"/>
            <w:tcBorders>
              <w:top w:val="nil"/>
              <w:left w:val="nil"/>
              <w:right w:val="nil"/>
            </w:tcBorders>
            <w:shd w:val="clear" w:color="000000" w:fill="FFFFFF"/>
            <w:hideMark/>
          </w:tcPr>
          <w:p w:rsidR="00B958B1" w:rsidRPr="006F6005" w:rsidRDefault="00B958B1" w:rsidP="009F3B54">
            <w:pPr>
              <w:pStyle w:val="OGTableofFigures"/>
              <w:rPr>
                <w:lang w:eastAsia="en-AU"/>
              </w:rPr>
            </w:pPr>
            <w:r w:rsidRPr="006F6005">
              <w:rPr>
                <w:lang w:eastAsia="en-AU"/>
              </w:rPr>
              <w:t>83</w:t>
            </w:r>
          </w:p>
        </w:tc>
      </w:tr>
      <w:tr w:rsidR="00B958B1" w:rsidRPr="006F6005"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F6005" w:rsidRDefault="00B958B1" w:rsidP="009F3B54">
            <w:pPr>
              <w:pStyle w:val="OGNotes"/>
            </w:pPr>
            <w:r w:rsidRPr="006F6005">
              <w:t>This performance measure replaces the 2012</w:t>
            </w:r>
            <w:r w:rsidR="009F0F49">
              <w:noBreakHyphen/>
            </w:r>
            <w:r w:rsidRPr="006F6005">
              <w:t xml:space="preserve">13 performance measure </w:t>
            </w:r>
            <w:r>
              <w:t>‘</w:t>
            </w:r>
            <w:r w:rsidRPr="006F6005">
              <w:t>Average score of audit reports by external assessors</w:t>
            </w:r>
            <w:r>
              <w:t xml:space="preserve">’. </w:t>
            </w:r>
            <w:r w:rsidRPr="006F6005">
              <w:t>The 2013</w:t>
            </w:r>
            <w:r w:rsidR="009F0F49">
              <w:noBreakHyphen/>
            </w:r>
            <w:r w:rsidRPr="006F6005">
              <w:t>14 performance measure is the same as the 2012</w:t>
            </w:r>
            <w:r w:rsidR="009F0F49">
              <w:noBreakHyphen/>
            </w:r>
            <w:r w:rsidRPr="006F6005">
              <w:t xml:space="preserve">13 measure except for the addition of the term </w:t>
            </w:r>
            <w:r>
              <w:t>‘</w:t>
            </w:r>
            <w:r w:rsidRPr="006F6005">
              <w:t>peer</w:t>
            </w:r>
            <w:r>
              <w:t>’</w:t>
            </w:r>
            <w:r w:rsidRPr="006F6005">
              <w:t xml:space="preserve"> and measures the same activity as the previous measure.</w:t>
            </w:r>
          </w:p>
        </w:tc>
      </w:tr>
      <w:tr w:rsidR="00B958B1" w:rsidRPr="006F6005" w:rsidTr="009F3B54">
        <w:trPr>
          <w:gridAfter w:val="1"/>
          <w:wAfter w:w="6" w:type="dxa"/>
          <w:cantSplit/>
        </w:trPr>
        <w:tc>
          <w:tcPr>
            <w:tcW w:w="3154" w:type="dxa"/>
            <w:tcBorders>
              <w:top w:val="single" w:sz="6" w:space="0" w:color="auto"/>
              <w:left w:val="nil"/>
              <w:bottom w:val="single" w:sz="6" w:space="0" w:color="auto"/>
              <w:right w:val="nil"/>
            </w:tcBorders>
            <w:shd w:val="clear" w:color="000000" w:fill="FFFFFF"/>
            <w:hideMark/>
          </w:tcPr>
          <w:p w:rsidR="00B958B1" w:rsidRPr="006F6005" w:rsidRDefault="00B958B1" w:rsidP="009F3B54">
            <w:pPr>
              <w:pStyle w:val="OGTabText"/>
              <w:rPr>
                <w:lang w:eastAsia="en-AU"/>
              </w:rPr>
            </w:pPr>
            <w:r w:rsidRPr="006F6005">
              <w:rPr>
                <w:lang w:eastAsia="en-AU"/>
              </w:rPr>
              <w:t>Overall level of external satisfaction with audit reports and services</w:t>
            </w:r>
            <w:r>
              <w:rPr>
                <w:lang w:eastAsia="en-AU"/>
              </w:rPr>
              <w:t xml:space="preserve"> – </w:t>
            </w:r>
            <w:r w:rsidRPr="006F6005">
              <w:rPr>
                <w:lang w:eastAsia="en-AU"/>
              </w:rPr>
              <w:t>Parliamentarians</w:t>
            </w:r>
          </w:p>
        </w:tc>
        <w:tc>
          <w:tcPr>
            <w:tcW w:w="908" w:type="dxa"/>
            <w:tcBorders>
              <w:top w:val="single" w:sz="6" w:space="0" w:color="auto"/>
              <w:left w:val="nil"/>
              <w:bottom w:val="single" w:sz="6" w:space="0" w:color="auto"/>
              <w:right w:val="nil"/>
            </w:tcBorders>
            <w:shd w:val="clear" w:color="000000" w:fill="FFFFFF"/>
            <w:hideMark/>
          </w:tcPr>
          <w:p w:rsidR="00B958B1" w:rsidRPr="006F6005" w:rsidRDefault="00B958B1" w:rsidP="009F3B54">
            <w:pPr>
              <w:pStyle w:val="OGUoM"/>
              <w:rPr>
                <w:lang w:eastAsia="en-AU"/>
              </w:rPr>
            </w:pPr>
            <w:r>
              <w:rPr>
                <w:lang w:eastAsia="en-AU"/>
              </w:rPr>
              <w:t>per cent</w:t>
            </w:r>
          </w:p>
        </w:tc>
        <w:tc>
          <w:tcPr>
            <w:tcW w:w="907" w:type="dxa"/>
            <w:tcBorders>
              <w:top w:val="single" w:sz="6" w:space="0" w:color="auto"/>
              <w:left w:val="nil"/>
              <w:bottom w:val="single" w:sz="6" w:space="0" w:color="auto"/>
              <w:right w:val="nil"/>
            </w:tcBorders>
            <w:shd w:val="clear" w:color="auto" w:fill="D9D9D9"/>
            <w:hideMark/>
          </w:tcPr>
          <w:p w:rsidR="00B958B1" w:rsidRPr="006F6005" w:rsidRDefault="00B958B1" w:rsidP="009F3B54">
            <w:pPr>
              <w:pStyle w:val="OGTableofFigures"/>
              <w:rPr>
                <w:lang w:eastAsia="en-AU"/>
              </w:rPr>
            </w:pPr>
            <w:r w:rsidRPr="006F6005">
              <w:rPr>
                <w:lang w:eastAsia="en-AU"/>
              </w:rPr>
              <w:t>85</w:t>
            </w:r>
          </w:p>
        </w:tc>
        <w:tc>
          <w:tcPr>
            <w:tcW w:w="994" w:type="dxa"/>
            <w:tcBorders>
              <w:top w:val="single" w:sz="6" w:space="0" w:color="auto"/>
              <w:left w:val="nil"/>
              <w:bottom w:val="single" w:sz="6" w:space="0" w:color="auto"/>
              <w:right w:val="nil"/>
            </w:tcBorders>
            <w:shd w:val="clear" w:color="000000" w:fill="FFFFFF"/>
            <w:hideMark/>
          </w:tcPr>
          <w:p w:rsidR="00B958B1" w:rsidRPr="006F6005" w:rsidRDefault="00B958B1" w:rsidP="009F3B54">
            <w:pPr>
              <w:pStyle w:val="OGTableofFigures"/>
              <w:rPr>
                <w:lang w:eastAsia="en-AU"/>
              </w:rPr>
            </w:pPr>
            <w:r w:rsidRPr="006F6005">
              <w:rPr>
                <w:lang w:eastAsia="en-AU"/>
              </w:rPr>
              <w:t>85</w:t>
            </w:r>
          </w:p>
        </w:tc>
        <w:tc>
          <w:tcPr>
            <w:tcW w:w="907" w:type="dxa"/>
            <w:tcBorders>
              <w:top w:val="single" w:sz="6" w:space="0" w:color="auto"/>
              <w:left w:val="nil"/>
              <w:bottom w:val="single" w:sz="6" w:space="0" w:color="auto"/>
              <w:right w:val="nil"/>
            </w:tcBorders>
            <w:shd w:val="clear" w:color="000000" w:fill="FFFFFF"/>
            <w:hideMark/>
          </w:tcPr>
          <w:p w:rsidR="00B958B1" w:rsidRPr="006F6005" w:rsidRDefault="00B958B1" w:rsidP="009F3B54">
            <w:pPr>
              <w:pStyle w:val="OGTableofFigures"/>
              <w:rPr>
                <w:lang w:eastAsia="en-AU"/>
              </w:rPr>
            </w:pPr>
            <w:r w:rsidRPr="006F6005">
              <w:rPr>
                <w:lang w:eastAsia="en-AU"/>
              </w:rPr>
              <w:t>85</w:t>
            </w:r>
          </w:p>
        </w:tc>
        <w:tc>
          <w:tcPr>
            <w:tcW w:w="906" w:type="dxa"/>
            <w:tcBorders>
              <w:top w:val="single" w:sz="6" w:space="0" w:color="auto"/>
              <w:left w:val="nil"/>
              <w:bottom w:val="single" w:sz="6" w:space="0" w:color="auto"/>
              <w:right w:val="nil"/>
            </w:tcBorders>
            <w:shd w:val="clear" w:color="000000" w:fill="FFFFFF"/>
            <w:hideMark/>
          </w:tcPr>
          <w:p w:rsidR="00B958B1" w:rsidRPr="006F6005" w:rsidRDefault="00B958B1" w:rsidP="009F3B54">
            <w:pPr>
              <w:pStyle w:val="OGTableofFigures"/>
              <w:rPr>
                <w:lang w:eastAsia="en-AU"/>
              </w:rPr>
            </w:pPr>
            <w:r w:rsidRPr="006F6005">
              <w:rPr>
                <w:lang w:eastAsia="en-AU"/>
              </w:rPr>
              <w:t>93</w:t>
            </w:r>
          </w:p>
        </w:tc>
      </w:tr>
      <w:tr w:rsidR="00B958B1" w:rsidRPr="006F6005"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6F6005" w:rsidRDefault="00B958B1" w:rsidP="009F3B54">
            <w:pPr>
              <w:pStyle w:val="OGTabHead"/>
              <w:rPr>
                <w:lang w:eastAsia="en-AU"/>
              </w:rPr>
            </w:pPr>
            <w:r w:rsidRPr="006F6005">
              <w:rPr>
                <w:lang w:eastAsia="en-AU"/>
              </w:rPr>
              <w:t>Timeliness</w:t>
            </w:r>
          </w:p>
        </w:tc>
        <w:tc>
          <w:tcPr>
            <w:tcW w:w="908" w:type="dxa"/>
            <w:tcBorders>
              <w:top w:val="single" w:sz="6" w:space="0" w:color="auto"/>
              <w:left w:val="nil"/>
              <w:right w:val="nil"/>
            </w:tcBorders>
            <w:shd w:val="clear" w:color="auto" w:fill="auto"/>
            <w:hideMark/>
          </w:tcPr>
          <w:p w:rsidR="00B958B1" w:rsidRPr="006F6005" w:rsidRDefault="00B958B1" w:rsidP="009F3B54">
            <w:pPr>
              <w:pStyle w:val="OGUoM"/>
              <w:rPr>
                <w:lang w:eastAsia="en-AU"/>
              </w:rPr>
            </w:pPr>
          </w:p>
        </w:tc>
        <w:tc>
          <w:tcPr>
            <w:tcW w:w="907" w:type="dxa"/>
            <w:tcBorders>
              <w:top w:val="single" w:sz="6" w:space="0" w:color="auto"/>
              <w:left w:val="nil"/>
              <w:right w:val="nil"/>
            </w:tcBorders>
            <w:shd w:val="clear" w:color="auto" w:fill="D9D9D9"/>
            <w:hideMark/>
          </w:tcPr>
          <w:p w:rsidR="00B958B1" w:rsidRPr="006F6005" w:rsidRDefault="00B958B1" w:rsidP="009F3B54">
            <w:pPr>
              <w:pStyle w:val="OGTableofFigures"/>
              <w:rPr>
                <w:lang w:eastAsia="en-AU"/>
              </w:rPr>
            </w:pPr>
          </w:p>
        </w:tc>
        <w:tc>
          <w:tcPr>
            <w:tcW w:w="994" w:type="dxa"/>
            <w:tcBorders>
              <w:top w:val="single" w:sz="6" w:space="0" w:color="auto"/>
              <w:left w:val="nil"/>
              <w:right w:val="nil"/>
            </w:tcBorders>
            <w:shd w:val="clear" w:color="auto" w:fill="auto"/>
            <w:hideMark/>
          </w:tcPr>
          <w:p w:rsidR="00B958B1" w:rsidRPr="006F6005" w:rsidRDefault="00B958B1" w:rsidP="009F3B54">
            <w:pPr>
              <w:pStyle w:val="OGTableofFigures"/>
              <w:rPr>
                <w:lang w:eastAsia="en-AU"/>
              </w:rPr>
            </w:pPr>
          </w:p>
        </w:tc>
        <w:tc>
          <w:tcPr>
            <w:tcW w:w="907" w:type="dxa"/>
            <w:tcBorders>
              <w:top w:val="single" w:sz="6" w:space="0" w:color="auto"/>
              <w:left w:val="nil"/>
              <w:right w:val="nil"/>
            </w:tcBorders>
            <w:shd w:val="clear" w:color="auto" w:fill="auto"/>
            <w:hideMark/>
          </w:tcPr>
          <w:p w:rsidR="00B958B1" w:rsidRPr="006F6005" w:rsidRDefault="00B958B1" w:rsidP="009F3B54">
            <w:pPr>
              <w:pStyle w:val="OGTableofFigures"/>
              <w:rPr>
                <w:lang w:eastAsia="en-AU"/>
              </w:rPr>
            </w:pPr>
          </w:p>
        </w:tc>
        <w:tc>
          <w:tcPr>
            <w:tcW w:w="906" w:type="dxa"/>
            <w:tcBorders>
              <w:top w:val="single" w:sz="6" w:space="0" w:color="auto"/>
              <w:left w:val="nil"/>
              <w:right w:val="nil"/>
            </w:tcBorders>
            <w:shd w:val="clear" w:color="auto" w:fill="auto"/>
            <w:hideMark/>
          </w:tcPr>
          <w:p w:rsidR="00B958B1" w:rsidRPr="006F6005" w:rsidRDefault="00B958B1" w:rsidP="009F3B54">
            <w:pPr>
              <w:pStyle w:val="OGTableofFigures"/>
              <w:rPr>
                <w:lang w:eastAsia="en-AU"/>
              </w:rPr>
            </w:pPr>
          </w:p>
        </w:tc>
      </w:tr>
      <w:tr w:rsidR="00B958B1" w:rsidRPr="006F6005"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F6005" w:rsidRDefault="00B958B1" w:rsidP="009F3B54">
            <w:pPr>
              <w:pStyle w:val="OGTabText"/>
              <w:rPr>
                <w:lang w:eastAsia="en-AU"/>
              </w:rPr>
            </w:pPr>
            <w:r w:rsidRPr="006F6005">
              <w:rPr>
                <w:lang w:eastAsia="en-AU"/>
              </w:rPr>
              <w:t>Inquiries from Members of Parliament and the public responded to within 28 days</w:t>
            </w:r>
          </w:p>
        </w:tc>
        <w:tc>
          <w:tcPr>
            <w:tcW w:w="908" w:type="dxa"/>
            <w:tcBorders>
              <w:top w:val="nil"/>
              <w:left w:val="nil"/>
              <w:bottom w:val="single" w:sz="6" w:space="0" w:color="auto"/>
              <w:right w:val="nil"/>
            </w:tcBorders>
            <w:shd w:val="clear" w:color="000000" w:fill="FFFFFF"/>
            <w:hideMark/>
          </w:tcPr>
          <w:p w:rsidR="00B958B1" w:rsidRPr="006F6005"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6F6005" w:rsidRDefault="00B958B1" w:rsidP="009F3B54">
            <w:pPr>
              <w:pStyle w:val="OGTableofFigures"/>
              <w:rPr>
                <w:lang w:eastAsia="en-AU"/>
              </w:rPr>
            </w:pPr>
            <w:r w:rsidRPr="006F6005">
              <w:rPr>
                <w:lang w:eastAsia="en-AU"/>
              </w:rPr>
              <w:t>95</w:t>
            </w:r>
          </w:p>
        </w:tc>
        <w:tc>
          <w:tcPr>
            <w:tcW w:w="994" w:type="dxa"/>
            <w:tcBorders>
              <w:top w:val="nil"/>
              <w:left w:val="nil"/>
              <w:bottom w:val="single" w:sz="6" w:space="0" w:color="auto"/>
              <w:right w:val="nil"/>
            </w:tcBorders>
            <w:shd w:val="clear" w:color="000000" w:fill="FFFFFF"/>
            <w:hideMark/>
          </w:tcPr>
          <w:p w:rsidR="00B958B1" w:rsidRPr="006F6005" w:rsidRDefault="00B958B1" w:rsidP="009F3B54">
            <w:pPr>
              <w:pStyle w:val="OGTableofFigures"/>
              <w:rPr>
                <w:lang w:eastAsia="en-AU"/>
              </w:rPr>
            </w:pPr>
            <w:r w:rsidRPr="006F6005">
              <w:rPr>
                <w:lang w:eastAsia="en-AU"/>
              </w:rPr>
              <w:t>95</w:t>
            </w:r>
          </w:p>
        </w:tc>
        <w:tc>
          <w:tcPr>
            <w:tcW w:w="907" w:type="dxa"/>
            <w:tcBorders>
              <w:top w:val="nil"/>
              <w:left w:val="nil"/>
              <w:bottom w:val="single" w:sz="6" w:space="0" w:color="auto"/>
              <w:right w:val="nil"/>
            </w:tcBorders>
            <w:shd w:val="clear" w:color="000000" w:fill="FFFFFF"/>
            <w:hideMark/>
          </w:tcPr>
          <w:p w:rsidR="00B958B1" w:rsidRPr="006F6005" w:rsidRDefault="00B958B1" w:rsidP="009F3B54">
            <w:pPr>
              <w:pStyle w:val="OGTableofFigures"/>
              <w:rPr>
                <w:lang w:eastAsia="en-AU"/>
              </w:rPr>
            </w:pPr>
            <w:r w:rsidRPr="006F6005">
              <w:rPr>
                <w:lang w:eastAsia="en-AU"/>
              </w:rPr>
              <w:t>95</w:t>
            </w:r>
          </w:p>
        </w:tc>
        <w:tc>
          <w:tcPr>
            <w:tcW w:w="906" w:type="dxa"/>
            <w:tcBorders>
              <w:top w:val="nil"/>
              <w:left w:val="nil"/>
              <w:bottom w:val="single" w:sz="6" w:space="0" w:color="auto"/>
              <w:right w:val="nil"/>
            </w:tcBorders>
            <w:shd w:val="clear" w:color="000000" w:fill="FFFFFF"/>
            <w:hideMark/>
          </w:tcPr>
          <w:p w:rsidR="00B958B1" w:rsidRPr="006F6005" w:rsidRDefault="00B958B1" w:rsidP="009F3B54">
            <w:pPr>
              <w:pStyle w:val="OGTableofFigures"/>
              <w:rPr>
                <w:lang w:eastAsia="en-AU"/>
              </w:rPr>
            </w:pPr>
            <w:r w:rsidRPr="006F6005">
              <w:rPr>
                <w:lang w:eastAsia="en-AU"/>
              </w:rPr>
              <w:t>99</w:t>
            </w:r>
          </w:p>
        </w:tc>
      </w:tr>
      <w:tr w:rsidR="00B958B1" w:rsidRPr="006F6005"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6F6005" w:rsidRDefault="00B958B1" w:rsidP="009F3B54">
            <w:pPr>
              <w:pStyle w:val="OGTabText"/>
              <w:rPr>
                <w:lang w:eastAsia="en-AU"/>
              </w:rPr>
            </w:pPr>
            <w:r w:rsidRPr="006F6005">
              <w:rPr>
                <w:lang w:eastAsia="en-AU"/>
              </w:rPr>
              <w:t>Reports completed on time</w:t>
            </w:r>
          </w:p>
        </w:tc>
        <w:tc>
          <w:tcPr>
            <w:tcW w:w="908" w:type="dxa"/>
            <w:tcBorders>
              <w:top w:val="single" w:sz="6" w:space="0" w:color="auto"/>
              <w:left w:val="nil"/>
              <w:right w:val="nil"/>
            </w:tcBorders>
            <w:shd w:val="clear" w:color="000000" w:fill="FFFFFF"/>
            <w:hideMark/>
          </w:tcPr>
          <w:p w:rsidR="00B958B1" w:rsidRPr="006F6005"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6F6005" w:rsidRDefault="00B958B1" w:rsidP="009F3B54">
            <w:pPr>
              <w:pStyle w:val="OGTableofFigures"/>
              <w:rPr>
                <w:lang w:eastAsia="en-AU"/>
              </w:rPr>
            </w:pPr>
            <w:r w:rsidRPr="006F6005">
              <w:rPr>
                <w:lang w:eastAsia="en-AU"/>
              </w:rPr>
              <w:t>90</w:t>
            </w:r>
          </w:p>
        </w:tc>
        <w:tc>
          <w:tcPr>
            <w:tcW w:w="994" w:type="dxa"/>
            <w:tcBorders>
              <w:top w:val="single" w:sz="6" w:space="0" w:color="auto"/>
              <w:left w:val="nil"/>
              <w:right w:val="nil"/>
            </w:tcBorders>
            <w:shd w:val="clear" w:color="000000" w:fill="FFFFFF"/>
            <w:hideMark/>
          </w:tcPr>
          <w:p w:rsidR="00B958B1" w:rsidRPr="006F6005" w:rsidRDefault="00B958B1" w:rsidP="009F3B54">
            <w:pPr>
              <w:pStyle w:val="OGTableofFigures"/>
              <w:rPr>
                <w:lang w:eastAsia="en-AU"/>
              </w:rPr>
            </w:pPr>
            <w:r w:rsidRPr="006F6005">
              <w:rPr>
                <w:lang w:eastAsia="en-AU"/>
              </w:rPr>
              <w:t>97</w:t>
            </w:r>
          </w:p>
        </w:tc>
        <w:tc>
          <w:tcPr>
            <w:tcW w:w="907" w:type="dxa"/>
            <w:tcBorders>
              <w:top w:val="single" w:sz="6" w:space="0" w:color="auto"/>
              <w:left w:val="nil"/>
              <w:right w:val="nil"/>
            </w:tcBorders>
            <w:shd w:val="clear" w:color="000000" w:fill="FFFFFF"/>
            <w:hideMark/>
          </w:tcPr>
          <w:p w:rsidR="00B958B1" w:rsidRPr="006F6005" w:rsidRDefault="00B958B1" w:rsidP="009F3B54">
            <w:pPr>
              <w:pStyle w:val="OGTableofFigures"/>
              <w:rPr>
                <w:lang w:eastAsia="en-AU"/>
              </w:rPr>
            </w:pPr>
            <w:r w:rsidRPr="006F6005">
              <w:rPr>
                <w:lang w:eastAsia="en-AU"/>
              </w:rPr>
              <w:t>90</w:t>
            </w:r>
          </w:p>
        </w:tc>
        <w:tc>
          <w:tcPr>
            <w:tcW w:w="906" w:type="dxa"/>
            <w:tcBorders>
              <w:top w:val="single" w:sz="6" w:space="0" w:color="auto"/>
              <w:left w:val="nil"/>
              <w:right w:val="nil"/>
            </w:tcBorders>
            <w:shd w:val="clear" w:color="000000" w:fill="FFFFFF"/>
            <w:hideMark/>
          </w:tcPr>
          <w:p w:rsidR="00B958B1" w:rsidRPr="006F6005" w:rsidRDefault="00B958B1" w:rsidP="009F3B54">
            <w:pPr>
              <w:pStyle w:val="OGTableofFigures"/>
              <w:rPr>
                <w:lang w:eastAsia="en-AU"/>
              </w:rPr>
            </w:pPr>
            <w:r w:rsidRPr="006F6005">
              <w:rPr>
                <w:lang w:eastAsia="en-AU"/>
              </w:rPr>
              <w:t>87</w:t>
            </w:r>
          </w:p>
        </w:tc>
      </w:tr>
      <w:tr w:rsidR="00B958B1" w:rsidRPr="006F6005"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F6005" w:rsidRDefault="00B958B1" w:rsidP="009F3B54">
            <w:pPr>
              <w:pStyle w:val="OGNotes"/>
            </w:pPr>
            <w:r w:rsidRPr="006F6005">
              <w:t>The 2012</w:t>
            </w:r>
            <w:r w:rsidR="009F0F49">
              <w:noBreakHyphen/>
            </w:r>
            <w:r w:rsidRPr="006F6005">
              <w:t>13 Expected Outcome exceeds the 2012</w:t>
            </w:r>
            <w:r w:rsidR="009F0F49">
              <w:noBreakHyphen/>
            </w:r>
            <w:r w:rsidRPr="006F6005">
              <w:t>13 Target</w:t>
            </w:r>
            <w:r>
              <w:t xml:space="preserve">. </w:t>
            </w:r>
            <w:r w:rsidRPr="006F6005">
              <w:t>36 of the 37 reports are expected to be completed on time in 2012</w:t>
            </w:r>
            <w:r w:rsidR="009F0F49">
              <w:noBreakHyphen/>
            </w:r>
            <w:r w:rsidRPr="006F6005">
              <w:t>13</w:t>
            </w:r>
            <w:r>
              <w:t xml:space="preserve">. </w:t>
            </w:r>
            <w:r w:rsidRPr="006F6005">
              <w:t>The one late report is a carryover from 2011</w:t>
            </w:r>
            <w:r w:rsidR="009F0F49">
              <w:noBreakHyphen/>
            </w:r>
            <w:r w:rsidRPr="006F6005">
              <w:t>12.</w:t>
            </w:r>
          </w:p>
        </w:tc>
      </w:tr>
      <w:tr w:rsidR="00B958B1" w:rsidRPr="006F6005"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F6005" w:rsidRDefault="00B958B1" w:rsidP="009F3B54">
            <w:pPr>
              <w:pStyle w:val="OGTabHead"/>
              <w:rPr>
                <w:lang w:eastAsia="en-AU"/>
              </w:rPr>
            </w:pPr>
            <w:r w:rsidRPr="006F6005">
              <w:rPr>
                <w:lang w:eastAsia="en-AU"/>
              </w:rPr>
              <w:t>Cost</w:t>
            </w:r>
          </w:p>
        </w:tc>
        <w:tc>
          <w:tcPr>
            <w:tcW w:w="908" w:type="dxa"/>
            <w:tcBorders>
              <w:top w:val="single" w:sz="6" w:space="0" w:color="auto"/>
              <w:left w:val="nil"/>
              <w:bottom w:val="nil"/>
              <w:right w:val="nil"/>
            </w:tcBorders>
            <w:shd w:val="clear" w:color="auto" w:fill="auto"/>
            <w:hideMark/>
          </w:tcPr>
          <w:p w:rsidR="00B958B1" w:rsidRPr="006F6005" w:rsidRDefault="00B958B1" w:rsidP="009F3B54">
            <w:pPr>
              <w:pStyle w:val="OGUoM"/>
              <w:rPr>
                <w:lang w:eastAsia="en-AU"/>
              </w:rPr>
            </w:pPr>
          </w:p>
        </w:tc>
        <w:tc>
          <w:tcPr>
            <w:tcW w:w="907" w:type="dxa"/>
            <w:tcBorders>
              <w:top w:val="single" w:sz="6" w:space="0" w:color="auto"/>
              <w:left w:val="nil"/>
              <w:bottom w:val="nil"/>
              <w:right w:val="nil"/>
            </w:tcBorders>
            <w:shd w:val="clear" w:color="auto" w:fill="D9D9D9"/>
            <w:hideMark/>
          </w:tcPr>
          <w:p w:rsidR="00B958B1" w:rsidRPr="006F6005"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hideMark/>
          </w:tcPr>
          <w:p w:rsidR="00B958B1" w:rsidRPr="006F6005"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hideMark/>
          </w:tcPr>
          <w:p w:rsidR="00B958B1" w:rsidRPr="006F6005"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hideMark/>
          </w:tcPr>
          <w:p w:rsidR="00B958B1" w:rsidRPr="006F6005" w:rsidRDefault="00B958B1" w:rsidP="009F3B54">
            <w:pPr>
              <w:pStyle w:val="OGTableofFigures"/>
              <w:rPr>
                <w:lang w:eastAsia="en-AU"/>
              </w:rPr>
            </w:pPr>
          </w:p>
        </w:tc>
      </w:tr>
      <w:tr w:rsidR="00B958B1" w:rsidRPr="006F6005" w:rsidTr="009F3B54">
        <w:trPr>
          <w:gridAfter w:val="1"/>
          <w:wAfter w:w="6" w:type="dxa"/>
          <w:cantSplit/>
        </w:trPr>
        <w:tc>
          <w:tcPr>
            <w:tcW w:w="3154" w:type="dxa"/>
            <w:tcBorders>
              <w:top w:val="nil"/>
              <w:left w:val="nil"/>
              <w:right w:val="nil"/>
            </w:tcBorders>
            <w:shd w:val="clear" w:color="000000" w:fill="FFFFFF"/>
            <w:hideMark/>
          </w:tcPr>
          <w:p w:rsidR="00B958B1" w:rsidRPr="006F6005" w:rsidRDefault="00B958B1" w:rsidP="009F3B54">
            <w:pPr>
              <w:pStyle w:val="OGTabText"/>
              <w:rPr>
                <w:lang w:eastAsia="en-AU"/>
              </w:rPr>
            </w:pPr>
            <w:r w:rsidRPr="006F6005">
              <w:rPr>
                <w:lang w:eastAsia="en-AU"/>
              </w:rPr>
              <w:t>Total output cost</w:t>
            </w:r>
          </w:p>
        </w:tc>
        <w:tc>
          <w:tcPr>
            <w:tcW w:w="908" w:type="dxa"/>
            <w:tcBorders>
              <w:top w:val="nil"/>
              <w:left w:val="nil"/>
              <w:right w:val="nil"/>
            </w:tcBorders>
            <w:shd w:val="clear" w:color="000000" w:fill="FFFFFF"/>
            <w:hideMark/>
          </w:tcPr>
          <w:p w:rsidR="00B958B1" w:rsidRPr="006F6005" w:rsidRDefault="00B958B1" w:rsidP="009F3B54">
            <w:pPr>
              <w:pStyle w:val="OGUoM"/>
              <w:rPr>
                <w:lang w:eastAsia="en-AU"/>
              </w:rPr>
            </w:pPr>
            <w:r>
              <w:rPr>
                <w:lang w:eastAsia="en-AU"/>
              </w:rPr>
              <w:t>$ million</w:t>
            </w:r>
          </w:p>
        </w:tc>
        <w:tc>
          <w:tcPr>
            <w:tcW w:w="907" w:type="dxa"/>
            <w:tcBorders>
              <w:top w:val="nil"/>
              <w:left w:val="nil"/>
              <w:right w:val="nil"/>
            </w:tcBorders>
            <w:shd w:val="clear" w:color="auto" w:fill="D9D9D9"/>
            <w:hideMark/>
          </w:tcPr>
          <w:p w:rsidR="00B958B1" w:rsidRPr="006F6005" w:rsidRDefault="00B958B1" w:rsidP="009F3B54">
            <w:pPr>
              <w:pStyle w:val="OGTableofFigures"/>
              <w:rPr>
                <w:lang w:eastAsia="en-AU"/>
              </w:rPr>
            </w:pPr>
            <w:r w:rsidRPr="006F6005">
              <w:rPr>
                <w:lang w:eastAsia="en-AU"/>
              </w:rPr>
              <w:t>15.3</w:t>
            </w:r>
          </w:p>
        </w:tc>
        <w:tc>
          <w:tcPr>
            <w:tcW w:w="994" w:type="dxa"/>
            <w:tcBorders>
              <w:top w:val="nil"/>
              <w:left w:val="nil"/>
              <w:right w:val="nil"/>
            </w:tcBorders>
            <w:shd w:val="clear" w:color="000000" w:fill="FFFFFF"/>
            <w:hideMark/>
          </w:tcPr>
          <w:p w:rsidR="00B958B1" w:rsidRPr="006F6005" w:rsidRDefault="00B958B1" w:rsidP="009F3B54">
            <w:pPr>
              <w:pStyle w:val="OGTableofFigures"/>
              <w:rPr>
                <w:lang w:eastAsia="en-AU"/>
              </w:rPr>
            </w:pPr>
            <w:r w:rsidRPr="006F6005">
              <w:rPr>
                <w:lang w:eastAsia="en-AU"/>
              </w:rPr>
              <w:t>15.3</w:t>
            </w:r>
          </w:p>
        </w:tc>
        <w:tc>
          <w:tcPr>
            <w:tcW w:w="907" w:type="dxa"/>
            <w:tcBorders>
              <w:top w:val="nil"/>
              <w:left w:val="nil"/>
              <w:right w:val="nil"/>
            </w:tcBorders>
            <w:shd w:val="clear" w:color="000000" w:fill="FFFFFF"/>
            <w:hideMark/>
          </w:tcPr>
          <w:p w:rsidR="00B958B1" w:rsidRPr="006F6005" w:rsidRDefault="00B958B1" w:rsidP="009F3B54">
            <w:pPr>
              <w:pStyle w:val="OGTableofFigures"/>
              <w:rPr>
                <w:lang w:eastAsia="en-AU"/>
              </w:rPr>
            </w:pPr>
            <w:r w:rsidRPr="006F6005">
              <w:rPr>
                <w:lang w:eastAsia="en-AU"/>
              </w:rPr>
              <w:t>14.9</w:t>
            </w:r>
          </w:p>
        </w:tc>
        <w:tc>
          <w:tcPr>
            <w:tcW w:w="906" w:type="dxa"/>
            <w:tcBorders>
              <w:top w:val="nil"/>
              <w:left w:val="nil"/>
              <w:right w:val="nil"/>
            </w:tcBorders>
            <w:shd w:val="clear" w:color="000000" w:fill="FFFFFF"/>
            <w:hideMark/>
          </w:tcPr>
          <w:p w:rsidR="00B958B1" w:rsidRPr="006F6005" w:rsidRDefault="00B958B1" w:rsidP="009F3B54">
            <w:pPr>
              <w:pStyle w:val="OGTableofFigures"/>
              <w:rPr>
                <w:lang w:eastAsia="en-AU"/>
              </w:rPr>
            </w:pPr>
            <w:r w:rsidRPr="006F6005">
              <w:rPr>
                <w:lang w:eastAsia="en-AU"/>
              </w:rPr>
              <w:t>13.7</w:t>
            </w:r>
          </w:p>
        </w:tc>
      </w:tr>
      <w:tr w:rsidR="00B958B1" w:rsidRPr="006F6005" w:rsidTr="009F3B54">
        <w:trPr>
          <w:gridAfter w:val="1"/>
          <w:wAfter w:w="6" w:type="dxa"/>
          <w:cantSplit/>
        </w:trPr>
        <w:tc>
          <w:tcPr>
            <w:tcW w:w="7776" w:type="dxa"/>
            <w:gridSpan w:val="6"/>
            <w:tcBorders>
              <w:top w:val="nil"/>
              <w:left w:val="nil"/>
              <w:right w:val="nil"/>
            </w:tcBorders>
            <w:shd w:val="clear" w:color="auto" w:fill="auto"/>
            <w:vAlign w:val="bottom"/>
            <w:hideMark/>
          </w:tcPr>
          <w:p w:rsidR="00B958B1" w:rsidRPr="006F6005" w:rsidRDefault="00B958B1" w:rsidP="009F3B54">
            <w:pPr>
              <w:pStyle w:val="OGNotes"/>
            </w:pPr>
            <w:r w:rsidRPr="006F6005">
              <w:t>The higher 2013</w:t>
            </w:r>
            <w:r w:rsidR="009F0F49">
              <w:noBreakHyphen/>
            </w:r>
            <w:r w:rsidRPr="006F6005">
              <w:t xml:space="preserve">14 Target reflects </w:t>
            </w:r>
            <w:r>
              <w:t>indexation.</w:t>
            </w:r>
          </w:p>
        </w:tc>
      </w:tr>
      <w:tr w:rsidR="00B958B1" w:rsidRPr="006F6005" w:rsidTr="009F3B54">
        <w:trPr>
          <w:gridAfter w:val="1"/>
          <w:wAfter w:w="6" w:type="dxa"/>
          <w:cantSplit/>
        </w:trPr>
        <w:tc>
          <w:tcPr>
            <w:tcW w:w="7776" w:type="dxa"/>
            <w:gridSpan w:val="6"/>
            <w:tcBorders>
              <w:left w:val="nil"/>
              <w:bottom w:val="single" w:sz="6" w:space="0" w:color="auto"/>
              <w:right w:val="nil"/>
            </w:tcBorders>
            <w:shd w:val="clear" w:color="auto" w:fill="auto"/>
            <w:vAlign w:val="bottom"/>
            <w:hideMark/>
          </w:tcPr>
          <w:p w:rsidR="00B958B1" w:rsidRPr="009C3632" w:rsidRDefault="00B958B1" w:rsidP="009F3B54">
            <w:pPr>
              <w:pStyle w:val="OGHeading2"/>
            </w:pPr>
            <w:r w:rsidRPr="009C3632">
              <w:t>Audit Reports on Financial Statements</w:t>
            </w:r>
          </w:p>
        </w:tc>
      </w:tr>
      <w:tr w:rsidR="00B958B1" w:rsidRPr="006F6005" w:rsidTr="009F3B54">
        <w:trPr>
          <w:gridAfter w:val="1"/>
          <w:wAfter w:w="6" w:type="dxa"/>
          <w:cantSplit/>
        </w:trPr>
        <w:tc>
          <w:tcPr>
            <w:tcW w:w="3154" w:type="dxa"/>
            <w:tcBorders>
              <w:top w:val="single" w:sz="6" w:space="0" w:color="auto"/>
              <w:left w:val="nil"/>
              <w:bottom w:val="nil"/>
              <w:right w:val="nil"/>
            </w:tcBorders>
            <w:shd w:val="clear" w:color="auto" w:fill="auto"/>
            <w:vAlign w:val="bottom"/>
            <w:hideMark/>
          </w:tcPr>
          <w:p w:rsidR="00B958B1" w:rsidRPr="006F6005" w:rsidRDefault="00B958B1" w:rsidP="009F3B54">
            <w:pPr>
              <w:pStyle w:val="OGTabHead"/>
              <w:rPr>
                <w:lang w:eastAsia="en-AU"/>
              </w:rPr>
            </w:pPr>
            <w:r w:rsidRPr="006F6005">
              <w:rPr>
                <w:lang w:eastAsia="en-AU"/>
              </w:rPr>
              <w:t>Quantity</w:t>
            </w:r>
          </w:p>
        </w:tc>
        <w:tc>
          <w:tcPr>
            <w:tcW w:w="908" w:type="dxa"/>
            <w:tcBorders>
              <w:top w:val="single" w:sz="6" w:space="0" w:color="auto"/>
              <w:left w:val="nil"/>
              <w:bottom w:val="nil"/>
              <w:right w:val="nil"/>
            </w:tcBorders>
            <w:shd w:val="clear" w:color="auto" w:fill="auto"/>
            <w:hideMark/>
          </w:tcPr>
          <w:p w:rsidR="00B958B1" w:rsidRPr="006F6005" w:rsidRDefault="00B958B1" w:rsidP="009F3B54">
            <w:pPr>
              <w:pStyle w:val="OGUoM"/>
              <w:rPr>
                <w:lang w:eastAsia="en-AU"/>
              </w:rPr>
            </w:pPr>
          </w:p>
        </w:tc>
        <w:tc>
          <w:tcPr>
            <w:tcW w:w="907" w:type="dxa"/>
            <w:tcBorders>
              <w:top w:val="single" w:sz="6" w:space="0" w:color="auto"/>
              <w:left w:val="nil"/>
              <w:bottom w:val="nil"/>
              <w:right w:val="nil"/>
            </w:tcBorders>
            <w:shd w:val="clear" w:color="auto" w:fill="D9D9D9"/>
            <w:hideMark/>
          </w:tcPr>
          <w:p w:rsidR="00B958B1" w:rsidRPr="006F6005"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hideMark/>
          </w:tcPr>
          <w:p w:rsidR="00B958B1" w:rsidRPr="006F6005"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hideMark/>
          </w:tcPr>
          <w:p w:rsidR="00B958B1" w:rsidRPr="006F6005" w:rsidRDefault="00B958B1" w:rsidP="009F3B54">
            <w:pPr>
              <w:pStyle w:val="OGTableofFigures"/>
              <w:rPr>
                <w:lang w:eastAsia="en-AU"/>
              </w:rPr>
            </w:pPr>
          </w:p>
        </w:tc>
        <w:tc>
          <w:tcPr>
            <w:tcW w:w="906" w:type="dxa"/>
            <w:tcBorders>
              <w:top w:val="single" w:sz="6" w:space="0" w:color="auto"/>
              <w:left w:val="nil"/>
              <w:bottom w:val="nil"/>
              <w:right w:val="nil"/>
            </w:tcBorders>
            <w:shd w:val="clear" w:color="auto" w:fill="auto"/>
            <w:hideMark/>
          </w:tcPr>
          <w:p w:rsidR="00B958B1" w:rsidRPr="006F6005" w:rsidRDefault="00B958B1" w:rsidP="009F3B54">
            <w:pPr>
              <w:pStyle w:val="OGTableofFigures"/>
              <w:rPr>
                <w:lang w:eastAsia="en-AU"/>
              </w:rPr>
            </w:pPr>
          </w:p>
        </w:tc>
      </w:tr>
      <w:tr w:rsidR="00B958B1" w:rsidRPr="006F6005" w:rsidTr="009F3B54">
        <w:trPr>
          <w:gridAfter w:val="1"/>
          <w:wAfter w:w="6" w:type="dxa"/>
          <w:cantSplit/>
        </w:trPr>
        <w:tc>
          <w:tcPr>
            <w:tcW w:w="3154" w:type="dxa"/>
            <w:tcBorders>
              <w:top w:val="nil"/>
              <w:left w:val="nil"/>
              <w:right w:val="nil"/>
            </w:tcBorders>
            <w:shd w:val="clear" w:color="000000" w:fill="FFFFFF"/>
            <w:hideMark/>
          </w:tcPr>
          <w:p w:rsidR="00B958B1" w:rsidRPr="006F6005" w:rsidRDefault="00B958B1" w:rsidP="009F3B54">
            <w:pPr>
              <w:pStyle w:val="OGTabText"/>
              <w:rPr>
                <w:lang w:eastAsia="en-AU"/>
              </w:rPr>
            </w:pPr>
            <w:r w:rsidRPr="006F6005">
              <w:rPr>
                <w:lang w:eastAsia="en-AU"/>
              </w:rPr>
              <w:t>Audit opinions issued on non</w:t>
            </w:r>
            <w:r w:rsidR="009F0F49">
              <w:rPr>
                <w:lang w:eastAsia="en-AU"/>
              </w:rPr>
              <w:noBreakHyphen/>
            </w:r>
            <w:r w:rsidRPr="006F6005">
              <w:rPr>
                <w:lang w:eastAsia="en-AU"/>
              </w:rPr>
              <w:t>financial performance indicators</w:t>
            </w:r>
          </w:p>
        </w:tc>
        <w:tc>
          <w:tcPr>
            <w:tcW w:w="908" w:type="dxa"/>
            <w:tcBorders>
              <w:top w:val="nil"/>
              <w:left w:val="nil"/>
              <w:right w:val="nil"/>
            </w:tcBorders>
            <w:shd w:val="clear" w:color="000000" w:fill="FFFFFF"/>
            <w:hideMark/>
          </w:tcPr>
          <w:p w:rsidR="00B958B1" w:rsidRPr="006F6005" w:rsidRDefault="00B958B1" w:rsidP="009F3B54">
            <w:pPr>
              <w:pStyle w:val="OGUoM"/>
              <w:rPr>
                <w:lang w:eastAsia="en-AU"/>
              </w:rPr>
            </w:pPr>
            <w:r w:rsidRPr="006F6005">
              <w:rPr>
                <w:lang w:eastAsia="en-AU"/>
              </w:rPr>
              <w:t>number</w:t>
            </w:r>
          </w:p>
        </w:tc>
        <w:tc>
          <w:tcPr>
            <w:tcW w:w="907" w:type="dxa"/>
            <w:tcBorders>
              <w:top w:val="nil"/>
              <w:left w:val="nil"/>
              <w:right w:val="nil"/>
            </w:tcBorders>
            <w:shd w:val="clear" w:color="auto" w:fill="D9D9D9"/>
            <w:hideMark/>
          </w:tcPr>
          <w:p w:rsidR="00B958B1" w:rsidRPr="006F6005" w:rsidRDefault="00B958B1" w:rsidP="009F3B54">
            <w:pPr>
              <w:pStyle w:val="OGTableofFigures"/>
              <w:rPr>
                <w:lang w:eastAsia="en-AU"/>
              </w:rPr>
            </w:pPr>
            <w:r w:rsidRPr="006F6005">
              <w:rPr>
                <w:lang w:eastAsia="en-AU"/>
              </w:rPr>
              <w:t>115</w:t>
            </w:r>
          </w:p>
        </w:tc>
        <w:tc>
          <w:tcPr>
            <w:tcW w:w="994" w:type="dxa"/>
            <w:tcBorders>
              <w:top w:val="nil"/>
              <w:left w:val="nil"/>
              <w:right w:val="nil"/>
            </w:tcBorders>
            <w:shd w:val="clear" w:color="000000" w:fill="FFFFFF"/>
            <w:hideMark/>
          </w:tcPr>
          <w:p w:rsidR="00B958B1" w:rsidRPr="006F6005" w:rsidRDefault="00B958B1" w:rsidP="009F3B54">
            <w:pPr>
              <w:pStyle w:val="OGTableofFigures"/>
              <w:rPr>
                <w:lang w:eastAsia="en-AU"/>
              </w:rPr>
            </w:pPr>
            <w:r w:rsidRPr="006F6005">
              <w:rPr>
                <w:lang w:eastAsia="en-AU"/>
              </w:rPr>
              <w:t>115</w:t>
            </w:r>
          </w:p>
        </w:tc>
        <w:tc>
          <w:tcPr>
            <w:tcW w:w="907" w:type="dxa"/>
            <w:tcBorders>
              <w:top w:val="nil"/>
              <w:left w:val="nil"/>
              <w:right w:val="nil"/>
            </w:tcBorders>
            <w:shd w:val="clear" w:color="000000" w:fill="FFFFFF"/>
            <w:hideMark/>
          </w:tcPr>
          <w:p w:rsidR="00B958B1" w:rsidRPr="006F6005" w:rsidRDefault="00B958B1" w:rsidP="009F3B54">
            <w:pPr>
              <w:pStyle w:val="OGTableofFigures"/>
              <w:rPr>
                <w:lang w:eastAsia="en-AU"/>
              </w:rPr>
            </w:pPr>
            <w:r w:rsidRPr="006F6005">
              <w:rPr>
                <w:lang w:eastAsia="en-AU"/>
              </w:rPr>
              <w:t>114</w:t>
            </w:r>
          </w:p>
        </w:tc>
        <w:tc>
          <w:tcPr>
            <w:tcW w:w="906" w:type="dxa"/>
            <w:tcBorders>
              <w:top w:val="nil"/>
              <w:left w:val="nil"/>
              <w:right w:val="nil"/>
            </w:tcBorders>
            <w:shd w:val="clear" w:color="000000" w:fill="FFFFFF"/>
            <w:hideMark/>
          </w:tcPr>
          <w:p w:rsidR="00B958B1" w:rsidRPr="006F6005" w:rsidRDefault="00B958B1" w:rsidP="009F3B54">
            <w:pPr>
              <w:pStyle w:val="OGTableofFigures"/>
              <w:rPr>
                <w:lang w:eastAsia="en-AU"/>
              </w:rPr>
            </w:pPr>
            <w:r w:rsidRPr="006F6005">
              <w:rPr>
                <w:lang w:eastAsia="en-AU"/>
              </w:rPr>
              <w:t>115</w:t>
            </w:r>
          </w:p>
        </w:tc>
      </w:tr>
      <w:tr w:rsidR="00B958B1" w:rsidRPr="006F6005"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F6005" w:rsidRDefault="00B958B1" w:rsidP="009F3B54">
            <w:pPr>
              <w:pStyle w:val="OGNotes"/>
            </w:pPr>
            <w:r w:rsidRPr="006F6005">
              <w:t>The higher 2013</w:t>
            </w:r>
            <w:r w:rsidR="009F0F49">
              <w:noBreakHyphen/>
            </w:r>
            <w:r w:rsidRPr="006F6005">
              <w:t>14 Target reflects an increase in the number of entities required to prepare non</w:t>
            </w:r>
            <w:r w:rsidR="009F0F49">
              <w:noBreakHyphen/>
            </w:r>
            <w:r w:rsidRPr="006F6005">
              <w:t>financial performance statements.</w:t>
            </w:r>
          </w:p>
        </w:tc>
      </w:tr>
      <w:tr w:rsidR="00B958B1" w:rsidRPr="006F6005"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6F6005" w:rsidRDefault="00B958B1" w:rsidP="009F3B54">
            <w:pPr>
              <w:pStyle w:val="OGTabText"/>
              <w:keepNext/>
              <w:rPr>
                <w:lang w:eastAsia="en-AU"/>
              </w:rPr>
            </w:pPr>
            <w:r w:rsidRPr="006F6005">
              <w:rPr>
                <w:lang w:eastAsia="en-AU"/>
              </w:rPr>
              <w:t>Audit opinions issued on the financial statements of agencies</w:t>
            </w:r>
          </w:p>
        </w:tc>
        <w:tc>
          <w:tcPr>
            <w:tcW w:w="908" w:type="dxa"/>
            <w:tcBorders>
              <w:top w:val="single" w:sz="6" w:space="0" w:color="auto"/>
              <w:left w:val="nil"/>
              <w:right w:val="nil"/>
            </w:tcBorders>
            <w:shd w:val="clear" w:color="000000" w:fill="FFFFFF"/>
            <w:hideMark/>
          </w:tcPr>
          <w:p w:rsidR="00B958B1" w:rsidRPr="006F6005" w:rsidRDefault="00B958B1" w:rsidP="009F3B54">
            <w:pPr>
              <w:pStyle w:val="OGUoM"/>
              <w:keepNext/>
              <w:rPr>
                <w:lang w:eastAsia="en-AU"/>
              </w:rPr>
            </w:pPr>
            <w:r w:rsidRPr="006F6005">
              <w:rPr>
                <w:lang w:eastAsia="en-AU"/>
              </w:rPr>
              <w:t>number</w:t>
            </w:r>
          </w:p>
        </w:tc>
        <w:tc>
          <w:tcPr>
            <w:tcW w:w="907" w:type="dxa"/>
            <w:tcBorders>
              <w:top w:val="single" w:sz="6" w:space="0" w:color="auto"/>
              <w:left w:val="nil"/>
              <w:right w:val="nil"/>
            </w:tcBorders>
            <w:shd w:val="clear" w:color="auto" w:fill="D9D9D9"/>
            <w:hideMark/>
          </w:tcPr>
          <w:p w:rsidR="00B958B1" w:rsidRPr="006F6005" w:rsidRDefault="00B958B1" w:rsidP="009F3B54">
            <w:pPr>
              <w:pStyle w:val="OGTableofFigures"/>
              <w:keepNext/>
              <w:rPr>
                <w:lang w:eastAsia="en-AU"/>
              </w:rPr>
            </w:pPr>
            <w:r w:rsidRPr="006F6005">
              <w:rPr>
                <w:lang w:eastAsia="en-AU"/>
              </w:rPr>
              <w:t>559</w:t>
            </w:r>
          </w:p>
        </w:tc>
        <w:tc>
          <w:tcPr>
            <w:tcW w:w="994" w:type="dxa"/>
            <w:tcBorders>
              <w:top w:val="single" w:sz="6" w:space="0" w:color="auto"/>
              <w:left w:val="nil"/>
              <w:right w:val="nil"/>
            </w:tcBorders>
            <w:shd w:val="clear" w:color="000000" w:fill="FFFFFF"/>
            <w:hideMark/>
          </w:tcPr>
          <w:p w:rsidR="00B958B1" w:rsidRPr="006F6005" w:rsidRDefault="00B958B1" w:rsidP="009F3B54">
            <w:pPr>
              <w:pStyle w:val="OGTableofFigures"/>
              <w:keepNext/>
              <w:rPr>
                <w:lang w:eastAsia="en-AU"/>
              </w:rPr>
            </w:pPr>
            <w:r w:rsidRPr="006F6005">
              <w:rPr>
                <w:lang w:eastAsia="en-AU"/>
              </w:rPr>
              <w:t>553</w:t>
            </w:r>
          </w:p>
        </w:tc>
        <w:tc>
          <w:tcPr>
            <w:tcW w:w="907" w:type="dxa"/>
            <w:tcBorders>
              <w:top w:val="single" w:sz="6" w:space="0" w:color="auto"/>
              <w:left w:val="nil"/>
              <w:right w:val="nil"/>
            </w:tcBorders>
            <w:shd w:val="clear" w:color="000000" w:fill="FFFFFF"/>
            <w:hideMark/>
          </w:tcPr>
          <w:p w:rsidR="00B958B1" w:rsidRPr="006F6005" w:rsidRDefault="00B958B1" w:rsidP="009F3B54">
            <w:pPr>
              <w:pStyle w:val="OGTableofFigures"/>
              <w:keepNext/>
              <w:rPr>
                <w:lang w:eastAsia="en-AU"/>
              </w:rPr>
            </w:pPr>
            <w:r w:rsidRPr="006F6005">
              <w:rPr>
                <w:lang w:eastAsia="en-AU"/>
              </w:rPr>
              <w:t>563</w:t>
            </w:r>
          </w:p>
        </w:tc>
        <w:tc>
          <w:tcPr>
            <w:tcW w:w="906" w:type="dxa"/>
            <w:tcBorders>
              <w:top w:val="single" w:sz="6" w:space="0" w:color="auto"/>
              <w:left w:val="nil"/>
              <w:right w:val="nil"/>
            </w:tcBorders>
            <w:shd w:val="clear" w:color="000000" w:fill="FFFFFF"/>
            <w:hideMark/>
          </w:tcPr>
          <w:p w:rsidR="00B958B1" w:rsidRPr="006F6005" w:rsidRDefault="00B958B1" w:rsidP="009F3B54">
            <w:pPr>
              <w:pStyle w:val="OGTableofFigures"/>
              <w:keepNext/>
              <w:rPr>
                <w:lang w:eastAsia="en-AU"/>
              </w:rPr>
            </w:pPr>
            <w:r w:rsidRPr="006F6005">
              <w:rPr>
                <w:lang w:eastAsia="en-AU"/>
              </w:rPr>
              <w:t>563</w:t>
            </w:r>
          </w:p>
        </w:tc>
      </w:tr>
      <w:tr w:rsidR="00B958B1" w:rsidRPr="006F6005"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F6005" w:rsidRDefault="00B958B1" w:rsidP="009F3B54">
            <w:pPr>
              <w:pStyle w:val="OGNotes"/>
            </w:pPr>
            <w:r w:rsidRPr="006F6005">
              <w:t>The lower 2013</w:t>
            </w:r>
            <w:r w:rsidR="009F0F49">
              <w:noBreakHyphen/>
            </w:r>
            <w:r w:rsidRPr="006F6005">
              <w:t>14 Target</w:t>
            </w:r>
            <w:r>
              <w:t xml:space="preserve"> </w:t>
            </w:r>
            <w:r w:rsidRPr="006F6005">
              <w:t>reflects a change in the number of entities subject to audit.</w:t>
            </w:r>
          </w:p>
        </w:tc>
      </w:tr>
      <w:tr w:rsidR="00B958B1" w:rsidRPr="006F6005"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6F6005" w:rsidRDefault="00B958B1" w:rsidP="009F3B54">
            <w:pPr>
              <w:pStyle w:val="OGTabHead"/>
              <w:rPr>
                <w:lang w:eastAsia="en-AU"/>
              </w:rPr>
            </w:pPr>
            <w:r w:rsidRPr="006F6005">
              <w:rPr>
                <w:lang w:eastAsia="en-AU"/>
              </w:rPr>
              <w:t>Quality</w:t>
            </w:r>
          </w:p>
        </w:tc>
        <w:tc>
          <w:tcPr>
            <w:tcW w:w="908" w:type="dxa"/>
            <w:tcBorders>
              <w:top w:val="single" w:sz="6" w:space="0" w:color="auto"/>
              <w:left w:val="nil"/>
              <w:right w:val="nil"/>
            </w:tcBorders>
            <w:shd w:val="clear" w:color="auto" w:fill="auto"/>
            <w:hideMark/>
          </w:tcPr>
          <w:p w:rsidR="00B958B1" w:rsidRPr="006F6005" w:rsidRDefault="00B958B1" w:rsidP="009F3B54">
            <w:pPr>
              <w:pStyle w:val="OGUoM"/>
              <w:rPr>
                <w:lang w:eastAsia="en-AU"/>
              </w:rPr>
            </w:pPr>
          </w:p>
        </w:tc>
        <w:tc>
          <w:tcPr>
            <w:tcW w:w="907" w:type="dxa"/>
            <w:tcBorders>
              <w:top w:val="single" w:sz="6" w:space="0" w:color="auto"/>
              <w:left w:val="nil"/>
              <w:right w:val="nil"/>
            </w:tcBorders>
            <w:shd w:val="clear" w:color="auto" w:fill="D9D9D9"/>
            <w:hideMark/>
          </w:tcPr>
          <w:p w:rsidR="00B958B1" w:rsidRPr="006F6005" w:rsidRDefault="00B958B1" w:rsidP="009F3B54">
            <w:pPr>
              <w:pStyle w:val="OGTableofFigures"/>
              <w:rPr>
                <w:lang w:eastAsia="en-AU"/>
              </w:rPr>
            </w:pPr>
          </w:p>
        </w:tc>
        <w:tc>
          <w:tcPr>
            <w:tcW w:w="994" w:type="dxa"/>
            <w:tcBorders>
              <w:top w:val="single" w:sz="6" w:space="0" w:color="auto"/>
              <w:left w:val="nil"/>
              <w:right w:val="nil"/>
            </w:tcBorders>
            <w:shd w:val="clear" w:color="auto" w:fill="auto"/>
            <w:hideMark/>
          </w:tcPr>
          <w:p w:rsidR="00B958B1" w:rsidRPr="006F6005" w:rsidRDefault="00B958B1" w:rsidP="009F3B54">
            <w:pPr>
              <w:pStyle w:val="OGTableofFigures"/>
              <w:rPr>
                <w:lang w:eastAsia="en-AU"/>
              </w:rPr>
            </w:pPr>
          </w:p>
        </w:tc>
        <w:tc>
          <w:tcPr>
            <w:tcW w:w="907" w:type="dxa"/>
            <w:tcBorders>
              <w:top w:val="single" w:sz="6" w:space="0" w:color="auto"/>
              <w:left w:val="nil"/>
              <w:right w:val="nil"/>
            </w:tcBorders>
            <w:shd w:val="clear" w:color="auto" w:fill="auto"/>
            <w:hideMark/>
          </w:tcPr>
          <w:p w:rsidR="00B958B1" w:rsidRPr="006F6005" w:rsidRDefault="00B958B1" w:rsidP="009F3B54">
            <w:pPr>
              <w:pStyle w:val="OGTableofFigures"/>
              <w:rPr>
                <w:lang w:eastAsia="en-AU"/>
              </w:rPr>
            </w:pPr>
          </w:p>
        </w:tc>
        <w:tc>
          <w:tcPr>
            <w:tcW w:w="906" w:type="dxa"/>
            <w:tcBorders>
              <w:top w:val="single" w:sz="6" w:space="0" w:color="auto"/>
              <w:left w:val="nil"/>
              <w:right w:val="nil"/>
            </w:tcBorders>
            <w:shd w:val="clear" w:color="auto" w:fill="auto"/>
            <w:hideMark/>
          </w:tcPr>
          <w:p w:rsidR="00B958B1" w:rsidRPr="006F6005" w:rsidRDefault="00B958B1" w:rsidP="009F3B54">
            <w:pPr>
              <w:pStyle w:val="OGTableofFigures"/>
              <w:rPr>
                <w:lang w:eastAsia="en-AU"/>
              </w:rPr>
            </w:pPr>
          </w:p>
        </w:tc>
      </w:tr>
      <w:tr w:rsidR="00B958B1" w:rsidRPr="006F6005"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F6005" w:rsidRDefault="00B958B1" w:rsidP="009F3B54">
            <w:pPr>
              <w:pStyle w:val="OGTabText"/>
              <w:rPr>
                <w:lang w:eastAsia="en-AU"/>
              </w:rPr>
            </w:pPr>
            <w:r w:rsidRPr="006F6005">
              <w:rPr>
                <w:lang w:eastAsia="en-AU"/>
              </w:rPr>
              <w:t>External/peer reviews finding no material departures from professional and regulatory standards</w:t>
            </w:r>
          </w:p>
        </w:tc>
        <w:tc>
          <w:tcPr>
            <w:tcW w:w="908" w:type="dxa"/>
            <w:tcBorders>
              <w:top w:val="nil"/>
              <w:left w:val="nil"/>
              <w:bottom w:val="single" w:sz="6" w:space="0" w:color="auto"/>
              <w:right w:val="nil"/>
            </w:tcBorders>
            <w:shd w:val="clear" w:color="000000" w:fill="FFFFFF"/>
            <w:hideMark/>
          </w:tcPr>
          <w:p w:rsidR="00B958B1" w:rsidRPr="006F6005"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6F6005" w:rsidRDefault="00B958B1" w:rsidP="009F3B54">
            <w:pPr>
              <w:pStyle w:val="OGTableofFigures"/>
              <w:rPr>
                <w:lang w:eastAsia="en-AU"/>
              </w:rPr>
            </w:pPr>
            <w:r w:rsidRPr="006F6005">
              <w:rPr>
                <w:lang w:eastAsia="en-AU"/>
              </w:rPr>
              <w:t>100</w:t>
            </w:r>
          </w:p>
        </w:tc>
        <w:tc>
          <w:tcPr>
            <w:tcW w:w="994" w:type="dxa"/>
            <w:tcBorders>
              <w:top w:val="nil"/>
              <w:left w:val="nil"/>
              <w:bottom w:val="single" w:sz="6" w:space="0" w:color="auto"/>
              <w:right w:val="nil"/>
            </w:tcBorders>
            <w:shd w:val="clear" w:color="000000" w:fill="FFFFFF"/>
            <w:hideMark/>
          </w:tcPr>
          <w:p w:rsidR="00B958B1" w:rsidRPr="006F6005" w:rsidRDefault="00B958B1" w:rsidP="009F3B54">
            <w:pPr>
              <w:pStyle w:val="OGTableofFigures"/>
              <w:rPr>
                <w:lang w:eastAsia="en-AU"/>
              </w:rPr>
            </w:pPr>
            <w:r w:rsidRPr="006F6005">
              <w:rPr>
                <w:lang w:eastAsia="en-AU"/>
              </w:rPr>
              <w:t>100</w:t>
            </w:r>
          </w:p>
        </w:tc>
        <w:tc>
          <w:tcPr>
            <w:tcW w:w="907" w:type="dxa"/>
            <w:tcBorders>
              <w:top w:val="nil"/>
              <w:left w:val="nil"/>
              <w:bottom w:val="single" w:sz="6" w:space="0" w:color="auto"/>
              <w:right w:val="nil"/>
            </w:tcBorders>
            <w:shd w:val="clear" w:color="000000" w:fill="FFFFFF"/>
            <w:hideMark/>
          </w:tcPr>
          <w:p w:rsidR="00B958B1" w:rsidRPr="006F6005" w:rsidRDefault="00B958B1" w:rsidP="009F3B54">
            <w:pPr>
              <w:pStyle w:val="OGTableofFigures"/>
              <w:rPr>
                <w:lang w:eastAsia="en-AU"/>
              </w:rPr>
            </w:pPr>
            <w:r w:rsidRPr="006F6005">
              <w:rPr>
                <w:lang w:eastAsia="en-AU"/>
              </w:rPr>
              <w:t>100</w:t>
            </w:r>
          </w:p>
        </w:tc>
        <w:tc>
          <w:tcPr>
            <w:tcW w:w="906" w:type="dxa"/>
            <w:tcBorders>
              <w:top w:val="nil"/>
              <w:left w:val="nil"/>
              <w:bottom w:val="single" w:sz="6" w:space="0" w:color="auto"/>
              <w:right w:val="nil"/>
            </w:tcBorders>
            <w:shd w:val="clear" w:color="000000" w:fill="FFFFFF"/>
            <w:hideMark/>
          </w:tcPr>
          <w:p w:rsidR="00B958B1" w:rsidRPr="006F6005" w:rsidRDefault="00B958B1" w:rsidP="009F3B54">
            <w:pPr>
              <w:pStyle w:val="OGTableofFigures"/>
              <w:rPr>
                <w:lang w:eastAsia="en-AU"/>
              </w:rPr>
            </w:pPr>
            <w:r w:rsidRPr="006F6005">
              <w:rPr>
                <w:lang w:eastAsia="en-AU"/>
              </w:rPr>
              <w:t>100</w:t>
            </w:r>
          </w:p>
        </w:tc>
      </w:tr>
      <w:tr w:rsidR="00B958B1" w:rsidRPr="006F6005"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6F6005" w:rsidRDefault="00B958B1" w:rsidP="009F3B54">
            <w:pPr>
              <w:pStyle w:val="OGTabHead"/>
              <w:rPr>
                <w:lang w:eastAsia="en-AU"/>
              </w:rPr>
            </w:pPr>
            <w:r w:rsidRPr="006F6005">
              <w:rPr>
                <w:lang w:eastAsia="en-AU"/>
              </w:rPr>
              <w:t>Timeliness</w:t>
            </w:r>
          </w:p>
        </w:tc>
        <w:tc>
          <w:tcPr>
            <w:tcW w:w="908" w:type="dxa"/>
            <w:tcBorders>
              <w:top w:val="single" w:sz="6" w:space="0" w:color="auto"/>
              <w:left w:val="nil"/>
              <w:right w:val="nil"/>
            </w:tcBorders>
            <w:shd w:val="clear" w:color="auto" w:fill="auto"/>
            <w:hideMark/>
          </w:tcPr>
          <w:p w:rsidR="00B958B1" w:rsidRPr="006F6005" w:rsidRDefault="00B958B1" w:rsidP="009F3B54">
            <w:pPr>
              <w:pStyle w:val="OGUoM"/>
              <w:rPr>
                <w:lang w:eastAsia="en-AU"/>
              </w:rPr>
            </w:pPr>
          </w:p>
        </w:tc>
        <w:tc>
          <w:tcPr>
            <w:tcW w:w="907" w:type="dxa"/>
            <w:tcBorders>
              <w:top w:val="single" w:sz="6" w:space="0" w:color="auto"/>
              <w:left w:val="nil"/>
              <w:right w:val="nil"/>
            </w:tcBorders>
            <w:shd w:val="clear" w:color="auto" w:fill="D9D9D9"/>
            <w:hideMark/>
          </w:tcPr>
          <w:p w:rsidR="00B958B1" w:rsidRPr="006F6005" w:rsidRDefault="00B958B1" w:rsidP="009F3B54">
            <w:pPr>
              <w:pStyle w:val="OGTableofFigures"/>
              <w:rPr>
                <w:lang w:eastAsia="en-AU"/>
              </w:rPr>
            </w:pPr>
          </w:p>
        </w:tc>
        <w:tc>
          <w:tcPr>
            <w:tcW w:w="994" w:type="dxa"/>
            <w:tcBorders>
              <w:top w:val="single" w:sz="6" w:space="0" w:color="auto"/>
              <w:left w:val="nil"/>
              <w:right w:val="nil"/>
            </w:tcBorders>
            <w:shd w:val="clear" w:color="auto" w:fill="auto"/>
            <w:hideMark/>
          </w:tcPr>
          <w:p w:rsidR="00B958B1" w:rsidRPr="006F6005" w:rsidRDefault="00B958B1" w:rsidP="009F3B54">
            <w:pPr>
              <w:pStyle w:val="OGTableofFigures"/>
              <w:rPr>
                <w:lang w:eastAsia="en-AU"/>
              </w:rPr>
            </w:pPr>
          </w:p>
        </w:tc>
        <w:tc>
          <w:tcPr>
            <w:tcW w:w="907" w:type="dxa"/>
            <w:tcBorders>
              <w:top w:val="single" w:sz="6" w:space="0" w:color="auto"/>
              <w:left w:val="nil"/>
              <w:right w:val="nil"/>
            </w:tcBorders>
            <w:shd w:val="clear" w:color="auto" w:fill="auto"/>
            <w:hideMark/>
          </w:tcPr>
          <w:p w:rsidR="00B958B1" w:rsidRPr="006F6005" w:rsidRDefault="00B958B1" w:rsidP="009F3B54">
            <w:pPr>
              <w:pStyle w:val="OGTableofFigures"/>
              <w:rPr>
                <w:lang w:eastAsia="en-AU"/>
              </w:rPr>
            </w:pPr>
          </w:p>
        </w:tc>
        <w:tc>
          <w:tcPr>
            <w:tcW w:w="906" w:type="dxa"/>
            <w:tcBorders>
              <w:top w:val="single" w:sz="6" w:space="0" w:color="auto"/>
              <w:left w:val="nil"/>
              <w:right w:val="nil"/>
            </w:tcBorders>
            <w:shd w:val="clear" w:color="auto" w:fill="auto"/>
            <w:hideMark/>
          </w:tcPr>
          <w:p w:rsidR="00B958B1" w:rsidRPr="006F6005" w:rsidRDefault="00B958B1" w:rsidP="009F3B54">
            <w:pPr>
              <w:pStyle w:val="OGTableofFigures"/>
              <w:rPr>
                <w:lang w:eastAsia="en-AU"/>
              </w:rPr>
            </w:pPr>
          </w:p>
        </w:tc>
      </w:tr>
      <w:tr w:rsidR="00B958B1" w:rsidRPr="006F6005" w:rsidTr="009F3B54">
        <w:trPr>
          <w:gridAfter w:val="1"/>
          <w:wAfter w:w="6" w:type="dxa"/>
          <w:cantSplit/>
        </w:trPr>
        <w:tc>
          <w:tcPr>
            <w:tcW w:w="3154" w:type="dxa"/>
            <w:tcBorders>
              <w:top w:val="nil"/>
              <w:left w:val="nil"/>
              <w:bottom w:val="single" w:sz="6" w:space="0" w:color="auto"/>
              <w:right w:val="nil"/>
            </w:tcBorders>
            <w:shd w:val="clear" w:color="000000" w:fill="FFFFFF"/>
            <w:hideMark/>
          </w:tcPr>
          <w:p w:rsidR="00B958B1" w:rsidRPr="006F6005" w:rsidRDefault="00B958B1" w:rsidP="009F3B54">
            <w:pPr>
              <w:pStyle w:val="OGTabText"/>
              <w:rPr>
                <w:lang w:eastAsia="en-AU"/>
              </w:rPr>
            </w:pPr>
            <w:r w:rsidRPr="006F6005">
              <w:rPr>
                <w:lang w:eastAsia="en-AU"/>
              </w:rPr>
              <w:t>Audit opinions issued within statutory deadlines</w:t>
            </w:r>
          </w:p>
        </w:tc>
        <w:tc>
          <w:tcPr>
            <w:tcW w:w="908" w:type="dxa"/>
            <w:tcBorders>
              <w:top w:val="nil"/>
              <w:left w:val="nil"/>
              <w:bottom w:val="single" w:sz="6" w:space="0" w:color="auto"/>
              <w:right w:val="nil"/>
            </w:tcBorders>
            <w:shd w:val="clear" w:color="000000" w:fill="FFFFFF"/>
            <w:hideMark/>
          </w:tcPr>
          <w:p w:rsidR="00B958B1" w:rsidRPr="006F6005" w:rsidRDefault="00B958B1" w:rsidP="009F3B54">
            <w:pPr>
              <w:pStyle w:val="OGUoM"/>
              <w:rPr>
                <w:lang w:eastAsia="en-AU"/>
              </w:rPr>
            </w:pPr>
            <w:r>
              <w:rPr>
                <w:lang w:eastAsia="en-AU"/>
              </w:rPr>
              <w:t>per cent</w:t>
            </w:r>
          </w:p>
        </w:tc>
        <w:tc>
          <w:tcPr>
            <w:tcW w:w="907" w:type="dxa"/>
            <w:tcBorders>
              <w:top w:val="nil"/>
              <w:left w:val="nil"/>
              <w:bottom w:val="single" w:sz="6" w:space="0" w:color="auto"/>
              <w:right w:val="nil"/>
            </w:tcBorders>
            <w:shd w:val="clear" w:color="auto" w:fill="D9D9D9"/>
            <w:hideMark/>
          </w:tcPr>
          <w:p w:rsidR="00B958B1" w:rsidRPr="006F6005" w:rsidRDefault="00B958B1" w:rsidP="009F3B54">
            <w:pPr>
              <w:pStyle w:val="OGTableofFigures"/>
              <w:rPr>
                <w:lang w:eastAsia="en-AU"/>
              </w:rPr>
            </w:pPr>
            <w:r w:rsidRPr="006F6005">
              <w:rPr>
                <w:lang w:eastAsia="en-AU"/>
              </w:rPr>
              <w:t>98</w:t>
            </w:r>
          </w:p>
        </w:tc>
        <w:tc>
          <w:tcPr>
            <w:tcW w:w="994" w:type="dxa"/>
            <w:tcBorders>
              <w:top w:val="nil"/>
              <w:left w:val="nil"/>
              <w:bottom w:val="single" w:sz="6" w:space="0" w:color="auto"/>
              <w:right w:val="nil"/>
            </w:tcBorders>
            <w:shd w:val="clear" w:color="000000" w:fill="FFFFFF"/>
            <w:hideMark/>
          </w:tcPr>
          <w:p w:rsidR="00B958B1" w:rsidRPr="006F6005" w:rsidRDefault="00B958B1" w:rsidP="009F3B54">
            <w:pPr>
              <w:pStyle w:val="OGTableofFigures"/>
              <w:rPr>
                <w:lang w:eastAsia="en-AU"/>
              </w:rPr>
            </w:pPr>
            <w:r w:rsidRPr="006F6005">
              <w:rPr>
                <w:lang w:eastAsia="en-AU"/>
              </w:rPr>
              <w:t>98</w:t>
            </w:r>
          </w:p>
        </w:tc>
        <w:tc>
          <w:tcPr>
            <w:tcW w:w="907" w:type="dxa"/>
            <w:tcBorders>
              <w:top w:val="nil"/>
              <w:left w:val="nil"/>
              <w:bottom w:val="single" w:sz="6" w:space="0" w:color="auto"/>
              <w:right w:val="nil"/>
            </w:tcBorders>
            <w:shd w:val="clear" w:color="000000" w:fill="FFFFFF"/>
            <w:hideMark/>
          </w:tcPr>
          <w:p w:rsidR="00B958B1" w:rsidRPr="006F6005" w:rsidRDefault="00B958B1" w:rsidP="009F3B54">
            <w:pPr>
              <w:pStyle w:val="OGTableofFigures"/>
              <w:rPr>
                <w:lang w:eastAsia="en-AU"/>
              </w:rPr>
            </w:pPr>
            <w:r w:rsidRPr="006F6005">
              <w:rPr>
                <w:lang w:eastAsia="en-AU"/>
              </w:rPr>
              <w:t>98</w:t>
            </w:r>
          </w:p>
        </w:tc>
        <w:tc>
          <w:tcPr>
            <w:tcW w:w="906" w:type="dxa"/>
            <w:tcBorders>
              <w:top w:val="nil"/>
              <w:left w:val="nil"/>
              <w:bottom w:val="single" w:sz="6" w:space="0" w:color="auto"/>
              <w:right w:val="nil"/>
            </w:tcBorders>
            <w:shd w:val="clear" w:color="000000" w:fill="FFFFFF"/>
            <w:hideMark/>
          </w:tcPr>
          <w:p w:rsidR="00B958B1" w:rsidRPr="006F6005" w:rsidRDefault="00B958B1" w:rsidP="009F3B54">
            <w:pPr>
              <w:pStyle w:val="OGTableofFigures"/>
              <w:rPr>
                <w:lang w:eastAsia="en-AU"/>
              </w:rPr>
            </w:pPr>
            <w:r w:rsidRPr="006F6005">
              <w:rPr>
                <w:lang w:eastAsia="en-AU"/>
              </w:rPr>
              <w:t>99</w:t>
            </w:r>
          </w:p>
        </w:tc>
      </w:tr>
      <w:tr w:rsidR="00B958B1" w:rsidRPr="006F6005" w:rsidTr="009F3B54">
        <w:trPr>
          <w:gridAfter w:val="1"/>
          <w:wAfter w:w="6" w:type="dxa"/>
          <w:cantSplit/>
        </w:trPr>
        <w:tc>
          <w:tcPr>
            <w:tcW w:w="3154" w:type="dxa"/>
            <w:tcBorders>
              <w:top w:val="single" w:sz="6" w:space="0" w:color="auto"/>
              <w:left w:val="nil"/>
              <w:right w:val="nil"/>
            </w:tcBorders>
            <w:shd w:val="clear" w:color="000000" w:fill="FFFFFF"/>
            <w:hideMark/>
          </w:tcPr>
          <w:p w:rsidR="00B958B1" w:rsidRPr="006F6005" w:rsidRDefault="00B958B1" w:rsidP="009F3B54">
            <w:pPr>
              <w:pStyle w:val="OGTabText"/>
              <w:rPr>
                <w:lang w:eastAsia="en-AU"/>
              </w:rPr>
            </w:pPr>
            <w:r w:rsidRPr="006F6005">
              <w:rPr>
                <w:lang w:eastAsia="en-AU"/>
              </w:rPr>
              <w:t>Management letters issued to agencies within established timeframes</w:t>
            </w:r>
          </w:p>
        </w:tc>
        <w:tc>
          <w:tcPr>
            <w:tcW w:w="908" w:type="dxa"/>
            <w:tcBorders>
              <w:top w:val="single" w:sz="6" w:space="0" w:color="auto"/>
              <w:left w:val="nil"/>
              <w:right w:val="nil"/>
            </w:tcBorders>
            <w:shd w:val="clear" w:color="000000" w:fill="FFFFFF"/>
            <w:hideMark/>
          </w:tcPr>
          <w:p w:rsidR="00B958B1" w:rsidRPr="006F6005"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6F6005" w:rsidRDefault="00B958B1" w:rsidP="009F3B54">
            <w:pPr>
              <w:pStyle w:val="OGTableofFigures"/>
              <w:rPr>
                <w:lang w:eastAsia="en-AU"/>
              </w:rPr>
            </w:pPr>
            <w:r w:rsidRPr="006F6005">
              <w:rPr>
                <w:lang w:eastAsia="en-AU"/>
              </w:rPr>
              <w:t>90</w:t>
            </w:r>
          </w:p>
        </w:tc>
        <w:tc>
          <w:tcPr>
            <w:tcW w:w="994" w:type="dxa"/>
            <w:tcBorders>
              <w:top w:val="single" w:sz="6" w:space="0" w:color="auto"/>
              <w:left w:val="nil"/>
              <w:right w:val="nil"/>
            </w:tcBorders>
            <w:shd w:val="clear" w:color="000000" w:fill="FFFFFF"/>
            <w:hideMark/>
          </w:tcPr>
          <w:p w:rsidR="00B958B1" w:rsidRPr="006F6005" w:rsidRDefault="00B958B1" w:rsidP="009F3B54">
            <w:pPr>
              <w:pStyle w:val="OGTableofFigures"/>
              <w:rPr>
                <w:lang w:eastAsia="en-AU"/>
              </w:rPr>
            </w:pPr>
            <w:r w:rsidRPr="006F6005">
              <w:rPr>
                <w:lang w:eastAsia="en-AU"/>
              </w:rPr>
              <w:t>90</w:t>
            </w:r>
          </w:p>
        </w:tc>
        <w:tc>
          <w:tcPr>
            <w:tcW w:w="907" w:type="dxa"/>
            <w:tcBorders>
              <w:top w:val="single" w:sz="6" w:space="0" w:color="auto"/>
              <w:left w:val="nil"/>
              <w:right w:val="nil"/>
            </w:tcBorders>
            <w:shd w:val="clear" w:color="000000" w:fill="FFFFFF"/>
            <w:hideMark/>
          </w:tcPr>
          <w:p w:rsidR="00B958B1" w:rsidRPr="006F6005" w:rsidRDefault="00B958B1" w:rsidP="009F3B54">
            <w:pPr>
              <w:pStyle w:val="OGTableofFigures"/>
              <w:rPr>
                <w:lang w:eastAsia="en-AU"/>
              </w:rPr>
            </w:pPr>
            <w:r w:rsidRPr="006F6005">
              <w:rPr>
                <w:lang w:eastAsia="en-AU"/>
              </w:rPr>
              <w:t>90</w:t>
            </w:r>
          </w:p>
        </w:tc>
        <w:tc>
          <w:tcPr>
            <w:tcW w:w="906" w:type="dxa"/>
            <w:tcBorders>
              <w:top w:val="single" w:sz="6" w:space="0" w:color="auto"/>
              <w:left w:val="nil"/>
              <w:right w:val="nil"/>
            </w:tcBorders>
            <w:shd w:val="clear" w:color="000000" w:fill="FFFFFF"/>
            <w:hideMark/>
          </w:tcPr>
          <w:p w:rsidR="00B958B1" w:rsidRPr="006F6005" w:rsidRDefault="00B958B1" w:rsidP="009F3B54">
            <w:pPr>
              <w:pStyle w:val="OGTableofFigures"/>
              <w:rPr>
                <w:lang w:eastAsia="en-AU"/>
              </w:rPr>
            </w:pPr>
            <w:r w:rsidRPr="006F6005">
              <w:rPr>
                <w:lang w:eastAsia="en-AU"/>
              </w:rPr>
              <w:t>96</w:t>
            </w:r>
          </w:p>
        </w:tc>
      </w:tr>
      <w:tr w:rsidR="00B958B1" w:rsidRPr="006F6005" w:rsidTr="009F3B54">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6F6005" w:rsidRDefault="00B958B1" w:rsidP="009F3B54">
            <w:pPr>
              <w:pStyle w:val="OGNotes"/>
            </w:pPr>
            <w:r>
              <w:t>In the 2011</w:t>
            </w:r>
            <w:r w:rsidR="009F0F49">
              <w:noBreakHyphen/>
            </w:r>
            <w:r>
              <w:t>12 Budget Papers, this</w:t>
            </w:r>
            <w:r w:rsidRPr="00F16DCB">
              <w:t xml:space="preserve"> performance measure</w:t>
            </w:r>
            <w:r>
              <w:t xml:space="preserve"> was named</w:t>
            </w:r>
            <w:r w:rsidRPr="00F16DCB">
              <w:t xml:space="preserve"> </w:t>
            </w:r>
            <w:r>
              <w:t>‘</w:t>
            </w:r>
            <w:r w:rsidRPr="006F6005">
              <w:t>Management letters and reports to Ministers issued within established time frames</w:t>
            </w:r>
            <w:r>
              <w:t>’. It</w:t>
            </w:r>
            <w:r w:rsidRPr="006F6005">
              <w:t xml:space="preserve"> measures the same activity as </w:t>
            </w:r>
            <w:r>
              <w:t>before but was amended in the 2012</w:t>
            </w:r>
            <w:r w:rsidR="009F0F49">
              <w:noBreakHyphen/>
            </w:r>
            <w:r>
              <w:t xml:space="preserve">13 Budget Papers </w:t>
            </w:r>
            <w:r w:rsidRPr="006F6005">
              <w:t>to increase clarity.</w:t>
            </w:r>
          </w:p>
        </w:tc>
      </w:tr>
      <w:tr w:rsidR="00B958B1" w:rsidRPr="006F6005" w:rsidTr="009F3B54">
        <w:trPr>
          <w:gridAfter w:val="1"/>
          <w:wAfter w:w="6" w:type="dxa"/>
          <w:cantSplit/>
        </w:trPr>
        <w:tc>
          <w:tcPr>
            <w:tcW w:w="3154" w:type="dxa"/>
            <w:tcBorders>
              <w:top w:val="single" w:sz="6" w:space="0" w:color="auto"/>
              <w:left w:val="nil"/>
              <w:right w:val="nil"/>
            </w:tcBorders>
            <w:shd w:val="clear" w:color="auto" w:fill="auto"/>
            <w:vAlign w:val="bottom"/>
            <w:hideMark/>
          </w:tcPr>
          <w:p w:rsidR="00B958B1" w:rsidRPr="006F6005" w:rsidRDefault="00B958B1" w:rsidP="009F3B54">
            <w:pPr>
              <w:pStyle w:val="OGTabHead"/>
              <w:rPr>
                <w:lang w:eastAsia="en-AU"/>
              </w:rPr>
            </w:pPr>
            <w:r w:rsidRPr="006F6005">
              <w:rPr>
                <w:lang w:eastAsia="en-AU"/>
              </w:rPr>
              <w:t>Cost</w:t>
            </w:r>
          </w:p>
        </w:tc>
        <w:tc>
          <w:tcPr>
            <w:tcW w:w="908" w:type="dxa"/>
            <w:tcBorders>
              <w:top w:val="single" w:sz="6" w:space="0" w:color="auto"/>
              <w:left w:val="nil"/>
              <w:right w:val="nil"/>
            </w:tcBorders>
            <w:shd w:val="clear" w:color="auto" w:fill="auto"/>
            <w:hideMark/>
          </w:tcPr>
          <w:p w:rsidR="00B958B1" w:rsidRPr="006F6005" w:rsidRDefault="00B958B1" w:rsidP="009F3B54">
            <w:pPr>
              <w:pStyle w:val="OGUoM"/>
              <w:rPr>
                <w:lang w:eastAsia="en-AU"/>
              </w:rPr>
            </w:pPr>
          </w:p>
        </w:tc>
        <w:tc>
          <w:tcPr>
            <w:tcW w:w="907" w:type="dxa"/>
            <w:tcBorders>
              <w:top w:val="single" w:sz="6" w:space="0" w:color="auto"/>
              <w:left w:val="nil"/>
              <w:right w:val="nil"/>
            </w:tcBorders>
            <w:shd w:val="clear" w:color="auto" w:fill="D9D9D9"/>
            <w:hideMark/>
          </w:tcPr>
          <w:p w:rsidR="00B958B1" w:rsidRPr="006F6005" w:rsidRDefault="00B958B1" w:rsidP="009F3B54">
            <w:pPr>
              <w:pStyle w:val="OGTableofFigures"/>
              <w:rPr>
                <w:lang w:eastAsia="en-AU"/>
              </w:rPr>
            </w:pPr>
          </w:p>
        </w:tc>
        <w:tc>
          <w:tcPr>
            <w:tcW w:w="994" w:type="dxa"/>
            <w:tcBorders>
              <w:top w:val="single" w:sz="6" w:space="0" w:color="auto"/>
              <w:left w:val="nil"/>
              <w:right w:val="nil"/>
            </w:tcBorders>
            <w:shd w:val="clear" w:color="auto" w:fill="auto"/>
            <w:hideMark/>
          </w:tcPr>
          <w:p w:rsidR="00B958B1" w:rsidRPr="006F6005" w:rsidRDefault="00B958B1" w:rsidP="009F3B54">
            <w:pPr>
              <w:pStyle w:val="OGTableofFigures"/>
              <w:rPr>
                <w:lang w:eastAsia="en-AU"/>
              </w:rPr>
            </w:pPr>
          </w:p>
        </w:tc>
        <w:tc>
          <w:tcPr>
            <w:tcW w:w="907" w:type="dxa"/>
            <w:tcBorders>
              <w:top w:val="single" w:sz="6" w:space="0" w:color="auto"/>
              <w:left w:val="nil"/>
              <w:right w:val="nil"/>
            </w:tcBorders>
            <w:shd w:val="clear" w:color="auto" w:fill="auto"/>
            <w:hideMark/>
          </w:tcPr>
          <w:p w:rsidR="00B958B1" w:rsidRPr="006F6005" w:rsidRDefault="00B958B1" w:rsidP="009F3B54">
            <w:pPr>
              <w:pStyle w:val="OGTableofFigures"/>
              <w:rPr>
                <w:lang w:eastAsia="en-AU"/>
              </w:rPr>
            </w:pPr>
          </w:p>
        </w:tc>
        <w:tc>
          <w:tcPr>
            <w:tcW w:w="906" w:type="dxa"/>
            <w:tcBorders>
              <w:top w:val="single" w:sz="6" w:space="0" w:color="auto"/>
              <w:left w:val="nil"/>
              <w:right w:val="nil"/>
            </w:tcBorders>
            <w:shd w:val="clear" w:color="auto" w:fill="auto"/>
            <w:hideMark/>
          </w:tcPr>
          <w:p w:rsidR="00B958B1" w:rsidRPr="006F6005" w:rsidRDefault="00B958B1" w:rsidP="009F3B54">
            <w:pPr>
              <w:pStyle w:val="OGTableofFigures"/>
              <w:rPr>
                <w:lang w:eastAsia="en-AU"/>
              </w:rPr>
            </w:pPr>
          </w:p>
        </w:tc>
      </w:tr>
      <w:tr w:rsidR="00B958B1" w:rsidRPr="006F6005" w:rsidTr="009F3B54">
        <w:trPr>
          <w:gridAfter w:val="1"/>
          <w:wAfter w:w="6" w:type="dxa"/>
          <w:cantSplit/>
        </w:trPr>
        <w:tc>
          <w:tcPr>
            <w:tcW w:w="3154" w:type="dxa"/>
            <w:tcBorders>
              <w:top w:val="nil"/>
              <w:left w:val="nil"/>
              <w:bottom w:val="single" w:sz="4" w:space="0" w:color="auto"/>
              <w:right w:val="nil"/>
            </w:tcBorders>
            <w:shd w:val="clear" w:color="000000" w:fill="FFFFFF"/>
            <w:hideMark/>
          </w:tcPr>
          <w:p w:rsidR="00B958B1" w:rsidRPr="006F6005" w:rsidRDefault="00B958B1" w:rsidP="009F3B54">
            <w:pPr>
              <w:pStyle w:val="OGTabText"/>
              <w:rPr>
                <w:lang w:eastAsia="en-AU"/>
              </w:rPr>
            </w:pPr>
            <w:r w:rsidRPr="006F6005">
              <w:rPr>
                <w:lang w:eastAsia="en-AU"/>
              </w:rPr>
              <w:t>Total output cost</w:t>
            </w:r>
          </w:p>
        </w:tc>
        <w:tc>
          <w:tcPr>
            <w:tcW w:w="908" w:type="dxa"/>
            <w:tcBorders>
              <w:top w:val="nil"/>
              <w:left w:val="nil"/>
              <w:bottom w:val="single" w:sz="4" w:space="0" w:color="auto"/>
              <w:right w:val="nil"/>
            </w:tcBorders>
            <w:shd w:val="clear" w:color="000000" w:fill="FFFFFF"/>
            <w:hideMark/>
          </w:tcPr>
          <w:p w:rsidR="00B958B1" w:rsidRPr="006F6005" w:rsidRDefault="00B958B1" w:rsidP="009F3B54">
            <w:pPr>
              <w:pStyle w:val="OGUoM"/>
              <w:rPr>
                <w:lang w:eastAsia="en-AU"/>
              </w:rPr>
            </w:pPr>
            <w:r>
              <w:rPr>
                <w:lang w:eastAsia="en-AU"/>
              </w:rPr>
              <w:t>$ million</w:t>
            </w:r>
          </w:p>
        </w:tc>
        <w:tc>
          <w:tcPr>
            <w:tcW w:w="907" w:type="dxa"/>
            <w:tcBorders>
              <w:top w:val="nil"/>
              <w:left w:val="nil"/>
              <w:bottom w:val="single" w:sz="4" w:space="0" w:color="auto"/>
              <w:right w:val="nil"/>
            </w:tcBorders>
            <w:shd w:val="clear" w:color="auto" w:fill="D9D9D9"/>
            <w:hideMark/>
          </w:tcPr>
          <w:p w:rsidR="00B958B1" w:rsidRPr="006F6005" w:rsidRDefault="00B958B1" w:rsidP="009F3B54">
            <w:pPr>
              <w:pStyle w:val="OGTableofFigures"/>
              <w:rPr>
                <w:lang w:eastAsia="en-AU"/>
              </w:rPr>
            </w:pPr>
            <w:r>
              <w:rPr>
                <w:lang w:eastAsia="en-AU"/>
              </w:rPr>
              <w:t>22.3</w:t>
            </w:r>
          </w:p>
        </w:tc>
        <w:tc>
          <w:tcPr>
            <w:tcW w:w="994" w:type="dxa"/>
            <w:tcBorders>
              <w:top w:val="nil"/>
              <w:left w:val="nil"/>
              <w:bottom w:val="single" w:sz="4" w:space="0" w:color="auto"/>
              <w:right w:val="nil"/>
            </w:tcBorders>
            <w:shd w:val="clear" w:color="000000" w:fill="FFFFFF"/>
            <w:hideMark/>
          </w:tcPr>
          <w:p w:rsidR="00B958B1" w:rsidRPr="006F6005" w:rsidRDefault="00B958B1" w:rsidP="009F3B54">
            <w:pPr>
              <w:pStyle w:val="OGTableofFigures"/>
              <w:rPr>
                <w:lang w:eastAsia="en-AU"/>
              </w:rPr>
            </w:pPr>
            <w:r w:rsidRPr="006F6005">
              <w:rPr>
                <w:lang w:eastAsia="en-AU"/>
              </w:rPr>
              <w:t>22.7</w:t>
            </w:r>
          </w:p>
        </w:tc>
        <w:tc>
          <w:tcPr>
            <w:tcW w:w="907" w:type="dxa"/>
            <w:tcBorders>
              <w:top w:val="nil"/>
              <w:left w:val="nil"/>
              <w:bottom w:val="single" w:sz="4" w:space="0" w:color="auto"/>
              <w:right w:val="nil"/>
            </w:tcBorders>
            <w:shd w:val="clear" w:color="000000" w:fill="FFFFFF"/>
            <w:hideMark/>
          </w:tcPr>
          <w:p w:rsidR="00B958B1" w:rsidRPr="006F6005" w:rsidRDefault="00B958B1" w:rsidP="009F3B54">
            <w:pPr>
              <w:pStyle w:val="OGTableofFigures"/>
              <w:rPr>
                <w:lang w:eastAsia="en-AU"/>
              </w:rPr>
            </w:pPr>
            <w:r w:rsidRPr="006F6005">
              <w:rPr>
                <w:lang w:eastAsia="en-AU"/>
              </w:rPr>
              <w:t>22.7</w:t>
            </w:r>
          </w:p>
        </w:tc>
        <w:tc>
          <w:tcPr>
            <w:tcW w:w="906" w:type="dxa"/>
            <w:tcBorders>
              <w:top w:val="nil"/>
              <w:left w:val="nil"/>
              <w:bottom w:val="single" w:sz="4" w:space="0" w:color="auto"/>
              <w:right w:val="nil"/>
            </w:tcBorders>
            <w:shd w:val="clear" w:color="000000" w:fill="FFFFFF"/>
            <w:hideMark/>
          </w:tcPr>
          <w:p w:rsidR="00B958B1" w:rsidRPr="006F6005" w:rsidRDefault="00B958B1" w:rsidP="009F3B54">
            <w:pPr>
              <w:pStyle w:val="OGTableofFigures"/>
              <w:rPr>
                <w:lang w:eastAsia="en-AU"/>
              </w:rPr>
            </w:pPr>
            <w:r w:rsidRPr="006F6005">
              <w:rPr>
                <w:lang w:eastAsia="en-AU"/>
              </w:rPr>
              <w:t>22.8</w:t>
            </w:r>
          </w:p>
        </w:tc>
      </w:tr>
    </w:tbl>
    <w:p w:rsidR="00B958B1" w:rsidRPr="004544B5" w:rsidRDefault="00B958B1" w:rsidP="004544B5">
      <w:pPr>
        <w:pStyle w:val="Source"/>
      </w:pPr>
      <w:r>
        <w:fldChar w:fldCharType="begin"/>
      </w:r>
      <w:r>
        <w:instrText xml:space="preserve"> XE "</w:instrText>
      </w:r>
      <w:r w:rsidRPr="00B913A6">
        <w:instrText>Parliament:Victorian Auditor General’s Office</w:instrText>
      </w:r>
      <w:r>
        <w:instrText xml:space="preserve">" \r "BP3ParliamentVicAuditorGenOffice" </w:instrText>
      </w:r>
      <w:r>
        <w:fldChar w:fldCharType="end"/>
      </w:r>
      <w:r>
        <w:t>Source: Victorian Auditor</w:t>
      </w:r>
      <w:r w:rsidR="009F0F49">
        <w:noBreakHyphen/>
      </w:r>
      <w:r>
        <w:t>General’s Office and Department of Treasury and Finance</w:t>
      </w:r>
    </w:p>
    <w:bookmarkEnd w:id="156"/>
    <w:p w:rsidR="00B958B1" w:rsidRDefault="00B958B1" w:rsidP="009F3B54">
      <w:pPr>
        <w:pStyle w:val="Source"/>
      </w:pPr>
    </w:p>
    <w:p w:rsidR="00B958B1" w:rsidRDefault="00B958B1">
      <w:pPr>
        <w:spacing w:after="0"/>
      </w:pPr>
      <w:r>
        <w:br w:type="page"/>
      </w:r>
    </w:p>
    <w:p w:rsidR="00B958B1" w:rsidRDefault="00B958B1" w:rsidP="00497606"/>
    <w:p w:rsidR="00B958B1" w:rsidRDefault="00B958B1" w:rsidP="00497606"/>
    <w:p w:rsidR="00B958B1" w:rsidRDefault="00B958B1" w:rsidP="00C45CC5">
      <w:pPr>
        <w:sectPr w:rsidR="00B958B1" w:rsidSect="004B42A1">
          <w:footerReference w:type="even" r:id="rId39"/>
          <w:footerReference w:type="default" r:id="rId40"/>
          <w:pgSz w:w="9979" w:h="14181" w:code="138"/>
          <w:pgMar w:top="1138" w:right="1138" w:bottom="1138" w:left="1138" w:header="720" w:footer="720" w:gutter="0"/>
          <w:cols w:space="708"/>
          <w:docGrid w:linePitch="360"/>
        </w:sectPr>
      </w:pPr>
    </w:p>
    <w:p w:rsidR="00B958B1" w:rsidRPr="0039498E" w:rsidRDefault="00B958B1" w:rsidP="009F3B54">
      <w:pPr>
        <w:pStyle w:val="ChapterHeading"/>
      </w:pPr>
      <w:bookmarkStart w:id="157" w:name="_Toc355362290"/>
      <w:r w:rsidRPr="0039498E">
        <w:t>Appendix A – Output performance measures for review by the Public Accounts and Estimates Committee</w:t>
      </w:r>
      <w:bookmarkEnd w:id="157"/>
    </w:p>
    <w:p w:rsidR="00B958B1" w:rsidRDefault="00B958B1" w:rsidP="009F3B54">
      <w:r>
        <w:t>This appendix provides details of performance measures that departments have either proposed to discontinue for 2013</w:t>
      </w:r>
      <w:r w:rsidR="009F0F49">
        <w:noBreakHyphen/>
      </w:r>
      <w:r>
        <w:t xml:space="preserve">14, or have substantially changed from the previous year. </w:t>
      </w:r>
    </w:p>
    <w:p w:rsidR="00B958B1" w:rsidRDefault="00B958B1" w:rsidP="009F3B54">
      <w:r>
        <w:t xml:space="preserve">Measures can be discontinued because a program has ceased, milestones have been met, or improved measures have been identified. Measures may change substantially due to a shift in focus of the service, development of improved measures or new data sets which can collect different information. </w:t>
      </w:r>
    </w:p>
    <w:p w:rsidR="00B958B1" w:rsidRDefault="00B958B1" w:rsidP="009F3B54">
      <w:r>
        <w:t>Each performance measure included here is accompanied by an explanatory footnote providing reasons for its discontinuation or change.</w:t>
      </w:r>
    </w:p>
    <w:p w:rsidR="00B958B1" w:rsidRDefault="00B958B1" w:rsidP="009F3B54">
      <w:r>
        <w:t xml:space="preserve">To strengthen accountability and transparency associated with output performance management, the Public Accounts and Estimates Committee (PAEC) has again been invited to review these performance measures to ensure that those measures that are substantially changed or proposed to be discontinued receive a high level of scrutiny. Any amendments to performance measures listed in this appendix will be presented on the Government’s budget website </w:t>
      </w:r>
      <w:hyperlink r:id="rId41" w:history="1">
        <w:r w:rsidRPr="0088537D">
          <w:rPr>
            <w:rStyle w:val="Hyperlink"/>
          </w:rPr>
          <w:t>www.budget.vic.gov.au</w:t>
        </w:r>
      </w:hyperlink>
      <w:r>
        <w:t xml:space="preserve"> and changes will take effect from 2013</w:t>
      </w:r>
      <w:r w:rsidR="009F0F49">
        <w:noBreakHyphen/>
      </w:r>
      <w:r>
        <w:t>14.</w:t>
      </w:r>
    </w:p>
    <w:p w:rsidR="00B958B1" w:rsidRDefault="00B958B1" w:rsidP="009F3B54">
      <w:r>
        <w:t>In the event that a measure listed in this Appendix is continued, where possible a 2013</w:t>
      </w:r>
      <w:r w:rsidR="009F0F49">
        <w:noBreakHyphen/>
      </w:r>
      <w:r>
        <w:t>14 target has been identified to ensure continuity of reporting and transparency in the publication of performance information.</w:t>
      </w:r>
    </w:p>
    <w:p w:rsidR="00B958B1" w:rsidRDefault="00B958B1" w:rsidP="009F3B54"/>
    <w:p w:rsidR="00B958B1" w:rsidRPr="00AD2A87" w:rsidRDefault="00B958B1" w:rsidP="009F3B54">
      <w:pPr>
        <w:pStyle w:val="Heading1"/>
      </w:pPr>
      <w:r>
        <w:br w:type="page"/>
      </w:r>
      <w:bookmarkStart w:id="158" w:name="_Toc355362291"/>
      <w:bookmarkStart w:id="159" w:name="BP3AppADEPIPerfreview"/>
      <w:r>
        <w:t>Department of Environment and Primary Industries</w:t>
      </w:r>
      <w:bookmarkEnd w:id="158"/>
    </w:p>
    <w:tbl>
      <w:tblPr>
        <w:tblW w:w="7782" w:type="dxa"/>
        <w:tblInd w:w="29" w:type="dxa"/>
        <w:tblBorders>
          <w:top w:val="single" w:sz="12" w:space="0" w:color="auto"/>
          <w:left w:val="single" w:sz="12" w:space="0" w:color="auto"/>
          <w:bottom w:val="single" w:sz="12" w:space="0" w:color="auto"/>
          <w:right w:val="single" w:sz="12" w:space="0" w:color="auto"/>
        </w:tblBorders>
        <w:shd w:val="clear" w:color="auto" w:fill="000000"/>
        <w:tblLayout w:type="fixed"/>
        <w:tblCellMar>
          <w:left w:w="43" w:type="dxa"/>
          <w:right w:w="43" w:type="dxa"/>
        </w:tblCellMar>
        <w:tblLook w:val="04A0" w:firstRow="1" w:lastRow="0" w:firstColumn="1" w:lastColumn="0" w:noHBand="0" w:noVBand="1"/>
      </w:tblPr>
      <w:tblGrid>
        <w:gridCol w:w="3151"/>
        <w:gridCol w:w="907"/>
        <w:gridCol w:w="908"/>
        <w:gridCol w:w="995"/>
        <w:gridCol w:w="908"/>
        <w:gridCol w:w="907"/>
        <w:gridCol w:w="6"/>
      </w:tblGrid>
      <w:tr w:rsidR="00B958B1" w:rsidRPr="00D32CA4" w:rsidTr="009F3B54">
        <w:trPr>
          <w:cantSplit/>
          <w:tblHeader/>
        </w:trPr>
        <w:tc>
          <w:tcPr>
            <w:tcW w:w="3151" w:type="dxa"/>
            <w:tcBorders>
              <w:top w:val="nil"/>
            </w:tcBorders>
            <w:shd w:val="clear" w:color="auto" w:fill="000000"/>
            <w:vAlign w:val="bottom"/>
          </w:tcPr>
          <w:p w:rsidR="00B958B1" w:rsidRPr="00D32CA4" w:rsidRDefault="00B958B1" w:rsidP="009F3B54">
            <w:pPr>
              <w:pStyle w:val="OGTabColLeft"/>
              <w:rPr>
                <w:i/>
              </w:rPr>
            </w:pPr>
            <w:r w:rsidRPr="00AD2A87">
              <w:rPr>
                <w:shd w:val="clear" w:color="auto" w:fill="000000"/>
              </w:rPr>
              <w:t xml:space="preserve">Major </w:t>
            </w:r>
            <w:r w:rsidRPr="00D32CA4">
              <w:t>Outputs/Deliverables</w:t>
            </w:r>
            <w:r w:rsidRPr="00D32CA4">
              <w:br/>
            </w:r>
            <w:r w:rsidRPr="008946A8">
              <w:rPr>
                <w:b w:val="0"/>
                <w:i/>
              </w:rPr>
              <w:t>Performance measures</w:t>
            </w:r>
          </w:p>
        </w:tc>
        <w:tc>
          <w:tcPr>
            <w:tcW w:w="907" w:type="dxa"/>
            <w:tcBorders>
              <w:top w:val="nil"/>
            </w:tcBorders>
            <w:shd w:val="clear" w:color="auto" w:fill="000000"/>
            <w:noWrap/>
            <w:hideMark/>
          </w:tcPr>
          <w:p w:rsidR="00B958B1" w:rsidRPr="00D32CA4" w:rsidRDefault="00B958B1" w:rsidP="009F3B54">
            <w:pPr>
              <w:pStyle w:val="OGTabColCentred"/>
            </w:pPr>
            <w:r>
              <w:br/>
            </w:r>
            <w:r w:rsidRPr="00D32CA4">
              <w:t xml:space="preserve">unit </w:t>
            </w:r>
            <w:r w:rsidRPr="008946A8">
              <w:t>of</w:t>
            </w:r>
            <w:r w:rsidRPr="00D32CA4">
              <w:t xml:space="preserve"> </w:t>
            </w:r>
            <w:r w:rsidRPr="00D32CA4">
              <w:br/>
              <w:t>measure</w:t>
            </w:r>
          </w:p>
        </w:tc>
        <w:tc>
          <w:tcPr>
            <w:tcW w:w="908" w:type="dxa"/>
            <w:tcBorders>
              <w:top w:val="nil"/>
            </w:tcBorders>
            <w:shd w:val="clear" w:color="auto" w:fill="000000"/>
            <w:noWrap/>
            <w:hideMark/>
          </w:tcPr>
          <w:p w:rsidR="00B958B1" w:rsidRPr="008946A8" w:rsidRDefault="00B958B1" w:rsidP="009F3B54">
            <w:pPr>
              <w:pStyle w:val="OGTabColRight"/>
            </w:pPr>
            <w:r>
              <w:br/>
            </w:r>
            <w:r w:rsidRPr="008946A8">
              <w:t>2013</w:t>
            </w:r>
            <w:r w:rsidR="009F0F49">
              <w:noBreakHyphen/>
            </w:r>
            <w:r w:rsidRPr="008946A8">
              <w:t>14 Target</w:t>
            </w:r>
          </w:p>
        </w:tc>
        <w:tc>
          <w:tcPr>
            <w:tcW w:w="995" w:type="dxa"/>
            <w:tcBorders>
              <w:top w:val="nil"/>
            </w:tcBorders>
            <w:shd w:val="clear" w:color="auto" w:fill="000000"/>
            <w:noWrap/>
            <w:hideMark/>
          </w:tcPr>
          <w:p w:rsidR="00B958B1" w:rsidRPr="008946A8" w:rsidRDefault="00B958B1" w:rsidP="009F3B54">
            <w:pPr>
              <w:pStyle w:val="OGTabColRight"/>
            </w:pPr>
            <w:r w:rsidRPr="008946A8">
              <w:t>2012</w:t>
            </w:r>
            <w:r w:rsidR="009F0F49">
              <w:noBreakHyphen/>
            </w:r>
            <w:r w:rsidRPr="008946A8">
              <w:t>13 Expected Outcome</w:t>
            </w:r>
          </w:p>
        </w:tc>
        <w:tc>
          <w:tcPr>
            <w:tcW w:w="908" w:type="dxa"/>
            <w:tcBorders>
              <w:top w:val="nil"/>
            </w:tcBorders>
            <w:shd w:val="clear" w:color="auto" w:fill="000000"/>
            <w:noWrap/>
            <w:hideMark/>
          </w:tcPr>
          <w:p w:rsidR="00B958B1" w:rsidRPr="008946A8" w:rsidRDefault="00B958B1" w:rsidP="009F3B54">
            <w:pPr>
              <w:pStyle w:val="OGTabColRight"/>
            </w:pPr>
            <w:r>
              <w:br/>
            </w:r>
            <w:r w:rsidRPr="008946A8">
              <w:t>2012</w:t>
            </w:r>
            <w:r w:rsidR="009F0F49">
              <w:noBreakHyphen/>
            </w:r>
            <w:r w:rsidRPr="008946A8">
              <w:t>13 Target</w:t>
            </w:r>
          </w:p>
        </w:tc>
        <w:tc>
          <w:tcPr>
            <w:tcW w:w="913" w:type="dxa"/>
            <w:gridSpan w:val="2"/>
            <w:tcBorders>
              <w:top w:val="nil"/>
            </w:tcBorders>
            <w:shd w:val="clear" w:color="auto" w:fill="000000"/>
            <w:noWrap/>
            <w:hideMark/>
          </w:tcPr>
          <w:p w:rsidR="00B958B1" w:rsidRPr="008946A8" w:rsidRDefault="00B958B1" w:rsidP="009F3B54">
            <w:pPr>
              <w:pStyle w:val="OGTabColRight"/>
            </w:pPr>
            <w:r>
              <w:br/>
            </w:r>
            <w:r w:rsidRPr="008946A8">
              <w:t>2011</w:t>
            </w:r>
            <w:r w:rsidR="009F0F49">
              <w:noBreakHyphen/>
            </w:r>
            <w:r w:rsidRPr="008946A8">
              <w:t>12 Actual</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AD2A87" w:rsidRDefault="00B958B1" w:rsidP="009F3B54">
            <w:pPr>
              <w:pStyle w:val="OGHeading2"/>
              <w:rPr>
                <w:lang w:eastAsia="en-AU"/>
              </w:rPr>
            </w:pPr>
            <w:r w:rsidRPr="00AD2A87">
              <w:rPr>
                <w:lang w:eastAsia="en-AU"/>
              </w:rPr>
              <w:t>Effective Water Management and Supply</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single" w:sz="6" w:space="0" w:color="auto"/>
              <w:left w:val="nil"/>
              <w:bottom w:val="nil"/>
              <w:right w:val="nil"/>
            </w:tcBorders>
            <w:shd w:val="clear" w:color="auto" w:fill="auto"/>
            <w:vAlign w:val="bottom"/>
            <w:hideMark/>
          </w:tcPr>
          <w:p w:rsidR="00B958B1" w:rsidRPr="00AD2A87" w:rsidRDefault="00B958B1" w:rsidP="009F3B54">
            <w:pPr>
              <w:pStyle w:val="OGTabHead"/>
              <w:rPr>
                <w:lang w:eastAsia="en-AU"/>
              </w:rPr>
            </w:pPr>
            <w:r w:rsidRPr="00AD2A87">
              <w:rPr>
                <w:lang w:eastAsia="en-AU"/>
              </w:rPr>
              <w:t>Quantity</w:t>
            </w:r>
          </w:p>
        </w:tc>
        <w:tc>
          <w:tcPr>
            <w:tcW w:w="907" w:type="dxa"/>
            <w:tcBorders>
              <w:top w:val="single" w:sz="6" w:space="0" w:color="auto"/>
              <w:left w:val="nil"/>
              <w:bottom w:val="nil"/>
              <w:right w:val="nil"/>
            </w:tcBorders>
            <w:shd w:val="clear" w:color="auto" w:fill="auto"/>
            <w:noWrap/>
            <w:hideMark/>
          </w:tcPr>
          <w:p w:rsidR="00B958B1" w:rsidRPr="00AD2A87" w:rsidRDefault="00B958B1" w:rsidP="009F3B54">
            <w:pPr>
              <w:pStyle w:val="OGUoM"/>
              <w:rPr>
                <w:lang w:eastAsia="en-AU"/>
              </w:rPr>
            </w:pPr>
          </w:p>
        </w:tc>
        <w:tc>
          <w:tcPr>
            <w:tcW w:w="908" w:type="dxa"/>
            <w:tcBorders>
              <w:top w:val="single" w:sz="6" w:space="0" w:color="auto"/>
              <w:left w:val="nil"/>
              <w:bottom w:val="nil"/>
              <w:right w:val="nil"/>
            </w:tcBorders>
            <w:shd w:val="clear" w:color="auto" w:fill="D9D9D9"/>
            <w:noWrap/>
            <w:hideMark/>
          </w:tcPr>
          <w:p w:rsidR="00B958B1" w:rsidRPr="00AD2A87" w:rsidRDefault="00B958B1" w:rsidP="009F3B54">
            <w:pPr>
              <w:pStyle w:val="OGTableofFigures"/>
              <w:rPr>
                <w:lang w:eastAsia="en-AU"/>
              </w:rPr>
            </w:pPr>
          </w:p>
        </w:tc>
        <w:tc>
          <w:tcPr>
            <w:tcW w:w="995" w:type="dxa"/>
            <w:tcBorders>
              <w:top w:val="single" w:sz="6" w:space="0" w:color="auto"/>
              <w:left w:val="nil"/>
              <w:bottom w:val="nil"/>
              <w:right w:val="nil"/>
            </w:tcBorders>
            <w:shd w:val="clear" w:color="auto" w:fill="auto"/>
            <w:noWrap/>
            <w:hideMark/>
          </w:tcPr>
          <w:p w:rsidR="00B958B1" w:rsidRPr="00AD2A87" w:rsidRDefault="00B958B1" w:rsidP="009F3B54">
            <w:pPr>
              <w:pStyle w:val="OGTableofFigures"/>
              <w:rPr>
                <w:lang w:eastAsia="en-AU"/>
              </w:rPr>
            </w:pPr>
          </w:p>
        </w:tc>
        <w:tc>
          <w:tcPr>
            <w:tcW w:w="908" w:type="dxa"/>
            <w:tcBorders>
              <w:top w:val="single" w:sz="6" w:space="0" w:color="auto"/>
              <w:left w:val="nil"/>
              <w:bottom w:val="nil"/>
              <w:right w:val="nil"/>
            </w:tcBorders>
            <w:shd w:val="clear" w:color="auto" w:fill="auto"/>
            <w:noWrap/>
            <w:hideMark/>
          </w:tcPr>
          <w:p w:rsidR="00B958B1" w:rsidRPr="00AD2A87"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AD2A87" w:rsidRDefault="00B958B1" w:rsidP="009F3B54">
            <w:pPr>
              <w:pStyle w:val="OGTableofFigures"/>
              <w:rPr>
                <w:lang w:eastAsia="en-AU"/>
              </w:rPr>
            </w:pP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nil"/>
              <w:left w:val="nil"/>
              <w:bottom w:val="nil"/>
              <w:right w:val="nil"/>
            </w:tcBorders>
            <w:shd w:val="clear" w:color="000000" w:fill="FFFFFF"/>
            <w:hideMark/>
          </w:tcPr>
          <w:p w:rsidR="00B958B1" w:rsidRPr="00AD2A87" w:rsidRDefault="00B958B1" w:rsidP="009F3B54">
            <w:pPr>
              <w:pStyle w:val="OGTabText"/>
              <w:rPr>
                <w:lang w:eastAsia="en-AU"/>
              </w:rPr>
            </w:pPr>
            <w:r w:rsidRPr="00AD2A87">
              <w:rPr>
                <w:lang w:eastAsia="en-AU"/>
              </w:rPr>
              <w:t>Estimated net reduction in total load of nitrogen and phosphorus in urban and rural water systems</w:t>
            </w:r>
          </w:p>
        </w:tc>
        <w:tc>
          <w:tcPr>
            <w:tcW w:w="907" w:type="dxa"/>
            <w:tcBorders>
              <w:top w:val="nil"/>
              <w:left w:val="nil"/>
              <w:bottom w:val="nil"/>
              <w:right w:val="nil"/>
            </w:tcBorders>
            <w:shd w:val="clear" w:color="000000" w:fill="FFFFFF"/>
            <w:hideMark/>
          </w:tcPr>
          <w:p w:rsidR="00B958B1" w:rsidRPr="00AD2A87" w:rsidRDefault="00B958B1" w:rsidP="009F3B54">
            <w:pPr>
              <w:pStyle w:val="OGUoM"/>
              <w:rPr>
                <w:lang w:eastAsia="en-AU"/>
              </w:rPr>
            </w:pPr>
            <w:r w:rsidRPr="00AD2A87">
              <w:rPr>
                <w:lang w:eastAsia="en-AU"/>
              </w:rPr>
              <w:t>number (tonnes)</w:t>
            </w:r>
          </w:p>
        </w:tc>
        <w:tc>
          <w:tcPr>
            <w:tcW w:w="908" w:type="dxa"/>
            <w:tcBorders>
              <w:top w:val="nil"/>
              <w:left w:val="nil"/>
              <w:bottom w:val="nil"/>
              <w:right w:val="nil"/>
            </w:tcBorders>
            <w:shd w:val="clear" w:color="auto" w:fill="D9D9D9"/>
            <w:hideMark/>
          </w:tcPr>
          <w:p w:rsidR="00B958B1" w:rsidRPr="00AD2A87" w:rsidRDefault="00B958B1" w:rsidP="009F3B54">
            <w:pPr>
              <w:pStyle w:val="OGTableofFigures"/>
              <w:rPr>
                <w:lang w:eastAsia="en-AU"/>
              </w:rPr>
            </w:pPr>
            <w:r w:rsidRPr="00AD2A87">
              <w:rPr>
                <w:lang w:eastAsia="en-AU"/>
              </w:rPr>
              <w:t>11</w:t>
            </w:r>
          </w:p>
        </w:tc>
        <w:tc>
          <w:tcPr>
            <w:tcW w:w="995" w:type="dxa"/>
            <w:tcBorders>
              <w:top w:val="nil"/>
              <w:left w:val="nil"/>
              <w:bottom w:val="nil"/>
              <w:right w:val="nil"/>
            </w:tcBorders>
            <w:shd w:val="clear" w:color="000000" w:fill="FFFFFF"/>
            <w:hideMark/>
          </w:tcPr>
          <w:p w:rsidR="00B958B1" w:rsidRPr="00AD2A87" w:rsidRDefault="00B958B1" w:rsidP="009F3B54">
            <w:pPr>
              <w:pStyle w:val="OGTableofFigures"/>
              <w:rPr>
                <w:lang w:eastAsia="en-AU"/>
              </w:rPr>
            </w:pPr>
            <w:r w:rsidRPr="00AD2A87">
              <w:rPr>
                <w:lang w:eastAsia="en-AU"/>
              </w:rPr>
              <w:t>8.6</w:t>
            </w:r>
          </w:p>
        </w:tc>
        <w:tc>
          <w:tcPr>
            <w:tcW w:w="908" w:type="dxa"/>
            <w:tcBorders>
              <w:top w:val="nil"/>
              <w:left w:val="nil"/>
              <w:bottom w:val="nil"/>
              <w:right w:val="nil"/>
            </w:tcBorders>
            <w:shd w:val="clear" w:color="000000" w:fill="FFFFFF"/>
            <w:hideMark/>
          </w:tcPr>
          <w:p w:rsidR="00B958B1" w:rsidRPr="00AD2A87" w:rsidRDefault="00B958B1" w:rsidP="009F3B54">
            <w:pPr>
              <w:pStyle w:val="OGTableofFigures"/>
              <w:rPr>
                <w:lang w:eastAsia="en-AU"/>
              </w:rPr>
            </w:pPr>
            <w:r w:rsidRPr="00AD2A87">
              <w:rPr>
                <w:lang w:eastAsia="en-AU"/>
              </w:rPr>
              <w:t>17.5</w:t>
            </w:r>
          </w:p>
        </w:tc>
        <w:tc>
          <w:tcPr>
            <w:tcW w:w="907" w:type="dxa"/>
            <w:tcBorders>
              <w:top w:val="nil"/>
              <w:left w:val="nil"/>
              <w:bottom w:val="nil"/>
              <w:right w:val="nil"/>
            </w:tcBorders>
            <w:shd w:val="clear" w:color="000000" w:fill="FFFFFF"/>
            <w:hideMark/>
          </w:tcPr>
          <w:p w:rsidR="00B958B1" w:rsidRPr="00AD2A87" w:rsidRDefault="00B958B1" w:rsidP="009F3B54">
            <w:pPr>
              <w:pStyle w:val="OGTableofFigures"/>
              <w:rPr>
                <w:lang w:eastAsia="en-AU"/>
              </w:rPr>
            </w:pPr>
            <w:r w:rsidRPr="00AD2A87">
              <w:rPr>
                <w:lang w:eastAsia="en-AU"/>
              </w:rPr>
              <w:t>18.7</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AD2A87" w:rsidRDefault="00B958B1" w:rsidP="009F3B54">
            <w:pPr>
              <w:pStyle w:val="OGNotes"/>
            </w:pPr>
            <w:r w:rsidRPr="00AD2A87">
              <w:t xml:space="preserve">This performance measure is proposed to be discontinued as it is no longer relevant as </w:t>
            </w:r>
            <w:r>
              <w:t>the Department</w:t>
            </w:r>
            <w:r w:rsidRPr="00AD2A87">
              <w:t xml:space="preserve"> is not able to directly impact this measure through the work undertaken in this output.</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single" w:sz="6" w:space="0" w:color="auto"/>
              <w:left w:val="nil"/>
              <w:right w:val="nil"/>
            </w:tcBorders>
            <w:shd w:val="clear" w:color="000000" w:fill="FFFFFF"/>
            <w:hideMark/>
          </w:tcPr>
          <w:p w:rsidR="00B958B1" w:rsidRPr="00AD2A87" w:rsidRDefault="00B958B1" w:rsidP="009F3B54">
            <w:pPr>
              <w:pStyle w:val="OGTabText"/>
              <w:rPr>
                <w:lang w:eastAsia="en-AU"/>
              </w:rPr>
            </w:pPr>
            <w:r w:rsidRPr="00AD2A87">
              <w:rPr>
                <w:lang w:eastAsia="en-AU"/>
              </w:rPr>
              <w:t>Length of river where works have been undertaken to stabilise bank erosion</w:t>
            </w:r>
          </w:p>
        </w:tc>
        <w:tc>
          <w:tcPr>
            <w:tcW w:w="907" w:type="dxa"/>
            <w:tcBorders>
              <w:top w:val="single" w:sz="6" w:space="0" w:color="auto"/>
              <w:left w:val="nil"/>
              <w:right w:val="nil"/>
            </w:tcBorders>
            <w:shd w:val="clear" w:color="000000" w:fill="FFFFFF"/>
            <w:hideMark/>
          </w:tcPr>
          <w:p w:rsidR="00B958B1" w:rsidRPr="00AD2A87" w:rsidRDefault="00B958B1" w:rsidP="009F3B54">
            <w:pPr>
              <w:pStyle w:val="OGUoM"/>
              <w:rPr>
                <w:lang w:eastAsia="en-AU"/>
              </w:rPr>
            </w:pPr>
            <w:r w:rsidRPr="00AD2A87">
              <w:rPr>
                <w:lang w:eastAsia="en-AU"/>
              </w:rPr>
              <w:t>km</w:t>
            </w:r>
          </w:p>
        </w:tc>
        <w:tc>
          <w:tcPr>
            <w:tcW w:w="908" w:type="dxa"/>
            <w:tcBorders>
              <w:top w:val="single" w:sz="6" w:space="0" w:color="auto"/>
              <w:left w:val="nil"/>
              <w:right w:val="nil"/>
            </w:tcBorders>
            <w:shd w:val="clear" w:color="auto" w:fill="D9D9D9"/>
            <w:hideMark/>
          </w:tcPr>
          <w:p w:rsidR="00B958B1" w:rsidRPr="00AD2A87" w:rsidRDefault="00B958B1" w:rsidP="009F3B54">
            <w:pPr>
              <w:pStyle w:val="OGTableofFigures"/>
              <w:rPr>
                <w:lang w:eastAsia="en-AU"/>
              </w:rPr>
            </w:pPr>
            <w:r w:rsidRPr="00AD2A87">
              <w:rPr>
                <w:lang w:eastAsia="en-AU"/>
              </w:rPr>
              <w:t>100</w:t>
            </w:r>
          </w:p>
        </w:tc>
        <w:tc>
          <w:tcPr>
            <w:tcW w:w="995" w:type="dxa"/>
            <w:tcBorders>
              <w:top w:val="single" w:sz="6" w:space="0" w:color="auto"/>
              <w:left w:val="nil"/>
              <w:right w:val="nil"/>
            </w:tcBorders>
            <w:shd w:val="clear" w:color="000000" w:fill="FFFFFF"/>
            <w:hideMark/>
          </w:tcPr>
          <w:p w:rsidR="00B958B1" w:rsidRPr="00AD2A87" w:rsidRDefault="00B958B1" w:rsidP="009F3B54">
            <w:pPr>
              <w:pStyle w:val="OGTableofFigures"/>
              <w:rPr>
                <w:lang w:eastAsia="en-AU"/>
              </w:rPr>
            </w:pPr>
            <w:r w:rsidRPr="00AD2A87">
              <w:rPr>
                <w:lang w:eastAsia="en-AU"/>
              </w:rPr>
              <w:t>9</w:t>
            </w:r>
          </w:p>
        </w:tc>
        <w:tc>
          <w:tcPr>
            <w:tcW w:w="908" w:type="dxa"/>
            <w:tcBorders>
              <w:top w:val="single" w:sz="6" w:space="0" w:color="auto"/>
              <w:left w:val="nil"/>
              <w:right w:val="nil"/>
            </w:tcBorders>
            <w:shd w:val="clear" w:color="000000" w:fill="FFFFFF"/>
            <w:hideMark/>
          </w:tcPr>
          <w:p w:rsidR="00B958B1" w:rsidRPr="00AD2A87" w:rsidRDefault="00B958B1" w:rsidP="009F3B54">
            <w:pPr>
              <w:pStyle w:val="OGTableofFigures"/>
              <w:rPr>
                <w:lang w:eastAsia="en-AU"/>
              </w:rPr>
            </w:pPr>
            <w:r w:rsidRPr="00AD2A87">
              <w:rPr>
                <w:lang w:eastAsia="en-AU"/>
              </w:rPr>
              <w:t>40</w:t>
            </w:r>
          </w:p>
        </w:tc>
        <w:tc>
          <w:tcPr>
            <w:tcW w:w="907" w:type="dxa"/>
            <w:tcBorders>
              <w:top w:val="single" w:sz="6" w:space="0" w:color="auto"/>
              <w:left w:val="nil"/>
              <w:right w:val="nil"/>
            </w:tcBorders>
            <w:shd w:val="clear" w:color="000000" w:fill="FFFFFF"/>
            <w:hideMark/>
          </w:tcPr>
          <w:p w:rsidR="00B958B1" w:rsidRPr="00AD2A87" w:rsidRDefault="00B958B1" w:rsidP="009F3B54">
            <w:pPr>
              <w:pStyle w:val="OGTableofFigures"/>
              <w:rPr>
                <w:lang w:eastAsia="en-AU"/>
              </w:rPr>
            </w:pPr>
            <w:r w:rsidRPr="00AD2A87">
              <w:rPr>
                <w:lang w:eastAsia="en-AU"/>
              </w:rPr>
              <w:t>65.9</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left w:val="nil"/>
              <w:bottom w:val="single" w:sz="6" w:space="0" w:color="auto"/>
              <w:right w:val="nil"/>
            </w:tcBorders>
            <w:shd w:val="clear" w:color="000000" w:fill="FFFFFF"/>
          </w:tcPr>
          <w:p w:rsidR="00B958B1" w:rsidRPr="00AD2A87" w:rsidRDefault="00B958B1" w:rsidP="009F3B54">
            <w:pPr>
              <w:pStyle w:val="OGNotes"/>
            </w:pPr>
            <w:r w:rsidRPr="00AD2A87">
              <w:t xml:space="preserve">This performance measure is proposed to be discontinued and replaced by </w:t>
            </w:r>
            <w:r>
              <w:t>‘</w:t>
            </w:r>
            <w:r w:rsidRPr="00AD2A87">
              <w:t>Area of waterway vegetation works undertaken to improve the health and resilience of waterways</w:t>
            </w:r>
            <w:r>
              <w:t>’ and ‘Number of community groups engaged to increase the knowledge/capacity of water management’. These measures assess</w:t>
            </w:r>
            <w:r w:rsidRPr="00AD2A87">
              <w:t xml:space="preserve"> the same activity as the previous measure but has been amended to increase clarity and reduce the impact of adverse environmental conditions on reporting.</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single" w:sz="6" w:space="0" w:color="auto"/>
              <w:left w:val="nil"/>
              <w:right w:val="nil"/>
            </w:tcBorders>
            <w:shd w:val="clear" w:color="000000" w:fill="FFFFFF"/>
          </w:tcPr>
          <w:p w:rsidR="00B958B1" w:rsidRPr="00AD2A87" w:rsidRDefault="00B958B1" w:rsidP="009F3B54">
            <w:pPr>
              <w:pStyle w:val="OGTabText"/>
              <w:rPr>
                <w:lang w:eastAsia="en-AU"/>
              </w:rPr>
            </w:pPr>
            <w:r w:rsidRPr="00AD2A87">
              <w:rPr>
                <w:lang w:eastAsia="en-AU"/>
              </w:rPr>
              <w:t>Length of river where works have been undertaken</w:t>
            </w:r>
            <w:r>
              <w:rPr>
                <w:lang w:eastAsia="en-AU"/>
              </w:rPr>
              <w:t xml:space="preserve">, or river frontage protected, to improve the vegetation in the streamside zone </w:t>
            </w:r>
            <w:r w:rsidRPr="00AD2A87">
              <w:rPr>
                <w:lang w:eastAsia="en-AU"/>
              </w:rPr>
              <w:t xml:space="preserve"> </w:t>
            </w:r>
          </w:p>
        </w:tc>
        <w:tc>
          <w:tcPr>
            <w:tcW w:w="907" w:type="dxa"/>
            <w:tcBorders>
              <w:top w:val="single" w:sz="6" w:space="0" w:color="auto"/>
              <w:left w:val="nil"/>
              <w:right w:val="nil"/>
            </w:tcBorders>
            <w:shd w:val="clear" w:color="000000" w:fill="FFFFFF"/>
          </w:tcPr>
          <w:p w:rsidR="00B958B1" w:rsidRPr="00AD2A87" w:rsidRDefault="00B958B1" w:rsidP="009F3B54">
            <w:pPr>
              <w:pStyle w:val="OGUoM"/>
              <w:rPr>
                <w:lang w:eastAsia="en-AU"/>
              </w:rPr>
            </w:pPr>
            <w:r>
              <w:rPr>
                <w:lang w:eastAsia="en-AU"/>
              </w:rPr>
              <w:t>hectares</w:t>
            </w:r>
          </w:p>
        </w:tc>
        <w:tc>
          <w:tcPr>
            <w:tcW w:w="908" w:type="dxa"/>
            <w:tcBorders>
              <w:top w:val="single" w:sz="6" w:space="0" w:color="auto"/>
              <w:left w:val="nil"/>
              <w:right w:val="nil"/>
            </w:tcBorders>
            <w:shd w:val="clear" w:color="auto" w:fill="D9D9D9"/>
          </w:tcPr>
          <w:p w:rsidR="00B958B1" w:rsidRPr="00AD2A87" w:rsidRDefault="00B958B1" w:rsidP="009F3B54">
            <w:pPr>
              <w:pStyle w:val="OGTableofFigures"/>
              <w:rPr>
                <w:lang w:eastAsia="en-AU"/>
              </w:rPr>
            </w:pPr>
            <w:r>
              <w:rPr>
                <w:lang w:eastAsia="en-AU"/>
              </w:rPr>
              <w:t>1 306</w:t>
            </w:r>
          </w:p>
        </w:tc>
        <w:tc>
          <w:tcPr>
            <w:tcW w:w="995" w:type="dxa"/>
            <w:tcBorders>
              <w:top w:val="single" w:sz="6" w:space="0" w:color="auto"/>
              <w:left w:val="nil"/>
              <w:right w:val="nil"/>
            </w:tcBorders>
            <w:shd w:val="clear" w:color="000000" w:fill="FFFFFF"/>
          </w:tcPr>
          <w:p w:rsidR="00B958B1" w:rsidRPr="00AD2A87" w:rsidRDefault="00B958B1" w:rsidP="009F3B54">
            <w:pPr>
              <w:pStyle w:val="OGTableofFigures"/>
              <w:rPr>
                <w:lang w:eastAsia="en-AU"/>
              </w:rPr>
            </w:pPr>
            <w:r>
              <w:rPr>
                <w:lang w:eastAsia="en-AU"/>
              </w:rPr>
              <w:t>369</w:t>
            </w:r>
          </w:p>
        </w:tc>
        <w:tc>
          <w:tcPr>
            <w:tcW w:w="908" w:type="dxa"/>
            <w:tcBorders>
              <w:top w:val="single" w:sz="6" w:space="0" w:color="auto"/>
              <w:left w:val="nil"/>
              <w:right w:val="nil"/>
            </w:tcBorders>
            <w:shd w:val="clear" w:color="000000" w:fill="FFFFFF"/>
          </w:tcPr>
          <w:p w:rsidR="00B958B1" w:rsidRPr="00AD2A87" w:rsidRDefault="00B958B1" w:rsidP="009F3B54">
            <w:pPr>
              <w:pStyle w:val="OGTableofFigures"/>
              <w:rPr>
                <w:lang w:eastAsia="en-AU"/>
              </w:rPr>
            </w:pPr>
            <w:r>
              <w:rPr>
                <w:lang w:eastAsia="en-AU"/>
              </w:rPr>
              <w:t>168</w:t>
            </w:r>
          </w:p>
        </w:tc>
        <w:tc>
          <w:tcPr>
            <w:tcW w:w="907" w:type="dxa"/>
            <w:tcBorders>
              <w:top w:val="single" w:sz="6" w:space="0" w:color="auto"/>
              <w:left w:val="nil"/>
              <w:right w:val="nil"/>
            </w:tcBorders>
            <w:shd w:val="clear" w:color="000000" w:fill="FFFFFF"/>
          </w:tcPr>
          <w:p w:rsidR="00B958B1" w:rsidRPr="00AD2A87" w:rsidRDefault="00B958B1" w:rsidP="009F3B54">
            <w:pPr>
              <w:pStyle w:val="OGTableofFigures"/>
              <w:rPr>
                <w:lang w:eastAsia="en-AU"/>
              </w:rPr>
            </w:pPr>
            <w:r>
              <w:rPr>
                <w:lang w:eastAsia="en-AU"/>
              </w:rPr>
              <w:t>1 196.9</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left w:val="nil"/>
              <w:right w:val="nil"/>
            </w:tcBorders>
            <w:shd w:val="clear" w:color="auto" w:fill="auto"/>
            <w:vAlign w:val="bottom"/>
            <w:hideMark/>
          </w:tcPr>
          <w:p w:rsidR="00B958B1" w:rsidRPr="00AD2A87" w:rsidRDefault="00B958B1" w:rsidP="009F3B54">
            <w:pPr>
              <w:pStyle w:val="OGNotes"/>
            </w:pP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top w:val="nil"/>
              <w:left w:val="nil"/>
              <w:bottom w:val="single" w:sz="6" w:space="0" w:color="auto"/>
              <w:right w:val="nil"/>
            </w:tcBorders>
            <w:shd w:val="clear" w:color="auto" w:fill="auto"/>
            <w:vAlign w:val="bottom"/>
          </w:tcPr>
          <w:p w:rsidR="00B958B1" w:rsidRPr="00AD2A87" w:rsidRDefault="00B958B1" w:rsidP="009F3B54">
            <w:pPr>
              <w:pStyle w:val="OGNotes"/>
            </w:pPr>
            <w:r w:rsidRPr="00AD2A87">
              <w:t xml:space="preserve">This performance measure is proposed to be discontinued and replaced by </w:t>
            </w:r>
            <w:r>
              <w:t>‘</w:t>
            </w:r>
            <w:r w:rsidRPr="00AD2A87">
              <w:t>Area of waterway vegetation works undertaken to improve the health and resilience of waterways</w:t>
            </w:r>
            <w:r>
              <w:t>’. This measure</w:t>
            </w:r>
            <w:r w:rsidRPr="00AD2A87">
              <w:t xml:space="preserve"> assesses the same activity as the previous measure but has been amended to increase clarity and reduce the impact of adverse environmental conditions on reporting.</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left w:val="nil"/>
              <w:right w:val="nil"/>
            </w:tcBorders>
            <w:shd w:val="clear" w:color="000000" w:fill="FFFFFF"/>
            <w:hideMark/>
          </w:tcPr>
          <w:p w:rsidR="00B958B1" w:rsidRPr="00AD2A87" w:rsidRDefault="00B958B1" w:rsidP="009F3B54">
            <w:pPr>
              <w:pStyle w:val="OGTabText"/>
              <w:rPr>
                <w:lang w:eastAsia="en-AU"/>
              </w:rPr>
            </w:pPr>
            <w:r w:rsidRPr="00AD2A87">
              <w:rPr>
                <w:lang w:eastAsia="en-AU"/>
              </w:rPr>
              <w:t>Rivers reaches and wetland systems where environmental water has been delivered to replicate natural flow regimes and meet environmental objectives</w:t>
            </w:r>
          </w:p>
        </w:tc>
        <w:tc>
          <w:tcPr>
            <w:tcW w:w="907" w:type="dxa"/>
            <w:tcBorders>
              <w:left w:val="nil"/>
              <w:right w:val="nil"/>
            </w:tcBorders>
            <w:shd w:val="clear" w:color="000000" w:fill="FFFFFF"/>
            <w:hideMark/>
          </w:tcPr>
          <w:p w:rsidR="00B958B1" w:rsidRPr="00AD2A87" w:rsidRDefault="00B958B1" w:rsidP="009F3B54">
            <w:pPr>
              <w:pStyle w:val="OGUoM"/>
              <w:rPr>
                <w:lang w:eastAsia="en-AU"/>
              </w:rPr>
            </w:pPr>
            <w:r w:rsidRPr="00AD2A87">
              <w:rPr>
                <w:lang w:eastAsia="en-AU"/>
              </w:rPr>
              <w:t>number</w:t>
            </w:r>
          </w:p>
        </w:tc>
        <w:tc>
          <w:tcPr>
            <w:tcW w:w="908" w:type="dxa"/>
            <w:tcBorders>
              <w:left w:val="nil"/>
              <w:right w:val="nil"/>
            </w:tcBorders>
            <w:shd w:val="clear" w:color="auto" w:fill="D9D9D9"/>
            <w:hideMark/>
          </w:tcPr>
          <w:p w:rsidR="00B958B1" w:rsidRPr="00AD2A87" w:rsidRDefault="00B958B1" w:rsidP="009F3B54">
            <w:pPr>
              <w:pStyle w:val="OGTableofFigures"/>
              <w:rPr>
                <w:lang w:eastAsia="en-AU"/>
              </w:rPr>
            </w:pPr>
            <w:r w:rsidRPr="00AD2A87">
              <w:rPr>
                <w:lang w:eastAsia="en-AU"/>
              </w:rPr>
              <w:t>53</w:t>
            </w:r>
          </w:p>
        </w:tc>
        <w:tc>
          <w:tcPr>
            <w:tcW w:w="995" w:type="dxa"/>
            <w:tcBorders>
              <w:left w:val="nil"/>
              <w:right w:val="nil"/>
            </w:tcBorders>
            <w:shd w:val="clear" w:color="000000" w:fill="FFFFFF"/>
            <w:hideMark/>
          </w:tcPr>
          <w:p w:rsidR="00B958B1" w:rsidRPr="00AD2A87" w:rsidRDefault="00B958B1" w:rsidP="009F3B54">
            <w:pPr>
              <w:pStyle w:val="OGTableofFigures"/>
              <w:rPr>
                <w:lang w:eastAsia="en-AU"/>
              </w:rPr>
            </w:pPr>
            <w:r w:rsidRPr="00AD2A87">
              <w:rPr>
                <w:lang w:eastAsia="en-AU"/>
              </w:rPr>
              <w:t>51</w:t>
            </w:r>
          </w:p>
        </w:tc>
        <w:tc>
          <w:tcPr>
            <w:tcW w:w="908" w:type="dxa"/>
            <w:tcBorders>
              <w:left w:val="nil"/>
              <w:right w:val="nil"/>
            </w:tcBorders>
            <w:shd w:val="clear" w:color="000000" w:fill="FFFFFF"/>
            <w:hideMark/>
          </w:tcPr>
          <w:p w:rsidR="00B958B1" w:rsidRPr="00AD2A87" w:rsidRDefault="00B958B1" w:rsidP="009F3B54">
            <w:pPr>
              <w:pStyle w:val="OGTableofFigures"/>
              <w:rPr>
                <w:lang w:eastAsia="en-AU"/>
              </w:rPr>
            </w:pPr>
            <w:r w:rsidRPr="00AD2A87">
              <w:rPr>
                <w:lang w:eastAsia="en-AU"/>
              </w:rPr>
              <w:t>32</w:t>
            </w:r>
          </w:p>
        </w:tc>
        <w:tc>
          <w:tcPr>
            <w:tcW w:w="907" w:type="dxa"/>
            <w:tcBorders>
              <w:left w:val="nil"/>
              <w:right w:val="nil"/>
            </w:tcBorders>
            <w:shd w:val="clear" w:color="000000" w:fill="FFFFFF"/>
            <w:hideMark/>
          </w:tcPr>
          <w:p w:rsidR="00B958B1" w:rsidRPr="00AD2A87" w:rsidRDefault="00B958B1" w:rsidP="009F3B54">
            <w:pPr>
              <w:pStyle w:val="OGTableofFigures"/>
              <w:rPr>
                <w:lang w:eastAsia="en-AU"/>
              </w:rPr>
            </w:pPr>
            <w:r w:rsidRPr="00AD2A87">
              <w:rPr>
                <w:lang w:eastAsia="en-AU"/>
              </w:rPr>
              <w:t>69</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AD2A87" w:rsidRDefault="00B958B1" w:rsidP="009F3B54">
            <w:pPr>
              <w:pStyle w:val="OGNotes"/>
            </w:pPr>
            <w:r w:rsidRPr="00AD2A87">
              <w:t xml:space="preserve">This performance measure is proposed to be discontinued and replaced by </w:t>
            </w:r>
            <w:r>
              <w:t>‘</w:t>
            </w:r>
            <w:r w:rsidRPr="00AD2A87">
              <w:t>Number of sites with environmental water managed to meet environmental objectives</w:t>
            </w:r>
            <w:r>
              <w:t>’</w:t>
            </w:r>
            <w:r w:rsidRPr="00AD2A87">
              <w:t>. This measures assesses the same activity as the previous measure but has been amended to increase clarity and reduce the impact of adverse environmental conditions on reporting.</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top w:val="single" w:sz="6" w:space="0" w:color="auto"/>
              <w:left w:val="nil"/>
              <w:bottom w:val="nil"/>
              <w:right w:val="nil"/>
            </w:tcBorders>
            <w:shd w:val="clear" w:color="auto" w:fill="auto"/>
            <w:vAlign w:val="bottom"/>
            <w:hideMark/>
          </w:tcPr>
          <w:p w:rsidR="00B958B1" w:rsidRPr="00AD2A87" w:rsidRDefault="00B958B1" w:rsidP="009F3B54">
            <w:pPr>
              <w:pStyle w:val="OGHeading2"/>
              <w:pageBreakBefore/>
              <w:rPr>
                <w:lang w:eastAsia="en-AU"/>
              </w:rPr>
            </w:pPr>
            <w:r>
              <w:rPr>
                <w:lang w:eastAsia="en-AU"/>
              </w:rPr>
              <w:t>Environmental Programs</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single" w:sz="6" w:space="0" w:color="auto"/>
              <w:left w:val="nil"/>
              <w:bottom w:val="nil"/>
              <w:right w:val="nil"/>
            </w:tcBorders>
            <w:shd w:val="clear" w:color="auto" w:fill="auto"/>
            <w:vAlign w:val="bottom"/>
            <w:hideMark/>
          </w:tcPr>
          <w:p w:rsidR="00B958B1" w:rsidRPr="00AD2A87" w:rsidRDefault="00B958B1" w:rsidP="009F3B54">
            <w:pPr>
              <w:pStyle w:val="OGTabHead"/>
              <w:rPr>
                <w:lang w:eastAsia="en-AU"/>
              </w:rPr>
            </w:pPr>
            <w:r w:rsidRPr="00AD2A87">
              <w:rPr>
                <w:lang w:eastAsia="en-AU"/>
              </w:rPr>
              <w:t>Quantity</w:t>
            </w:r>
          </w:p>
        </w:tc>
        <w:tc>
          <w:tcPr>
            <w:tcW w:w="907" w:type="dxa"/>
            <w:tcBorders>
              <w:top w:val="single" w:sz="6" w:space="0" w:color="auto"/>
              <w:left w:val="nil"/>
              <w:bottom w:val="nil"/>
              <w:right w:val="nil"/>
            </w:tcBorders>
            <w:shd w:val="clear" w:color="auto" w:fill="auto"/>
            <w:noWrap/>
            <w:hideMark/>
          </w:tcPr>
          <w:p w:rsidR="00B958B1" w:rsidRPr="00AD2A87" w:rsidRDefault="00B958B1" w:rsidP="009F3B54">
            <w:pPr>
              <w:pStyle w:val="OGUoM"/>
              <w:rPr>
                <w:lang w:eastAsia="en-AU"/>
              </w:rPr>
            </w:pPr>
          </w:p>
        </w:tc>
        <w:tc>
          <w:tcPr>
            <w:tcW w:w="908" w:type="dxa"/>
            <w:tcBorders>
              <w:top w:val="single" w:sz="6" w:space="0" w:color="auto"/>
              <w:left w:val="nil"/>
              <w:bottom w:val="nil"/>
              <w:right w:val="nil"/>
            </w:tcBorders>
            <w:shd w:val="clear" w:color="auto" w:fill="D9D9D9"/>
            <w:noWrap/>
            <w:hideMark/>
          </w:tcPr>
          <w:p w:rsidR="00B958B1" w:rsidRPr="00AD2A87" w:rsidRDefault="00B958B1" w:rsidP="009F3B54">
            <w:pPr>
              <w:pStyle w:val="OGTableofFigures"/>
              <w:rPr>
                <w:lang w:eastAsia="en-AU"/>
              </w:rPr>
            </w:pPr>
          </w:p>
        </w:tc>
        <w:tc>
          <w:tcPr>
            <w:tcW w:w="995" w:type="dxa"/>
            <w:tcBorders>
              <w:top w:val="single" w:sz="6" w:space="0" w:color="auto"/>
              <w:left w:val="nil"/>
              <w:bottom w:val="nil"/>
              <w:right w:val="nil"/>
            </w:tcBorders>
            <w:shd w:val="clear" w:color="auto" w:fill="auto"/>
            <w:noWrap/>
            <w:hideMark/>
          </w:tcPr>
          <w:p w:rsidR="00B958B1" w:rsidRPr="00AD2A87" w:rsidRDefault="00B958B1" w:rsidP="009F3B54">
            <w:pPr>
              <w:pStyle w:val="OGTableofFigures"/>
              <w:rPr>
                <w:lang w:eastAsia="en-AU"/>
              </w:rPr>
            </w:pPr>
          </w:p>
        </w:tc>
        <w:tc>
          <w:tcPr>
            <w:tcW w:w="908" w:type="dxa"/>
            <w:tcBorders>
              <w:top w:val="single" w:sz="6" w:space="0" w:color="auto"/>
              <w:left w:val="nil"/>
              <w:bottom w:val="nil"/>
              <w:right w:val="nil"/>
            </w:tcBorders>
            <w:shd w:val="clear" w:color="auto" w:fill="auto"/>
            <w:noWrap/>
            <w:hideMark/>
          </w:tcPr>
          <w:p w:rsidR="00B958B1" w:rsidRPr="00AD2A87"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AD2A87" w:rsidRDefault="00B958B1" w:rsidP="009F3B54">
            <w:pPr>
              <w:pStyle w:val="OGTableofFigures"/>
              <w:rPr>
                <w:lang w:eastAsia="en-AU"/>
              </w:rPr>
            </w:pP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left w:val="nil"/>
              <w:bottom w:val="nil"/>
              <w:right w:val="nil"/>
            </w:tcBorders>
            <w:shd w:val="clear" w:color="000000" w:fill="FFFFFF"/>
            <w:hideMark/>
          </w:tcPr>
          <w:p w:rsidR="00B958B1" w:rsidRPr="00AD2A87" w:rsidRDefault="00B958B1" w:rsidP="009F3B54">
            <w:pPr>
              <w:pStyle w:val="OGTabText"/>
              <w:rPr>
                <w:lang w:eastAsia="en-AU"/>
              </w:rPr>
            </w:pPr>
            <w:r w:rsidRPr="00AD2A87">
              <w:rPr>
                <w:lang w:eastAsia="en-AU"/>
              </w:rPr>
              <w:t>Regional Investment Plans proposing natural resources improvement projects submitted, assessed and recommended to responsible Minister(s) for funding</w:t>
            </w:r>
          </w:p>
        </w:tc>
        <w:tc>
          <w:tcPr>
            <w:tcW w:w="907" w:type="dxa"/>
            <w:tcBorders>
              <w:left w:val="nil"/>
              <w:bottom w:val="nil"/>
              <w:right w:val="nil"/>
            </w:tcBorders>
            <w:shd w:val="clear" w:color="000000" w:fill="FFFFFF"/>
            <w:hideMark/>
          </w:tcPr>
          <w:p w:rsidR="00B958B1" w:rsidRPr="00AD2A87" w:rsidRDefault="00B958B1" w:rsidP="009F3B54">
            <w:pPr>
              <w:pStyle w:val="OGUoM"/>
              <w:rPr>
                <w:lang w:eastAsia="en-AU"/>
              </w:rPr>
            </w:pPr>
            <w:r w:rsidRPr="00AD2A87">
              <w:rPr>
                <w:lang w:eastAsia="en-AU"/>
              </w:rPr>
              <w:t>number</w:t>
            </w:r>
          </w:p>
        </w:tc>
        <w:tc>
          <w:tcPr>
            <w:tcW w:w="908" w:type="dxa"/>
            <w:tcBorders>
              <w:left w:val="nil"/>
              <w:bottom w:val="nil"/>
              <w:right w:val="nil"/>
            </w:tcBorders>
            <w:shd w:val="clear" w:color="auto" w:fill="D9D9D9"/>
            <w:hideMark/>
          </w:tcPr>
          <w:p w:rsidR="00B958B1" w:rsidRPr="00AD2A87" w:rsidRDefault="00B958B1" w:rsidP="009F3B54">
            <w:pPr>
              <w:pStyle w:val="OGTableofFigures"/>
              <w:rPr>
                <w:lang w:eastAsia="en-AU"/>
              </w:rPr>
            </w:pPr>
            <w:r w:rsidRPr="00AD2A87">
              <w:rPr>
                <w:lang w:eastAsia="en-AU"/>
              </w:rPr>
              <w:t>10</w:t>
            </w:r>
          </w:p>
        </w:tc>
        <w:tc>
          <w:tcPr>
            <w:tcW w:w="995" w:type="dxa"/>
            <w:tcBorders>
              <w:left w:val="nil"/>
              <w:bottom w:val="nil"/>
              <w:right w:val="nil"/>
            </w:tcBorders>
            <w:shd w:val="clear" w:color="000000" w:fill="FFFFFF"/>
            <w:hideMark/>
          </w:tcPr>
          <w:p w:rsidR="00B958B1" w:rsidRPr="00AD2A87" w:rsidRDefault="00B958B1" w:rsidP="009F3B54">
            <w:pPr>
              <w:pStyle w:val="OGTableofFigures"/>
              <w:rPr>
                <w:lang w:eastAsia="en-AU"/>
              </w:rPr>
            </w:pPr>
            <w:r w:rsidRPr="00AD2A87">
              <w:rPr>
                <w:lang w:eastAsia="en-AU"/>
              </w:rPr>
              <w:t>10</w:t>
            </w:r>
          </w:p>
        </w:tc>
        <w:tc>
          <w:tcPr>
            <w:tcW w:w="908" w:type="dxa"/>
            <w:tcBorders>
              <w:left w:val="nil"/>
              <w:bottom w:val="nil"/>
              <w:right w:val="nil"/>
            </w:tcBorders>
            <w:shd w:val="clear" w:color="000000" w:fill="FFFFFF"/>
            <w:hideMark/>
          </w:tcPr>
          <w:p w:rsidR="00B958B1" w:rsidRPr="00AD2A87" w:rsidRDefault="00B958B1" w:rsidP="009F3B54">
            <w:pPr>
              <w:pStyle w:val="OGTableofFigures"/>
              <w:rPr>
                <w:lang w:eastAsia="en-AU"/>
              </w:rPr>
            </w:pPr>
            <w:r w:rsidRPr="00AD2A87">
              <w:rPr>
                <w:lang w:eastAsia="en-AU"/>
              </w:rPr>
              <w:t>10</w:t>
            </w:r>
          </w:p>
        </w:tc>
        <w:tc>
          <w:tcPr>
            <w:tcW w:w="907" w:type="dxa"/>
            <w:tcBorders>
              <w:left w:val="nil"/>
              <w:bottom w:val="nil"/>
              <w:right w:val="nil"/>
            </w:tcBorders>
            <w:shd w:val="clear" w:color="000000" w:fill="FFFFFF"/>
            <w:hideMark/>
          </w:tcPr>
          <w:p w:rsidR="00B958B1" w:rsidRPr="00AD2A87" w:rsidRDefault="00B958B1" w:rsidP="009F3B54">
            <w:pPr>
              <w:pStyle w:val="OGTableofFigures"/>
              <w:rPr>
                <w:lang w:eastAsia="en-AU"/>
              </w:rPr>
            </w:pPr>
            <w:r w:rsidRPr="00AD2A87">
              <w:rPr>
                <w:lang w:eastAsia="en-AU"/>
              </w:rPr>
              <w:t>18</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left w:val="nil"/>
              <w:bottom w:val="single" w:sz="6" w:space="0" w:color="auto"/>
              <w:right w:val="nil"/>
            </w:tcBorders>
            <w:shd w:val="clear" w:color="000000" w:fill="FFFFFF"/>
          </w:tcPr>
          <w:p w:rsidR="00B958B1" w:rsidRPr="00AD2A87" w:rsidRDefault="00B958B1" w:rsidP="009F3B54">
            <w:pPr>
              <w:pStyle w:val="OGNotes"/>
            </w:pPr>
            <w:r w:rsidRPr="00AD2A87">
              <w:t>This performance measure is proposed to be discontinued as it is no longer relevant. The responsibility for the investment process for Catchment Management Authorities has been transferred from the Environmental Programs output to the Effective Water Management and Supply output. The output that is being purchased by this funding is already encapsulated in the Effective Water Management and Supply performance measures.</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single" w:sz="6" w:space="0" w:color="auto"/>
              <w:left w:val="nil"/>
              <w:bottom w:val="nil"/>
              <w:right w:val="nil"/>
            </w:tcBorders>
            <w:shd w:val="clear" w:color="000000" w:fill="FFFFFF"/>
          </w:tcPr>
          <w:p w:rsidR="00B958B1" w:rsidRPr="00AD2A87" w:rsidRDefault="00B958B1" w:rsidP="009F3B54">
            <w:pPr>
              <w:pStyle w:val="OGTabText"/>
              <w:rPr>
                <w:lang w:eastAsia="en-AU"/>
              </w:rPr>
            </w:pPr>
            <w:r w:rsidRPr="00AD2A87">
              <w:rPr>
                <w:lang w:eastAsia="en-AU"/>
              </w:rPr>
              <w:t>Regional investment plans align with Government directions</w:t>
            </w:r>
          </w:p>
        </w:tc>
        <w:tc>
          <w:tcPr>
            <w:tcW w:w="907" w:type="dxa"/>
            <w:tcBorders>
              <w:top w:val="single" w:sz="6" w:space="0" w:color="auto"/>
              <w:left w:val="nil"/>
              <w:bottom w:val="nil"/>
              <w:right w:val="nil"/>
            </w:tcBorders>
            <w:shd w:val="clear" w:color="000000" w:fill="FFFFFF"/>
          </w:tcPr>
          <w:p w:rsidR="00B958B1" w:rsidRPr="00AD2A87" w:rsidRDefault="00B958B1" w:rsidP="009F3B54">
            <w:pPr>
              <w:pStyle w:val="OGUoM"/>
              <w:rPr>
                <w:lang w:eastAsia="en-AU"/>
              </w:rPr>
            </w:pPr>
            <w:r>
              <w:rPr>
                <w:lang w:eastAsia="en-AU"/>
              </w:rPr>
              <w:t>per cent</w:t>
            </w:r>
          </w:p>
        </w:tc>
        <w:tc>
          <w:tcPr>
            <w:tcW w:w="908" w:type="dxa"/>
            <w:tcBorders>
              <w:top w:val="single" w:sz="6" w:space="0" w:color="auto"/>
              <w:left w:val="nil"/>
              <w:bottom w:val="nil"/>
              <w:right w:val="nil"/>
            </w:tcBorders>
            <w:shd w:val="clear" w:color="auto" w:fill="D9D9D9"/>
          </w:tcPr>
          <w:p w:rsidR="00B958B1" w:rsidRPr="00AD2A87" w:rsidRDefault="00B958B1" w:rsidP="009F3B54">
            <w:pPr>
              <w:pStyle w:val="OGTableofFigures"/>
              <w:rPr>
                <w:lang w:eastAsia="en-AU"/>
              </w:rPr>
            </w:pPr>
            <w:r w:rsidRPr="00AD2A87">
              <w:rPr>
                <w:lang w:eastAsia="en-AU"/>
              </w:rPr>
              <w:t>100</w:t>
            </w:r>
          </w:p>
        </w:tc>
        <w:tc>
          <w:tcPr>
            <w:tcW w:w="995" w:type="dxa"/>
            <w:tcBorders>
              <w:top w:val="single" w:sz="6" w:space="0" w:color="auto"/>
              <w:left w:val="nil"/>
              <w:bottom w:val="nil"/>
              <w:right w:val="nil"/>
            </w:tcBorders>
            <w:shd w:val="clear" w:color="000000" w:fill="FFFFFF"/>
          </w:tcPr>
          <w:p w:rsidR="00B958B1" w:rsidRPr="00AD2A87" w:rsidRDefault="00B958B1" w:rsidP="009F3B54">
            <w:pPr>
              <w:pStyle w:val="OGTableofFigures"/>
              <w:rPr>
                <w:lang w:eastAsia="en-AU"/>
              </w:rPr>
            </w:pPr>
            <w:r w:rsidRPr="00AD2A87">
              <w:rPr>
                <w:lang w:eastAsia="en-AU"/>
              </w:rPr>
              <w:t>100</w:t>
            </w:r>
          </w:p>
        </w:tc>
        <w:tc>
          <w:tcPr>
            <w:tcW w:w="908" w:type="dxa"/>
            <w:tcBorders>
              <w:top w:val="single" w:sz="6" w:space="0" w:color="auto"/>
              <w:left w:val="nil"/>
              <w:bottom w:val="nil"/>
              <w:right w:val="nil"/>
            </w:tcBorders>
            <w:shd w:val="clear" w:color="000000" w:fill="FFFFFF"/>
          </w:tcPr>
          <w:p w:rsidR="00B958B1" w:rsidRPr="00AD2A87" w:rsidRDefault="00B958B1" w:rsidP="009F3B54">
            <w:pPr>
              <w:pStyle w:val="OGTableofFigures"/>
              <w:rPr>
                <w:lang w:eastAsia="en-AU"/>
              </w:rPr>
            </w:pPr>
            <w:r w:rsidRPr="00AD2A87">
              <w:rPr>
                <w:lang w:eastAsia="en-AU"/>
              </w:rPr>
              <w:t>100</w:t>
            </w:r>
          </w:p>
        </w:tc>
        <w:tc>
          <w:tcPr>
            <w:tcW w:w="907" w:type="dxa"/>
            <w:tcBorders>
              <w:top w:val="single" w:sz="6" w:space="0" w:color="auto"/>
              <w:left w:val="nil"/>
              <w:bottom w:val="nil"/>
              <w:right w:val="nil"/>
            </w:tcBorders>
            <w:shd w:val="clear" w:color="000000" w:fill="FFFFFF"/>
          </w:tcPr>
          <w:p w:rsidR="00B958B1" w:rsidRPr="00AD2A87" w:rsidRDefault="00B958B1" w:rsidP="009F3B54">
            <w:pPr>
              <w:pStyle w:val="OGTableofFigures"/>
              <w:rPr>
                <w:lang w:eastAsia="en-AU"/>
              </w:rPr>
            </w:pPr>
            <w:r w:rsidRPr="00AD2A87">
              <w:rPr>
                <w:lang w:eastAsia="en-AU"/>
              </w:rPr>
              <w:t>0</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top w:val="nil"/>
              <w:left w:val="nil"/>
              <w:bottom w:val="single" w:sz="6" w:space="0" w:color="auto"/>
              <w:right w:val="nil"/>
            </w:tcBorders>
            <w:shd w:val="clear" w:color="auto" w:fill="auto"/>
            <w:vAlign w:val="bottom"/>
          </w:tcPr>
          <w:p w:rsidR="00B958B1" w:rsidRPr="00AD2A87" w:rsidRDefault="00B958B1" w:rsidP="009F3B54">
            <w:pPr>
              <w:pStyle w:val="OGNotes"/>
            </w:pPr>
            <w:r w:rsidRPr="00AD2A87">
              <w:t>This performance measure is proposed to be discontinued as it is no longer relevant. The responsibility for the investment process for Catchment Management Authorities has been transferred from the Environmental Programs output to the Effective Water Management and Supply output. The output that is being purchased by this funding is already encapsulated in the Effective Water Management and Supply performance measures.</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single" w:sz="6" w:space="0" w:color="auto"/>
              <w:left w:val="nil"/>
              <w:bottom w:val="nil"/>
              <w:right w:val="nil"/>
            </w:tcBorders>
            <w:shd w:val="clear" w:color="auto" w:fill="auto"/>
            <w:vAlign w:val="bottom"/>
            <w:hideMark/>
          </w:tcPr>
          <w:p w:rsidR="00B958B1" w:rsidRPr="00AD2A87" w:rsidRDefault="00B958B1" w:rsidP="009F3B54">
            <w:pPr>
              <w:pStyle w:val="OGTabHead"/>
              <w:rPr>
                <w:lang w:eastAsia="en-AU"/>
              </w:rPr>
            </w:pPr>
            <w:r w:rsidRPr="00AD2A87">
              <w:rPr>
                <w:lang w:eastAsia="en-AU"/>
              </w:rPr>
              <w:t>Timeliness</w:t>
            </w:r>
          </w:p>
        </w:tc>
        <w:tc>
          <w:tcPr>
            <w:tcW w:w="907" w:type="dxa"/>
            <w:tcBorders>
              <w:top w:val="single" w:sz="6" w:space="0" w:color="auto"/>
              <w:left w:val="nil"/>
              <w:bottom w:val="nil"/>
              <w:right w:val="nil"/>
            </w:tcBorders>
            <w:shd w:val="clear" w:color="auto" w:fill="auto"/>
            <w:noWrap/>
            <w:hideMark/>
          </w:tcPr>
          <w:p w:rsidR="00B958B1" w:rsidRPr="00AD2A87" w:rsidRDefault="00B958B1" w:rsidP="009F3B54">
            <w:pPr>
              <w:pStyle w:val="OGUoM"/>
              <w:rPr>
                <w:lang w:eastAsia="en-AU"/>
              </w:rPr>
            </w:pPr>
          </w:p>
        </w:tc>
        <w:tc>
          <w:tcPr>
            <w:tcW w:w="908" w:type="dxa"/>
            <w:tcBorders>
              <w:top w:val="single" w:sz="6" w:space="0" w:color="auto"/>
              <w:left w:val="nil"/>
              <w:bottom w:val="nil"/>
              <w:right w:val="nil"/>
            </w:tcBorders>
            <w:shd w:val="clear" w:color="auto" w:fill="D9D9D9"/>
            <w:noWrap/>
            <w:hideMark/>
          </w:tcPr>
          <w:p w:rsidR="00B958B1" w:rsidRPr="00AD2A87" w:rsidRDefault="00B958B1" w:rsidP="009F3B54">
            <w:pPr>
              <w:pStyle w:val="OGTableofFigures"/>
              <w:rPr>
                <w:lang w:eastAsia="en-AU"/>
              </w:rPr>
            </w:pPr>
          </w:p>
        </w:tc>
        <w:tc>
          <w:tcPr>
            <w:tcW w:w="995" w:type="dxa"/>
            <w:tcBorders>
              <w:top w:val="single" w:sz="6" w:space="0" w:color="auto"/>
              <w:left w:val="nil"/>
              <w:bottom w:val="nil"/>
              <w:right w:val="nil"/>
            </w:tcBorders>
            <w:shd w:val="clear" w:color="auto" w:fill="auto"/>
            <w:noWrap/>
            <w:hideMark/>
          </w:tcPr>
          <w:p w:rsidR="00B958B1" w:rsidRPr="00AD2A87" w:rsidRDefault="00B958B1" w:rsidP="009F3B54">
            <w:pPr>
              <w:pStyle w:val="OGTableofFigures"/>
              <w:rPr>
                <w:lang w:eastAsia="en-AU"/>
              </w:rPr>
            </w:pPr>
          </w:p>
        </w:tc>
        <w:tc>
          <w:tcPr>
            <w:tcW w:w="908" w:type="dxa"/>
            <w:tcBorders>
              <w:top w:val="single" w:sz="6" w:space="0" w:color="auto"/>
              <w:left w:val="nil"/>
              <w:bottom w:val="nil"/>
              <w:right w:val="nil"/>
            </w:tcBorders>
            <w:shd w:val="clear" w:color="auto" w:fill="auto"/>
            <w:noWrap/>
            <w:hideMark/>
          </w:tcPr>
          <w:p w:rsidR="00B958B1" w:rsidRPr="00AD2A87"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AD2A87" w:rsidRDefault="00B958B1" w:rsidP="009F3B54">
            <w:pPr>
              <w:pStyle w:val="OGTableofFigures"/>
              <w:rPr>
                <w:lang w:eastAsia="en-AU"/>
              </w:rPr>
            </w:pP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nil"/>
              <w:left w:val="nil"/>
              <w:bottom w:val="nil"/>
              <w:right w:val="nil"/>
            </w:tcBorders>
            <w:shd w:val="clear" w:color="000000" w:fill="FFFFFF"/>
            <w:hideMark/>
          </w:tcPr>
          <w:p w:rsidR="00B958B1" w:rsidRPr="00AD2A87" w:rsidRDefault="00B958B1" w:rsidP="009F3B54">
            <w:pPr>
              <w:pStyle w:val="OGTabText"/>
              <w:rPr>
                <w:lang w:eastAsia="en-AU"/>
              </w:rPr>
            </w:pPr>
            <w:r w:rsidRPr="00AD2A87">
              <w:rPr>
                <w:lang w:eastAsia="en-AU"/>
              </w:rPr>
              <w:t>All regional investment plans submitted to Minister/s for approval by the prescribed date</w:t>
            </w:r>
          </w:p>
        </w:tc>
        <w:tc>
          <w:tcPr>
            <w:tcW w:w="907" w:type="dxa"/>
            <w:tcBorders>
              <w:top w:val="nil"/>
              <w:left w:val="nil"/>
              <w:bottom w:val="nil"/>
              <w:right w:val="nil"/>
            </w:tcBorders>
            <w:shd w:val="clear" w:color="000000" w:fill="FFFFFF"/>
            <w:hideMark/>
          </w:tcPr>
          <w:p w:rsidR="00B958B1" w:rsidRPr="00AD2A87" w:rsidRDefault="00B958B1" w:rsidP="009F3B54">
            <w:pPr>
              <w:pStyle w:val="OGUoM"/>
              <w:rPr>
                <w:lang w:eastAsia="en-AU"/>
              </w:rPr>
            </w:pPr>
            <w:r w:rsidRPr="00AD2A87">
              <w:rPr>
                <w:lang w:eastAsia="en-AU"/>
              </w:rPr>
              <w:t>date</w:t>
            </w:r>
          </w:p>
        </w:tc>
        <w:tc>
          <w:tcPr>
            <w:tcW w:w="908" w:type="dxa"/>
            <w:tcBorders>
              <w:top w:val="nil"/>
              <w:left w:val="nil"/>
              <w:bottom w:val="nil"/>
              <w:right w:val="nil"/>
            </w:tcBorders>
            <w:shd w:val="clear" w:color="auto" w:fill="D9D9D9"/>
            <w:hideMark/>
          </w:tcPr>
          <w:p w:rsidR="00B958B1" w:rsidRPr="00AD2A87" w:rsidRDefault="00B958B1" w:rsidP="009F3B54">
            <w:pPr>
              <w:pStyle w:val="OGTableofFigures"/>
              <w:rPr>
                <w:lang w:eastAsia="en-AU"/>
              </w:rPr>
            </w:pPr>
            <w:r w:rsidRPr="00AD2A87">
              <w:rPr>
                <w:lang w:eastAsia="en-AU"/>
              </w:rPr>
              <w:t>Jun</w:t>
            </w:r>
            <w:r w:rsidR="009F0F49">
              <w:rPr>
                <w:lang w:eastAsia="en-AU"/>
              </w:rPr>
              <w:noBreakHyphen/>
            </w:r>
            <w:r w:rsidRPr="00AD2A87">
              <w:rPr>
                <w:lang w:eastAsia="en-AU"/>
              </w:rPr>
              <w:t>14</w:t>
            </w:r>
          </w:p>
        </w:tc>
        <w:tc>
          <w:tcPr>
            <w:tcW w:w="995" w:type="dxa"/>
            <w:tcBorders>
              <w:top w:val="nil"/>
              <w:left w:val="nil"/>
              <w:bottom w:val="nil"/>
              <w:right w:val="nil"/>
            </w:tcBorders>
            <w:shd w:val="clear" w:color="000000" w:fill="FFFFFF"/>
            <w:hideMark/>
          </w:tcPr>
          <w:p w:rsidR="00B958B1" w:rsidRPr="00AD2A87" w:rsidRDefault="00B958B1" w:rsidP="009F3B54">
            <w:pPr>
              <w:pStyle w:val="OGTableofFigures"/>
              <w:rPr>
                <w:lang w:eastAsia="en-AU"/>
              </w:rPr>
            </w:pPr>
            <w:r w:rsidRPr="00AD2A87">
              <w:rPr>
                <w:lang w:eastAsia="en-AU"/>
              </w:rPr>
              <w:t>Jun</w:t>
            </w:r>
            <w:r w:rsidR="009F0F49">
              <w:rPr>
                <w:lang w:eastAsia="en-AU"/>
              </w:rPr>
              <w:noBreakHyphen/>
            </w:r>
            <w:r w:rsidRPr="00AD2A87">
              <w:rPr>
                <w:lang w:eastAsia="en-AU"/>
              </w:rPr>
              <w:t>13</w:t>
            </w:r>
          </w:p>
        </w:tc>
        <w:tc>
          <w:tcPr>
            <w:tcW w:w="908" w:type="dxa"/>
            <w:tcBorders>
              <w:top w:val="nil"/>
              <w:left w:val="nil"/>
              <w:bottom w:val="nil"/>
              <w:right w:val="nil"/>
            </w:tcBorders>
            <w:shd w:val="clear" w:color="000000" w:fill="FFFFFF"/>
            <w:hideMark/>
          </w:tcPr>
          <w:p w:rsidR="00B958B1" w:rsidRPr="00AD2A87" w:rsidRDefault="00B958B1" w:rsidP="009F3B54">
            <w:pPr>
              <w:pStyle w:val="OGTableofFigures"/>
              <w:rPr>
                <w:lang w:eastAsia="en-AU"/>
              </w:rPr>
            </w:pPr>
            <w:r w:rsidRPr="00AD2A87">
              <w:rPr>
                <w:lang w:eastAsia="en-AU"/>
              </w:rPr>
              <w:t>Jun</w:t>
            </w:r>
            <w:r w:rsidR="009F0F49">
              <w:rPr>
                <w:lang w:eastAsia="en-AU"/>
              </w:rPr>
              <w:noBreakHyphen/>
            </w:r>
            <w:r w:rsidRPr="00AD2A87">
              <w:rPr>
                <w:lang w:eastAsia="en-AU"/>
              </w:rPr>
              <w:t>13</w:t>
            </w:r>
          </w:p>
        </w:tc>
        <w:tc>
          <w:tcPr>
            <w:tcW w:w="907" w:type="dxa"/>
            <w:tcBorders>
              <w:top w:val="nil"/>
              <w:left w:val="nil"/>
              <w:bottom w:val="nil"/>
              <w:right w:val="nil"/>
            </w:tcBorders>
            <w:shd w:val="clear" w:color="000000" w:fill="FFFFFF"/>
            <w:hideMark/>
          </w:tcPr>
          <w:p w:rsidR="00B958B1" w:rsidRPr="00AD2A87" w:rsidRDefault="00B958B1" w:rsidP="009F3B54">
            <w:pPr>
              <w:pStyle w:val="OGTableofFigures"/>
              <w:rPr>
                <w:lang w:eastAsia="en-AU"/>
              </w:rPr>
            </w:pPr>
            <w:r w:rsidRPr="00AD2A87">
              <w:rPr>
                <w:lang w:eastAsia="en-AU"/>
              </w:rPr>
              <w:t>0</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AD2A87" w:rsidRDefault="00B958B1" w:rsidP="009F3B54">
            <w:pPr>
              <w:pStyle w:val="OGNotes"/>
            </w:pPr>
            <w:r w:rsidRPr="00AD2A87">
              <w:t>This performance measure is proposed to be discontinued as it is no longer relevant. The responsibility for the investment process for Catchment Management Authorities has been transferred from the Environmental Programs output to the Effective Water Management and Supply output. The output that is being purchased by this funding is already encapsulated in the Effective Water Management and Supply performance measures.</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top w:val="single" w:sz="6" w:space="0" w:color="auto"/>
              <w:left w:val="nil"/>
              <w:bottom w:val="single" w:sz="6" w:space="0" w:color="auto"/>
              <w:right w:val="nil"/>
            </w:tcBorders>
            <w:shd w:val="clear" w:color="auto" w:fill="auto"/>
            <w:vAlign w:val="bottom"/>
            <w:hideMark/>
          </w:tcPr>
          <w:p w:rsidR="00B958B1" w:rsidRPr="00AD2A87" w:rsidRDefault="00B958B1" w:rsidP="009F3B54">
            <w:pPr>
              <w:pStyle w:val="OGHeading2"/>
              <w:rPr>
                <w:lang w:eastAsia="en-AU"/>
              </w:rPr>
            </w:pPr>
            <w:r w:rsidRPr="00AD2A87">
              <w:rPr>
                <w:lang w:eastAsia="en-AU"/>
              </w:rPr>
              <w:t>Statutory Activities and Environment Protection</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single" w:sz="6" w:space="0" w:color="auto"/>
              <w:left w:val="nil"/>
              <w:bottom w:val="nil"/>
              <w:right w:val="nil"/>
            </w:tcBorders>
            <w:shd w:val="clear" w:color="auto" w:fill="auto"/>
            <w:vAlign w:val="bottom"/>
            <w:hideMark/>
          </w:tcPr>
          <w:p w:rsidR="00B958B1" w:rsidRPr="00AD2A87" w:rsidRDefault="00B958B1" w:rsidP="009F3B54">
            <w:pPr>
              <w:pStyle w:val="OGTabHead"/>
              <w:rPr>
                <w:lang w:eastAsia="en-AU"/>
              </w:rPr>
            </w:pPr>
            <w:r w:rsidRPr="00AD2A87">
              <w:rPr>
                <w:lang w:eastAsia="en-AU"/>
              </w:rPr>
              <w:t>Quality</w:t>
            </w:r>
          </w:p>
        </w:tc>
        <w:tc>
          <w:tcPr>
            <w:tcW w:w="907" w:type="dxa"/>
            <w:tcBorders>
              <w:top w:val="single" w:sz="6" w:space="0" w:color="auto"/>
              <w:left w:val="nil"/>
              <w:bottom w:val="nil"/>
              <w:right w:val="nil"/>
            </w:tcBorders>
            <w:shd w:val="clear" w:color="auto" w:fill="auto"/>
            <w:noWrap/>
            <w:hideMark/>
          </w:tcPr>
          <w:p w:rsidR="00B958B1" w:rsidRPr="00AD2A87" w:rsidRDefault="00B958B1" w:rsidP="009F3B54">
            <w:pPr>
              <w:pStyle w:val="OGUoM"/>
              <w:rPr>
                <w:lang w:eastAsia="en-AU"/>
              </w:rPr>
            </w:pPr>
          </w:p>
        </w:tc>
        <w:tc>
          <w:tcPr>
            <w:tcW w:w="908" w:type="dxa"/>
            <w:tcBorders>
              <w:top w:val="single" w:sz="6" w:space="0" w:color="auto"/>
              <w:left w:val="nil"/>
              <w:bottom w:val="nil"/>
              <w:right w:val="nil"/>
            </w:tcBorders>
            <w:shd w:val="clear" w:color="auto" w:fill="D9D9D9"/>
            <w:noWrap/>
            <w:hideMark/>
          </w:tcPr>
          <w:p w:rsidR="00B958B1" w:rsidRPr="00AD2A87" w:rsidRDefault="00B958B1" w:rsidP="009F3B54">
            <w:pPr>
              <w:pStyle w:val="OGTableofFigures"/>
              <w:rPr>
                <w:lang w:eastAsia="en-AU"/>
              </w:rPr>
            </w:pPr>
          </w:p>
        </w:tc>
        <w:tc>
          <w:tcPr>
            <w:tcW w:w="995" w:type="dxa"/>
            <w:tcBorders>
              <w:top w:val="single" w:sz="6" w:space="0" w:color="auto"/>
              <w:left w:val="nil"/>
              <w:bottom w:val="nil"/>
              <w:right w:val="nil"/>
            </w:tcBorders>
            <w:shd w:val="clear" w:color="auto" w:fill="auto"/>
            <w:noWrap/>
            <w:hideMark/>
          </w:tcPr>
          <w:p w:rsidR="00B958B1" w:rsidRPr="00AD2A87" w:rsidRDefault="00B958B1" w:rsidP="009F3B54">
            <w:pPr>
              <w:pStyle w:val="OGTableofFigures"/>
              <w:rPr>
                <w:lang w:eastAsia="en-AU"/>
              </w:rPr>
            </w:pPr>
          </w:p>
        </w:tc>
        <w:tc>
          <w:tcPr>
            <w:tcW w:w="908" w:type="dxa"/>
            <w:tcBorders>
              <w:top w:val="single" w:sz="6" w:space="0" w:color="auto"/>
              <w:left w:val="nil"/>
              <w:bottom w:val="nil"/>
              <w:right w:val="nil"/>
            </w:tcBorders>
            <w:shd w:val="clear" w:color="auto" w:fill="auto"/>
            <w:noWrap/>
            <w:hideMark/>
          </w:tcPr>
          <w:p w:rsidR="00B958B1" w:rsidRPr="00AD2A87"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AD2A87" w:rsidRDefault="00B958B1" w:rsidP="009F3B54">
            <w:pPr>
              <w:pStyle w:val="OGTableofFigures"/>
              <w:rPr>
                <w:lang w:eastAsia="en-AU"/>
              </w:rPr>
            </w:pP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nil"/>
              <w:left w:val="nil"/>
              <w:bottom w:val="nil"/>
              <w:right w:val="nil"/>
            </w:tcBorders>
            <w:shd w:val="clear" w:color="000000" w:fill="FFFFFF"/>
            <w:hideMark/>
          </w:tcPr>
          <w:p w:rsidR="00B958B1" w:rsidRPr="00AD2A87" w:rsidRDefault="00B958B1" w:rsidP="009F3B54">
            <w:pPr>
              <w:pStyle w:val="OGTabText"/>
              <w:rPr>
                <w:lang w:eastAsia="en-AU"/>
              </w:rPr>
            </w:pPr>
            <w:r w:rsidRPr="00AD2A87">
              <w:rPr>
                <w:lang w:eastAsia="en-AU"/>
              </w:rPr>
              <w:t>Hours during which air quality standards were met, as a proportion of hours in the reporting cycle</w:t>
            </w:r>
          </w:p>
        </w:tc>
        <w:tc>
          <w:tcPr>
            <w:tcW w:w="907" w:type="dxa"/>
            <w:tcBorders>
              <w:top w:val="nil"/>
              <w:left w:val="nil"/>
              <w:bottom w:val="nil"/>
              <w:right w:val="nil"/>
            </w:tcBorders>
            <w:shd w:val="clear" w:color="000000" w:fill="FFFFFF"/>
            <w:hideMark/>
          </w:tcPr>
          <w:p w:rsidR="00B958B1" w:rsidRPr="00AD2A87" w:rsidRDefault="00B958B1" w:rsidP="009F3B54">
            <w:pPr>
              <w:pStyle w:val="OGUoM"/>
              <w:rPr>
                <w:lang w:eastAsia="en-AU"/>
              </w:rPr>
            </w:pPr>
            <w:r>
              <w:rPr>
                <w:lang w:eastAsia="en-AU"/>
              </w:rPr>
              <w:t>per cent</w:t>
            </w:r>
          </w:p>
        </w:tc>
        <w:tc>
          <w:tcPr>
            <w:tcW w:w="908" w:type="dxa"/>
            <w:tcBorders>
              <w:top w:val="nil"/>
              <w:left w:val="nil"/>
              <w:bottom w:val="nil"/>
              <w:right w:val="nil"/>
            </w:tcBorders>
            <w:shd w:val="clear" w:color="auto" w:fill="D9D9D9"/>
            <w:hideMark/>
          </w:tcPr>
          <w:p w:rsidR="00B958B1" w:rsidRPr="00AD2A87" w:rsidRDefault="00B958B1" w:rsidP="009F3B54">
            <w:pPr>
              <w:pStyle w:val="OGTableofFigures"/>
              <w:rPr>
                <w:lang w:eastAsia="en-AU"/>
              </w:rPr>
            </w:pPr>
            <w:r w:rsidRPr="00AD2A87">
              <w:rPr>
                <w:lang w:eastAsia="en-AU"/>
              </w:rPr>
              <w:t>99</w:t>
            </w:r>
          </w:p>
        </w:tc>
        <w:tc>
          <w:tcPr>
            <w:tcW w:w="995" w:type="dxa"/>
            <w:tcBorders>
              <w:top w:val="nil"/>
              <w:left w:val="nil"/>
              <w:bottom w:val="nil"/>
              <w:right w:val="nil"/>
            </w:tcBorders>
            <w:shd w:val="clear" w:color="000000" w:fill="FFFFFF"/>
            <w:hideMark/>
          </w:tcPr>
          <w:p w:rsidR="00B958B1" w:rsidRPr="00AD2A87" w:rsidRDefault="00B958B1" w:rsidP="009F3B54">
            <w:pPr>
              <w:pStyle w:val="OGTableofFigures"/>
              <w:rPr>
                <w:lang w:eastAsia="en-AU"/>
              </w:rPr>
            </w:pPr>
            <w:r w:rsidRPr="00AD2A87">
              <w:rPr>
                <w:lang w:eastAsia="en-AU"/>
              </w:rPr>
              <w:t>98</w:t>
            </w:r>
          </w:p>
        </w:tc>
        <w:tc>
          <w:tcPr>
            <w:tcW w:w="908" w:type="dxa"/>
            <w:tcBorders>
              <w:top w:val="nil"/>
              <w:left w:val="nil"/>
              <w:bottom w:val="nil"/>
              <w:right w:val="nil"/>
            </w:tcBorders>
            <w:shd w:val="clear" w:color="000000" w:fill="FFFFFF"/>
            <w:hideMark/>
          </w:tcPr>
          <w:p w:rsidR="00B958B1" w:rsidRPr="00AD2A87" w:rsidRDefault="00B958B1" w:rsidP="009F3B54">
            <w:pPr>
              <w:pStyle w:val="OGTableofFigures"/>
              <w:rPr>
                <w:lang w:eastAsia="en-AU"/>
              </w:rPr>
            </w:pPr>
            <w:r w:rsidRPr="00AD2A87">
              <w:rPr>
                <w:lang w:eastAsia="en-AU"/>
              </w:rPr>
              <w:t>99</w:t>
            </w:r>
          </w:p>
        </w:tc>
        <w:tc>
          <w:tcPr>
            <w:tcW w:w="907" w:type="dxa"/>
            <w:tcBorders>
              <w:top w:val="nil"/>
              <w:left w:val="nil"/>
              <w:bottom w:val="nil"/>
              <w:right w:val="nil"/>
            </w:tcBorders>
            <w:shd w:val="clear" w:color="000000" w:fill="FFFFFF"/>
            <w:hideMark/>
          </w:tcPr>
          <w:p w:rsidR="00B958B1" w:rsidRPr="00AD2A87" w:rsidRDefault="00B958B1" w:rsidP="009F3B54">
            <w:pPr>
              <w:pStyle w:val="OGTableofFigures"/>
              <w:rPr>
                <w:lang w:eastAsia="en-AU"/>
              </w:rPr>
            </w:pPr>
            <w:r w:rsidRPr="00AD2A87">
              <w:rPr>
                <w:lang w:eastAsia="en-AU"/>
              </w:rPr>
              <w:t>98</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AD2A87" w:rsidRDefault="00B958B1" w:rsidP="009F3B54">
            <w:pPr>
              <w:pStyle w:val="OGNotes"/>
            </w:pPr>
            <w:r w:rsidRPr="00AD2A87">
              <w:t xml:space="preserve">This performance measure is proposed to be discontinued as it is being replaced by </w:t>
            </w:r>
            <w:r>
              <w:t>‘</w:t>
            </w:r>
            <w:r w:rsidRPr="00AD2A87">
              <w:t xml:space="preserve">EPA prosecutions are successful, and conditions in enforceable undertakings (entered into under the </w:t>
            </w:r>
            <w:r w:rsidRPr="007536D4">
              <w:rPr>
                <w:i w:val="0"/>
              </w:rPr>
              <w:t>Environment Protection Act 1970</w:t>
            </w:r>
            <w:r w:rsidRPr="00AD2A87">
              <w:t xml:space="preserve">) are </w:t>
            </w:r>
            <w:r>
              <w:t>focused</w:t>
            </w:r>
            <w:r w:rsidRPr="00AD2A87">
              <w:t xml:space="preserve"> on improving the environmental performance of the offender, delivering benefits to the local environment and community, and industry</w:t>
            </w:r>
            <w:r w:rsidR="009F0F49">
              <w:noBreakHyphen/>
            </w:r>
            <w:r w:rsidRPr="00AD2A87">
              <w:t>wide improvement</w:t>
            </w:r>
            <w:r>
              <w:t>’</w:t>
            </w:r>
            <w:r w:rsidRPr="00AD2A87">
              <w:t>. This measure has been replaced to improve the transparency of the measure.</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single" w:sz="6" w:space="0" w:color="auto"/>
              <w:left w:val="nil"/>
              <w:bottom w:val="nil"/>
              <w:right w:val="nil"/>
            </w:tcBorders>
            <w:shd w:val="clear" w:color="auto" w:fill="auto"/>
            <w:vAlign w:val="bottom"/>
            <w:hideMark/>
          </w:tcPr>
          <w:p w:rsidR="00B958B1" w:rsidRPr="00AD2A87" w:rsidRDefault="00B958B1" w:rsidP="009F3B54">
            <w:pPr>
              <w:pStyle w:val="OGTabHead"/>
              <w:rPr>
                <w:lang w:eastAsia="en-AU"/>
              </w:rPr>
            </w:pPr>
            <w:r w:rsidRPr="00AD2A87">
              <w:rPr>
                <w:lang w:eastAsia="en-AU"/>
              </w:rPr>
              <w:t>Timeliness</w:t>
            </w:r>
          </w:p>
        </w:tc>
        <w:tc>
          <w:tcPr>
            <w:tcW w:w="907" w:type="dxa"/>
            <w:tcBorders>
              <w:top w:val="single" w:sz="6" w:space="0" w:color="auto"/>
              <w:left w:val="nil"/>
              <w:bottom w:val="nil"/>
              <w:right w:val="nil"/>
            </w:tcBorders>
            <w:shd w:val="clear" w:color="auto" w:fill="auto"/>
            <w:noWrap/>
            <w:hideMark/>
          </w:tcPr>
          <w:p w:rsidR="00B958B1" w:rsidRPr="00AD2A87" w:rsidRDefault="00B958B1" w:rsidP="009F3B54">
            <w:pPr>
              <w:pStyle w:val="OGUoM"/>
              <w:keepNext/>
              <w:rPr>
                <w:lang w:eastAsia="en-AU"/>
              </w:rPr>
            </w:pPr>
          </w:p>
        </w:tc>
        <w:tc>
          <w:tcPr>
            <w:tcW w:w="908" w:type="dxa"/>
            <w:tcBorders>
              <w:top w:val="single" w:sz="6" w:space="0" w:color="auto"/>
              <w:left w:val="nil"/>
              <w:bottom w:val="nil"/>
              <w:right w:val="nil"/>
            </w:tcBorders>
            <w:shd w:val="clear" w:color="auto" w:fill="D9D9D9"/>
            <w:noWrap/>
            <w:hideMark/>
          </w:tcPr>
          <w:p w:rsidR="00B958B1" w:rsidRPr="00AD2A87" w:rsidRDefault="00B958B1" w:rsidP="009F3B54">
            <w:pPr>
              <w:pStyle w:val="OGTableofFigures"/>
              <w:keepNext/>
              <w:rPr>
                <w:lang w:eastAsia="en-AU"/>
              </w:rPr>
            </w:pPr>
          </w:p>
        </w:tc>
        <w:tc>
          <w:tcPr>
            <w:tcW w:w="995" w:type="dxa"/>
            <w:tcBorders>
              <w:top w:val="single" w:sz="6" w:space="0" w:color="auto"/>
              <w:left w:val="nil"/>
              <w:bottom w:val="nil"/>
              <w:right w:val="nil"/>
            </w:tcBorders>
            <w:shd w:val="clear" w:color="auto" w:fill="auto"/>
            <w:noWrap/>
            <w:hideMark/>
          </w:tcPr>
          <w:p w:rsidR="00B958B1" w:rsidRPr="00AD2A87" w:rsidRDefault="00B958B1" w:rsidP="009F3B54">
            <w:pPr>
              <w:pStyle w:val="OGTableofFigures"/>
              <w:keepNext/>
              <w:rPr>
                <w:lang w:eastAsia="en-AU"/>
              </w:rPr>
            </w:pPr>
          </w:p>
        </w:tc>
        <w:tc>
          <w:tcPr>
            <w:tcW w:w="908" w:type="dxa"/>
            <w:tcBorders>
              <w:top w:val="single" w:sz="6" w:space="0" w:color="auto"/>
              <w:left w:val="nil"/>
              <w:bottom w:val="nil"/>
              <w:right w:val="nil"/>
            </w:tcBorders>
            <w:shd w:val="clear" w:color="auto" w:fill="auto"/>
            <w:noWrap/>
            <w:hideMark/>
          </w:tcPr>
          <w:p w:rsidR="00B958B1" w:rsidRPr="00AD2A87" w:rsidRDefault="00B958B1" w:rsidP="009F3B54">
            <w:pPr>
              <w:pStyle w:val="OGTableofFigures"/>
              <w:keepNext/>
              <w:rPr>
                <w:lang w:eastAsia="en-AU"/>
              </w:rPr>
            </w:pPr>
          </w:p>
        </w:tc>
        <w:tc>
          <w:tcPr>
            <w:tcW w:w="907" w:type="dxa"/>
            <w:tcBorders>
              <w:top w:val="single" w:sz="6" w:space="0" w:color="auto"/>
              <w:left w:val="nil"/>
              <w:bottom w:val="nil"/>
              <w:right w:val="nil"/>
            </w:tcBorders>
            <w:shd w:val="clear" w:color="auto" w:fill="auto"/>
            <w:noWrap/>
            <w:hideMark/>
          </w:tcPr>
          <w:p w:rsidR="00B958B1" w:rsidRPr="00AD2A87" w:rsidRDefault="00B958B1" w:rsidP="009F3B54">
            <w:pPr>
              <w:pStyle w:val="OGTableofFigures"/>
              <w:keepNext/>
              <w:rPr>
                <w:lang w:eastAsia="en-AU"/>
              </w:rPr>
            </w:pP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nil"/>
              <w:left w:val="nil"/>
              <w:right w:val="nil"/>
            </w:tcBorders>
            <w:shd w:val="clear" w:color="000000" w:fill="FFFFFF"/>
            <w:hideMark/>
          </w:tcPr>
          <w:p w:rsidR="00B958B1" w:rsidRPr="00AD2A87" w:rsidRDefault="00B958B1" w:rsidP="009F3B54">
            <w:pPr>
              <w:pStyle w:val="OGTabText"/>
              <w:keepNext/>
              <w:rPr>
                <w:lang w:eastAsia="en-AU"/>
              </w:rPr>
            </w:pPr>
            <w:r w:rsidRPr="00AD2A87">
              <w:rPr>
                <w:lang w:eastAsia="en-AU"/>
              </w:rPr>
              <w:t>Pollution incident reports acted on within three days</w:t>
            </w:r>
          </w:p>
        </w:tc>
        <w:tc>
          <w:tcPr>
            <w:tcW w:w="907" w:type="dxa"/>
            <w:tcBorders>
              <w:top w:val="nil"/>
              <w:left w:val="nil"/>
              <w:right w:val="nil"/>
            </w:tcBorders>
            <w:shd w:val="clear" w:color="000000" w:fill="FFFFFF"/>
            <w:hideMark/>
          </w:tcPr>
          <w:p w:rsidR="00B958B1" w:rsidRPr="00AD2A87" w:rsidRDefault="00B958B1" w:rsidP="009F3B54">
            <w:pPr>
              <w:pStyle w:val="OGUoM"/>
              <w:keepNext/>
              <w:rPr>
                <w:lang w:eastAsia="en-AU"/>
              </w:rPr>
            </w:pPr>
            <w:r>
              <w:rPr>
                <w:lang w:eastAsia="en-AU"/>
              </w:rPr>
              <w:t>per cent</w:t>
            </w:r>
          </w:p>
        </w:tc>
        <w:tc>
          <w:tcPr>
            <w:tcW w:w="908" w:type="dxa"/>
            <w:tcBorders>
              <w:top w:val="nil"/>
              <w:left w:val="nil"/>
              <w:right w:val="nil"/>
            </w:tcBorders>
            <w:shd w:val="clear" w:color="auto" w:fill="D9D9D9"/>
            <w:hideMark/>
          </w:tcPr>
          <w:p w:rsidR="00B958B1" w:rsidRPr="00AD2A87" w:rsidRDefault="00B958B1" w:rsidP="009F3B54">
            <w:pPr>
              <w:pStyle w:val="OGTableofFigures"/>
              <w:keepNext/>
              <w:rPr>
                <w:lang w:eastAsia="en-AU"/>
              </w:rPr>
            </w:pPr>
            <w:r w:rsidRPr="00AD2A87">
              <w:rPr>
                <w:lang w:eastAsia="en-AU"/>
              </w:rPr>
              <w:t>96</w:t>
            </w:r>
          </w:p>
        </w:tc>
        <w:tc>
          <w:tcPr>
            <w:tcW w:w="995" w:type="dxa"/>
            <w:tcBorders>
              <w:top w:val="nil"/>
              <w:left w:val="nil"/>
              <w:right w:val="nil"/>
            </w:tcBorders>
            <w:shd w:val="clear" w:color="000000" w:fill="FFFFFF"/>
            <w:hideMark/>
          </w:tcPr>
          <w:p w:rsidR="00B958B1" w:rsidRPr="00AD2A87" w:rsidRDefault="00B958B1" w:rsidP="009F3B54">
            <w:pPr>
              <w:pStyle w:val="OGTableofFigures"/>
              <w:keepNext/>
              <w:rPr>
                <w:lang w:eastAsia="en-AU"/>
              </w:rPr>
            </w:pPr>
            <w:r w:rsidRPr="00AD2A87">
              <w:rPr>
                <w:lang w:eastAsia="en-AU"/>
              </w:rPr>
              <w:t>99.65</w:t>
            </w:r>
          </w:p>
        </w:tc>
        <w:tc>
          <w:tcPr>
            <w:tcW w:w="908" w:type="dxa"/>
            <w:tcBorders>
              <w:top w:val="nil"/>
              <w:left w:val="nil"/>
              <w:right w:val="nil"/>
            </w:tcBorders>
            <w:shd w:val="clear" w:color="000000" w:fill="FFFFFF"/>
            <w:hideMark/>
          </w:tcPr>
          <w:p w:rsidR="00B958B1" w:rsidRPr="00AD2A87" w:rsidRDefault="00B958B1" w:rsidP="009F3B54">
            <w:pPr>
              <w:pStyle w:val="OGTableofFigures"/>
              <w:keepNext/>
              <w:rPr>
                <w:lang w:eastAsia="en-AU"/>
              </w:rPr>
            </w:pPr>
            <w:r w:rsidRPr="00AD2A87">
              <w:rPr>
                <w:lang w:eastAsia="en-AU"/>
              </w:rPr>
              <w:t>92</w:t>
            </w:r>
          </w:p>
        </w:tc>
        <w:tc>
          <w:tcPr>
            <w:tcW w:w="907" w:type="dxa"/>
            <w:tcBorders>
              <w:top w:val="nil"/>
              <w:left w:val="nil"/>
              <w:right w:val="nil"/>
            </w:tcBorders>
            <w:shd w:val="clear" w:color="000000" w:fill="FFFFFF"/>
            <w:hideMark/>
          </w:tcPr>
          <w:p w:rsidR="00B958B1" w:rsidRPr="00AD2A87" w:rsidRDefault="00B958B1" w:rsidP="009F3B54">
            <w:pPr>
              <w:pStyle w:val="OGTableofFigures"/>
              <w:keepNext/>
              <w:rPr>
                <w:lang w:eastAsia="en-AU"/>
              </w:rPr>
            </w:pPr>
            <w:r w:rsidRPr="00AD2A87">
              <w:rPr>
                <w:lang w:eastAsia="en-AU"/>
              </w:rPr>
              <w:t>92</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AD2A87" w:rsidRDefault="00B958B1" w:rsidP="009F3B54">
            <w:pPr>
              <w:pStyle w:val="OGNotes"/>
            </w:pPr>
            <w:r w:rsidRPr="00AD2A87">
              <w:t xml:space="preserve">This performance measure is proposed to be discontinued as it is being replaced by </w:t>
            </w:r>
            <w:r>
              <w:t>‘</w:t>
            </w:r>
            <w:r w:rsidRPr="00AD2A87">
              <w:t>When a pollution incident is reported to EPA and follow</w:t>
            </w:r>
            <w:r w:rsidR="009F0F49">
              <w:noBreakHyphen/>
            </w:r>
            <w:r w:rsidRPr="00AD2A87">
              <w:t>up contact is requested, the reporter receives this within three working days.</w:t>
            </w:r>
            <w:r>
              <w:t>’</w:t>
            </w:r>
            <w:r w:rsidRPr="00AD2A87">
              <w:t xml:space="preserve"> This measure has been replaced to improve the transparency of the measure.</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top w:val="single" w:sz="6" w:space="0" w:color="auto"/>
              <w:left w:val="nil"/>
              <w:bottom w:val="single" w:sz="6" w:space="0" w:color="auto"/>
              <w:right w:val="nil"/>
            </w:tcBorders>
            <w:shd w:val="clear" w:color="auto" w:fill="auto"/>
            <w:vAlign w:val="bottom"/>
            <w:hideMark/>
          </w:tcPr>
          <w:p w:rsidR="00B958B1" w:rsidRPr="00AD2A87" w:rsidRDefault="00B958B1" w:rsidP="009F3B54">
            <w:pPr>
              <w:pStyle w:val="OGHeading2"/>
              <w:rPr>
                <w:lang w:eastAsia="en-AU"/>
              </w:rPr>
            </w:pPr>
            <w:r w:rsidRPr="00AD2A87">
              <w:rPr>
                <w:lang w:eastAsia="en-AU"/>
              </w:rPr>
              <w:t>Land and Fire Management</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single" w:sz="6" w:space="0" w:color="auto"/>
              <w:left w:val="nil"/>
              <w:bottom w:val="nil"/>
              <w:right w:val="nil"/>
            </w:tcBorders>
            <w:shd w:val="clear" w:color="auto" w:fill="auto"/>
            <w:vAlign w:val="bottom"/>
            <w:hideMark/>
          </w:tcPr>
          <w:p w:rsidR="00B958B1" w:rsidRPr="00AD2A87" w:rsidRDefault="00B958B1" w:rsidP="009F3B54">
            <w:pPr>
              <w:pStyle w:val="OGTabHead"/>
              <w:rPr>
                <w:lang w:eastAsia="en-AU"/>
              </w:rPr>
            </w:pPr>
            <w:r w:rsidRPr="00AD2A87">
              <w:rPr>
                <w:lang w:eastAsia="en-AU"/>
              </w:rPr>
              <w:t>Timeliness</w:t>
            </w:r>
          </w:p>
        </w:tc>
        <w:tc>
          <w:tcPr>
            <w:tcW w:w="907" w:type="dxa"/>
            <w:tcBorders>
              <w:top w:val="single" w:sz="6" w:space="0" w:color="auto"/>
              <w:left w:val="nil"/>
              <w:bottom w:val="nil"/>
              <w:right w:val="nil"/>
            </w:tcBorders>
            <w:shd w:val="clear" w:color="auto" w:fill="auto"/>
            <w:noWrap/>
            <w:hideMark/>
          </w:tcPr>
          <w:p w:rsidR="00B958B1" w:rsidRPr="00AD2A87" w:rsidRDefault="00B958B1" w:rsidP="009F3B54">
            <w:pPr>
              <w:pStyle w:val="OGUoM"/>
              <w:rPr>
                <w:lang w:eastAsia="en-AU"/>
              </w:rPr>
            </w:pPr>
          </w:p>
        </w:tc>
        <w:tc>
          <w:tcPr>
            <w:tcW w:w="908" w:type="dxa"/>
            <w:tcBorders>
              <w:top w:val="single" w:sz="6" w:space="0" w:color="auto"/>
              <w:left w:val="nil"/>
              <w:bottom w:val="nil"/>
              <w:right w:val="nil"/>
            </w:tcBorders>
            <w:shd w:val="clear" w:color="auto" w:fill="D9D9D9"/>
            <w:noWrap/>
            <w:hideMark/>
          </w:tcPr>
          <w:p w:rsidR="00B958B1" w:rsidRPr="00AD2A87" w:rsidRDefault="00B958B1" w:rsidP="009F3B54">
            <w:pPr>
              <w:pStyle w:val="OGTableofFigures"/>
              <w:rPr>
                <w:lang w:eastAsia="en-AU"/>
              </w:rPr>
            </w:pPr>
          </w:p>
        </w:tc>
        <w:tc>
          <w:tcPr>
            <w:tcW w:w="995" w:type="dxa"/>
            <w:tcBorders>
              <w:top w:val="single" w:sz="6" w:space="0" w:color="auto"/>
              <w:left w:val="nil"/>
              <w:bottom w:val="nil"/>
              <w:right w:val="nil"/>
            </w:tcBorders>
            <w:shd w:val="clear" w:color="auto" w:fill="auto"/>
            <w:noWrap/>
            <w:hideMark/>
          </w:tcPr>
          <w:p w:rsidR="00B958B1" w:rsidRPr="00AD2A87" w:rsidRDefault="00B958B1" w:rsidP="009F3B54">
            <w:pPr>
              <w:pStyle w:val="OGTableofFigures"/>
              <w:rPr>
                <w:lang w:eastAsia="en-AU"/>
              </w:rPr>
            </w:pPr>
          </w:p>
        </w:tc>
        <w:tc>
          <w:tcPr>
            <w:tcW w:w="908" w:type="dxa"/>
            <w:tcBorders>
              <w:top w:val="single" w:sz="6" w:space="0" w:color="auto"/>
              <w:left w:val="nil"/>
              <w:bottom w:val="nil"/>
              <w:right w:val="nil"/>
            </w:tcBorders>
            <w:shd w:val="clear" w:color="auto" w:fill="auto"/>
            <w:noWrap/>
            <w:hideMark/>
          </w:tcPr>
          <w:p w:rsidR="00B958B1" w:rsidRPr="00AD2A87"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AD2A87" w:rsidRDefault="00B958B1" w:rsidP="009F3B54">
            <w:pPr>
              <w:pStyle w:val="OGTableofFigures"/>
              <w:rPr>
                <w:lang w:eastAsia="en-AU"/>
              </w:rPr>
            </w:pP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nil"/>
              <w:left w:val="nil"/>
              <w:right w:val="nil"/>
            </w:tcBorders>
            <w:shd w:val="clear" w:color="000000" w:fill="FFFFFF"/>
            <w:hideMark/>
          </w:tcPr>
          <w:p w:rsidR="00B958B1" w:rsidRPr="00AD2A87" w:rsidRDefault="00B958B1" w:rsidP="009F3B54">
            <w:pPr>
              <w:pStyle w:val="OGTabText"/>
              <w:rPr>
                <w:lang w:eastAsia="en-AU"/>
              </w:rPr>
            </w:pPr>
            <w:r w:rsidRPr="00AD2A87">
              <w:rPr>
                <w:lang w:eastAsia="en-AU"/>
              </w:rPr>
              <w:t>Assessments of model of cover completed prior to fire season to assess resources available and requirement for the upcoming fire season</w:t>
            </w:r>
          </w:p>
        </w:tc>
        <w:tc>
          <w:tcPr>
            <w:tcW w:w="907" w:type="dxa"/>
            <w:tcBorders>
              <w:top w:val="nil"/>
              <w:left w:val="nil"/>
              <w:right w:val="nil"/>
            </w:tcBorders>
            <w:shd w:val="clear" w:color="000000" w:fill="FFFFFF"/>
            <w:hideMark/>
          </w:tcPr>
          <w:p w:rsidR="00B958B1" w:rsidRPr="00AD2A87" w:rsidRDefault="00B958B1" w:rsidP="009F3B54">
            <w:pPr>
              <w:pStyle w:val="OGUoM"/>
              <w:rPr>
                <w:lang w:eastAsia="en-AU"/>
              </w:rPr>
            </w:pPr>
            <w:r w:rsidRPr="00AD2A87">
              <w:rPr>
                <w:lang w:eastAsia="en-AU"/>
              </w:rPr>
              <w:t>date</w:t>
            </w:r>
          </w:p>
        </w:tc>
        <w:tc>
          <w:tcPr>
            <w:tcW w:w="908" w:type="dxa"/>
            <w:tcBorders>
              <w:top w:val="nil"/>
              <w:left w:val="nil"/>
              <w:right w:val="nil"/>
            </w:tcBorders>
            <w:shd w:val="clear" w:color="auto" w:fill="D9D9D9"/>
            <w:hideMark/>
          </w:tcPr>
          <w:p w:rsidR="00B958B1" w:rsidRPr="00AD2A87" w:rsidRDefault="00B958B1" w:rsidP="009F3B54">
            <w:pPr>
              <w:pStyle w:val="OGTableofFigures"/>
              <w:rPr>
                <w:lang w:eastAsia="en-AU"/>
              </w:rPr>
            </w:pPr>
            <w:r>
              <w:rPr>
                <w:lang w:eastAsia="en-AU"/>
              </w:rPr>
              <w:t>Dec</w:t>
            </w:r>
            <w:r w:rsidR="009F0F49">
              <w:rPr>
                <w:lang w:eastAsia="en-AU"/>
              </w:rPr>
              <w:noBreakHyphen/>
            </w:r>
            <w:r>
              <w:rPr>
                <w:lang w:eastAsia="en-AU"/>
              </w:rPr>
              <w:t>13</w:t>
            </w:r>
          </w:p>
        </w:tc>
        <w:tc>
          <w:tcPr>
            <w:tcW w:w="995" w:type="dxa"/>
            <w:tcBorders>
              <w:top w:val="nil"/>
              <w:left w:val="nil"/>
              <w:right w:val="nil"/>
            </w:tcBorders>
            <w:shd w:val="clear" w:color="000000" w:fill="FFFFFF"/>
            <w:hideMark/>
          </w:tcPr>
          <w:p w:rsidR="00B958B1" w:rsidRPr="00AD2A87" w:rsidRDefault="00B958B1" w:rsidP="009F3B54">
            <w:pPr>
              <w:pStyle w:val="OGTableofFigures"/>
              <w:rPr>
                <w:lang w:eastAsia="en-AU"/>
              </w:rPr>
            </w:pPr>
            <w:r>
              <w:rPr>
                <w:lang w:eastAsia="en-AU"/>
              </w:rPr>
              <w:t>Feb</w:t>
            </w:r>
            <w:r w:rsidR="009F0F49">
              <w:rPr>
                <w:lang w:eastAsia="en-AU"/>
              </w:rPr>
              <w:noBreakHyphen/>
            </w:r>
            <w:r>
              <w:rPr>
                <w:lang w:eastAsia="en-AU"/>
              </w:rPr>
              <w:t>13</w:t>
            </w:r>
          </w:p>
        </w:tc>
        <w:tc>
          <w:tcPr>
            <w:tcW w:w="908" w:type="dxa"/>
            <w:tcBorders>
              <w:top w:val="nil"/>
              <w:left w:val="nil"/>
              <w:right w:val="nil"/>
            </w:tcBorders>
            <w:shd w:val="clear" w:color="000000" w:fill="FFFFFF"/>
            <w:hideMark/>
          </w:tcPr>
          <w:p w:rsidR="00B958B1" w:rsidRPr="00AD2A87" w:rsidRDefault="00B958B1" w:rsidP="009F3B54">
            <w:pPr>
              <w:pStyle w:val="OGTableofFigures"/>
              <w:rPr>
                <w:lang w:eastAsia="en-AU"/>
              </w:rPr>
            </w:pPr>
            <w:r>
              <w:rPr>
                <w:lang w:eastAsia="en-AU"/>
              </w:rPr>
              <w:t>Dec</w:t>
            </w:r>
            <w:r w:rsidR="009F0F49">
              <w:rPr>
                <w:lang w:eastAsia="en-AU"/>
              </w:rPr>
              <w:noBreakHyphen/>
            </w:r>
            <w:r>
              <w:rPr>
                <w:lang w:eastAsia="en-AU"/>
              </w:rPr>
              <w:t>12</w:t>
            </w:r>
          </w:p>
        </w:tc>
        <w:tc>
          <w:tcPr>
            <w:tcW w:w="907" w:type="dxa"/>
            <w:tcBorders>
              <w:top w:val="nil"/>
              <w:left w:val="nil"/>
              <w:right w:val="nil"/>
            </w:tcBorders>
            <w:shd w:val="clear" w:color="000000" w:fill="FFFFFF"/>
            <w:hideMark/>
          </w:tcPr>
          <w:p w:rsidR="00B958B1" w:rsidRPr="00AD2A87" w:rsidRDefault="00B958B1" w:rsidP="009F3B54">
            <w:pPr>
              <w:pStyle w:val="OGTableofFigures"/>
              <w:rPr>
                <w:lang w:eastAsia="en-AU"/>
              </w:rPr>
            </w:pPr>
            <w:r>
              <w:rPr>
                <w:lang w:eastAsia="en-AU"/>
              </w:rPr>
              <w:t>Jan</w:t>
            </w:r>
            <w:r w:rsidR="009F0F49">
              <w:rPr>
                <w:lang w:eastAsia="en-AU"/>
              </w:rPr>
              <w:noBreakHyphen/>
            </w:r>
            <w:r>
              <w:rPr>
                <w:lang w:eastAsia="en-AU"/>
              </w:rPr>
              <w:t>12</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AD2A87" w:rsidRDefault="00B958B1" w:rsidP="009F3B54">
            <w:pPr>
              <w:pStyle w:val="OGNotes"/>
            </w:pPr>
            <w:r w:rsidRPr="00AD2A87">
              <w:t xml:space="preserve">This performance measure is proposed to be discontinued as it is no longer relevant. This measure is reflective of an operational planning tool that is likely to be superseded as </w:t>
            </w:r>
            <w:r>
              <w:t>the Department</w:t>
            </w:r>
            <w:r w:rsidRPr="00AD2A87">
              <w:t xml:space="preserve"> transitions to a larger planned burning program.</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top w:val="single" w:sz="6" w:space="0" w:color="auto"/>
              <w:left w:val="nil"/>
              <w:bottom w:val="single" w:sz="6" w:space="0" w:color="auto"/>
              <w:right w:val="nil"/>
            </w:tcBorders>
            <w:shd w:val="clear" w:color="auto" w:fill="auto"/>
            <w:vAlign w:val="bottom"/>
            <w:hideMark/>
          </w:tcPr>
          <w:p w:rsidR="00B958B1" w:rsidRPr="00AD2A87" w:rsidRDefault="00B958B1" w:rsidP="009F3B54">
            <w:pPr>
              <w:pStyle w:val="OGHeading2"/>
              <w:rPr>
                <w:lang w:eastAsia="en-AU"/>
              </w:rPr>
            </w:pPr>
            <w:r>
              <w:rPr>
                <w:lang w:eastAsia="en-AU"/>
              </w:rPr>
              <w:t>Development of Primary Industries</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single" w:sz="6" w:space="0" w:color="auto"/>
              <w:left w:val="nil"/>
              <w:bottom w:val="nil"/>
              <w:right w:val="nil"/>
            </w:tcBorders>
            <w:shd w:val="clear" w:color="auto" w:fill="auto"/>
            <w:vAlign w:val="bottom"/>
            <w:hideMark/>
          </w:tcPr>
          <w:p w:rsidR="00B958B1" w:rsidRPr="00AD2A87" w:rsidRDefault="00B958B1" w:rsidP="009F3B54">
            <w:pPr>
              <w:pStyle w:val="OGTabHead"/>
              <w:rPr>
                <w:lang w:eastAsia="en-AU"/>
              </w:rPr>
            </w:pPr>
            <w:r>
              <w:rPr>
                <w:lang w:eastAsia="en-AU"/>
              </w:rPr>
              <w:t>Quantity</w:t>
            </w:r>
          </w:p>
        </w:tc>
        <w:tc>
          <w:tcPr>
            <w:tcW w:w="907" w:type="dxa"/>
            <w:tcBorders>
              <w:top w:val="single" w:sz="6" w:space="0" w:color="auto"/>
              <w:left w:val="nil"/>
              <w:bottom w:val="nil"/>
              <w:right w:val="nil"/>
            </w:tcBorders>
            <w:shd w:val="clear" w:color="auto" w:fill="auto"/>
            <w:noWrap/>
            <w:hideMark/>
          </w:tcPr>
          <w:p w:rsidR="00B958B1" w:rsidRPr="00AD2A87" w:rsidRDefault="00B958B1" w:rsidP="009F3B54">
            <w:pPr>
              <w:pStyle w:val="OGUoM"/>
              <w:rPr>
                <w:lang w:eastAsia="en-AU"/>
              </w:rPr>
            </w:pPr>
          </w:p>
        </w:tc>
        <w:tc>
          <w:tcPr>
            <w:tcW w:w="908" w:type="dxa"/>
            <w:tcBorders>
              <w:top w:val="single" w:sz="6" w:space="0" w:color="auto"/>
              <w:left w:val="nil"/>
              <w:bottom w:val="nil"/>
              <w:right w:val="nil"/>
            </w:tcBorders>
            <w:shd w:val="clear" w:color="auto" w:fill="D9D9D9"/>
            <w:noWrap/>
            <w:hideMark/>
          </w:tcPr>
          <w:p w:rsidR="00B958B1" w:rsidRPr="00AD2A87" w:rsidRDefault="00B958B1" w:rsidP="009F3B54">
            <w:pPr>
              <w:pStyle w:val="OGTableofFigures"/>
              <w:rPr>
                <w:lang w:eastAsia="en-AU"/>
              </w:rPr>
            </w:pPr>
          </w:p>
        </w:tc>
        <w:tc>
          <w:tcPr>
            <w:tcW w:w="995" w:type="dxa"/>
            <w:tcBorders>
              <w:top w:val="single" w:sz="6" w:space="0" w:color="auto"/>
              <w:left w:val="nil"/>
              <w:bottom w:val="nil"/>
              <w:right w:val="nil"/>
            </w:tcBorders>
            <w:shd w:val="clear" w:color="auto" w:fill="auto"/>
            <w:noWrap/>
            <w:hideMark/>
          </w:tcPr>
          <w:p w:rsidR="00B958B1" w:rsidRPr="00AD2A87" w:rsidRDefault="00B958B1" w:rsidP="009F3B54">
            <w:pPr>
              <w:pStyle w:val="OGTableofFigures"/>
              <w:rPr>
                <w:lang w:eastAsia="en-AU"/>
              </w:rPr>
            </w:pPr>
          </w:p>
        </w:tc>
        <w:tc>
          <w:tcPr>
            <w:tcW w:w="908" w:type="dxa"/>
            <w:tcBorders>
              <w:top w:val="single" w:sz="6" w:space="0" w:color="auto"/>
              <w:left w:val="nil"/>
              <w:bottom w:val="nil"/>
              <w:right w:val="nil"/>
            </w:tcBorders>
            <w:shd w:val="clear" w:color="auto" w:fill="auto"/>
            <w:noWrap/>
            <w:hideMark/>
          </w:tcPr>
          <w:p w:rsidR="00B958B1" w:rsidRPr="00AD2A87"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AD2A87" w:rsidRDefault="00B958B1" w:rsidP="009F3B54">
            <w:pPr>
              <w:pStyle w:val="OGTableofFigures"/>
              <w:rPr>
                <w:lang w:eastAsia="en-AU"/>
              </w:rPr>
            </w:pP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nil"/>
              <w:left w:val="nil"/>
              <w:right w:val="nil"/>
            </w:tcBorders>
            <w:shd w:val="clear" w:color="000000" w:fill="FFFFFF"/>
            <w:hideMark/>
          </w:tcPr>
          <w:p w:rsidR="00B958B1" w:rsidRPr="00AD2A87" w:rsidRDefault="00B958B1" w:rsidP="009F3B54">
            <w:pPr>
              <w:pStyle w:val="OGTabText"/>
              <w:rPr>
                <w:lang w:eastAsia="en-AU"/>
              </w:rPr>
            </w:pPr>
            <w:r>
              <w:rPr>
                <w:lang w:eastAsia="en-AU"/>
              </w:rPr>
              <w:t>Number of structured management arrangements in place for fisheries</w:t>
            </w:r>
          </w:p>
        </w:tc>
        <w:tc>
          <w:tcPr>
            <w:tcW w:w="907" w:type="dxa"/>
            <w:tcBorders>
              <w:top w:val="nil"/>
              <w:left w:val="nil"/>
              <w:right w:val="nil"/>
            </w:tcBorders>
            <w:shd w:val="clear" w:color="000000" w:fill="FFFFFF"/>
            <w:hideMark/>
          </w:tcPr>
          <w:p w:rsidR="00B958B1" w:rsidRPr="00AD2A87" w:rsidRDefault="00B958B1" w:rsidP="009F3B54">
            <w:pPr>
              <w:pStyle w:val="OGUoM"/>
              <w:rPr>
                <w:lang w:eastAsia="en-AU"/>
              </w:rPr>
            </w:pPr>
            <w:r>
              <w:rPr>
                <w:lang w:eastAsia="en-AU"/>
              </w:rPr>
              <w:t>number</w:t>
            </w:r>
          </w:p>
        </w:tc>
        <w:tc>
          <w:tcPr>
            <w:tcW w:w="908" w:type="dxa"/>
            <w:tcBorders>
              <w:top w:val="nil"/>
              <w:left w:val="nil"/>
              <w:right w:val="nil"/>
            </w:tcBorders>
            <w:shd w:val="clear" w:color="auto" w:fill="D9D9D9"/>
            <w:hideMark/>
          </w:tcPr>
          <w:p w:rsidR="00B958B1" w:rsidRPr="00AD2A87" w:rsidRDefault="00B958B1" w:rsidP="009F3B54">
            <w:pPr>
              <w:pStyle w:val="OGTableofFigures"/>
              <w:rPr>
                <w:lang w:eastAsia="en-AU"/>
              </w:rPr>
            </w:pPr>
            <w:r>
              <w:rPr>
                <w:lang w:eastAsia="en-AU"/>
              </w:rPr>
              <w:t>22</w:t>
            </w:r>
          </w:p>
        </w:tc>
        <w:tc>
          <w:tcPr>
            <w:tcW w:w="995" w:type="dxa"/>
            <w:tcBorders>
              <w:top w:val="nil"/>
              <w:left w:val="nil"/>
              <w:right w:val="nil"/>
            </w:tcBorders>
            <w:shd w:val="clear" w:color="000000" w:fill="FFFFFF"/>
            <w:hideMark/>
          </w:tcPr>
          <w:p w:rsidR="00B958B1" w:rsidRPr="00AD2A87" w:rsidRDefault="00B958B1" w:rsidP="009F3B54">
            <w:pPr>
              <w:pStyle w:val="OGTableofFigures"/>
              <w:rPr>
                <w:lang w:eastAsia="en-AU"/>
              </w:rPr>
            </w:pPr>
            <w:r>
              <w:rPr>
                <w:lang w:eastAsia="en-AU"/>
              </w:rPr>
              <w:t>21</w:t>
            </w:r>
          </w:p>
        </w:tc>
        <w:tc>
          <w:tcPr>
            <w:tcW w:w="908" w:type="dxa"/>
            <w:tcBorders>
              <w:top w:val="nil"/>
              <w:left w:val="nil"/>
              <w:right w:val="nil"/>
            </w:tcBorders>
            <w:shd w:val="clear" w:color="000000" w:fill="FFFFFF"/>
            <w:hideMark/>
          </w:tcPr>
          <w:p w:rsidR="00B958B1" w:rsidRPr="00AD2A87" w:rsidRDefault="00B958B1" w:rsidP="009F3B54">
            <w:pPr>
              <w:pStyle w:val="OGTableofFigures"/>
              <w:rPr>
                <w:lang w:eastAsia="en-AU"/>
              </w:rPr>
            </w:pPr>
            <w:r>
              <w:rPr>
                <w:lang w:eastAsia="en-AU"/>
              </w:rPr>
              <w:t>21</w:t>
            </w:r>
          </w:p>
        </w:tc>
        <w:tc>
          <w:tcPr>
            <w:tcW w:w="907" w:type="dxa"/>
            <w:tcBorders>
              <w:top w:val="nil"/>
              <w:left w:val="nil"/>
              <w:right w:val="nil"/>
            </w:tcBorders>
            <w:shd w:val="clear" w:color="000000" w:fill="FFFFFF"/>
            <w:hideMark/>
          </w:tcPr>
          <w:p w:rsidR="00B958B1" w:rsidRPr="00AD2A87" w:rsidRDefault="00B958B1" w:rsidP="009F3B54">
            <w:pPr>
              <w:pStyle w:val="OGTableofFigures"/>
              <w:rPr>
                <w:lang w:eastAsia="en-AU"/>
              </w:rPr>
            </w:pPr>
            <w:r>
              <w:rPr>
                <w:lang w:eastAsia="en-AU"/>
              </w:rPr>
              <w:t>21</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top w:val="nil"/>
              <w:left w:val="nil"/>
              <w:bottom w:val="single" w:sz="4" w:space="0" w:color="auto"/>
              <w:right w:val="nil"/>
            </w:tcBorders>
            <w:shd w:val="clear" w:color="auto" w:fill="auto"/>
            <w:vAlign w:val="bottom"/>
            <w:hideMark/>
          </w:tcPr>
          <w:p w:rsidR="00B958B1" w:rsidRDefault="00B958B1" w:rsidP="009F3B54">
            <w:pPr>
              <w:pStyle w:val="OGNotes"/>
            </w:pPr>
            <w:r>
              <w:t>This performance measure is proposed to be discontinued as it no longer effectively articulates current key fishery management output objectives, as noted in the 2013 Victorian Auditor</w:t>
            </w:r>
            <w:r w:rsidR="009F0F49">
              <w:noBreakHyphen/>
            </w:r>
            <w:r>
              <w:t xml:space="preserve">General’s Office audit of the Department’s Management of Freshwater Fisheries. </w:t>
            </w:r>
          </w:p>
          <w:p w:rsidR="00B958B1" w:rsidRPr="00AD2A87" w:rsidRDefault="00B958B1" w:rsidP="009F3B54">
            <w:pPr>
              <w:pStyle w:val="OGNotes"/>
            </w:pPr>
            <w:r>
              <w:t>The higher 2013</w:t>
            </w:r>
            <w:r w:rsidR="009F0F49">
              <w:noBreakHyphen/>
            </w:r>
            <w:r>
              <w:t xml:space="preserve">14 target reflects the addition of a new abalone management plan. </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single" w:sz="4" w:space="0" w:color="auto"/>
              <w:left w:val="nil"/>
              <w:bottom w:val="nil"/>
              <w:right w:val="nil"/>
            </w:tcBorders>
            <w:shd w:val="clear" w:color="auto" w:fill="auto"/>
            <w:vAlign w:val="bottom"/>
            <w:hideMark/>
          </w:tcPr>
          <w:p w:rsidR="00B958B1" w:rsidRPr="00AD2A87" w:rsidRDefault="00B958B1" w:rsidP="009F3B54">
            <w:pPr>
              <w:pStyle w:val="OGTabHead"/>
              <w:rPr>
                <w:lang w:eastAsia="en-AU"/>
              </w:rPr>
            </w:pPr>
            <w:r w:rsidRPr="00AD2A87">
              <w:rPr>
                <w:lang w:eastAsia="en-AU"/>
              </w:rPr>
              <w:t>Timeliness</w:t>
            </w:r>
          </w:p>
        </w:tc>
        <w:tc>
          <w:tcPr>
            <w:tcW w:w="907" w:type="dxa"/>
            <w:tcBorders>
              <w:top w:val="single" w:sz="4" w:space="0" w:color="auto"/>
              <w:left w:val="nil"/>
              <w:bottom w:val="nil"/>
              <w:right w:val="nil"/>
            </w:tcBorders>
            <w:shd w:val="clear" w:color="auto" w:fill="auto"/>
            <w:noWrap/>
            <w:hideMark/>
          </w:tcPr>
          <w:p w:rsidR="00B958B1" w:rsidRPr="00AD2A87" w:rsidRDefault="00B958B1" w:rsidP="009F3B54">
            <w:pPr>
              <w:pStyle w:val="OGUoM"/>
              <w:rPr>
                <w:lang w:eastAsia="en-AU"/>
              </w:rPr>
            </w:pPr>
          </w:p>
        </w:tc>
        <w:tc>
          <w:tcPr>
            <w:tcW w:w="908" w:type="dxa"/>
            <w:tcBorders>
              <w:top w:val="single" w:sz="4" w:space="0" w:color="auto"/>
              <w:left w:val="nil"/>
              <w:bottom w:val="nil"/>
              <w:right w:val="nil"/>
            </w:tcBorders>
            <w:shd w:val="clear" w:color="auto" w:fill="D9D9D9"/>
            <w:noWrap/>
            <w:hideMark/>
          </w:tcPr>
          <w:p w:rsidR="00B958B1" w:rsidRPr="00AD2A87" w:rsidRDefault="00B958B1" w:rsidP="009F3B54">
            <w:pPr>
              <w:pStyle w:val="OGTableofFigures"/>
              <w:rPr>
                <w:lang w:eastAsia="en-AU"/>
              </w:rPr>
            </w:pPr>
          </w:p>
        </w:tc>
        <w:tc>
          <w:tcPr>
            <w:tcW w:w="995" w:type="dxa"/>
            <w:tcBorders>
              <w:top w:val="single" w:sz="4" w:space="0" w:color="auto"/>
              <w:left w:val="nil"/>
              <w:bottom w:val="nil"/>
              <w:right w:val="nil"/>
            </w:tcBorders>
            <w:shd w:val="clear" w:color="auto" w:fill="auto"/>
            <w:noWrap/>
            <w:hideMark/>
          </w:tcPr>
          <w:p w:rsidR="00B958B1" w:rsidRPr="00AD2A87" w:rsidRDefault="00B958B1" w:rsidP="009F3B54">
            <w:pPr>
              <w:pStyle w:val="OGTableofFigures"/>
              <w:rPr>
                <w:lang w:eastAsia="en-AU"/>
              </w:rPr>
            </w:pPr>
          </w:p>
        </w:tc>
        <w:tc>
          <w:tcPr>
            <w:tcW w:w="908" w:type="dxa"/>
            <w:tcBorders>
              <w:top w:val="single" w:sz="4" w:space="0" w:color="auto"/>
              <w:left w:val="nil"/>
              <w:bottom w:val="nil"/>
              <w:right w:val="nil"/>
            </w:tcBorders>
            <w:shd w:val="clear" w:color="auto" w:fill="auto"/>
            <w:noWrap/>
            <w:hideMark/>
          </w:tcPr>
          <w:p w:rsidR="00B958B1" w:rsidRPr="00AD2A87" w:rsidRDefault="00B958B1" w:rsidP="009F3B54">
            <w:pPr>
              <w:pStyle w:val="OGTableofFigures"/>
              <w:rPr>
                <w:lang w:eastAsia="en-AU"/>
              </w:rPr>
            </w:pPr>
          </w:p>
        </w:tc>
        <w:tc>
          <w:tcPr>
            <w:tcW w:w="907" w:type="dxa"/>
            <w:tcBorders>
              <w:top w:val="single" w:sz="4" w:space="0" w:color="auto"/>
              <w:left w:val="nil"/>
              <w:bottom w:val="nil"/>
              <w:right w:val="nil"/>
            </w:tcBorders>
            <w:shd w:val="clear" w:color="auto" w:fill="auto"/>
            <w:noWrap/>
            <w:hideMark/>
          </w:tcPr>
          <w:p w:rsidR="00B958B1" w:rsidRPr="00AD2A87" w:rsidRDefault="00B958B1" w:rsidP="009F3B54">
            <w:pPr>
              <w:pStyle w:val="OGTableofFigures"/>
              <w:rPr>
                <w:lang w:eastAsia="en-AU"/>
              </w:rPr>
            </w:pP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nil"/>
              <w:left w:val="nil"/>
              <w:right w:val="nil"/>
            </w:tcBorders>
            <w:shd w:val="clear" w:color="000000" w:fill="FFFFFF"/>
            <w:hideMark/>
          </w:tcPr>
          <w:p w:rsidR="00B958B1" w:rsidRPr="00AD2A87" w:rsidRDefault="00B958B1" w:rsidP="009F3B54">
            <w:pPr>
              <w:pStyle w:val="OGTabText"/>
              <w:rPr>
                <w:lang w:eastAsia="en-AU"/>
              </w:rPr>
            </w:pPr>
            <w:r w:rsidRPr="00AD2A87">
              <w:rPr>
                <w:lang w:eastAsia="en-AU"/>
              </w:rPr>
              <w:t>Fisheries management plan actions implemented in accordance with the published implementation schedules</w:t>
            </w:r>
          </w:p>
        </w:tc>
        <w:tc>
          <w:tcPr>
            <w:tcW w:w="907" w:type="dxa"/>
            <w:tcBorders>
              <w:top w:val="nil"/>
              <w:left w:val="nil"/>
              <w:right w:val="nil"/>
            </w:tcBorders>
            <w:shd w:val="clear" w:color="000000" w:fill="FFFFFF"/>
            <w:hideMark/>
          </w:tcPr>
          <w:p w:rsidR="00B958B1" w:rsidRPr="00AD2A87" w:rsidRDefault="00B958B1" w:rsidP="009F3B54">
            <w:pPr>
              <w:pStyle w:val="OGUoM"/>
              <w:rPr>
                <w:lang w:eastAsia="en-AU"/>
              </w:rPr>
            </w:pPr>
            <w:r>
              <w:rPr>
                <w:lang w:eastAsia="en-AU"/>
              </w:rPr>
              <w:t>per cent</w:t>
            </w:r>
          </w:p>
        </w:tc>
        <w:tc>
          <w:tcPr>
            <w:tcW w:w="908" w:type="dxa"/>
            <w:tcBorders>
              <w:top w:val="nil"/>
              <w:left w:val="nil"/>
              <w:right w:val="nil"/>
            </w:tcBorders>
            <w:shd w:val="clear" w:color="auto" w:fill="D9D9D9"/>
            <w:hideMark/>
          </w:tcPr>
          <w:p w:rsidR="00B958B1" w:rsidRPr="00AD2A87" w:rsidRDefault="00B958B1" w:rsidP="009F3B54">
            <w:pPr>
              <w:pStyle w:val="OGTableofFigures"/>
              <w:rPr>
                <w:lang w:eastAsia="en-AU"/>
              </w:rPr>
            </w:pPr>
            <w:r w:rsidRPr="00AD2A87">
              <w:rPr>
                <w:lang w:eastAsia="en-AU"/>
              </w:rPr>
              <w:t>&gt;</w:t>
            </w:r>
            <w:r>
              <w:rPr>
                <w:lang w:eastAsia="en-AU"/>
              </w:rPr>
              <w:t> </w:t>
            </w:r>
            <w:r w:rsidRPr="00AD2A87">
              <w:rPr>
                <w:lang w:eastAsia="en-AU"/>
              </w:rPr>
              <w:t>90</w:t>
            </w:r>
          </w:p>
        </w:tc>
        <w:tc>
          <w:tcPr>
            <w:tcW w:w="995" w:type="dxa"/>
            <w:tcBorders>
              <w:top w:val="nil"/>
              <w:left w:val="nil"/>
              <w:right w:val="nil"/>
            </w:tcBorders>
            <w:shd w:val="clear" w:color="000000" w:fill="FFFFFF"/>
            <w:hideMark/>
          </w:tcPr>
          <w:p w:rsidR="00B958B1" w:rsidRPr="00AD2A87" w:rsidRDefault="00B958B1" w:rsidP="009F3B54">
            <w:pPr>
              <w:pStyle w:val="OGTableofFigures"/>
              <w:rPr>
                <w:lang w:eastAsia="en-AU"/>
              </w:rPr>
            </w:pPr>
            <w:r w:rsidRPr="00AD2A87">
              <w:rPr>
                <w:lang w:eastAsia="en-AU"/>
              </w:rPr>
              <w:t>&gt;</w:t>
            </w:r>
            <w:r>
              <w:rPr>
                <w:lang w:eastAsia="en-AU"/>
              </w:rPr>
              <w:t> </w:t>
            </w:r>
            <w:r w:rsidRPr="00AD2A87">
              <w:rPr>
                <w:lang w:eastAsia="en-AU"/>
              </w:rPr>
              <w:t>90</w:t>
            </w:r>
          </w:p>
        </w:tc>
        <w:tc>
          <w:tcPr>
            <w:tcW w:w="908" w:type="dxa"/>
            <w:tcBorders>
              <w:top w:val="nil"/>
              <w:left w:val="nil"/>
              <w:right w:val="nil"/>
            </w:tcBorders>
            <w:shd w:val="clear" w:color="000000" w:fill="FFFFFF"/>
            <w:hideMark/>
          </w:tcPr>
          <w:p w:rsidR="00B958B1" w:rsidRPr="00AD2A87" w:rsidRDefault="00B958B1" w:rsidP="009F3B54">
            <w:pPr>
              <w:pStyle w:val="OGTableofFigures"/>
              <w:rPr>
                <w:lang w:eastAsia="en-AU"/>
              </w:rPr>
            </w:pPr>
            <w:r w:rsidRPr="00AD2A87">
              <w:rPr>
                <w:lang w:eastAsia="en-AU"/>
              </w:rPr>
              <w:t>&gt;</w:t>
            </w:r>
            <w:r>
              <w:rPr>
                <w:lang w:eastAsia="en-AU"/>
              </w:rPr>
              <w:t> </w:t>
            </w:r>
            <w:r w:rsidRPr="00AD2A87">
              <w:rPr>
                <w:lang w:eastAsia="en-AU"/>
              </w:rPr>
              <w:t>90</w:t>
            </w:r>
          </w:p>
        </w:tc>
        <w:tc>
          <w:tcPr>
            <w:tcW w:w="907" w:type="dxa"/>
            <w:tcBorders>
              <w:top w:val="nil"/>
              <w:left w:val="nil"/>
              <w:right w:val="nil"/>
            </w:tcBorders>
            <w:shd w:val="clear" w:color="000000" w:fill="FFFFFF"/>
            <w:hideMark/>
          </w:tcPr>
          <w:p w:rsidR="00B958B1" w:rsidRPr="00AD2A87" w:rsidRDefault="00B958B1" w:rsidP="009F3B54">
            <w:pPr>
              <w:pStyle w:val="OGTableofFigures"/>
              <w:rPr>
                <w:lang w:eastAsia="en-AU"/>
              </w:rPr>
            </w:pPr>
            <w:r w:rsidRPr="00AD2A87">
              <w:rPr>
                <w:lang w:eastAsia="en-AU"/>
              </w:rPr>
              <w:t>&gt;</w:t>
            </w:r>
            <w:r>
              <w:rPr>
                <w:lang w:eastAsia="en-AU"/>
              </w:rPr>
              <w:t> </w:t>
            </w:r>
            <w:r w:rsidRPr="00AD2A87">
              <w:rPr>
                <w:lang w:eastAsia="en-AU"/>
              </w:rPr>
              <w:t>90</w:t>
            </w:r>
          </w:p>
        </w:tc>
      </w:tr>
      <w:tr w:rsidR="00B958B1" w:rsidRPr="00AD2A87"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top w:val="nil"/>
              <w:left w:val="nil"/>
              <w:bottom w:val="single" w:sz="12" w:space="0" w:color="auto"/>
              <w:right w:val="nil"/>
            </w:tcBorders>
            <w:shd w:val="clear" w:color="auto" w:fill="auto"/>
            <w:vAlign w:val="bottom"/>
            <w:hideMark/>
          </w:tcPr>
          <w:p w:rsidR="00B958B1" w:rsidRPr="00AD2A87" w:rsidRDefault="00B958B1" w:rsidP="009F3B54">
            <w:pPr>
              <w:pStyle w:val="OGNotes"/>
            </w:pPr>
            <w:r w:rsidRPr="00AD2A87">
              <w:t>This performance measure is proposed to be discontinued as it no longer effectively articulates current key fishery management output objectives, as noted in the 2013 Victorian Auditor</w:t>
            </w:r>
            <w:r w:rsidR="009F0F49">
              <w:noBreakHyphen/>
            </w:r>
            <w:r w:rsidRPr="00AD2A87">
              <w:t>General</w:t>
            </w:r>
            <w:r>
              <w:t>’</w:t>
            </w:r>
            <w:r w:rsidRPr="00AD2A87">
              <w:t xml:space="preserve">s Office audit of </w:t>
            </w:r>
            <w:r>
              <w:t>the Department’</w:t>
            </w:r>
            <w:r w:rsidRPr="00AD2A87">
              <w:t>s Management of Freshwater Fisheries.</w:t>
            </w:r>
          </w:p>
        </w:tc>
      </w:tr>
    </w:tbl>
    <w:p w:rsidR="00B958B1" w:rsidRDefault="00B958B1" w:rsidP="009F3B54">
      <w:pPr>
        <w:pStyle w:val="Source"/>
        <w:rPr>
          <w:lang w:eastAsia="en-AU"/>
        </w:rPr>
      </w:pPr>
      <w:r>
        <w:rPr>
          <w:lang w:eastAsia="en-AU"/>
        </w:rPr>
        <w:t xml:space="preserve">Source: </w:t>
      </w:r>
      <w:r>
        <w:t>Department of Environment and Primary Industries</w:t>
      </w:r>
    </w:p>
    <w:p w:rsidR="00B958B1" w:rsidRDefault="00B958B1" w:rsidP="009F3B54">
      <w:pPr>
        <w:pStyle w:val="Source"/>
      </w:pPr>
      <w:r>
        <w:fldChar w:fldCharType="begin"/>
      </w:r>
      <w:r>
        <w:instrText xml:space="preserve"> XE "</w:instrText>
      </w:r>
      <w:r w:rsidRPr="003E7F43">
        <w:instrText>Department of Environment and Primary Industries:Output performance measures for review</w:instrText>
      </w:r>
      <w:r>
        <w:instrText xml:space="preserve">" \r "BP3AppADEPIPerfreview" </w:instrText>
      </w:r>
      <w:r>
        <w:fldChar w:fldCharType="end"/>
      </w:r>
    </w:p>
    <w:bookmarkEnd w:id="159"/>
    <w:p w:rsidR="00B958B1" w:rsidRPr="000C12B1" w:rsidRDefault="00B958B1" w:rsidP="009F3B54">
      <w:pPr>
        <w:pStyle w:val="Heading1"/>
      </w:pPr>
      <w:r>
        <w:br w:type="page"/>
      </w:r>
      <w:bookmarkStart w:id="160" w:name="_Toc355362292"/>
      <w:bookmarkStart w:id="161" w:name="BP3AppADHHealth"/>
      <w:r>
        <w:t>Department of Health</w:t>
      </w:r>
      <w:bookmarkEnd w:id="160"/>
    </w:p>
    <w:tbl>
      <w:tblPr>
        <w:tblW w:w="7782" w:type="dxa"/>
        <w:tblInd w:w="29" w:type="dxa"/>
        <w:tblBorders>
          <w:top w:val="single" w:sz="12" w:space="0" w:color="auto"/>
          <w:left w:val="single" w:sz="12" w:space="0" w:color="auto"/>
          <w:bottom w:val="single" w:sz="12" w:space="0" w:color="auto"/>
          <w:right w:val="single" w:sz="12" w:space="0" w:color="auto"/>
        </w:tblBorders>
        <w:shd w:val="clear" w:color="auto" w:fill="000000"/>
        <w:tblLayout w:type="fixed"/>
        <w:tblCellMar>
          <w:left w:w="43" w:type="dxa"/>
          <w:right w:w="43" w:type="dxa"/>
        </w:tblCellMar>
        <w:tblLook w:val="04A0" w:firstRow="1" w:lastRow="0" w:firstColumn="1" w:lastColumn="0" w:noHBand="0" w:noVBand="1"/>
      </w:tblPr>
      <w:tblGrid>
        <w:gridCol w:w="3151"/>
        <w:gridCol w:w="907"/>
        <w:gridCol w:w="908"/>
        <w:gridCol w:w="995"/>
        <w:gridCol w:w="908"/>
        <w:gridCol w:w="907"/>
        <w:gridCol w:w="6"/>
      </w:tblGrid>
      <w:tr w:rsidR="00B958B1" w:rsidRPr="00D32CA4" w:rsidTr="009F3B54">
        <w:trPr>
          <w:cantSplit/>
          <w:tblHeader/>
        </w:trPr>
        <w:tc>
          <w:tcPr>
            <w:tcW w:w="3151" w:type="dxa"/>
            <w:shd w:val="clear" w:color="auto" w:fill="000000"/>
            <w:vAlign w:val="bottom"/>
          </w:tcPr>
          <w:p w:rsidR="00B958B1" w:rsidRPr="00D32CA4" w:rsidRDefault="00B958B1" w:rsidP="009F3B54">
            <w:pPr>
              <w:pStyle w:val="OGTabColLeft"/>
              <w:rPr>
                <w:i/>
              </w:rPr>
            </w:pPr>
            <w:r w:rsidRPr="00AD2A87">
              <w:rPr>
                <w:shd w:val="clear" w:color="auto" w:fill="000000"/>
              </w:rPr>
              <w:t xml:space="preserve">Major </w:t>
            </w:r>
            <w:r w:rsidRPr="00D32CA4">
              <w:t>Outputs/Deliverables</w:t>
            </w:r>
            <w:r w:rsidRPr="00D32CA4">
              <w:br/>
            </w:r>
            <w:r w:rsidRPr="008946A8">
              <w:rPr>
                <w:b w:val="0"/>
                <w:i/>
              </w:rPr>
              <w:t>Performance measures</w:t>
            </w:r>
          </w:p>
        </w:tc>
        <w:tc>
          <w:tcPr>
            <w:tcW w:w="907" w:type="dxa"/>
            <w:shd w:val="clear" w:color="auto" w:fill="000000"/>
            <w:noWrap/>
            <w:hideMark/>
          </w:tcPr>
          <w:p w:rsidR="00B958B1" w:rsidRPr="00D32CA4" w:rsidRDefault="00B958B1" w:rsidP="009F3B54">
            <w:pPr>
              <w:pStyle w:val="OGTabColCentred"/>
            </w:pPr>
            <w:r>
              <w:br/>
            </w:r>
            <w:r w:rsidRPr="00D32CA4">
              <w:t xml:space="preserve">unit </w:t>
            </w:r>
            <w:r w:rsidRPr="008946A8">
              <w:t>of</w:t>
            </w:r>
            <w:r w:rsidRPr="00D32CA4">
              <w:t xml:space="preserve"> </w:t>
            </w:r>
            <w:r w:rsidRPr="00D32CA4">
              <w:br/>
              <w:t>measure</w:t>
            </w:r>
          </w:p>
        </w:tc>
        <w:tc>
          <w:tcPr>
            <w:tcW w:w="908" w:type="dxa"/>
            <w:shd w:val="clear" w:color="auto" w:fill="000000"/>
            <w:noWrap/>
            <w:hideMark/>
          </w:tcPr>
          <w:p w:rsidR="00B958B1" w:rsidRPr="008946A8" w:rsidRDefault="00B958B1" w:rsidP="009F3B54">
            <w:pPr>
              <w:pStyle w:val="OGTabColRight"/>
            </w:pPr>
            <w:r>
              <w:br/>
            </w:r>
            <w:r w:rsidRPr="008946A8">
              <w:t>2013</w:t>
            </w:r>
            <w:r w:rsidR="009F0F49">
              <w:noBreakHyphen/>
            </w:r>
            <w:r w:rsidRPr="008946A8">
              <w:t>14 Target</w:t>
            </w:r>
          </w:p>
        </w:tc>
        <w:tc>
          <w:tcPr>
            <w:tcW w:w="995" w:type="dxa"/>
            <w:shd w:val="clear" w:color="auto" w:fill="000000"/>
            <w:noWrap/>
            <w:hideMark/>
          </w:tcPr>
          <w:p w:rsidR="00B958B1" w:rsidRPr="008946A8" w:rsidRDefault="00B958B1" w:rsidP="009F3B54">
            <w:pPr>
              <w:pStyle w:val="OGTabColRight"/>
            </w:pPr>
            <w:r w:rsidRPr="008946A8">
              <w:t>2012</w:t>
            </w:r>
            <w:r w:rsidR="009F0F49">
              <w:noBreakHyphen/>
            </w:r>
            <w:r w:rsidRPr="008946A8">
              <w:t>13 Expected Outcome</w:t>
            </w:r>
          </w:p>
        </w:tc>
        <w:tc>
          <w:tcPr>
            <w:tcW w:w="908" w:type="dxa"/>
            <w:shd w:val="clear" w:color="auto" w:fill="000000"/>
            <w:noWrap/>
            <w:hideMark/>
          </w:tcPr>
          <w:p w:rsidR="00B958B1" w:rsidRPr="008946A8" w:rsidRDefault="00B958B1" w:rsidP="009F3B54">
            <w:pPr>
              <w:pStyle w:val="OGTabColRight"/>
            </w:pPr>
            <w:r>
              <w:br/>
            </w:r>
            <w:r w:rsidRPr="008946A8">
              <w:t>2012</w:t>
            </w:r>
            <w:r w:rsidR="009F0F49">
              <w:noBreakHyphen/>
            </w:r>
            <w:r w:rsidRPr="008946A8">
              <w:t>13 Target</w:t>
            </w:r>
          </w:p>
        </w:tc>
        <w:tc>
          <w:tcPr>
            <w:tcW w:w="913" w:type="dxa"/>
            <w:gridSpan w:val="2"/>
            <w:shd w:val="clear" w:color="auto" w:fill="000000"/>
            <w:noWrap/>
            <w:hideMark/>
          </w:tcPr>
          <w:p w:rsidR="00B958B1" w:rsidRPr="008946A8" w:rsidRDefault="00B958B1" w:rsidP="009F3B54">
            <w:pPr>
              <w:pStyle w:val="OGTabColRight"/>
            </w:pPr>
            <w:r>
              <w:br/>
            </w:r>
            <w:r w:rsidRPr="008946A8">
              <w:t>2011</w:t>
            </w:r>
            <w:r w:rsidR="009F0F49">
              <w:noBreakHyphen/>
            </w:r>
            <w:r w:rsidRPr="008946A8">
              <w:t>12 Actual</w:t>
            </w:r>
          </w:p>
        </w:tc>
      </w:tr>
      <w:tr w:rsidR="00B958B1" w:rsidRPr="000C12B1"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top w:val="nil"/>
              <w:left w:val="nil"/>
              <w:bottom w:val="nil"/>
              <w:right w:val="nil"/>
            </w:tcBorders>
            <w:shd w:val="clear" w:color="auto" w:fill="auto"/>
            <w:vAlign w:val="bottom"/>
            <w:hideMark/>
          </w:tcPr>
          <w:p w:rsidR="00B958B1" w:rsidRPr="000C12B1" w:rsidRDefault="00B958B1" w:rsidP="009F3B54">
            <w:pPr>
              <w:pStyle w:val="OGHeading2"/>
              <w:rPr>
                <w:lang w:eastAsia="en-AU"/>
              </w:rPr>
            </w:pPr>
            <w:r w:rsidRPr="000C12B1">
              <w:rPr>
                <w:lang w:eastAsia="en-AU"/>
              </w:rPr>
              <w:t>Admitted Services</w:t>
            </w:r>
          </w:p>
        </w:tc>
      </w:tr>
      <w:tr w:rsidR="00B958B1" w:rsidRPr="000C12B1"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single" w:sz="6" w:space="0" w:color="auto"/>
              <w:left w:val="nil"/>
              <w:bottom w:val="nil"/>
              <w:right w:val="nil"/>
            </w:tcBorders>
            <w:shd w:val="clear" w:color="auto" w:fill="auto"/>
            <w:vAlign w:val="bottom"/>
            <w:hideMark/>
          </w:tcPr>
          <w:p w:rsidR="00B958B1" w:rsidRPr="000C12B1" w:rsidRDefault="00B958B1" w:rsidP="009F3B54">
            <w:pPr>
              <w:pStyle w:val="OGTabHead"/>
              <w:rPr>
                <w:lang w:eastAsia="en-AU"/>
              </w:rPr>
            </w:pPr>
            <w:r w:rsidRPr="000C12B1">
              <w:rPr>
                <w:lang w:eastAsia="en-AU"/>
              </w:rPr>
              <w:t>Quality</w:t>
            </w:r>
          </w:p>
        </w:tc>
        <w:tc>
          <w:tcPr>
            <w:tcW w:w="907" w:type="dxa"/>
            <w:tcBorders>
              <w:top w:val="single" w:sz="6" w:space="0" w:color="auto"/>
              <w:left w:val="nil"/>
              <w:bottom w:val="nil"/>
              <w:right w:val="nil"/>
            </w:tcBorders>
            <w:shd w:val="clear" w:color="auto" w:fill="auto"/>
            <w:noWrap/>
            <w:hideMark/>
          </w:tcPr>
          <w:p w:rsidR="00B958B1" w:rsidRPr="000C12B1" w:rsidRDefault="00B958B1" w:rsidP="009F3B54">
            <w:pPr>
              <w:pStyle w:val="OGUoM"/>
              <w:rPr>
                <w:lang w:eastAsia="en-AU"/>
              </w:rPr>
            </w:pPr>
          </w:p>
        </w:tc>
        <w:tc>
          <w:tcPr>
            <w:tcW w:w="908" w:type="dxa"/>
            <w:tcBorders>
              <w:top w:val="single" w:sz="6" w:space="0" w:color="auto"/>
              <w:left w:val="nil"/>
              <w:bottom w:val="nil"/>
              <w:right w:val="nil"/>
            </w:tcBorders>
            <w:shd w:val="clear" w:color="auto" w:fill="D9D9D9"/>
            <w:noWrap/>
            <w:hideMark/>
          </w:tcPr>
          <w:p w:rsidR="00B958B1" w:rsidRPr="000C12B1" w:rsidRDefault="00B958B1" w:rsidP="009F3B54">
            <w:pPr>
              <w:pStyle w:val="OGTableofFigures"/>
              <w:rPr>
                <w:lang w:eastAsia="en-AU"/>
              </w:rPr>
            </w:pPr>
          </w:p>
        </w:tc>
        <w:tc>
          <w:tcPr>
            <w:tcW w:w="995" w:type="dxa"/>
            <w:tcBorders>
              <w:top w:val="single" w:sz="6" w:space="0" w:color="auto"/>
              <w:left w:val="nil"/>
              <w:bottom w:val="nil"/>
              <w:right w:val="nil"/>
            </w:tcBorders>
            <w:shd w:val="clear" w:color="auto" w:fill="auto"/>
            <w:noWrap/>
            <w:hideMark/>
          </w:tcPr>
          <w:p w:rsidR="00B958B1" w:rsidRPr="000C12B1" w:rsidRDefault="00B958B1" w:rsidP="009F3B54">
            <w:pPr>
              <w:pStyle w:val="OGTableofFigures"/>
              <w:rPr>
                <w:lang w:eastAsia="en-AU"/>
              </w:rPr>
            </w:pPr>
          </w:p>
        </w:tc>
        <w:tc>
          <w:tcPr>
            <w:tcW w:w="908" w:type="dxa"/>
            <w:tcBorders>
              <w:top w:val="single" w:sz="6" w:space="0" w:color="auto"/>
              <w:left w:val="nil"/>
              <w:bottom w:val="nil"/>
              <w:right w:val="nil"/>
            </w:tcBorders>
            <w:shd w:val="clear" w:color="auto" w:fill="auto"/>
            <w:noWrap/>
            <w:hideMark/>
          </w:tcPr>
          <w:p w:rsidR="00B958B1" w:rsidRPr="000C12B1"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0C12B1" w:rsidRDefault="00B958B1" w:rsidP="009F3B54">
            <w:pPr>
              <w:pStyle w:val="OGTableofFigures"/>
              <w:rPr>
                <w:lang w:eastAsia="en-AU"/>
              </w:rPr>
            </w:pPr>
          </w:p>
        </w:tc>
      </w:tr>
      <w:tr w:rsidR="00B958B1" w:rsidRPr="000C12B1"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nil"/>
              <w:left w:val="nil"/>
              <w:right w:val="nil"/>
            </w:tcBorders>
            <w:shd w:val="clear" w:color="000000" w:fill="FFFFFF"/>
            <w:hideMark/>
          </w:tcPr>
          <w:p w:rsidR="00B958B1" w:rsidRPr="000C12B1" w:rsidRDefault="00B958B1" w:rsidP="009F3B54">
            <w:pPr>
              <w:pStyle w:val="OGTabText"/>
              <w:rPr>
                <w:lang w:eastAsia="en-AU"/>
              </w:rPr>
            </w:pPr>
            <w:r w:rsidRPr="000C12B1">
              <w:rPr>
                <w:lang w:eastAsia="en-AU"/>
              </w:rPr>
              <w:t>Consumer Participation Indicator</w:t>
            </w:r>
            <w:r>
              <w:rPr>
                <w:lang w:eastAsia="en-AU"/>
              </w:rPr>
              <w:t xml:space="preserve"> – </w:t>
            </w:r>
            <w:r w:rsidRPr="000C12B1">
              <w:rPr>
                <w:lang w:eastAsia="en-AU"/>
              </w:rPr>
              <w:t>score with a range of 20</w:t>
            </w:r>
            <w:r w:rsidR="009F0F49">
              <w:rPr>
                <w:lang w:eastAsia="en-AU"/>
              </w:rPr>
              <w:noBreakHyphen/>
            </w:r>
            <w:r w:rsidRPr="000C12B1">
              <w:rPr>
                <w:lang w:eastAsia="en-AU"/>
              </w:rPr>
              <w:t>100</w:t>
            </w:r>
          </w:p>
        </w:tc>
        <w:tc>
          <w:tcPr>
            <w:tcW w:w="907" w:type="dxa"/>
            <w:tcBorders>
              <w:top w:val="nil"/>
              <w:left w:val="nil"/>
              <w:right w:val="nil"/>
            </w:tcBorders>
            <w:shd w:val="clear" w:color="000000" w:fill="FFFFFF"/>
            <w:hideMark/>
          </w:tcPr>
          <w:p w:rsidR="00B958B1" w:rsidRPr="000C12B1" w:rsidRDefault="00B958B1" w:rsidP="009F3B54">
            <w:pPr>
              <w:pStyle w:val="OGUoM"/>
              <w:rPr>
                <w:lang w:eastAsia="en-AU"/>
              </w:rPr>
            </w:pPr>
            <w:r w:rsidRPr="000C12B1">
              <w:rPr>
                <w:lang w:eastAsia="en-AU"/>
              </w:rPr>
              <w:t>score</w:t>
            </w:r>
          </w:p>
        </w:tc>
        <w:tc>
          <w:tcPr>
            <w:tcW w:w="908" w:type="dxa"/>
            <w:tcBorders>
              <w:top w:val="nil"/>
              <w:left w:val="nil"/>
              <w:right w:val="nil"/>
            </w:tcBorders>
            <w:shd w:val="clear" w:color="auto" w:fill="D9D9D9"/>
            <w:hideMark/>
          </w:tcPr>
          <w:p w:rsidR="00B958B1" w:rsidRPr="000C12B1" w:rsidRDefault="00B958B1" w:rsidP="009F3B54">
            <w:pPr>
              <w:pStyle w:val="OGTableofFigures"/>
              <w:rPr>
                <w:lang w:eastAsia="en-AU"/>
              </w:rPr>
            </w:pPr>
            <w:r w:rsidRPr="000C12B1">
              <w:rPr>
                <w:lang w:eastAsia="en-AU"/>
              </w:rPr>
              <w:t>75</w:t>
            </w:r>
          </w:p>
        </w:tc>
        <w:tc>
          <w:tcPr>
            <w:tcW w:w="995" w:type="dxa"/>
            <w:tcBorders>
              <w:top w:val="nil"/>
              <w:left w:val="nil"/>
              <w:right w:val="nil"/>
            </w:tcBorders>
            <w:shd w:val="clear" w:color="000000" w:fill="FFFFFF"/>
            <w:hideMark/>
          </w:tcPr>
          <w:p w:rsidR="00B958B1" w:rsidRPr="000C12B1" w:rsidRDefault="00B958B1" w:rsidP="009F3B54">
            <w:pPr>
              <w:pStyle w:val="OGTableofFigures"/>
              <w:rPr>
                <w:lang w:eastAsia="en-AU"/>
              </w:rPr>
            </w:pPr>
            <w:r w:rsidRPr="000C12B1">
              <w:rPr>
                <w:lang w:eastAsia="en-AU"/>
              </w:rPr>
              <w:t>81</w:t>
            </w:r>
          </w:p>
        </w:tc>
        <w:tc>
          <w:tcPr>
            <w:tcW w:w="908" w:type="dxa"/>
            <w:tcBorders>
              <w:top w:val="nil"/>
              <w:left w:val="nil"/>
              <w:right w:val="nil"/>
            </w:tcBorders>
            <w:shd w:val="clear" w:color="000000" w:fill="FFFFFF"/>
            <w:hideMark/>
          </w:tcPr>
          <w:p w:rsidR="00B958B1" w:rsidRPr="000C12B1" w:rsidRDefault="00B958B1" w:rsidP="009F3B54">
            <w:pPr>
              <w:pStyle w:val="OGTableofFigures"/>
              <w:rPr>
                <w:lang w:eastAsia="en-AU"/>
              </w:rPr>
            </w:pPr>
            <w:r w:rsidRPr="000C12B1">
              <w:rPr>
                <w:lang w:eastAsia="en-AU"/>
              </w:rPr>
              <w:t>75</w:t>
            </w:r>
          </w:p>
        </w:tc>
        <w:tc>
          <w:tcPr>
            <w:tcW w:w="907" w:type="dxa"/>
            <w:tcBorders>
              <w:top w:val="nil"/>
              <w:left w:val="nil"/>
              <w:right w:val="nil"/>
            </w:tcBorders>
            <w:shd w:val="clear" w:color="000000" w:fill="FFFFFF"/>
            <w:hideMark/>
          </w:tcPr>
          <w:p w:rsidR="00B958B1" w:rsidRPr="000C12B1" w:rsidRDefault="00B958B1" w:rsidP="009F3B54">
            <w:pPr>
              <w:pStyle w:val="OGTableofFigures"/>
              <w:rPr>
                <w:lang w:eastAsia="en-AU"/>
              </w:rPr>
            </w:pPr>
            <w:r w:rsidRPr="000C12B1">
              <w:rPr>
                <w:lang w:eastAsia="en-AU"/>
              </w:rPr>
              <w:t>81</w:t>
            </w:r>
          </w:p>
        </w:tc>
      </w:tr>
      <w:tr w:rsidR="00B958B1" w:rsidRPr="000C12B1"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top w:val="nil"/>
              <w:left w:val="nil"/>
              <w:bottom w:val="single" w:sz="4" w:space="0" w:color="auto"/>
              <w:right w:val="nil"/>
            </w:tcBorders>
            <w:shd w:val="clear" w:color="auto" w:fill="auto"/>
            <w:vAlign w:val="bottom"/>
            <w:hideMark/>
          </w:tcPr>
          <w:p w:rsidR="00B958B1" w:rsidRPr="000C12B1" w:rsidRDefault="00B958B1" w:rsidP="009F3B54">
            <w:pPr>
              <w:pStyle w:val="OGNotes"/>
            </w:pPr>
            <w:r w:rsidRPr="000C12B1">
              <w:t>This measure is proposed to be discontinued as the survey from which the measure has been derived ceases 30 June 2013. There will be a replacement based on the new Victorian Health Experience Measurement Instrument available from 1 July 2014.</w:t>
            </w:r>
          </w:p>
        </w:tc>
      </w:tr>
      <w:tr w:rsidR="00B958B1" w:rsidRPr="000C12B1"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top w:val="single" w:sz="4" w:space="0" w:color="auto"/>
              <w:left w:val="nil"/>
              <w:bottom w:val="nil"/>
              <w:right w:val="nil"/>
            </w:tcBorders>
            <w:shd w:val="clear" w:color="auto" w:fill="auto"/>
            <w:vAlign w:val="bottom"/>
            <w:hideMark/>
          </w:tcPr>
          <w:p w:rsidR="00B958B1" w:rsidRPr="000C12B1" w:rsidRDefault="00B958B1" w:rsidP="009F3B54">
            <w:pPr>
              <w:pStyle w:val="OGHeading2"/>
              <w:rPr>
                <w:lang w:eastAsia="en-AU"/>
              </w:rPr>
            </w:pPr>
            <w:r w:rsidRPr="000C12B1">
              <w:rPr>
                <w:lang w:eastAsia="en-AU"/>
              </w:rPr>
              <w:t>Non</w:t>
            </w:r>
            <w:r w:rsidR="009F0F49">
              <w:rPr>
                <w:lang w:eastAsia="en-AU"/>
              </w:rPr>
              <w:noBreakHyphen/>
            </w:r>
            <w:r w:rsidRPr="000C12B1">
              <w:rPr>
                <w:lang w:eastAsia="en-AU"/>
              </w:rPr>
              <w:t>Admitted Services</w:t>
            </w:r>
          </w:p>
        </w:tc>
      </w:tr>
      <w:tr w:rsidR="00B958B1" w:rsidRPr="000C12B1"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single" w:sz="6" w:space="0" w:color="auto"/>
              <w:left w:val="nil"/>
              <w:bottom w:val="nil"/>
              <w:right w:val="nil"/>
            </w:tcBorders>
            <w:shd w:val="clear" w:color="auto" w:fill="auto"/>
            <w:vAlign w:val="bottom"/>
            <w:hideMark/>
          </w:tcPr>
          <w:p w:rsidR="00B958B1" w:rsidRPr="000C12B1" w:rsidRDefault="00B958B1" w:rsidP="009F3B54">
            <w:pPr>
              <w:pStyle w:val="OGTabHead"/>
              <w:rPr>
                <w:lang w:eastAsia="en-AU"/>
              </w:rPr>
            </w:pPr>
            <w:r w:rsidRPr="000C12B1">
              <w:rPr>
                <w:lang w:eastAsia="en-AU"/>
              </w:rPr>
              <w:t>Quantity</w:t>
            </w:r>
          </w:p>
        </w:tc>
        <w:tc>
          <w:tcPr>
            <w:tcW w:w="907" w:type="dxa"/>
            <w:tcBorders>
              <w:top w:val="single" w:sz="6" w:space="0" w:color="auto"/>
              <w:left w:val="nil"/>
              <w:bottom w:val="nil"/>
              <w:right w:val="nil"/>
            </w:tcBorders>
            <w:shd w:val="clear" w:color="auto" w:fill="auto"/>
            <w:noWrap/>
            <w:hideMark/>
          </w:tcPr>
          <w:p w:rsidR="00B958B1" w:rsidRPr="000C12B1" w:rsidRDefault="00B958B1" w:rsidP="009F3B54">
            <w:pPr>
              <w:pStyle w:val="OGUoM"/>
              <w:rPr>
                <w:lang w:eastAsia="en-AU"/>
              </w:rPr>
            </w:pPr>
          </w:p>
        </w:tc>
        <w:tc>
          <w:tcPr>
            <w:tcW w:w="908" w:type="dxa"/>
            <w:tcBorders>
              <w:top w:val="single" w:sz="6" w:space="0" w:color="auto"/>
              <w:left w:val="nil"/>
              <w:bottom w:val="nil"/>
              <w:right w:val="nil"/>
            </w:tcBorders>
            <w:shd w:val="clear" w:color="auto" w:fill="D9D9D9"/>
            <w:noWrap/>
            <w:hideMark/>
          </w:tcPr>
          <w:p w:rsidR="00B958B1" w:rsidRPr="000C12B1" w:rsidRDefault="00B958B1" w:rsidP="009F3B54">
            <w:pPr>
              <w:pStyle w:val="OGTableofFigures"/>
              <w:rPr>
                <w:lang w:eastAsia="en-AU"/>
              </w:rPr>
            </w:pPr>
          </w:p>
        </w:tc>
        <w:tc>
          <w:tcPr>
            <w:tcW w:w="995" w:type="dxa"/>
            <w:tcBorders>
              <w:top w:val="single" w:sz="6" w:space="0" w:color="auto"/>
              <w:left w:val="nil"/>
              <w:bottom w:val="nil"/>
              <w:right w:val="nil"/>
            </w:tcBorders>
            <w:shd w:val="clear" w:color="auto" w:fill="auto"/>
            <w:noWrap/>
            <w:hideMark/>
          </w:tcPr>
          <w:p w:rsidR="00B958B1" w:rsidRPr="000C12B1" w:rsidRDefault="00B958B1" w:rsidP="009F3B54">
            <w:pPr>
              <w:pStyle w:val="OGTableofFigures"/>
              <w:rPr>
                <w:lang w:eastAsia="en-AU"/>
              </w:rPr>
            </w:pPr>
          </w:p>
        </w:tc>
        <w:tc>
          <w:tcPr>
            <w:tcW w:w="908" w:type="dxa"/>
            <w:tcBorders>
              <w:top w:val="single" w:sz="6" w:space="0" w:color="auto"/>
              <w:left w:val="nil"/>
              <w:bottom w:val="nil"/>
              <w:right w:val="nil"/>
            </w:tcBorders>
            <w:shd w:val="clear" w:color="auto" w:fill="auto"/>
            <w:noWrap/>
            <w:hideMark/>
          </w:tcPr>
          <w:p w:rsidR="00B958B1" w:rsidRPr="000C12B1"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0C12B1" w:rsidRDefault="00B958B1" w:rsidP="009F3B54">
            <w:pPr>
              <w:pStyle w:val="OGTableofFigures"/>
              <w:rPr>
                <w:lang w:eastAsia="en-AU"/>
              </w:rPr>
            </w:pPr>
          </w:p>
        </w:tc>
      </w:tr>
      <w:tr w:rsidR="00B958B1" w:rsidRPr="000C12B1"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nil"/>
              <w:left w:val="nil"/>
              <w:right w:val="nil"/>
            </w:tcBorders>
            <w:shd w:val="clear" w:color="000000" w:fill="FFFFFF"/>
            <w:hideMark/>
          </w:tcPr>
          <w:p w:rsidR="00B958B1" w:rsidRPr="000C12B1" w:rsidRDefault="00B958B1" w:rsidP="009F3B54">
            <w:pPr>
              <w:pStyle w:val="OGTabText"/>
              <w:rPr>
                <w:lang w:eastAsia="en-AU"/>
              </w:rPr>
            </w:pPr>
            <w:r w:rsidRPr="000C12B1">
              <w:rPr>
                <w:lang w:eastAsia="en-AU"/>
              </w:rPr>
              <w:t>Patients treated in specialist outpatient clinics</w:t>
            </w:r>
            <w:r>
              <w:rPr>
                <w:lang w:eastAsia="en-AU"/>
              </w:rPr>
              <w:t xml:space="preserve"> – </w:t>
            </w:r>
            <w:r w:rsidRPr="000C12B1">
              <w:rPr>
                <w:lang w:eastAsia="en-AU"/>
              </w:rPr>
              <w:t>weighted</w:t>
            </w:r>
          </w:p>
        </w:tc>
        <w:tc>
          <w:tcPr>
            <w:tcW w:w="907" w:type="dxa"/>
            <w:tcBorders>
              <w:top w:val="nil"/>
              <w:left w:val="nil"/>
              <w:right w:val="nil"/>
            </w:tcBorders>
            <w:shd w:val="clear" w:color="000000" w:fill="FFFFFF"/>
            <w:hideMark/>
          </w:tcPr>
          <w:p w:rsidR="00B958B1" w:rsidRPr="000C12B1" w:rsidRDefault="00B958B1" w:rsidP="009F3B54">
            <w:pPr>
              <w:pStyle w:val="OGUoM"/>
              <w:rPr>
                <w:lang w:eastAsia="en-AU"/>
              </w:rPr>
            </w:pPr>
            <w:r w:rsidRPr="000C12B1">
              <w:rPr>
                <w:lang w:eastAsia="en-AU"/>
              </w:rPr>
              <w:t>number (000)</w:t>
            </w:r>
          </w:p>
        </w:tc>
        <w:tc>
          <w:tcPr>
            <w:tcW w:w="908" w:type="dxa"/>
            <w:tcBorders>
              <w:top w:val="nil"/>
              <w:left w:val="nil"/>
              <w:right w:val="nil"/>
            </w:tcBorders>
            <w:shd w:val="clear" w:color="auto" w:fill="D9D9D9"/>
            <w:hideMark/>
          </w:tcPr>
          <w:p w:rsidR="00B958B1" w:rsidRPr="000C12B1" w:rsidRDefault="00B958B1" w:rsidP="009F3B54">
            <w:pPr>
              <w:pStyle w:val="OGTableofFigures"/>
              <w:rPr>
                <w:lang w:eastAsia="en-AU"/>
              </w:rPr>
            </w:pPr>
            <w:r w:rsidRPr="000C12B1">
              <w:rPr>
                <w:lang w:eastAsia="en-AU"/>
              </w:rPr>
              <w:t>na</w:t>
            </w:r>
          </w:p>
        </w:tc>
        <w:tc>
          <w:tcPr>
            <w:tcW w:w="995" w:type="dxa"/>
            <w:tcBorders>
              <w:top w:val="nil"/>
              <w:left w:val="nil"/>
              <w:right w:val="nil"/>
            </w:tcBorders>
            <w:shd w:val="clear" w:color="000000" w:fill="FFFFFF"/>
            <w:hideMark/>
          </w:tcPr>
          <w:p w:rsidR="00B958B1" w:rsidRPr="000C12B1" w:rsidRDefault="00B958B1" w:rsidP="009F3B54">
            <w:pPr>
              <w:pStyle w:val="OGTableofFigures"/>
              <w:rPr>
                <w:lang w:eastAsia="en-AU"/>
              </w:rPr>
            </w:pPr>
            <w:r w:rsidRPr="000C12B1">
              <w:rPr>
                <w:lang w:eastAsia="en-AU"/>
              </w:rPr>
              <w:t>na</w:t>
            </w:r>
          </w:p>
        </w:tc>
        <w:tc>
          <w:tcPr>
            <w:tcW w:w="908" w:type="dxa"/>
            <w:tcBorders>
              <w:top w:val="nil"/>
              <w:left w:val="nil"/>
              <w:right w:val="nil"/>
            </w:tcBorders>
            <w:shd w:val="clear" w:color="000000" w:fill="FFFFFF"/>
            <w:hideMark/>
          </w:tcPr>
          <w:p w:rsidR="00B958B1" w:rsidRPr="000C12B1" w:rsidRDefault="00B958B1" w:rsidP="009F3B54">
            <w:pPr>
              <w:pStyle w:val="OGTableofFigures"/>
              <w:rPr>
                <w:lang w:eastAsia="en-AU"/>
              </w:rPr>
            </w:pPr>
            <w:r w:rsidRPr="000C12B1">
              <w:rPr>
                <w:lang w:eastAsia="en-AU"/>
              </w:rPr>
              <w:t>1</w:t>
            </w:r>
            <w:r>
              <w:rPr>
                <w:lang w:eastAsia="en-AU"/>
              </w:rPr>
              <w:t> </w:t>
            </w:r>
            <w:r w:rsidRPr="000C12B1">
              <w:rPr>
                <w:lang w:eastAsia="en-AU"/>
              </w:rPr>
              <w:t>595</w:t>
            </w:r>
          </w:p>
        </w:tc>
        <w:tc>
          <w:tcPr>
            <w:tcW w:w="907" w:type="dxa"/>
            <w:tcBorders>
              <w:top w:val="nil"/>
              <w:left w:val="nil"/>
              <w:right w:val="nil"/>
            </w:tcBorders>
            <w:shd w:val="clear" w:color="000000" w:fill="FFFFFF"/>
            <w:hideMark/>
          </w:tcPr>
          <w:p w:rsidR="00B958B1" w:rsidRPr="000C12B1" w:rsidRDefault="00B958B1" w:rsidP="009F3B54">
            <w:pPr>
              <w:pStyle w:val="OGTableofFigures"/>
              <w:rPr>
                <w:lang w:eastAsia="en-AU"/>
              </w:rPr>
            </w:pPr>
            <w:r w:rsidRPr="000C12B1">
              <w:rPr>
                <w:lang w:eastAsia="en-AU"/>
              </w:rPr>
              <w:t>1</w:t>
            </w:r>
            <w:r>
              <w:rPr>
                <w:lang w:eastAsia="en-AU"/>
              </w:rPr>
              <w:t> </w:t>
            </w:r>
            <w:r w:rsidRPr="000C12B1">
              <w:rPr>
                <w:lang w:eastAsia="en-AU"/>
              </w:rPr>
              <w:t>622</w:t>
            </w:r>
          </w:p>
        </w:tc>
      </w:tr>
      <w:tr w:rsidR="00B958B1" w:rsidRPr="000C12B1"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top w:val="nil"/>
              <w:left w:val="nil"/>
              <w:bottom w:val="single" w:sz="6" w:space="0" w:color="auto"/>
              <w:right w:val="nil"/>
            </w:tcBorders>
            <w:shd w:val="clear" w:color="auto" w:fill="auto"/>
            <w:vAlign w:val="bottom"/>
            <w:hideMark/>
          </w:tcPr>
          <w:p w:rsidR="00B958B1" w:rsidRPr="000C12B1" w:rsidRDefault="00B958B1" w:rsidP="009F3B54">
            <w:pPr>
              <w:pStyle w:val="OGNotes"/>
            </w:pPr>
            <w:r w:rsidRPr="000C12B1">
              <w:t>This performance measure is proposed to be discontinued as revisions to classifications required under National Health Reform has impacted the availability of this measure. A suitable substitute measure will be developed for 2014</w:t>
            </w:r>
            <w:r w:rsidR="009F0F49">
              <w:noBreakHyphen/>
            </w:r>
            <w:r w:rsidRPr="000C12B1">
              <w:t>15.</w:t>
            </w:r>
          </w:p>
        </w:tc>
      </w:tr>
      <w:tr w:rsidR="00B958B1" w:rsidRPr="000C12B1"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top w:val="single" w:sz="6" w:space="0" w:color="auto"/>
              <w:left w:val="nil"/>
              <w:bottom w:val="nil"/>
              <w:right w:val="nil"/>
            </w:tcBorders>
            <w:shd w:val="clear" w:color="auto" w:fill="auto"/>
            <w:vAlign w:val="bottom"/>
            <w:hideMark/>
          </w:tcPr>
          <w:p w:rsidR="00B958B1" w:rsidRPr="000C12B1" w:rsidRDefault="00B958B1" w:rsidP="009F3B54">
            <w:pPr>
              <w:pStyle w:val="OGHeading2"/>
              <w:rPr>
                <w:lang w:eastAsia="en-AU"/>
              </w:rPr>
            </w:pPr>
            <w:r w:rsidRPr="000C12B1">
              <w:rPr>
                <w:lang w:eastAsia="en-AU"/>
              </w:rPr>
              <w:t>Drug Treatment and Rehabilitation</w:t>
            </w:r>
          </w:p>
        </w:tc>
      </w:tr>
      <w:tr w:rsidR="00B958B1" w:rsidRPr="000C12B1"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top w:val="nil"/>
              <w:left w:val="nil"/>
              <w:bottom w:val="nil"/>
              <w:right w:val="nil"/>
            </w:tcBorders>
            <w:shd w:val="clear" w:color="auto" w:fill="auto"/>
            <w:vAlign w:val="bottom"/>
            <w:hideMark/>
          </w:tcPr>
          <w:p w:rsidR="00B958B1" w:rsidRPr="000C12B1" w:rsidRDefault="00B958B1" w:rsidP="009F3B54">
            <w:pPr>
              <w:pStyle w:val="OGText"/>
              <w:rPr>
                <w:lang w:eastAsia="en-AU"/>
              </w:rPr>
            </w:pPr>
            <w:r w:rsidRPr="000C12B1">
              <w:rPr>
                <w:lang w:eastAsia="en-AU"/>
              </w:rPr>
              <w:t>Assists the community and individuals to control and reduce the harmful effects of illicit and licit drugs, including alcohol, in Victoria through the provision of residential and community based services, which include withdrawal services, rehabilitation, supported accommodation, education and training, counselling and support.</w:t>
            </w:r>
          </w:p>
        </w:tc>
      </w:tr>
      <w:tr w:rsidR="00B958B1" w:rsidRPr="000C12B1"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single" w:sz="6" w:space="0" w:color="auto"/>
              <w:left w:val="nil"/>
              <w:bottom w:val="nil"/>
              <w:right w:val="nil"/>
            </w:tcBorders>
            <w:shd w:val="clear" w:color="auto" w:fill="auto"/>
            <w:vAlign w:val="bottom"/>
            <w:hideMark/>
          </w:tcPr>
          <w:p w:rsidR="00B958B1" w:rsidRPr="000C12B1" w:rsidRDefault="00B958B1" w:rsidP="009F3B54">
            <w:pPr>
              <w:pStyle w:val="OGTabHead"/>
              <w:rPr>
                <w:lang w:eastAsia="en-AU"/>
              </w:rPr>
            </w:pPr>
            <w:r w:rsidRPr="000C12B1">
              <w:rPr>
                <w:lang w:eastAsia="en-AU"/>
              </w:rPr>
              <w:t>Quality</w:t>
            </w:r>
          </w:p>
        </w:tc>
        <w:tc>
          <w:tcPr>
            <w:tcW w:w="907" w:type="dxa"/>
            <w:tcBorders>
              <w:top w:val="single" w:sz="6" w:space="0" w:color="auto"/>
              <w:left w:val="nil"/>
              <w:bottom w:val="nil"/>
              <w:right w:val="nil"/>
            </w:tcBorders>
            <w:shd w:val="clear" w:color="auto" w:fill="auto"/>
            <w:noWrap/>
            <w:hideMark/>
          </w:tcPr>
          <w:p w:rsidR="00B958B1" w:rsidRPr="000C12B1" w:rsidRDefault="00B958B1" w:rsidP="009F3B54">
            <w:pPr>
              <w:pStyle w:val="OGUoM"/>
              <w:rPr>
                <w:lang w:eastAsia="en-AU"/>
              </w:rPr>
            </w:pPr>
          </w:p>
        </w:tc>
        <w:tc>
          <w:tcPr>
            <w:tcW w:w="908" w:type="dxa"/>
            <w:tcBorders>
              <w:top w:val="single" w:sz="6" w:space="0" w:color="auto"/>
              <w:left w:val="nil"/>
              <w:bottom w:val="nil"/>
              <w:right w:val="nil"/>
            </w:tcBorders>
            <w:shd w:val="clear" w:color="auto" w:fill="D9D9D9"/>
            <w:noWrap/>
            <w:hideMark/>
          </w:tcPr>
          <w:p w:rsidR="00B958B1" w:rsidRPr="000C12B1" w:rsidRDefault="00B958B1" w:rsidP="009F3B54">
            <w:pPr>
              <w:pStyle w:val="OGTableofFigures"/>
              <w:rPr>
                <w:lang w:eastAsia="en-AU"/>
              </w:rPr>
            </w:pPr>
          </w:p>
        </w:tc>
        <w:tc>
          <w:tcPr>
            <w:tcW w:w="995" w:type="dxa"/>
            <w:tcBorders>
              <w:top w:val="single" w:sz="6" w:space="0" w:color="auto"/>
              <w:left w:val="nil"/>
              <w:bottom w:val="nil"/>
              <w:right w:val="nil"/>
            </w:tcBorders>
            <w:shd w:val="clear" w:color="auto" w:fill="auto"/>
            <w:noWrap/>
            <w:hideMark/>
          </w:tcPr>
          <w:p w:rsidR="00B958B1" w:rsidRPr="000C12B1" w:rsidRDefault="00B958B1" w:rsidP="009F3B54">
            <w:pPr>
              <w:pStyle w:val="OGTableofFigures"/>
              <w:rPr>
                <w:lang w:eastAsia="en-AU"/>
              </w:rPr>
            </w:pPr>
          </w:p>
        </w:tc>
        <w:tc>
          <w:tcPr>
            <w:tcW w:w="908" w:type="dxa"/>
            <w:tcBorders>
              <w:top w:val="single" w:sz="6" w:space="0" w:color="auto"/>
              <w:left w:val="nil"/>
              <w:bottom w:val="nil"/>
              <w:right w:val="nil"/>
            </w:tcBorders>
            <w:shd w:val="clear" w:color="auto" w:fill="auto"/>
            <w:noWrap/>
            <w:hideMark/>
          </w:tcPr>
          <w:p w:rsidR="00B958B1" w:rsidRPr="000C12B1"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0C12B1" w:rsidRDefault="00B958B1" w:rsidP="009F3B54">
            <w:pPr>
              <w:pStyle w:val="OGTableofFigures"/>
              <w:rPr>
                <w:lang w:eastAsia="en-AU"/>
              </w:rPr>
            </w:pPr>
          </w:p>
        </w:tc>
      </w:tr>
      <w:tr w:rsidR="00B958B1" w:rsidRPr="000C12B1"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3151" w:type="dxa"/>
            <w:tcBorders>
              <w:top w:val="nil"/>
              <w:left w:val="nil"/>
              <w:right w:val="nil"/>
            </w:tcBorders>
            <w:shd w:val="clear" w:color="000000" w:fill="FFFFFF"/>
            <w:hideMark/>
          </w:tcPr>
          <w:p w:rsidR="00B958B1" w:rsidRPr="000C12B1" w:rsidRDefault="00B958B1" w:rsidP="009F3B54">
            <w:pPr>
              <w:pStyle w:val="OGTabText"/>
              <w:rPr>
                <w:lang w:eastAsia="en-AU"/>
              </w:rPr>
            </w:pPr>
            <w:r w:rsidRPr="000C12B1">
              <w:rPr>
                <w:lang w:eastAsia="en-AU"/>
              </w:rPr>
              <w:t>Drug Treatment Services accredited</w:t>
            </w:r>
          </w:p>
        </w:tc>
        <w:tc>
          <w:tcPr>
            <w:tcW w:w="907" w:type="dxa"/>
            <w:tcBorders>
              <w:top w:val="nil"/>
              <w:left w:val="nil"/>
              <w:right w:val="nil"/>
            </w:tcBorders>
            <w:shd w:val="clear" w:color="000000" w:fill="FFFFFF"/>
            <w:hideMark/>
          </w:tcPr>
          <w:p w:rsidR="00B958B1" w:rsidRPr="000C12B1" w:rsidRDefault="00B958B1" w:rsidP="009F3B54">
            <w:pPr>
              <w:pStyle w:val="OGUoM"/>
              <w:rPr>
                <w:lang w:eastAsia="en-AU"/>
              </w:rPr>
            </w:pPr>
            <w:r>
              <w:rPr>
                <w:lang w:eastAsia="en-AU"/>
              </w:rPr>
              <w:t>per cent</w:t>
            </w:r>
          </w:p>
        </w:tc>
        <w:tc>
          <w:tcPr>
            <w:tcW w:w="908" w:type="dxa"/>
            <w:tcBorders>
              <w:top w:val="nil"/>
              <w:left w:val="nil"/>
              <w:right w:val="nil"/>
            </w:tcBorders>
            <w:shd w:val="clear" w:color="auto" w:fill="D9D9D9"/>
            <w:hideMark/>
          </w:tcPr>
          <w:p w:rsidR="00B958B1" w:rsidRPr="000C12B1" w:rsidRDefault="00B958B1" w:rsidP="009F3B54">
            <w:pPr>
              <w:pStyle w:val="OGTableofFigures"/>
              <w:rPr>
                <w:lang w:eastAsia="en-AU"/>
              </w:rPr>
            </w:pPr>
            <w:r w:rsidRPr="000C12B1">
              <w:rPr>
                <w:lang w:eastAsia="en-AU"/>
              </w:rPr>
              <w:t>100</w:t>
            </w:r>
          </w:p>
        </w:tc>
        <w:tc>
          <w:tcPr>
            <w:tcW w:w="995" w:type="dxa"/>
            <w:tcBorders>
              <w:top w:val="nil"/>
              <w:left w:val="nil"/>
              <w:right w:val="nil"/>
            </w:tcBorders>
            <w:shd w:val="clear" w:color="000000" w:fill="FFFFFF"/>
            <w:hideMark/>
          </w:tcPr>
          <w:p w:rsidR="00B958B1" w:rsidRPr="000C12B1" w:rsidRDefault="00B958B1" w:rsidP="009F3B54">
            <w:pPr>
              <w:pStyle w:val="OGTableofFigures"/>
              <w:rPr>
                <w:lang w:eastAsia="en-AU"/>
              </w:rPr>
            </w:pPr>
            <w:r w:rsidRPr="000C12B1">
              <w:rPr>
                <w:lang w:eastAsia="en-AU"/>
              </w:rPr>
              <w:t>100</w:t>
            </w:r>
          </w:p>
        </w:tc>
        <w:tc>
          <w:tcPr>
            <w:tcW w:w="908" w:type="dxa"/>
            <w:tcBorders>
              <w:top w:val="nil"/>
              <w:left w:val="nil"/>
              <w:right w:val="nil"/>
            </w:tcBorders>
            <w:shd w:val="clear" w:color="000000" w:fill="FFFFFF"/>
            <w:hideMark/>
          </w:tcPr>
          <w:p w:rsidR="00B958B1" w:rsidRPr="000C12B1" w:rsidRDefault="00B958B1" w:rsidP="009F3B54">
            <w:pPr>
              <w:pStyle w:val="OGTableofFigures"/>
              <w:rPr>
                <w:lang w:eastAsia="en-AU"/>
              </w:rPr>
            </w:pPr>
            <w:r w:rsidRPr="000C12B1">
              <w:rPr>
                <w:lang w:eastAsia="en-AU"/>
              </w:rPr>
              <w:t>100</w:t>
            </w:r>
          </w:p>
        </w:tc>
        <w:tc>
          <w:tcPr>
            <w:tcW w:w="907" w:type="dxa"/>
            <w:tcBorders>
              <w:top w:val="nil"/>
              <w:left w:val="nil"/>
              <w:right w:val="nil"/>
            </w:tcBorders>
            <w:shd w:val="clear" w:color="000000" w:fill="FFFFFF"/>
            <w:hideMark/>
          </w:tcPr>
          <w:p w:rsidR="00B958B1" w:rsidRPr="000C12B1" w:rsidRDefault="00B958B1" w:rsidP="009F3B54">
            <w:pPr>
              <w:pStyle w:val="OGTableofFigures"/>
              <w:rPr>
                <w:lang w:eastAsia="en-AU"/>
              </w:rPr>
            </w:pPr>
            <w:r w:rsidRPr="000C12B1">
              <w:rPr>
                <w:lang w:eastAsia="en-AU"/>
              </w:rPr>
              <w:t>100</w:t>
            </w:r>
          </w:p>
        </w:tc>
      </w:tr>
      <w:tr w:rsidR="00B958B1" w:rsidRPr="000C12B1" w:rsidTr="009F3B54">
        <w:tblPrEx>
          <w:tblBorders>
            <w:top w:val="none" w:sz="0" w:space="0" w:color="auto"/>
            <w:left w:val="none" w:sz="0" w:space="0" w:color="auto"/>
            <w:bottom w:val="none" w:sz="0" w:space="0" w:color="auto"/>
            <w:right w:val="none" w:sz="0" w:space="0" w:color="auto"/>
          </w:tblBorders>
          <w:shd w:val="clear" w:color="auto" w:fill="auto"/>
        </w:tblPrEx>
        <w:trPr>
          <w:gridAfter w:val="1"/>
          <w:wAfter w:w="6" w:type="dxa"/>
          <w:cantSplit/>
        </w:trPr>
        <w:tc>
          <w:tcPr>
            <w:tcW w:w="7776" w:type="dxa"/>
            <w:gridSpan w:val="6"/>
            <w:tcBorders>
              <w:top w:val="nil"/>
              <w:left w:val="nil"/>
              <w:bottom w:val="single" w:sz="12" w:space="0" w:color="auto"/>
              <w:right w:val="nil"/>
            </w:tcBorders>
            <w:shd w:val="clear" w:color="auto" w:fill="auto"/>
            <w:vAlign w:val="bottom"/>
            <w:hideMark/>
          </w:tcPr>
          <w:p w:rsidR="00B958B1" w:rsidRPr="000C12B1" w:rsidRDefault="00B958B1" w:rsidP="009F3B54">
            <w:pPr>
              <w:pStyle w:val="OGNotes"/>
            </w:pPr>
            <w:r w:rsidRPr="000C12B1">
              <w:t>This measure is proposed to be discontinued as it is no longer relevant and has no specific funding attached.</w:t>
            </w:r>
          </w:p>
        </w:tc>
      </w:tr>
    </w:tbl>
    <w:p w:rsidR="00B958B1" w:rsidRDefault="00B958B1" w:rsidP="009F3B54">
      <w:pPr>
        <w:pStyle w:val="Source"/>
        <w:rPr>
          <w:lang w:eastAsia="en-AU"/>
        </w:rPr>
      </w:pPr>
      <w:r>
        <w:t>Source: Department of Health</w:t>
      </w:r>
      <w:r>
        <w:fldChar w:fldCharType="begin"/>
      </w:r>
      <w:r>
        <w:instrText xml:space="preserve"> XE "</w:instrText>
      </w:r>
      <w:r w:rsidRPr="00350DC5">
        <w:instrText>Department of Health:</w:instrText>
      </w:r>
      <w:r w:rsidRPr="00C60B08">
        <w:instrText xml:space="preserve"> </w:instrText>
      </w:r>
      <w:r w:rsidRPr="003E7F43">
        <w:instrText>Output performance measures for review</w:instrText>
      </w:r>
      <w:r>
        <w:instrText xml:space="preserve">" \r "BP3AppADHHealth" </w:instrText>
      </w:r>
      <w:r>
        <w:fldChar w:fldCharType="end"/>
      </w:r>
    </w:p>
    <w:p w:rsidR="00B958B1" w:rsidRPr="00CB576C" w:rsidRDefault="00B958B1" w:rsidP="009F3B54"/>
    <w:bookmarkEnd w:id="161"/>
    <w:p w:rsidR="00B958B1" w:rsidRPr="005A7039" w:rsidRDefault="00B958B1" w:rsidP="009F3B54">
      <w:pPr>
        <w:pStyle w:val="Heading1"/>
      </w:pPr>
      <w:r>
        <w:br w:type="page"/>
      </w:r>
      <w:bookmarkStart w:id="162" w:name="_Toc355362293"/>
      <w:bookmarkStart w:id="163" w:name="BP3AppADHSHumanServices"/>
      <w:r>
        <w:t xml:space="preserve">Department </w:t>
      </w:r>
      <w:r w:rsidRPr="00376BA6">
        <w:t>of</w:t>
      </w:r>
      <w:r w:rsidRPr="00981AA0">
        <w:t xml:space="preserve"> </w:t>
      </w:r>
      <w:r>
        <w:t>Human Services</w:t>
      </w:r>
      <w:bookmarkEnd w:id="162"/>
    </w:p>
    <w:tbl>
      <w:tblPr>
        <w:tblW w:w="7782" w:type="dxa"/>
        <w:tblInd w:w="29" w:type="dxa"/>
        <w:tblLayout w:type="fixed"/>
        <w:tblCellMar>
          <w:left w:w="43" w:type="dxa"/>
          <w:right w:w="43" w:type="dxa"/>
        </w:tblCellMar>
        <w:tblLook w:val="04A0" w:firstRow="1" w:lastRow="0" w:firstColumn="1" w:lastColumn="0" w:noHBand="0" w:noVBand="1"/>
      </w:tblPr>
      <w:tblGrid>
        <w:gridCol w:w="3114"/>
        <w:gridCol w:w="40"/>
        <w:gridCol w:w="907"/>
        <w:gridCol w:w="6"/>
        <w:gridCol w:w="901"/>
        <w:gridCol w:w="9"/>
        <w:gridCol w:w="985"/>
        <w:gridCol w:w="895"/>
        <w:gridCol w:w="12"/>
        <w:gridCol w:w="907"/>
        <w:gridCol w:w="6"/>
      </w:tblGrid>
      <w:tr w:rsidR="00B958B1" w:rsidRPr="00D32CA4" w:rsidTr="009F3B54">
        <w:trPr>
          <w:gridAfter w:val="1"/>
          <w:wAfter w:w="6" w:type="dxa"/>
          <w:cantSplit/>
        </w:trPr>
        <w:tc>
          <w:tcPr>
            <w:tcW w:w="3154" w:type="dxa"/>
            <w:gridSpan w:val="2"/>
            <w:tcBorders>
              <w:top w:val="single" w:sz="4" w:space="0" w:color="auto"/>
              <w:left w:val="single" w:sz="4" w:space="0" w:color="auto"/>
              <w:bottom w:val="single" w:sz="4" w:space="0" w:color="auto"/>
              <w:right w:val="nil"/>
            </w:tcBorders>
            <w:shd w:val="clear" w:color="auto" w:fill="000000"/>
            <w:vAlign w:val="bottom"/>
          </w:tcPr>
          <w:p w:rsidR="00B958B1" w:rsidRPr="00D32CA4" w:rsidRDefault="00B958B1" w:rsidP="009F3B54">
            <w:pPr>
              <w:pStyle w:val="OGTabColLeft"/>
              <w:rPr>
                <w:i/>
              </w:rPr>
            </w:pPr>
            <w:r w:rsidRPr="00D32CA4">
              <w:t>Major Outputs/Deliverables</w:t>
            </w:r>
            <w:r w:rsidRPr="00D32CA4">
              <w:br/>
            </w:r>
            <w:r w:rsidRPr="0085011C">
              <w:rPr>
                <w:b w:val="0"/>
                <w:i/>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Centred"/>
            </w:pPr>
            <w:r w:rsidRPr="00D32CA4">
              <w:t xml:space="preserve">Unit of </w:t>
            </w:r>
            <w:r w:rsidRPr="00D32CA4">
              <w:br/>
              <w:t>Measure</w:t>
            </w:r>
          </w:p>
        </w:tc>
        <w:tc>
          <w:tcPr>
            <w:tcW w:w="907" w:type="dxa"/>
            <w:gridSpan w:val="2"/>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4" w:type="dxa"/>
            <w:gridSpan w:val="2"/>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gridSpan w:val="2"/>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807665" w:rsidTr="009F3B54">
        <w:trPr>
          <w:cantSplit/>
        </w:trPr>
        <w:tc>
          <w:tcPr>
            <w:tcW w:w="7782" w:type="dxa"/>
            <w:gridSpan w:val="11"/>
            <w:tcBorders>
              <w:top w:val="nil"/>
              <w:left w:val="nil"/>
              <w:bottom w:val="nil"/>
              <w:right w:val="nil"/>
            </w:tcBorders>
            <w:shd w:val="clear" w:color="auto" w:fill="auto"/>
            <w:vAlign w:val="bottom"/>
          </w:tcPr>
          <w:p w:rsidR="00B958B1" w:rsidRDefault="00B958B1" w:rsidP="009F3B54">
            <w:pPr>
              <w:pStyle w:val="OGHeading2"/>
              <w:rPr>
                <w:sz w:val="20"/>
              </w:rPr>
            </w:pPr>
            <w:r w:rsidRPr="00CB576C">
              <w:rPr>
                <w:lang w:eastAsia="en-AU"/>
              </w:rPr>
              <w:t>Community Participation</w:t>
            </w:r>
          </w:p>
        </w:tc>
      </w:tr>
      <w:tr w:rsidR="00B958B1" w:rsidRPr="00807665" w:rsidTr="009F3B54">
        <w:trPr>
          <w:cantSplit/>
        </w:trPr>
        <w:tc>
          <w:tcPr>
            <w:tcW w:w="3114" w:type="dxa"/>
            <w:tcBorders>
              <w:top w:val="single" w:sz="6" w:space="0" w:color="auto"/>
              <w:left w:val="nil"/>
              <w:bottom w:val="nil"/>
              <w:right w:val="nil"/>
            </w:tcBorders>
            <w:shd w:val="clear" w:color="auto" w:fill="auto"/>
            <w:vAlign w:val="bottom"/>
          </w:tcPr>
          <w:p w:rsidR="00B958B1" w:rsidRDefault="00B958B1" w:rsidP="009F3B54">
            <w:pPr>
              <w:pStyle w:val="OGTabHead"/>
            </w:pPr>
            <w:r>
              <w:t>Quality</w:t>
            </w:r>
          </w:p>
        </w:tc>
        <w:tc>
          <w:tcPr>
            <w:tcW w:w="953" w:type="dxa"/>
            <w:gridSpan w:val="3"/>
            <w:tcBorders>
              <w:top w:val="single" w:sz="6" w:space="0" w:color="auto"/>
              <w:left w:val="nil"/>
              <w:bottom w:val="nil"/>
              <w:right w:val="nil"/>
            </w:tcBorders>
            <w:shd w:val="clear" w:color="auto" w:fill="auto"/>
            <w:noWrap/>
            <w:vAlign w:val="bottom"/>
          </w:tcPr>
          <w:p w:rsidR="00B958B1" w:rsidRDefault="00B958B1" w:rsidP="009F3B54">
            <w:pPr>
              <w:pStyle w:val="OGTabText"/>
            </w:pPr>
          </w:p>
        </w:tc>
        <w:tc>
          <w:tcPr>
            <w:tcW w:w="910" w:type="dxa"/>
            <w:gridSpan w:val="2"/>
            <w:tcBorders>
              <w:top w:val="single" w:sz="6" w:space="0" w:color="auto"/>
              <w:left w:val="nil"/>
              <w:bottom w:val="nil"/>
              <w:right w:val="nil"/>
            </w:tcBorders>
            <w:shd w:val="clear" w:color="auto" w:fill="D9D9D9"/>
            <w:noWrap/>
            <w:vAlign w:val="bottom"/>
          </w:tcPr>
          <w:p w:rsidR="00B958B1" w:rsidRDefault="00B958B1" w:rsidP="009F3B54">
            <w:pPr>
              <w:pStyle w:val="OGTabText"/>
            </w:pPr>
          </w:p>
        </w:tc>
        <w:tc>
          <w:tcPr>
            <w:tcW w:w="985" w:type="dxa"/>
            <w:tcBorders>
              <w:top w:val="single" w:sz="6" w:space="0" w:color="auto"/>
              <w:left w:val="nil"/>
              <w:bottom w:val="nil"/>
              <w:right w:val="nil"/>
            </w:tcBorders>
            <w:shd w:val="clear" w:color="auto" w:fill="auto"/>
            <w:noWrap/>
            <w:vAlign w:val="bottom"/>
          </w:tcPr>
          <w:p w:rsidR="00B958B1" w:rsidRDefault="00B958B1" w:rsidP="009F3B54">
            <w:pPr>
              <w:pStyle w:val="OGTabText"/>
            </w:pPr>
          </w:p>
        </w:tc>
        <w:tc>
          <w:tcPr>
            <w:tcW w:w="895" w:type="dxa"/>
            <w:tcBorders>
              <w:top w:val="single" w:sz="6" w:space="0" w:color="auto"/>
              <w:left w:val="nil"/>
              <w:bottom w:val="nil"/>
              <w:right w:val="nil"/>
            </w:tcBorders>
            <w:shd w:val="clear" w:color="auto" w:fill="auto"/>
            <w:noWrap/>
            <w:vAlign w:val="bottom"/>
          </w:tcPr>
          <w:p w:rsidR="00B958B1" w:rsidRDefault="00B958B1" w:rsidP="009F3B54">
            <w:pPr>
              <w:pStyle w:val="OGTabText"/>
            </w:pPr>
          </w:p>
        </w:tc>
        <w:tc>
          <w:tcPr>
            <w:tcW w:w="925" w:type="dxa"/>
            <w:gridSpan w:val="3"/>
            <w:tcBorders>
              <w:top w:val="single" w:sz="6" w:space="0" w:color="auto"/>
              <w:left w:val="nil"/>
              <w:bottom w:val="nil"/>
              <w:right w:val="nil"/>
            </w:tcBorders>
            <w:shd w:val="clear" w:color="auto" w:fill="auto"/>
            <w:noWrap/>
            <w:vAlign w:val="bottom"/>
          </w:tcPr>
          <w:p w:rsidR="00B958B1" w:rsidRDefault="00B958B1" w:rsidP="009F3B54">
            <w:pPr>
              <w:pStyle w:val="OGTabText"/>
            </w:pPr>
          </w:p>
        </w:tc>
      </w:tr>
      <w:tr w:rsidR="00B958B1" w:rsidRPr="00807665" w:rsidTr="009F3B54">
        <w:trPr>
          <w:cantSplit/>
        </w:trPr>
        <w:tc>
          <w:tcPr>
            <w:tcW w:w="3114" w:type="dxa"/>
            <w:tcBorders>
              <w:top w:val="nil"/>
              <w:left w:val="nil"/>
              <w:right w:val="nil"/>
            </w:tcBorders>
            <w:shd w:val="clear" w:color="auto" w:fill="auto"/>
          </w:tcPr>
          <w:p w:rsidR="00B958B1" w:rsidRDefault="00B958B1" w:rsidP="009F3B54">
            <w:pPr>
              <w:pStyle w:val="OGTabText"/>
            </w:pPr>
            <w:r w:rsidRPr="00CB576C">
              <w:rPr>
                <w:lang w:eastAsia="en-AU"/>
              </w:rPr>
              <w:t>Resident participation in community renewal governance structures</w:t>
            </w:r>
          </w:p>
        </w:tc>
        <w:tc>
          <w:tcPr>
            <w:tcW w:w="953" w:type="dxa"/>
            <w:gridSpan w:val="3"/>
            <w:tcBorders>
              <w:top w:val="nil"/>
              <w:left w:val="nil"/>
              <w:right w:val="nil"/>
            </w:tcBorders>
            <w:shd w:val="clear" w:color="auto" w:fill="auto"/>
            <w:noWrap/>
          </w:tcPr>
          <w:p w:rsidR="00B958B1" w:rsidRPr="00CB576C" w:rsidRDefault="00B958B1" w:rsidP="009F3B54">
            <w:pPr>
              <w:pStyle w:val="OGTabText"/>
              <w:jc w:val="center"/>
              <w:rPr>
                <w:lang w:eastAsia="en-AU"/>
              </w:rPr>
            </w:pPr>
            <w:r>
              <w:rPr>
                <w:lang w:eastAsia="en-AU"/>
              </w:rPr>
              <w:t>per cent</w:t>
            </w:r>
          </w:p>
        </w:tc>
        <w:tc>
          <w:tcPr>
            <w:tcW w:w="910" w:type="dxa"/>
            <w:gridSpan w:val="2"/>
            <w:tcBorders>
              <w:top w:val="nil"/>
              <w:left w:val="nil"/>
              <w:right w:val="nil"/>
            </w:tcBorders>
            <w:shd w:val="clear" w:color="auto" w:fill="D9D9D9"/>
            <w:noWrap/>
          </w:tcPr>
          <w:p w:rsidR="00B958B1" w:rsidRPr="00CB576C" w:rsidRDefault="00B958B1" w:rsidP="009F3B54">
            <w:pPr>
              <w:pStyle w:val="OGTabText"/>
              <w:jc w:val="right"/>
              <w:rPr>
                <w:lang w:eastAsia="en-AU"/>
              </w:rPr>
            </w:pPr>
            <w:r w:rsidRPr="00CB576C">
              <w:rPr>
                <w:lang w:eastAsia="en-AU"/>
              </w:rPr>
              <w:t>na</w:t>
            </w:r>
          </w:p>
        </w:tc>
        <w:tc>
          <w:tcPr>
            <w:tcW w:w="985" w:type="dxa"/>
            <w:tcBorders>
              <w:top w:val="nil"/>
              <w:left w:val="nil"/>
              <w:right w:val="nil"/>
            </w:tcBorders>
            <w:shd w:val="clear" w:color="auto" w:fill="auto"/>
            <w:noWrap/>
          </w:tcPr>
          <w:p w:rsidR="00B958B1" w:rsidRPr="00CB576C" w:rsidRDefault="00B958B1" w:rsidP="009F3B54">
            <w:pPr>
              <w:pStyle w:val="OGTabText"/>
              <w:jc w:val="right"/>
              <w:rPr>
                <w:lang w:eastAsia="en-AU"/>
              </w:rPr>
            </w:pPr>
            <w:r w:rsidRPr="00CB576C">
              <w:rPr>
                <w:lang w:eastAsia="en-AU"/>
              </w:rPr>
              <w:t>50</w:t>
            </w:r>
          </w:p>
        </w:tc>
        <w:tc>
          <w:tcPr>
            <w:tcW w:w="895" w:type="dxa"/>
            <w:tcBorders>
              <w:top w:val="nil"/>
              <w:left w:val="nil"/>
              <w:right w:val="nil"/>
            </w:tcBorders>
            <w:shd w:val="clear" w:color="auto" w:fill="auto"/>
            <w:noWrap/>
          </w:tcPr>
          <w:p w:rsidR="00B958B1" w:rsidRPr="00CB576C" w:rsidRDefault="00B958B1" w:rsidP="009F3B54">
            <w:pPr>
              <w:pStyle w:val="OGTabText"/>
              <w:jc w:val="right"/>
              <w:rPr>
                <w:lang w:eastAsia="en-AU"/>
              </w:rPr>
            </w:pPr>
            <w:r w:rsidRPr="00CB576C">
              <w:rPr>
                <w:lang w:eastAsia="en-AU"/>
              </w:rPr>
              <w:t>50</w:t>
            </w:r>
          </w:p>
        </w:tc>
        <w:tc>
          <w:tcPr>
            <w:tcW w:w="925" w:type="dxa"/>
            <w:gridSpan w:val="3"/>
            <w:tcBorders>
              <w:top w:val="nil"/>
              <w:left w:val="nil"/>
              <w:right w:val="nil"/>
            </w:tcBorders>
            <w:shd w:val="clear" w:color="auto" w:fill="auto"/>
            <w:noWrap/>
          </w:tcPr>
          <w:p w:rsidR="00B958B1" w:rsidRPr="00CB576C" w:rsidRDefault="00B958B1" w:rsidP="009F3B54">
            <w:pPr>
              <w:pStyle w:val="OGTabText"/>
              <w:jc w:val="right"/>
              <w:rPr>
                <w:lang w:eastAsia="en-AU"/>
              </w:rPr>
            </w:pPr>
            <w:r w:rsidRPr="00CB576C">
              <w:rPr>
                <w:lang w:eastAsia="en-AU"/>
              </w:rPr>
              <w:t>50</w:t>
            </w:r>
          </w:p>
        </w:tc>
      </w:tr>
      <w:tr w:rsidR="00B958B1" w:rsidRPr="00807665" w:rsidTr="009F3B54">
        <w:trPr>
          <w:cantSplit/>
        </w:trPr>
        <w:tc>
          <w:tcPr>
            <w:tcW w:w="7782" w:type="dxa"/>
            <w:gridSpan w:val="11"/>
            <w:tcBorders>
              <w:top w:val="nil"/>
              <w:left w:val="nil"/>
              <w:bottom w:val="single" w:sz="12" w:space="0" w:color="auto"/>
              <w:right w:val="nil"/>
            </w:tcBorders>
            <w:shd w:val="clear" w:color="auto" w:fill="auto"/>
          </w:tcPr>
          <w:p w:rsidR="00B958B1" w:rsidRDefault="00B958B1" w:rsidP="009F3B54">
            <w:pPr>
              <w:pStyle w:val="OGNotes"/>
            </w:pPr>
            <w:r w:rsidRPr="00CB576C">
              <w:t>This performance measure is proposed to be discontinued as the activity is due for completion on 30 June 2013.</w:t>
            </w:r>
          </w:p>
        </w:tc>
      </w:tr>
    </w:tbl>
    <w:p w:rsidR="00B958B1" w:rsidRDefault="00B958B1" w:rsidP="009F3B54">
      <w:pPr>
        <w:pStyle w:val="Source"/>
      </w:pPr>
      <w:r>
        <w:t>Source: Department of Human Services</w:t>
      </w:r>
      <w:r>
        <w:fldChar w:fldCharType="begin"/>
      </w:r>
      <w:r>
        <w:instrText xml:space="preserve"> XE "</w:instrText>
      </w:r>
      <w:r w:rsidRPr="00EE1443">
        <w:instrText>Department of Human Services:</w:instrText>
      </w:r>
      <w:r w:rsidRPr="00C60B08">
        <w:instrText xml:space="preserve"> </w:instrText>
      </w:r>
      <w:r w:rsidRPr="003E7F43">
        <w:instrText>Output performance measures for review</w:instrText>
      </w:r>
      <w:r>
        <w:instrText xml:space="preserve">" \r "BP3AppADHSHumanServices" </w:instrText>
      </w:r>
      <w:r>
        <w:fldChar w:fldCharType="end"/>
      </w:r>
    </w:p>
    <w:bookmarkEnd w:id="163"/>
    <w:p w:rsidR="00B958B1" w:rsidRDefault="00B958B1" w:rsidP="009F3B54">
      <w:pPr>
        <w:pStyle w:val="Heading1"/>
      </w:pPr>
      <w:r>
        <w:br w:type="page"/>
      </w:r>
      <w:bookmarkStart w:id="164" w:name="_Toc355362294"/>
      <w:bookmarkStart w:id="165" w:name="BP3AppADOJJustice"/>
      <w:r>
        <w:t>Department of Justice</w:t>
      </w:r>
      <w:bookmarkEnd w:id="164"/>
    </w:p>
    <w:tbl>
      <w:tblPr>
        <w:tblW w:w="7776" w:type="dxa"/>
        <w:tblInd w:w="29" w:type="dxa"/>
        <w:tblLayout w:type="fixed"/>
        <w:tblCellMar>
          <w:left w:w="43" w:type="dxa"/>
          <w:right w:w="43" w:type="dxa"/>
        </w:tblCellMar>
        <w:tblLook w:val="04A0" w:firstRow="1" w:lastRow="0" w:firstColumn="1" w:lastColumn="0" w:noHBand="0" w:noVBand="1"/>
      </w:tblPr>
      <w:tblGrid>
        <w:gridCol w:w="3155"/>
        <w:gridCol w:w="907"/>
        <w:gridCol w:w="907"/>
        <w:gridCol w:w="993"/>
        <w:gridCol w:w="907"/>
        <w:gridCol w:w="907"/>
      </w:tblGrid>
      <w:tr w:rsidR="00B958B1" w:rsidRPr="00A475B8" w:rsidTr="009F3B54">
        <w:trPr>
          <w:cantSplit/>
          <w:tblHeader/>
        </w:trPr>
        <w:tc>
          <w:tcPr>
            <w:tcW w:w="3155" w:type="dxa"/>
            <w:tcBorders>
              <w:top w:val="single" w:sz="4" w:space="0" w:color="auto"/>
              <w:left w:val="single" w:sz="4" w:space="0" w:color="auto"/>
              <w:right w:val="nil"/>
            </w:tcBorders>
            <w:shd w:val="clear" w:color="auto" w:fill="000000"/>
            <w:vAlign w:val="bottom"/>
          </w:tcPr>
          <w:p w:rsidR="00B958B1" w:rsidRPr="00416C6F" w:rsidRDefault="00B958B1" w:rsidP="009F3B54">
            <w:pPr>
              <w:pStyle w:val="OGTabColLeft"/>
              <w:rPr>
                <w:i/>
                <w:color w:val="FFFFFF"/>
              </w:rPr>
            </w:pPr>
            <w:r w:rsidRPr="00416C6F">
              <w:rPr>
                <w:color w:val="FFFFFF"/>
              </w:rPr>
              <w:t>Major Outputs/Deliverables</w:t>
            </w:r>
            <w:r w:rsidRPr="00416C6F">
              <w:rPr>
                <w:color w:val="FFFFFF"/>
              </w:rPr>
              <w:br/>
            </w:r>
            <w:r w:rsidRPr="00416C6F">
              <w:rPr>
                <w:b w:val="0"/>
                <w:i/>
                <w:color w:val="FFFFFF"/>
              </w:rPr>
              <w:t>Performance measures</w:t>
            </w:r>
          </w:p>
        </w:tc>
        <w:tc>
          <w:tcPr>
            <w:tcW w:w="907" w:type="dxa"/>
            <w:tcBorders>
              <w:top w:val="single" w:sz="4" w:space="0" w:color="auto"/>
              <w:left w:val="nil"/>
              <w:right w:val="nil"/>
            </w:tcBorders>
            <w:shd w:val="clear" w:color="auto" w:fill="000000"/>
            <w:noWrap/>
            <w:vAlign w:val="bottom"/>
            <w:hideMark/>
          </w:tcPr>
          <w:p w:rsidR="00B958B1" w:rsidRPr="00416C6F" w:rsidRDefault="00B958B1" w:rsidP="009F3B54">
            <w:pPr>
              <w:pStyle w:val="OGTabColCentred"/>
              <w:rPr>
                <w:color w:val="FFFFFF"/>
              </w:rPr>
            </w:pPr>
            <w:r w:rsidRPr="00416C6F">
              <w:rPr>
                <w:color w:val="FFFFFF"/>
              </w:rPr>
              <w:t xml:space="preserve">Unit of </w:t>
            </w:r>
            <w:r w:rsidRPr="00416C6F">
              <w:rPr>
                <w:color w:val="FFFFFF"/>
              </w:rPr>
              <w:br/>
              <w:t>Measure</w:t>
            </w:r>
          </w:p>
        </w:tc>
        <w:tc>
          <w:tcPr>
            <w:tcW w:w="907" w:type="dxa"/>
            <w:tcBorders>
              <w:top w:val="single" w:sz="4" w:space="0" w:color="auto"/>
              <w:left w:val="nil"/>
              <w:right w:val="nil"/>
            </w:tcBorders>
            <w:shd w:val="clear" w:color="auto" w:fill="000000"/>
            <w:noWrap/>
            <w:vAlign w:val="bottom"/>
            <w:hideMark/>
          </w:tcPr>
          <w:p w:rsidR="00B958B1" w:rsidRPr="00416C6F" w:rsidRDefault="00B958B1" w:rsidP="009F3B54">
            <w:pPr>
              <w:pStyle w:val="OGTabColRight"/>
              <w:rPr>
                <w:color w:val="FFFFFF"/>
              </w:rPr>
            </w:pPr>
            <w:r w:rsidRPr="00416C6F">
              <w:rPr>
                <w:color w:val="FFFFFF"/>
              </w:rPr>
              <w:t>2013</w:t>
            </w:r>
            <w:r w:rsidR="009F0F49">
              <w:rPr>
                <w:color w:val="FFFFFF"/>
              </w:rPr>
              <w:noBreakHyphen/>
            </w:r>
            <w:r w:rsidRPr="00416C6F">
              <w:rPr>
                <w:color w:val="FFFFFF"/>
              </w:rPr>
              <w:t>14 Target</w:t>
            </w:r>
          </w:p>
        </w:tc>
        <w:tc>
          <w:tcPr>
            <w:tcW w:w="993" w:type="dxa"/>
            <w:tcBorders>
              <w:top w:val="single" w:sz="4" w:space="0" w:color="auto"/>
              <w:left w:val="nil"/>
              <w:right w:val="nil"/>
            </w:tcBorders>
            <w:shd w:val="clear" w:color="auto" w:fill="000000"/>
            <w:noWrap/>
            <w:vAlign w:val="bottom"/>
            <w:hideMark/>
          </w:tcPr>
          <w:p w:rsidR="00B958B1" w:rsidRPr="00416C6F" w:rsidRDefault="00B958B1" w:rsidP="009F3B54">
            <w:pPr>
              <w:pStyle w:val="OGTabColRight"/>
              <w:rPr>
                <w:color w:val="FFFFFF"/>
              </w:rPr>
            </w:pPr>
            <w:r w:rsidRPr="00416C6F">
              <w:rPr>
                <w:color w:val="FFFFFF"/>
              </w:rPr>
              <w:t>2012</w:t>
            </w:r>
            <w:r w:rsidR="009F0F49">
              <w:rPr>
                <w:color w:val="FFFFFF"/>
              </w:rPr>
              <w:noBreakHyphen/>
            </w:r>
            <w:r w:rsidRPr="00416C6F">
              <w:rPr>
                <w:color w:val="FFFFFF"/>
              </w:rPr>
              <w:t>13 Expected Outcome</w:t>
            </w:r>
          </w:p>
        </w:tc>
        <w:tc>
          <w:tcPr>
            <w:tcW w:w="907" w:type="dxa"/>
            <w:tcBorders>
              <w:top w:val="single" w:sz="4" w:space="0" w:color="auto"/>
              <w:left w:val="nil"/>
              <w:right w:val="nil"/>
            </w:tcBorders>
            <w:shd w:val="clear" w:color="auto" w:fill="000000"/>
            <w:noWrap/>
            <w:vAlign w:val="bottom"/>
            <w:hideMark/>
          </w:tcPr>
          <w:p w:rsidR="00B958B1" w:rsidRPr="00416C6F" w:rsidRDefault="00B958B1" w:rsidP="009F3B54">
            <w:pPr>
              <w:pStyle w:val="OGTabColRight"/>
              <w:rPr>
                <w:color w:val="FFFFFF"/>
              </w:rPr>
            </w:pPr>
            <w:r w:rsidRPr="00416C6F">
              <w:rPr>
                <w:color w:val="FFFFFF"/>
              </w:rPr>
              <w:t>2012</w:t>
            </w:r>
            <w:r w:rsidR="009F0F49">
              <w:rPr>
                <w:color w:val="FFFFFF"/>
              </w:rPr>
              <w:noBreakHyphen/>
            </w:r>
            <w:r w:rsidRPr="00416C6F">
              <w:rPr>
                <w:color w:val="FFFFFF"/>
              </w:rPr>
              <w:t>13 Target</w:t>
            </w:r>
          </w:p>
        </w:tc>
        <w:tc>
          <w:tcPr>
            <w:tcW w:w="907" w:type="dxa"/>
            <w:tcBorders>
              <w:top w:val="single" w:sz="4" w:space="0" w:color="auto"/>
              <w:left w:val="nil"/>
              <w:right w:val="single" w:sz="4" w:space="0" w:color="auto"/>
            </w:tcBorders>
            <w:shd w:val="clear" w:color="auto" w:fill="000000"/>
            <w:noWrap/>
            <w:vAlign w:val="bottom"/>
            <w:hideMark/>
          </w:tcPr>
          <w:p w:rsidR="00B958B1" w:rsidRPr="00416C6F" w:rsidRDefault="00B958B1" w:rsidP="009F3B54">
            <w:pPr>
              <w:pStyle w:val="OGTabColRight"/>
              <w:rPr>
                <w:color w:val="FFFFFF"/>
              </w:rPr>
            </w:pPr>
            <w:r w:rsidRPr="00416C6F">
              <w:rPr>
                <w:color w:val="FFFFFF"/>
              </w:rPr>
              <w:t>2011</w:t>
            </w:r>
            <w:r w:rsidR="009F0F49">
              <w:rPr>
                <w:color w:val="FFFFFF"/>
              </w:rPr>
              <w:noBreakHyphen/>
            </w:r>
            <w:r w:rsidRPr="00416C6F">
              <w:rPr>
                <w:color w:val="FFFFFF"/>
              </w:rPr>
              <w:t>12 Actual</w:t>
            </w:r>
          </w:p>
        </w:tc>
      </w:tr>
      <w:tr w:rsidR="00B958B1" w:rsidRPr="00A475B8" w:rsidTr="009F3B54">
        <w:trPr>
          <w:cantSplit/>
        </w:trPr>
        <w:tc>
          <w:tcPr>
            <w:tcW w:w="7776" w:type="dxa"/>
            <w:gridSpan w:val="6"/>
            <w:tcBorders>
              <w:top w:val="nil"/>
              <w:left w:val="nil"/>
              <w:bottom w:val="single" w:sz="6" w:space="0" w:color="auto"/>
              <w:right w:val="nil"/>
            </w:tcBorders>
            <w:shd w:val="clear" w:color="auto" w:fill="auto"/>
            <w:vAlign w:val="center"/>
            <w:hideMark/>
          </w:tcPr>
          <w:p w:rsidR="00B958B1" w:rsidRPr="003E2263" w:rsidRDefault="00B958B1" w:rsidP="009F3B54">
            <w:pPr>
              <w:pStyle w:val="OGHeading2"/>
            </w:pPr>
            <w:r w:rsidRPr="003E2263">
              <w:t>Policing Services</w:t>
            </w:r>
          </w:p>
        </w:tc>
      </w:tr>
      <w:tr w:rsidR="00B958B1" w:rsidRPr="00A475B8" w:rsidTr="009F3B54">
        <w:trPr>
          <w:cantSplit/>
        </w:trPr>
        <w:tc>
          <w:tcPr>
            <w:tcW w:w="3155" w:type="dxa"/>
            <w:tcBorders>
              <w:top w:val="single" w:sz="6" w:space="0" w:color="auto"/>
              <w:left w:val="nil"/>
              <w:bottom w:val="nil"/>
              <w:right w:val="nil"/>
            </w:tcBorders>
            <w:shd w:val="clear" w:color="auto" w:fill="auto"/>
            <w:vAlign w:val="center"/>
            <w:hideMark/>
          </w:tcPr>
          <w:p w:rsidR="00B958B1" w:rsidRPr="00416C6F" w:rsidRDefault="00B958B1" w:rsidP="009F3B54">
            <w:pPr>
              <w:pStyle w:val="OGTabHead"/>
              <w:rPr>
                <w:color w:val="000000"/>
                <w:lang w:eastAsia="en-AU"/>
              </w:rPr>
            </w:pPr>
            <w:r w:rsidRPr="00416C6F">
              <w:rPr>
                <w:iCs/>
                <w:color w:val="000000"/>
                <w:lang w:eastAsia="en-AU"/>
              </w:rPr>
              <w:t>Quantity</w:t>
            </w:r>
          </w:p>
        </w:tc>
        <w:tc>
          <w:tcPr>
            <w:tcW w:w="907" w:type="dxa"/>
            <w:tcBorders>
              <w:top w:val="single" w:sz="6" w:space="0" w:color="auto"/>
              <w:left w:val="nil"/>
              <w:bottom w:val="nil"/>
              <w:right w:val="nil"/>
            </w:tcBorders>
            <w:shd w:val="clear" w:color="auto" w:fill="auto"/>
            <w:vAlign w:val="center"/>
            <w:hideMark/>
          </w:tcPr>
          <w:p w:rsidR="00B958B1" w:rsidRPr="00416C6F" w:rsidRDefault="00B958B1" w:rsidP="009F3B54">
            <w:pPr>
              <w:pStyle w:val="OGUoM"/>
              <w:rPr>
                <w:i/>
                <w:iCs/>
                <w:color w:val="000000"/>
                <w:lang w:eastAsia="en-AU"/>
              </w:rPr>
            </w:pPr>
          </w:p>
        </w:tc>
        <w:tc>
          <w:tcPr>
            <w:tcW w:w="907" w:type="dxa"/>
            <w:tcBorders>
              <w:top w:val="single" w:sz="6" w:space="0" w:color="auto"/>
              <w:left w:val="nil"/>
              <w:bottom w:val="nil"/>
              <w:right w:val="nil"/>
            </w:tcBorders>
            <w:shd w:val="clear" w:color="auto" w:fill="D9D9D9"/>
            <w:vAlign w:val="center"/>
            <w:hideMark/>
          </w:tcPr>
          <w:p w:rsidR="00B958B1" w:rsidRPr="00416C6F" w:rsidRDefault="00B958B1" w:rsidP="009F3B54">
            <w:pPr>
              <w:pStyle w:val="OGTableofFigures"/>
              <w:rPr>
                <w:color w:val="000000"/>
                <w:lang w:eastAsia="en-AU"/>
              </w:rPr>
            </w:pPr>
          </w:p>
        </w:tc>
        <w:tc>
          <w:tcPr>
            <w:tcW w:w="993" w:type="dxa"/>
            <w:tcBorders>
              <w:top w:val="single" w:sz="6" w:space="0" w:color="auto"/>
              <w:left w:val="nil"/>
              <w:bottom w:val="nil"/>
              <w:right w:val="nil"/>
            </w:tcBorders>
            <w:shd w:val="clear" w:color="auto" w:fill="auto"/>
            <w:vAlign w:val="center"/>
            <w:hideMark/>
          </w:tcPr>
          <w:p w:rsidR="00B958B1" w:rsidRPr="00416C6F"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vAlign w:val="center"/>
            <w:hideMark/>
          </w:tcPr>
          <w:p w:rsidR="00B958B1" w:rsidRPr="00416C6F" w:rsidRDefault="00B958B1" w:rsidP="009F3B54">
            <w:pPr>
              <w:pStyle w:val="OGTableofFigures"/>
              <w:rPr>
                <w:color w:val="000000"/>
                <w:lang w:eastAsia="en-AU"/>
              </w:rPr>
            </w:pPr>
          </w:p>
        </w:tc>
        <w:tc>
          <w:tcPr>
            <w:tcW w:w="907" w:type="dxa"/>
            <w:tcBorders>
              <w:top w:val="single" w:sz="6" w:space="0" w:color="auto"/>
              <w:left w:val="nil"/>
              <w:bottom w:val="nil"/>
              <w:right w:val="nil"/>
            </w:tcBorders>
            <w:shd w:val="clear" w:color="auto" w:fill="auto"/>
            <w:vAlign w:val="center"/>
            <w:hideMark/>
          </w:tcPr>
          <w:p w:rsidR="00B958B1" w:rsidRPr="00416C6F" w:rsidRDefault="00B958B1" w:rsidP="009F3B54">
            <w:pPr>
              <w:pStyle w:val="OGTableofFigures"/>
              <w:rPr>
                <w:color w:val="000000"/>
                <w:lang w:eastAsia="en-AU"/>
              </w:rPr>
            </w:pP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416C6F" w:rsidRDefault="00B958B1" w:rsidP="009F3B54">
            <w:pPr>
              <w:pStyle w:val="OGTabText"/>
              <w:rPr>
                <w:color w:val="000000"/>
                <w:lang w:eastAsia="en-AU"/>
              </w:rPr>
            </w:pPr>
            <w:r w:rsidRPr="00416C6F">
              <w:rPr>
                <w:color w:val="000000"/>
                <w:lang w:eastAsia="en-AU"/>
              </w:rPr>
              <w:t>Reduction in crimes against the person (rate per 100 000 population)</w:t>
            </w:r>
          </w:p>
        </w:tc>
        <w:tc>
          <w:tcPr>
            <w:tcW w:w="907" w:type="dxa"/>
            <w:tcBorders>
              <w:top w:val="nil"/>
              <w:left w:val="nil"/>
              <w:bottom w:val="nil"/>
              <w:right w:val="nil"/>
            </w:tcBorders>
            <w:shd w:val="clear" w:color="auto" w:fill="auto"/>
            <w:hideMark/>
          </w:tcPr>
          <w:p w:rsidR="00B958B1" w:rsidRPr="00416C6F" w:rsidRDefault="00B958B1" w:rsidP="009F3B54">
            <w:pPr>
              <w:pStyle w:val="OGUoM"/>
              <w:rPr>
                <w:color w:val="000000"/>
                <w:lang w:eastAsia="en-AU"/>
              </w:rPr>
            </w:pPr>
            <w:r>
              <w:rPr>
                <w:color w:val="000000"/>
                <w:lang w:eastAsia="en-AU"/>
              </w:rPr>
              <w:t>per cent</w:t>
            </w:r>
          </w:p>
        </w:tc>
        <w:tc>
          <w:tcPr>
            <w:tcW w:w="907" w:type="dxa"/>
            <w:tcBorders>
              <w:top w:val="nil"/>
              <w:left w:val="nil"/>
              <w:bottom w:val="nil"/>
              <w:right w:val="nil"/>
            </w:tcBorders>
            <w:shd w:val="clear" w:color="auto" w:fill="D9D9D9"/>
            <w:hideMark/>
          </w:tcPr>
          <w:p w:rsidR="00B958B1" w:rsidRPr="00416C6F" w:rsidRDefault="00B958B1" w:rsidP="009F3B54">
            <w:pPr>
              <w:pStyle w:val="OGTableofFigures"/>
              <w:rPr>
                <w:color w:val="000000"/>
                <w:lang w:eastAsia="en-AU"/>
              </w:rPr>
            </w:pPr>
            <w:r w:rsidRPr="00416C6F">
              <w:rPr>
                <w:color w:val="000000"/>
                <w:lang w:eastAsia="en-AU"/>
              </w:rPr>
              <w:t>1</w:t>
            </w:r>
          </w:p>
        </w:tc>
        <w:tc>
          <w:tcPr>
            <w:tcW w:w="993" w:type="dxa"/>
            <w:tcBorders>
              <w:top w:val="nil"/>
              <w:left w:val="nil"/>
              <w:bottom w:val="nil"/>
              <w:right w:val="nil"/>
            </w:tcBorders>
            <w:shd w:val="clear" w:color="auto" w:fill="auto"/>
            <w:hideMark/>
          </w:tcPr>
          <w:p w:rsidR="00B958B1" w:rsidRPr="00416C6F" w:rsidRDefault="009F0F49" w:rsidP="009F3B54">
            <w:pPr>
              <w:pStyle w:val="OGTableofFigures"/>
              <w:rPr>
                <w:color w:val="000000"/>
                <w:lang w:eastAsia="en-AU"/>
              </w:rPr>
            </w:pPr>
            <w:r>
              <w:rPr>
                <w:color w:val="000000"/>
                <w:lang w:eastAsia="en-AU"/>
              </w:rPr>
              <w:noBreakHyphen/>
            </w:r>
            <w:r w:rsidR="00B958B1" w:rsidRPr="00416C6F">
              <w:rPr>
                <w:color w:val="000000"/>
                <w:lang w:eastAsia="en-AU"/>
              </w:rPr>
              <w:t>8.6</w:t>
            </w:r>
          </w:p>
        </w:tc>
        <w:tc>
          <w:tcPr>
            <w:tcW w:w="907" w:type="dxa"/>
            <w:tcBorders>
              <w:top w:val="nil"/>
              <w:left w:val="nil"/>
              <w:bottom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1</w:t>
            </w:r>
          </w:p>
        </w:tc>
        <w:tc>
          <w:tcPr>
            <w:tcW w:w="907" w:type="dxa"/>
            <w:tcBorders>
              <w:top w:val="nil"/>
              <w:left w:val="nil"/>
              <w:bottom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nm</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This measure is proposed to be discontinued as it has been replaced in 2013</w:t>
            </w:r>
            <w:r w:rsidR="009F0F49">
              <w:noBreakHyphen/>
            </w:r>
            <w:r w:rsidRPr="00A475B8">
              <w:t xml:space="preserve">14 by two new performance measures, </w:t>
            </w:r>
            <w:r>
              <w:t>‘</w:t>
            </w:r>
            <w:r w:rsidRPr="00A475B8">
              <w:t xml:space="preserve">Crimes against the person – excluding family violence related crime (rate per </w:t>
            </w:r>
            <w:r>
              <w:t>100 000</w:t>
            </w:r>
            <w:r w:rsidRPr="00A475B8">
              <w:t xml:space="preserve"> population)</w:t>
            </w:r>
            <w:r>
              <w:t>’</w:t>
            </w:r>
            <w:r w:rsidRPr="00A475B8">
              <w:t xml:space="preserve"> and </w:t>
            </w:r>
            <w:r>
              <w:t>‘</w:t>
            </w:r>
            <w:r w:rsidRPr="00A475B8">
              <w:t xml:space="preserve">Crimes against the person – family violence related crime (rate per </w:t>
            </w:r>
            <w:r>
              <w:t>100 000</w:t>
            </w:r>
            <w:r w:rsidRPr="00A475B8">
              <w:t xml:space="preserve"> population)</w:t>
            </w:r>
            <w:r>
              <w:t>’</w:t>
            </w:r>
            <w:r w:rsidRPr="00A475B8">
              <w:t>. The new performance measures better inform the public about drivers underpinning reported crime statistics. The 2012</w:t>
            </w:r>
            <w:r w:rsidR="009F0F49">
              <w:noBreakHyphen/>
            </w:r>
            <w:r w:rsidRPr="00A475B8">
              <w:t>13 Expected Outcome is higher than the 2012</w:t>
            </w:r>
            <w:r w:rsidR="009F0F49">
              <w:noBreakHyphen/>
            </w:r>
            <w:r w:rsidRPr="00A475B8">
              <w:t>13 Target due to a significant increase in the number of assaults recorded in the context of police attendance at family violence incidents.</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416C6F" w:rsidRDefault="00B958B1" w:rsidP="009F3B54">
            <w:pPr>
              <w:pStyle w:val="OGTabText"/>
              <w:rPr>
                <w:color w:val="000000"/>
                <w:lang w:eastAsia="en-AU"/>
              </w:rPr>
            </w:pPr>
            <w:r w:rsidRPr="00416C6F">
              <w:rPr>
                <w:color w:val="000000"/>
                <w:lang w:eastAsia="en-AU"/>
              </w:rPr>
              <w:t>Reduction in crimes against property (rate per 100 000 population)</w:t>
            </w:r>
          </w:p>
        </w:tc>
        <w:tc>
          <w:tcPr>
            <w:tcW w:w="907" w:type="dxa"/>
            <w:tcBorders>
              <w:top w:val="nil"/>
              <w:left w:val="nil"/>
              <w:bottom w:val="nil"/>
              <w:right w:val="nil"/>
            </w:tcBorders>
            <w:shd w:val="clear" w:color="auto" w:fill="auto"/>
            <w:hideMark/>
          </w:tcPr>
          <w:p w:rsidR="00B958B1" w:rsidRPr="00416C6F" w:rsidRDefault="00B958B1" w:rsidP="009F3B54">
            <w:pPr>
              <w:pStyle w:val="OGUoM"/>
              <w:rPr>
                <w:color w:val="000000"/>
                <w:lang w:eastAsia="en-AU"/>
              </w:rPr>
            </w:pPr>
            <w:r>
              <w:rPr>
                <w:color w:val="000000"/>
                <w:lang w:eastAsia="en-AU"/>
              </w:rPr>
              <w:t>per cent</w:t>
            </w:r>
          </w:p>
        </w:tc>
        <w:tc>
          <w:tcPr>
            <w:tcW w:w="907" w:type="dxa"/>
            <w:tcBorders>
              <w:top w:val="nil"/>
              <w:left w:val="nil"/>
              <w:bottom w:val="nil"/>
              <w:right w:val="nil"/>
            </w:tcBorders>
            <w:shd w:val="clear" w:color="auto" w:fill="D9D9D9"/>
            <w:hideMark/>
          </w:tcPr>
          <w:p w:rsidR="00B958B1" w:rsidRPr="00416C6F" w:rsidRDefault="00B958B1" w:rsidP="009F3B54">
            <w:pPr>
              <w:pStyle w:val="OGTableofFigures"/>
              <w:rPr>
                <w:color w:val="000000"/>
                <w:lang w:eastAsia="en-AU"/>
              </w:rPr>
            </w:pPr>
            <w:r w:rsidRPr="00416C6F">
              <w:rPr>
                <w:color w:val="000000"/>
                <w:lang w:eastAsia="en-AU"/>
              </w:rPr>
              <w:t>1</w:t>
            </w:r>
          </w:p>
        </w:tc>
        <w:tc>
          <w:tcPr>
            <w:tcW w:w="993" w:type="dxa"/>
            <w:tcBorders>
              <w:top w:val="nil"/>
              <w:left w:val="nil"/>
              <w:bottom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2.1</w:t>
            </w:r>
          </w:p>
        </w:tc>
        <w:tc>
          <w:tcPr>
            <w:tcW w:w="907" w:type="dxa"/>
            <w:tcBorders>
              <w:top w:val="nil"/>
              <w:left w:val="nil"/>
              <w:bottom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1</w:t>
            </w:r>
          </w:p>
        </w:tc>
        <w:tc>
          <w:tcPr>
            <w:tcW w:w="907" w:type="dxa"/>
            <w:tcBorders>
              <w:top w:val="nil"/>
              <w:left w:val="nil"/>
              <w:bottom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nm</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This measure is proposed to be discontinued as it has been replaced in 2013</w:t>
            </w:r>
            <w:r w:rsidR="009F0F49">
              <w:noBreakHyphen/>
            </w:r>
            <w:r w:rsidRPr="00A475B8">
              <w:t xml:space="preserve">14 by two new performance measures, </w:t>
            </w:r>
            <w:r>
              <w:t>‘</w:t>
            </w:r>
            <w:r w:rsidRPr="00A475B8">
              <w:t xml:space="preserve">Crimes against property – excluding family violence related crime (rate per </w:t>
            </w:r>
            <w:r>
              <w:t>100 000</w:t>
            </w:r>
            <w:r w:rsidRPr="00A475B8">
              <w:t xml:space="preserve"> population)</w:t>
            </w:r>
            <w:r>
              <w:t>’</w:t>
            </w:r>
            <w:r w:rsidRPr="00A475B8">
              <w:t xml:space="preserve"> and </w:t>
            </w:r>
            <w:r>
              <w:t>‘</w:t>
            </w:r>
            <w:r w:rsidRPr="00A475B8">
              <w:t xml:space="preserve">Crimes against property – family violence related crime (rate per </w:t>
            </w:r>
            <w:r>
              <w:t>100 000</w:t>
            </w:r>
            <w:r w:rsidRPr="00A475B8">
              <w:t xml:space="preserve"> population)</w:t>
            </w:r>
            <w:r>
              <w:t>’</w:t>
            </w:r>
            <w:r w:rsidRPr="00A475B8">
              <w:t>. The new performance measures better inform the public about drivers underpinning reported crime statistics.</w:t>
            </w:r>
          </w:p>
        </w:tc>
      </w:tr>
      <w:tr w:rsidR="00B958B1" w:rsidRPr="00A475B8" w:rsidTr="009F3B54">
        <w:trPr>
          <w:cantSplit/>
        </w:trPr>
        <w:tc>
          <w:tcPr>
            <w:tcW w:w="7776" w:type="dxa"/>
            <w:gridSpan w:val="6"/>
            <w:tcBorders>
              <w:top w:val="single" w:sz="8" w:space="0" w:color="auto"/>
              <w:left w:val="nil"/>
              <w:bottom w:val="single" w:sz="8" w:space="0" w:color="auto"/>
              <w:right w:val="nil"/>
            </w:tcBorders>
            <w:shd w:val="clear" w:color="auto" w:fill="auto"/>
            <w:vAlign w:val="center"/>
            <w:hideMark/>
          </w:tcPr>
          <w:p w:rsidR="00B958B1" w:rsidRPr="00416C6F" w:rsidRDefault="00B958B1" w:rsidP="009F3B54">
            <w:pPr>
              <w:pStyle w:val="OGHeading2"/>
              <w:rPr>
                <w:bCs/>
                <w:color w:val="000000"/>
                <w:szCs w:val="28"/>
                <w:lang w:eastAsia="en-AU"/>
              </w:rPr>
            </w:pPr>
            <w:r w:rsidRPr="00416C6F">
              <w:rPr>
                <w:color w:val="000000"/>
                <w:lang w:eastAsia="en-AU"/>
              </w:rPr>
              <w:t>Gambling and Liquor Regulation and Racing Industry Development</w:t>
            </w:r>
          </w:p>
        </w:tc>
      </w:tr>
      <w:tr w:rsidR="00B958B1" w:rsidRPr="00A475B8" w:rsidTr="009F3B54">
        <w:trPr>
          <w:cantSplit/>
        </w:trPr>
        <w:tc>
          <w:tcPr>
            <w:tcW w:w="3155" w:type="dxa"/>
            <w:tcBorders>
              <w:top w:val="single" w:sz="8" w:space="0" w:color="auto"/>
              <w:left w:val="nil"/>
              <w:bottom w:val="nil"/>
              <w:right w:val="nil"/>
            </w:tcBorders>
            <w:shd w:val="clear" w:color="auto" w:fill="auto"/>
            <w:vAlign w:val="center"/>
            <w:hideMark/>
          </w:tcPr>
          <w:p w:rsidR="00B958B1" w:rsidRPr="00416C6F" w:rsidRDefault="00B958B1" w:rsidP="009F3B54">
            <w:pPr>
              <w:pStyle w:val="OGTabHead"/>
              <w:rPr>
                <w:color w:val="000000"/>
                <w:lang w:eastAsia="en-AU"/>
              </w:rPr>
            </w:pPr>
            <w:r w:rsidRPr="00416C6F">
              <w:rPr>
                <w:iCs/>
                <w:color w:val="000000"/>
                <w:lang w:eastAsia="en-AU"/>
              </w:rPr>
              <w:t>Quantity</w:t>
            </w:r>
          </w:p>
        </w:tc>
        <w:tc>
          <w:tcPr>
            <w:tcW w:w="907" w:type="dxa"/>
            <w:tcBorders>
              <w:top w:val="single" w:sz="8" w:space="0" w:color="auto"/>
              <w:left w:val="nil"/>
              <w:bottom w:val="nil"/>
              <w:right w:val="nil"/>
            </w:tcBorders>
            <w:shd w:val="clear" w:color="auto" w:fill="auto"/>
            <w:vAlign w:val="center"/>
            <w:hideMark/>
          </w:tcPr>
          <w:p w:rsidR="00B958B1" w:rsidRPr="00416C6F" w:rsidRDefault="00B958B1" w:rsidP="009F3B54">
            <w:pPr>
              <w:pStyle w:val="OGUoM"/>
              <w:rPr>
                <w:i/>
                <w:iCs/>
                <w:color w:val="000000"/>
                <w:lang w:eastAsia="en-AU"/>
              </w:rPr>
            </w:pPr>
          </w:p>
        </w:tc>
        <w:tc>
          <w:tcPr>
            <w:tcW w:w="907" w:type="dxa"/>
            <w:tcBorders>
              <w:top w:val="single" w:sz="8" w:space="0" w:color="auto"/>
              <w:left w:val="nil"/>
              <w:bottom w:val="nil"/>
              <w:right w:val="nil"/>
            </w:tcBorders>
            <w:shd w:val="clear" w:color="auto" w:fill="D9D9D9"/>
            <w:vAlign w:val="center"/>
            <w:hideMark/>
          </w:tcPr>
          <w:p w:rsidR="00B958B1" w:rsidRPr="00416C6F" w:rsidRDefault="00B958B1" w:rsidP="009F3B54">
            <w:pPr>
              <w:pStyle w:val="OGTableofFigures"/>
              <w:rPr>
                <w:i/>
                <w:iCs/>
                <w:color w:val="000000"/>
                <w:lang w:eastAsia="en-AU"/>
              </w:rPr>
            </w:pPr>
          </w:p>
        </w:tc>
        <w:tc>
          <w:tcPr>
            <w:tcW w:w="993" w:type="dxa"/>
            <w:tcBorders>
              <w:top w:val="single" w:sz="8" w:space="0" w:color="auto"/>
              <w:left w:val="nil"/>
              <w:bottom w:val="nil"/>
              <w:right w:val="nil"/>
            </w:tcBorders>
            <w:shd w:val="clear" w:color="auto" w:fill="auto"/>
            <w:vAlign w:val="center"/>
            <w:hideMark/>
          </w:tcPr>
          <w:p w:rsidR="00B958B1" w:rsidRPr="00416C6F" w:rsidRDefault="00B958B1" w:rsidP="009F3B54">
            <w:pPr>
              <w:pStyle w:val="OGTableofFigures"/>
              <w:rPr>
                <w:i/>
                <w:iCs/>
                <w:color w:val="000000"/>
                <w:lang w:eastAsia="en-AU"/>
              </w:rPr>
            </w:pPr>
          </w:p>
        </w:tc>
        <w:tc>
          <w:tcPr>
            <w:tcW w:w="907" w:type="dxa"/>
            <w:tcBorders>
              <w:top w:val="single" w:sz="8" w:space="0" w:color="auto"/>
              <w:left w:val="nil"/>
              <w:bottom w:val="nil"/>
              <w:right w:val="nil"/>
            </w:tcBorders>
            <w:shd w:val="clear" w:color="auto" w:fill="auto"/>
            <w:vAlign w:val="center"/>
            <w:hideMark/>
          </w:tcPr>
          <w:p w:rsidR="00B958B1" w:rsidRPr="00416C6F" w:rsidRDefault="00B958B1" w:rsidP="009F3B54">
            <w:pPr>
              <w:pStyle w:val="OGTableofFigures"/>
              <w:rPr>
                <w:i/>
                <w:iCs/>
                <w:color w:val="000000"/>
                <w:lang w:eastAsia="en-AU"/>
              </w:rPr>
            </w:pPr>
          </w:p>
        </w:tc>
        <w:tc>
          <w:tcPr>
            <w:tcW w:w="907" w:type="dxa"/>
            <w:tcBorders>
              <w:top w:val="single" w:sz="8" w:space="0" w:color="auto"/>
              <w:left w:val="nil"/>
              <w:bottom w:val="nil"/>
              <w:right w:val="nil"/>
            </w:tcBorders>
            <w:shd w:val="clear" w:color="auto" w:fill="auto"/>
            <w:vAlign w:val="center"/>
            <w:hideMark/>
          </w:tcPr>
          <w:p w:rsidR="00B958B1" w:rsidRPr="00416C6F" w:rsidRDefault="00B958B1" w:rsidP="009F3B54">
            <w:pPr>
              <w:pStyle w:val="OGTableofFigures"/>
              <w:rPr>
                <w:i/>
                <w:iCs/>
                <w:color w:val="000000"/>
                <w:lang w:eastAsia="en-AU"/>
              </w:rPr>
            </w:pP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416C6F" w:rsidRDefault="00B958B1" w:rsidP="009F3B54">
            <w:pPr>
              <w:pStyle w:val="OGTabText"/>
              <w:rPr>
                <w:color w:val="000000"/>
                <w:lang w:eastAsia="en-AU"/>
              </w:rPr>
            </w:pPr>
            <w:r w:rsidRPr="00416C6F">
              <w:rPr>
                <w:color w:val="000000"/>
                <w:lang w:eastAsia="en-AU"/>
              </w:rPr>
              <w:t>Liquor Licensing information and advice provided to consumers and traders (VCGLR)</w:t>
            </w:r>
          </w:p>
        </w:tc>
        <w:tc>
          <w:tcPr>
            <w:tcW w:w="907" w:type="dxa"/>
            <w:tcBorders>
              <w:top w:val="nil"/>
              <w:left w:val="nil"/>
              <w:bottom w:val="nil"/>
              <w:right w:val="nil"/>
            </w:tcBorders>
            <w:shd w:val="clear" w:color="auto" w:fill="auto"/>
            <w:hideMark/>
          </w:tcPr>
          <w:p w:rsidR="00B958B1" w:rsidRPr="00416C6F" w:rsidRDefault="00B958B1" w:rsidP="009F3B54">
            <w:pPr>
              <w:pStyle w:val="OGUoM"/>
              <w:rPr>
                <w:color w:val="000000"/>
                <w:lang w:eastAsia="en-AU"/>
              </w:rPr>
            </w:pPr>
            <w:r w:rsidRPr="00416C6F">
              <w:rPr>
                <w:color w:val="000000"/>
                <w:lang w:eastAsia="en-AU"/>
              </w:rPr>
              <w:t>number</w:t>
            </w:r>
          </w:p>
        </w:tc>
        <w:tc>
          <w:tcPr>
            <w:tcW w:w="907" w:type="dxa"/>
            <w:tcBorders>
              <w:top w:val="nil"/>
              <w:left w:val="nil"/>
              <w:bottom w:val="nil"/>
              <w:right w:val="nil"/>
            </w:tcBorders>
            <w:shd w:val="clear" w:color="auto" w:fill="D9D9D9"/>
            <w:hideMark/>
          </w:tcPr>
          <w:p w:rsidR="00B958B1" w:rsidRPr="00416C6F" w:rsidRDefault="00B958B1" w:rsidP="009F3B54">
            <w:pPr>
              <w:pStyle w:val="OGTableofFigures"/>
              <w:rPr>
                <w:color w:val="000000"/>
                <w:lang w:eastAsia="en-AU"/>
              </w:rPr>
            </w:pPr>
            <w:r w:rsidRPr="00416C6F">
              <w:rPr>
                <w:color w:val="000000"/>
                <w:lang w:eastAsia="en-AU"/>
              </w:rPr>
              <w:t>80</w:t>
            </w:r>
            <w:r>
              <w:rPr>
                <w:color w:val="000000"/>
                <w:lang w:eastAsia="en-AU"/>
              </w:rPr>
              <w:t> </w:t>
            </w:r>
            <w:r w:rsidRPr="00416C6F">
              <w:rPr>
                <w:color w:val="000000"/>
                <w:lang w:eastAsia="en-AU"/>
              </w:rPr>
              <w:t>000</w:t>
            </w:r>
          </w:p>
        </w:tc>
        <w:tc>
          <w:tcPr>
            <w:tcW w:w="993" w:type="dxa"/>
            <w:tcBorders>
              <w:top w:val="nil"/>
              <w:left w:val="nil"/>
              <w:bottom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80</w:t>
            </w:r>
            <w:r>
              <w:rPr>
                <w:color w:val="000000"/>
                <w:lang w:eastAsia="en-AU"/>
              </w:rPr>
              <w:t> </w:t>
            </w:r>
            <w:r w:rsidRPr="00416C6F">
              <w:rPr>
                <w:color w:val="000000"/>
                <w:lang w:eastAsia="en-AU"/>
              </w:rPr>
              <w:t>000</w:t>
            </w:r>
          </w:p>
        </w:tc>
        <w:tc>
          <w:tcPr>
            <w:tcW w:w="907" w:type="dxa"/>
            <w:tcBorders>
              <w:top w:val="nil"/>
              <w:left w:val="nil"/>
              <w:bottom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80</w:t>
            </w:r>
            <w:r>
              <w:rPr>
                <w:color w:val="000000"/>
                <w:lang w:eastAsia="en-AU"/>
              </w:rPr>
              <w:t> </w:t>
            </w:r>
            <w:r w:rsidRPr="00416C6F">
              <w:rPr>
                <w:color w:val="000000"/>
                <w:lang w:eastAsia="en-AU"/>
              </w:rPr>
              <w:t>000</w:t>
            </w:r>
          </w:p>
        </w:tc>
        <w:tc>
          <w:tcPr>
            <w:tcW w:w="907" w:type="dxa"/>
            <w:tcBorders>
              <w:top w:val="nil"/>
              <w:left w:val="nil"/>
              <w:bottom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86</w:t>
            </w:r>
            <w:r>
              <w:rPr>
                <w:color w:val="000000"/>
                <w:lang w:eastAsia="en-AU"/>
              </w:rPr>
              <w:t> </w:t>
            </w:r>
            <w:r w:rsidRPr="00416C6F">
              <w:rPr>
                <w:color w:val="000000"/>
                <w:lang w:eastAsia="en-AU"/>
              </w:rPr>
              <w:t>917</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This measure is proposed to be discontinued as it has been replaced in 2013</w:t>
            </w:r>
            <w:r w:rsidR="009F0F49">
              <w:noBreakHyphen/>
            </w:r>
            <w:r w:rsidRPr="00A475B8">
              <w:t xml:space="preserve">14 by a new performance measure </w:t>
            </w:r>
            <w:r>
              <w:t>‘</w:t>
            </w:r>
            <w:r w:rsidRPr="00A475B8">
              <w:t>Liquor and gambling information and advice (VCGLR)</w:t>
            </w:r>
            <w:r>
              <w:t>’</w:t>
            </w:r>
            <w:r w:rsidRPr="00A475B8">
              <w:t>, which better reflects the activity of the Victorian Commission for Gambling and Liquor Regulation (VCGLR).</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416C6F" w:rsidRDefault="00B958B1" w:rsidP="009F3B54">
            <w:pPr>
              <w:pStyle w:val="OGTabText"/>
              <w:rPr>
                <w:color w:val="000000"/>
                <w:lang w:eastAsia="en-AU"/>
              </w:rPr>
            </w:pPr>
            <w:r w:rsidRPr="00416C6F">
              <w:rPr>
                <w:color w:val="000000"/>
                <w:lang w:eastAsia="en-AU"/>
              </w:rPr>
              <w:t xml:space="preserve">Liquor Licensing inspections, compliance monitoring and enforcement activities (VCGLR) </w:t>
            </w:r>
          </w:p>
        </w:tc>
        <w:tc>
          <w:tcPr>
            <w:tcW w:w="907" w:type="dxa"/>
            <w:tcBorders>
              <w:top w:val="nil"/>
              <w:left w:val="nil"/>
              <w:bottom w:val="nil"/>
              <w:right w:val="nil"/>
            </w:tcBorders>
            <w:shd w:val="clear" w:color="auto" w:fill="auto"/>
            <w:hideMark/>
          </w:tcPr>
          <w:p w:rsidR="00B958B1" w:rsidRPr="00416C6F" w:rsidRDefault="00B958B1" w:rsidP="009F3B54">
            <w:pPr>
              <w:pStyle w:val="OGUoM"/>
              <w:rPr>
                <w:color w:val="000000"/>
                <w:lang w:eastAsia="en-AU"/>
              </w:rPr>
            </w:pPr>
            <w:r w:rsidRPr="00416C6F">
              <w:rPr>
                <w:color w:val="000000"/>
                <w:lang w:eastAsia="en-AU"/>
              </w:rPr>
              <w:t>number</w:t>
            </w:r>
          </w:p>
        </w:tc>
        <w:tc>
          <w:tcPr>
            <w:tcW w:w="907" w:type="dxa"/>
            <w:tcBorders>
              <w:top w:val="nil"/>
              <w:left w:val="nil"/>
              <w:bottom w:val="nil"/>
              <w:right w:val="nil"/>
            </w:tcBorders>
            <w:shd w:val="clear" w:color="auto" w:fill="D9D9D9"/>
            <w:hideMark/>
          </w:tcPr>
          <w:p w:rsidR="00B958B1" w:rsidRPr="00416C6F" w:rsidRDefault="00B958B1" w:rsidP="009F3B54">
            <w:pPr>
              <w:pStyle w:val="OGTableofFigures"/>
              <w:rPr>
                <w:color w:val="000000"/>
                <w:lang w:eastAsia="en-AU"/>
              </w:rPr>
            </w:pPr>
            <w:r w:rsidRPr="00416C6F">
              <w:rPr>
                <w:color w:val="000000"/>
                <w:lang w:eastAsia="en-AU"/>
              </w:rPr>
              <w:t>16</w:t>
            </w:r>
            <w:r>
              <w:rPr>
                <w:color w:val="000000"/>
                <w:lang w:eastAsia="en-AU"/>
              </w:rPr>
              <w:t> </w:t>
            </w:r>
            <w:r w:rsidRPr="00416C6F">
              <w:rPr>
                <w:color w:val="000000"/>
                <w:lang w:eastAsia="en-AU"/>
              </w:rPr>
              <w:t>000</w:t>
            </w:r>
          </w:p>
        </w:tc>
        <w:tc>
          <w:tcPr>
            <w:tcW w:w="993" w:type="dxa"/>
            <w:tcBorders>
              <w:top w:val="nil"/>
              <w:left w:val="nil"/>
              <w:bottom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16</w:t>
            </w:r>
            <w:r>
              <w:rPr>
                <w:color w:val="000000"/>
                <w:lang w:eastAsia="en-AU"/>
              </w:rPr>
              <w:t> </w:t>
            </w:r>
            <w:r w:rsidRPr="00416C6F">
              <w:rPr>
                <w:color w:val="000000"/>
                <w:lang w:eastAsia="en-AU"/>
              </w:rPr>
              <w:t>000</w:t>
            </w:r>
          </w:p>
        </w:tc>
        <w:tc>
          <w:tcPr>
            <w:tcW w:w="907" w:type="dxa"/>
            <w:tcBorders>
              <w:top w:val="nil"/>
              <w:left w:val="nil"/>
              <w:bottom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16</w:t>
            </w:r>
            <w:r>
              <w:rPr>
                <w:color w:val="000000"/>
                <w:lang w:eastAsia="en-AU"/>
              </w:rPr>
              <w:t> </w:t>
            </w:r>
            <w:r w:rsidRPr="00416C6F">
              <w:rPr>
                <w:color w:val="000000"/>
                <w:lang w:eastAsia="en-AU"/>
              </w:rPr>
              <w:t>000</w:t>
            </w:r>
          </w:p>
        </w:tc>
        <w:tc>
          <w:tcPr>
            <w:tcW w:w="907" w:type="dxa"/>
            <w:tcBorders>
              <w:top w:val="nil"/>
              <w:left w:val="nil"/>
              <w:bottom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16</w:t>
            </w:r>
            <w:r>
              <w:rPr>
                <w:color w:val="000000"/>
                <w:lang w:eastAsia="en-AU"/>
              </w:rPr>
              <w:t> </w:t>
            </w:r>
            <w:r w:rsidRPr="00416C6F">
              <w:rPr>
                <w:color w:val="000000"/>
                <w:lang w:eastAsia="en-AU"/>
              </w:rPr>
              <w:t>772</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This measure is proposed to be discontinued as it has been replaced in 2013</w:t>
            </w:r>
            <w:r w:rsidR="009F0F49">
              <w:noBreakHyphen/>
            </w:r>
            <w:r w:rsidRPr="00A475B8">
              <w:t xml:space="preserve">14 by a new performance measure </w:t>
            </w:r>
            <w:r>
              <w:t>‘</w:t>
            </w:r>
            <w:r w:rsidRPr="00A475B8">
              <w:t>Liquor and gambling compliance activities (VCGLR)</w:t>
            </w:r>
            <w:r>
              <w:t>’</w:t>
            </w:r>
            <w:r w:rsidRPr="00A475B8">
              <w:t>, which better reflects the activity of the VCGLR.</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416C6F" w:rsidRDefault="00B958B1" w:rsidP="009F3B54">
            <w:pPr>
              <w:pStyle w:val="OGTabText"/>
              <w:rPr>
                <w:color w:val="000000"/>
                <w:lang w:eastAsia="en-AU"/>
              </w:rPr>
            </w:pPr>
            <w:r w:rsidRPr="00416C6F">
              <w:rPr>
                <w:color w:val="000000"/>
                <w:lang w:eastAsia="en-AU"/>
              </w:rPr>
              <w:t xml:space="preserve">Liquor Licensing registration and licensing transactions (VCGLR) </w:t>
            </w:r>
          </w:p>
        </w:tc>
        <w:tc>
          <w:tcPr>
            <w:tcW w:w="907" w:type="dxa"/>
            <w:tcBorders>
              <w:top w:val="nil"/>
              <w:left w:val="nil"/>
              <w:bottom w:val="nil"/>
              <w:right w:val="nil"/>
            </w:tcBorders>
            <w:shd w:val="clear" w:color="auto" w:fill="auto"/>
            <w:hideMark/>
          </w:tcPr>
          <w:p w:rsidR="00B958B1" w:rsidRPr="00416C6F" w:rsidRDefault="00B958B1" w:rsidP="009F3B54">
            <w:pPr>
              <w:pStyle w:val="OGUoM"/>
              <w:rPr>
                <w:color w:val="000000"/>
                <w:lang w:eastAsia="en-AU"/>
              </w:rPr>
            </w:pPr>
            <w:r w:rsidRPr="00416C6F">
              <w:rPr>
                <w:color w:val="000000"/>
                <w:lang w:eastAsia="en-AU"/>
              </w:rPr>
              <w:t>number</w:t>
            </w:r>
          </w:p>
        </w:tc>
        <w:tc>
          <w:tcPr>
            <w:tcW w:w="907" w:type="dxa"/>
            <w:tcBorders>
              <w:top w:val="nil"/>
              <w:left w:val="nil"/>
              <w:bottom w:val="nil"/>
              <w:right w:val="nil"/>
            </w:tcBorders>
            <w:shd w:val="clear" w:color="auto" w:fill="D9D9D9"/>
            <w:hideMark/>
          </w:tcPr>
          <w:p w:rsidR="00B958B1" w:rsidRPr="00416C6F" w:rsidRDefault="00B958B1" w:rsidP="009F3B54">
            <w:pPr>
              <w:pStyle w:val="OGTableofFigures"/>
              <w:rPr>
                <w:color w:val="000000"/>
                <w:lang w:eastAsia="en-AU"/>
              </w:rPr>
            </w:pPr>
            <w:r w:rsidRPr="00416C6F">
              <w:rPr>
                <w:color w:val="000000"/>
                <w:lang w:eastAsia="en-AU"/>
              </w:rPr>
              <w:t>75</w:t>
            </w:r>
            <w:r>
              <w:rPr>
                <w:color w:val="000000"/>
                <w:lang w:eastAsia="en-AU"/>
              </w:rPr>
              <w:t> </w:t>
            </w:r>
            <w:r w:rsidRPr="00416C6F">
              <w:rPr>
                <w:color w:val="000000"/>
                <w:lang w:eastAsia="en-AU"/>
              </w:rPr>
              <w:t>000</w:t>
            </w:r>
          </w:p>
        </w:tc>
        <w:tc>
          <w:tcPr>
            <w:tcW w:w="993" w:type="dxa"/>
            <w:tcBorders>
              <w:top w:val="nil"/>
              <w:left w:val="nil"/>
              <w:bottom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75</w:t>
            </w:r>
            <w:r>
              <w:rPr>
                <w:color w:val="000000"/>
                <w:lang w:eastAsia="en-AU"/>
              </w:rPr>
              <w:t> </w:t>
            </w:r>
            <w:r w:rsidRPr="00416C6F">
              <w:rPr>
                <w:color w:val="000000"/>
                <w:lang w:eastAsia="en-AU"/>
              </w:rPr>
              <w:t>000</w:t>
            </w:r>
          </w:p>
        </w:tc>
        <w:tc>
          <w:tcPr>
            <w:tcW w:w="907" w:type="dxa"/>
            <w:tcBorders>
              <w:top w:val="nil"/>
              <w:left w:val="nil"/>
              <w:bottom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75</w:t>
            </w:r>
            <w:r>
              <w:rPr>
                <w:color w:val="000000"/>
                <w:lang w:eastAsia="en-AU"/>
              </w:rPr>
              <w:t> </w:t>
            </w:r>
            <w:r w:rsidRPr="00416C6F">
              <w:rPr>
                <w:color w:val="000000"/>
                <w:lang w:eastAsia="en-AU"/>
              </w:rPr>
              <w:t>000</w:t>
            </w:r>
          </w:p>
        </w:tc>
        <w:tc>
          <w:tcPr>
            <w:tcW w:w="907" w:type="dxa"/>
            <w:tcBorders>
              <w:top w:val="nil"/>
              <w:left w:val="nil"/>
              <w:bottom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80</w:t>
            </w:r>
            <w:r>
              <w:rPr>
                <w:color w:val="000000"/>
                <w:lang w:eastAsia="en-AU"/>
              </w:rPr>
              <w:t> </w:t>
            </w:r>
            <w:r w:rsidRPr="00416C6F">
              <w:rPr>
                <w:color w:val="000000"/>
                <w:lang w:eastAsia="en-AU"/>
              </w:rPr>
              <w:t>150</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This measure is proposed to be discontinued as it has been replaced in 2013</w:t>
            </w:r>
            <w:r w:rsidR="009F0F49">
              <w:noBreakHyphen/>
            </w:r>
            <w:r w:rsidRPr="00A475B8">
              <w:t xml:space="preserve">14 by a new performance measure </w:t>
            </w:r>
            <w:r>
              <w:t>‘</w:t>
            </w:r>
            <w:r w:rsidRPr="00A475B8">
              <w:t>Liquor and gambling licensing activities (VCGLR)</w:t>
            </w:r>
            <w:r>
              <w:t>’</w:t>
            </w:r>
            <w:r w:rsidRPr="00A475B8">
              <w:t>, which better reflects the activity of the VCGLR.</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416C6F" w:rsidRDefault="00B958B1" w:rsidP="009F3B54">
            <w:pPr>
              <w:pStyle w:val="OGTabText"/>
              <w:keepNext/>
              <w:rPr>
                <w:color w:val="000000"/>
                <w:lang w:eastAsia="en-AU"/>
              </w:rPr>
            </w:pPr>
            <w:r w:rsidRPr="00416C6F">
              <w:rPr>
                <w:color w:val="000000"/>
                <w:lang w:eastAsia="en-AU"/>
              </w:rPr>
              <w:t xml:space="preserve">Gambling regulatory services including licensing and compliance activities (VCGLR) </w:t>
            </w:r>
          </w:p>
        </w:tc>
        <w:tc>
          <w:tcPr>
            <w:tcW w:w="907" w:type="dxa"/>
            <w:tcBorders>
              <w:top w:val="nil"/>
              <w:left w:val="nil"/>
              <w:bottom w:val="nil"/>
              <w:right w:val="nil"/>
            </w:tcBorders>
            <w:shd w:val="clear" w:color="auto" w:fill="auto"/>
            <w:hideMark/>
          </w:tcPr>
          <w:p w:rsidR="00B958B1" w:rsidRPr="00416C6F" w:rsidRDefault="00B958B1" w:rsidP="009F3B54">
            <w:pPr>
              <w:pStyle w:val="OGUoM"/>
              <w:rPr>
                <w:color w:val="000000"/>
                <w:lang w:eastAsia="en-AU"/>
              </w:rPr>
            </w:pPr>
            <w:r w:rsidRPr="00416C6F">
              <w:rPr>
                <w:color w:val="000000"/>
                <w:lang w:eastAsia="en-AU"/>
              </w:rPr>
              <w:t>number</w:t>
            </w:r>
          </w:p>
        </w:tc>
        <w:tc>
          <w:tcPr>
            <w:tcW w:w="907" w:type="dxa"/>
            <w:tcBorders>
              <w:top w:val="nil"/>
              <w:left w:val="nil"/>
              <w:bottom w:val="nil"/>
              <w:right w:val="nil"/>
            </w:tcBorders>
            <w:shd w:val="clear" w:color="auto" w:fill="D9D9D9"/>
            <w:hideMark/>
          </w:tcPr>
          <w:p w:rsidR="00B958B1" w:rsidRPr="00416C6F" w:rsidRDefault="00B958B1" w:rsidP="009F3B54">
            <w:pPr>
              <w:pStyle w:val="OGTableofFigures"/>
              <w:rPr>
                <w:color w:val="000000"/>
                <w:lang w:eastAsia="en-AU"/>
              </w:rPr>
            </w:pPr>
            <w:r w:rsidRPr="00416C6F">
              <w:rPr>
                <w:color w:val="000000"/>
                <w:lang w:eastAsia="en-AU"/>
              </w:rPr>
              <w:t>29</w:t>
            </w:r>
            <w:r>
              <w:rPr>
                <w:color w:val="000000"/>
                <w:lang w:eastAsia="en-AU"/>
              </w:rPr>
              <w:t> </w:t>
            </w:r>
            <w:r w:rsidRPr="00416C6F">
              <w:rPr>
                <w:color w:val="000000"/>
                <w:lang w:eastAsia="en-AU"/>
              </w:rPr>
              <w:t>000</w:t>
            </w:r>
          </w:p>
        </w:tc>
        <w:tc>
          <w:tcPr>
            <w:tcW w:w="993" w:type="dxa"/>
            <w:tcBorders>
              <w:top w:val="nil"/>
              <w:left w:val="nil"/>
              <w:bottom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29</w:t>
            </w:r>
            <w:r>
              <w:rPr>
                <w:color w:val="000000"/>
                <w:lang w:eastAsia="en-AU"/>
              </w:rPr>
              <w:t> </w:t>
            </w:r>
            <w:r w:rsidRPr="00416C6F">
              <w:rPr>
                <w:color w:val="000000"/>
                <w:lang w:eastAsia="en-AU"/>
              </w:rPr>
              <w:t>000</w:t>
            </w:r>
          </w:p>
        </w:tc>
        <w:tc>
          <w:tcPr>
            <w:tcW w:w="907" w:type="dxa"/>
            <w:tcBorders>
              <w:top w:val="nil"/>
              <w:left w:val="nil"/>
              <w:bottom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29</w:t>
            </w:r>
            <w:r>
              <w:rPr>
                <w:color w:val="000000"/>
                <w:lang w:eastAsia="en-AU"/>
              </w:rPr>
              <w:t> </w:t>
            </w:r>
            <w:r w:rsidRPr="00416C6F">
              <w:rPr>
                <w:color w:val="000000"/>
                <w:lang w:eastAsia="en-AU"/>
              </w:rPr>
              <w:t>000</w:t>
            </w:r>
          </w:p>
        </w:tc>
        <w:tc>
          <w:tcPr>
            <w:tcW w:w="907" w:type="dxa"/>
            <w:tcBorders>
              <w:top w:val="nil"/>
              <w:left w:val="nil"/>
              <w:bottom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27</w:t>
            </w:r>
            <w:r>
              <w:rPr>
                <w:color w:val="000000"/>
                <w:lang w:eastAsia="en-AU"/>
              </w:rPr>
              <w:t> </w:t>
            </w:r>
            <w:r w:rsidRPr="00416C6F">
              <w:rPr>
                <w:color w:val="000000"/>
                <w:lang w:eastAsia="en-AU"/>
              </w:rPr>
              <w:t>616</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This measure is proposed to be discontinued as it has been replaced in 2013</w:t>
            </w:r>
            <w:r w:rsidR="009F0F49">
              <w:noBreakHyphen/>
            </w:r>
            <w:r w:rsidRPr="00A475B8">
              <w:t xml:space="preserve">14 by two new performance measures </w:t>
            </w:r>
            <w:r>
              <w:t>‘</w:t>
            </w:r>
            <w:r w:rsidRPr="00A475B8">
              <w:t>Liquor and gambling compliance activities</w:t>
            </w:r>
            <w:r>
              <w:t>’</w:t>
            </w:r>
            <w:r w:rsidRPr="00A475B8">
              <w:t xml:space="preserve"> and </w:t>
            </w:r>
            <w:r>
              <w:t>‘</w:t>
            </w:r>
            <w:r w:rsidRPr="00A475B8">
              <w:t>Liquor and gambling licensing activities</w:t>
            </w:r>
            <w:r>
              <w:t>’</w:t>
            </w:r>
            <w:r w:rsidRPr="00A475B8">
              <w:t>, which better reflect the activity of the VCGLR.</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416C6F" w:rsidRDefault="00B958B1" w:rsidP="009F3B54">
            <w:pPr>
              <w:pStyle w:val="OGTabHead"/>
              <w:rPr>
                <w:color w:val="000000"/>
                <w:lang w:eastAsia="en-AU"/>
              </w:rPr>
            </w:pPr>
            <w:r w:rsidRPr="00416C6F">
              <w:rPr>
                <w:iCs/>
                <w:color w:val="000000"/>
                <w:lang w:eastAsia="en-AU"/>
              </w:rPr>
              <w:t>Quality</w:t>
            </w:r>
          </w:p>
        </w:tc>
        <w:tc>
          <w:tcPr>
            <w:tcW w:w="907" w:type="dxa"/>
            <w:tcBorders>
              <w:top w:val="nil"/>
              <w:left w:val="nil"/>
              <w:bottom w:val="nil"/>
              <w:right w:val="nil"/>
            </w:tcBorders>
            <w:shd w:val="clear" w:color="auto" w:fill="auto"/>
            <w:vAlign w:val="center"/>
            <w:hideMark/>
          </w:tcPr>
          <w:p w:rsidR="00B958B1" w:rsidRPr="00416C6F" w:rsidRDefault="00B958B1" w:rsidP="009F3B54">
            <w:pPr>
              <w:pStyle w:val="OGUoM"/>
              <w:rPr>
                <w:i/>
                <w:iCs/>
                <w:color w:val="000000"/>
                <w:lang w:eastAsia="en-AU"/>
              </w:rPr>
            </w:pPr>
            <w:r w:rsidRPr="00416C6F">
              <w:rPr>
                <w:i/>
                <w:iCs/>
                <w:color w:val="000000"/>
                <w:lang w:eastAsia="en-AU"/>
              </w:rPr>
              <w:t> </w:t>
            </w:r>
          </w:p>
        </w:tc>
        <w:tc>
          <w:tcPr>
            <w:tcW w:w="907" w:type="dxa"/>
            <w:tcBorders>
              <w:top w:val="nil"/>
              <w:left w:val="nil"/>
              <w:bottom w:val="nil"/>
              <w:right w:val="nil"/>
            </w:tcBorders>
            <w:shd w:val="clear" w:color="auto" w:fill="D9D9D9"/>
            <w:vAlign w:val="center"/>
            <w:hideMark/>
          </w:tcPr>
          <w:p w:rsidR="00B958B1" w:rsidRPr="00416C6F" w:rsidRDefault="00B958B1" w:rsidP="009F3B54">
            <w:pPr>
              <w:pStyle w:val="OGTableofFigures"/>
              <w:rPr>
                <w:i/>
                <w:iCs/>
                <w:color w:val="000000"/>
                <w:lang w:eastAsia="en-AU"/>
              </w:rPr>
            </w:pPr>
            <w:r w:rsidRPr="00416C6F">
              <w:rPr>
                <w:i/>
                <w:iCs/>
                <w:color w:val="000000"/>
                <w:lang w:eastAsia="en-AU"/>
              </w:rPr>
              <w:t> </w:t>
            </w:r>
          </w:p>
        </w:tc>
        <w:tc>
          <w:tcPr>
            <w:tcW w:w="993" w:type="dxa"/>
            <w:tcBorders>
              <w:top w:val="nil"/>
              <w:left w:val="nil"/>
              <w:bottom w:val="nil"/>
              <w:right w:val="nil"/>
            </w:tcBorders>
            <w:shd w:val="clear" w:color="auto" w:fill="auto"/>
            <w:vAlign w:val="center"/>
            <w:hideMark/>
          </w:tcPr>
          <w:p w:rsidR="00B958B1" w:rsidRPr="00416C6F" w:rsidRDefault="00B958B1" w:rsidP="009F3B54">
            <w:pPr>
              <w:pStyle w:val="OGTableofFigures"/>
              <w:rPr>
                <w:i/>
                <w:iCs/>
                <w:color w:val="000000"/>
                <w:lang w:eastAsia="en-AU"/>
              </w:rPr>
            </w:pPr>
            <w:r w:rsidRPr="00416C6F">
              <w:rPr>
                <w:i/>
                <w:iCs/>
                <w:color w:val="000000"/>
                <w:lang w:eastAsia="en-AU"/>
              </w:rPr>
              <w:t> </w:t>
            </w:r>
          </w:p>
        </w:tc>
        <w:tc>
          <w:tcPr>
            <w:tcW w:w="907" w:type="dxa"/>
            <w:tcBorders>
              <w:top w:val="nil"/>
              <w:left w:val="nil"/>
              <w:bottom w:val="nil"/>
              <w:right w:val="nil"/>
            </w:tcBorders>
            <w:shd w:val="clear" w:color="000000" w:fill="D9D9D9"/>
            <w:vAlign w:val="center"/>
            <w:hideMark/>
          </w:tcPr>
          <w:p w:rsidR="00B958B1" w:rsidRPr="00416C6F" w:rsidRDefault="00B958B1" w:rsidP="009F3B54">
            <w:pPr>
              <w:pStyle w:val="OGTableofFigures"/>
              <w:rPr>
                <w:i/>
                <w:iCs/>
                <w:color w:val="000000"/>
                <w:lang w:eastAsia="en-AU"/>
              </w:rPr>
            </w:pPr>
            <w:r w:rsidRPr="00416C6F">
              <w:rPr>
                <w:i/>
                <w:iCs/>
                <w:color w:val="000000"/>
                <w:lang w:eastAsia="en-AU"/>
              </w:rPr>
              <w:t> </w:t>
            </w:r>
          </w:p>
        </w:tc>
        <w:tc>
          <w:tcPr>
            <w:tcW w:w="907" w:type="dxa"/>
            <w:tcBorders>
              <w:top w:val="nil"/>
              <w:left w:val="nil"/>
              <w:bottom w:val="nil"/>
              <w:right w:val="nil"/>
            </w:tcBorders>
            <w:shd w:val="clear" w:color="auto" w:fill="auto"/>
            <w:vAlign w:val="bottom"/>
            <w:hideMark/>
          </w:tcPr>
          <w:p w:rsidR="00B958B1" w:rsidRPr="00416C6F" w:rsidRDefault="00B958B1" w:rsidP="009F3B54">
            <w:pPr>
              <w:pStyle w:val="OGTableofFigures"/>
              <w:rPr>
                <w:color w:val="000000"/>
                <w:lang w:eastAsia="en-AU"/>
              </w:rPr>
            </w:pP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416C6F" w:rsidRDefault="00B958B1" w:rsidP="009F3B54">
            <w:pPr>
              <w:pStyle w:val="OGTabText"/>
              <w:rPr>
                <w:color w:val="000000"/>
                <w:lang w:eastAsia="en-AU"/>
              </w:rPr>
            </w:pPr>
            <w:r w:rsidRPr="00416C6F">
              <w:rPr>
                <w:color w:val="000000"/>
                <w:lang w:eastAsia="en-AU"/>
              </w:rPr>
              <w:t>Accuracy of gambling regulatory compliance activities (VCGLR)</w:t>
            </w:r>
          </w:p>
        </w:tc>
        <w:tc>
          <w:tcPr>
            <w:tcW w:w="907" w:type="dxa"/>
            <w:tcBorders>
              <w:top w:val="nil"/>
              <w:left w:val="nil"/>
              <w:bottom w:val="nil"/>
              <w:right w:val="nil"/>
            </w:tcBorders>
            <w:shd w:val="clear" w:color="auto" w:fill="auto"/>
            <w:hideMark/>
          </w:tcPr>
          <w:p w:rsidR="00B958B1" w:rsidRPr="00416C6F" w:rsidRDefault="00B958B1" w:rsidP="009F3B54">
            <w:pPr>
              <w:pStyle w:val="OGUoM"/>
              <w:rPr>
                <w:color w:val="000000"/>
                <w:lang w:eastAsia="en-AU"/>
              </w:rPr>
            </w:pPr>
            <w:r>
              <w:rPr>
                <w:color w:val="000000"/>
                <w:lang w:eastAsia="en-AU"/>
              </w:rPr>
              <w:t>per cent</w:t>
            </w:r>
          </w:p>
        </w:tc>
        <w:tc>
          <w:tcPr>
            <w:tcW w:w="907" w:type="dxa"/>
            <w:tcBorders>
              <w:top w:val="nil"/>
              <w:left w:val="nil"/>
              <w:bottom w:val="nil"/>
              <w:right w:val="nil"/>
            </w:tcBorders>
            <w:shd w:val="clear" w:color="auto" w:fill="D9D9D9"/>
            <w:hideMark/>
          </w:tcPr>
          <w:p w:rsidR="00B958B1" w:rsidRPr="00416C6F" w:rsidRDefault="00B958B1" w:rsidP="009F3B54">
            <w:pPr>
              <w:pStyle w:val="OGTableofFigures"/>
              <w:rPr>
                <w:color w:val="000000"/>
                <w:lang w:eastAsia="en-AU"/>
              </w:rPr>
            </w:pPr>
            <w:r w:rsidRPr="00416C6F">
              <w:rPr>
                <w:color w:val="000000"/>
                <w:lang w:eastAsia="en-AU"/>
              </w:rPr>
              <w:t>100</w:t>
            </w:r>
          </w:p>
        </w:tc>
        <w:tc>
          <w:tcPr>
            <w:tcW w:w="993" w:type="dxa"/>
            <w:tcBorders>
              <w:top w:val="nil"/>
              <w:left w:val="nil"/>
              <w:bottom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100</w:t>
            </w:r>
          </w:p>
        </w:tc>
        <w:tc>
          <w:tcPr>
            <w:tcW w:w="907" w:type="dxa"/>
            <w:tcBorders>
              <w:top w:val="nil"/>
              <w:left w:val="nil"/>
              <w:bottom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100</w:t>
            </w:r>
          </w:p>
        </w:tc>
        <w:tc>
          <w:tcPr>
            <w:tcW w:w="907" w:type="dxa"/>
            <w:tcBorders>
              <w:top w:val="nil"/>
              <w:left w:val="nil"/>
              <w:bottom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100</w:t>
            </w:r>
          </w:p>
        </w:tc>
      </w:tr>
      <w:tr w:rsidR="00B958B1" w:rsidRPr="00A475B8"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This measure is proposed to be discontinued as it has been replaced in 2013</w:t>
            </w:r>
            <w:r w:rsidR="009F0F49">
              <w:noBreakHyphen/>
            </w:r>
            <w:r w:rsidRPr="00A475B8">
              <w:t xml:space="preserve">14 by a new performance measure </w:t>
            </w:r>
            <w:r>
              <w:t>‘</w:t>
            </w:r>
            <w:r w:rsidRPr="00A475B8">
              <w:t>Liquor and gambling licensing client satisfaction (VCGLR)</w:t>
            </w:r>
            <w:r>
              <w:t>’</w:t>
            </w:r>
            <w:r w:rsidRPr="00A475B8">
              <w:t>, which better reflects the activity of the VCGLR.</w:t>
            </w:r>
          </w:p>
        </w:tc>
      </w:tr>
      <w:tr w:rsidR="00B958B1" w:rsidRPr="00A475B8" w:rsidTr="009F3B54">
        <w:trPr>
          <w:cantSplit/>
        </w:trPr>
        <w:tc>
          <w:tcPr>
            <w:tcW w:w="3155" w:type="dxa"/>
            <w:tcBorders>
              <w:top w:val="nil"/>
              <w:left w:val="nil"/>
              <w:bottom w:val="nil"/>
              <w:right w:val="nil"/>
            </w:tcBorders>
            <w:shd w:val="clear" w:color="auto" w:fill="auto"/>
            <w:vAlign w:val="center"/>
            <w:hideMark/>
          </w:tcPr>
          <w:p w:rsidR="00B958B1" w:rsidRPr="00A475B8" w:rsidRDefault="00B958B1" w:rsidP="009F3B54">
            <w:pPr>
              <w:pStyle w:val="OGTabHead"/>
              <w:rPr>
                <w:lang w:eastAsia="en-AU"/>
              </w:rPr>
            </w:pPr>
            <w:r w:rsidRPr="00416C6F">
              <w:rPr>
                <w:iCs/>
                <w:color w:val="000000"/>
                <w:lang w:eastAsia="en-AU"/>
              </w:rPr>
              <w:t>Timeliness</w:t>
            </w:r>
          </w:p>
        </w:tc>
        <w:tc>
          <w:tcPr>
            <w:tcW w:w="907" w:type="dxa"/>
            <w:tcBorders>
              <w:top w:val="nil"/>
              <w:left w:val="nil"/>
              <w:bottom w:val="nil"/>
              <w:right w:val="nil"/>
            </w:tcBorders>
            <w:shd w:val="clear" w:color="auto" w:fill="auto"/>
            <w:vAlign w:val="center"/>
            <w:hideMark/>
          </w:tcPr>
          <w:p w:rsidR="00B958B1" w:rsidRPr="00416C6F" w:rsidRDefault="00B958B1" w:rsidP="009F3B54">
            <w:pPr>
              <w:pStyle w:val="OGUoM"/>
              <w:rPr>
                <w:i/>
                <w:iCs/>
                <w:color w:val="000000"/>
                <w:lang w:eastAsia="en-AU"/>
              </w:rPr>
            </w:pPr>
            <w:r w:rsidRPr="00416C6F">
              <w:rPr>
                <w:i/>
                <w:iCs/>
                <w:color w:val="000000"/>
                <w:lang w:eastAsia="en-AU"/>
              </w:rPr>
              <w:t> </w:t>
            </w:r>
          </w:p>
        </w:tc>
        <w:tc>
          <w:tcPr>
            <w:tcW w:w="907" w:type="dxa"/>
            <w:tcBorders>
              <w:top w:val="nil"/>
              <w:left w:val="nil"/>
              <w:bottom w:val="nil"/>
              <w:right w:val="nil"/>
            </w:tcBorders>
            <w:shd w:val="clear" w:color="auto" w:fill="D9D9D9"/>
            <w:vAlign w:val="center"/>
            <w:hideMark/>
          </w:tcPr>
          <w:p w:rsidR="00B958B1" w:rsidRPr="00416C6F" w:rsidRDefault="00B958B1" w:rsidP="009F3B54">
            <w:pPr>
              <w:pStyle w:val="OGTableofFigures"/>
              <w:rPr>
                <w:i/>
                <w:iCs/>
                <w:color w:val="000000"/>
                <w:lang w:eastAsia="en-AU"/>
              </w:rPr>
            </w:pPr>
            <w:r w:rsidRPr="00416C6F">
              <w:rPr>
                <w:i/>
                <w:iCs/>
                <w:color w:val="000000"/>
                <w:lang w:eastAsia="en-AU"/>
              </w:rPr>
              <w:t> </w:t>
            </w:r>
          </w:p>
        </w:tc>
        <w:tc>
          <w:tcPr>
            <w:tcW w:w="993" w:type="dxa"/>
            <w:tcBorders>
              <w:top w:val="nil"/>
              <w:left w:val="nil"/>
              <w:bottom w:val="nil"/>
              <w:right w:val="nil"/>
            </w:tcBorders>
            <w:shd w:val="clear" w:color="auto" w:fill="auto"/>
            <w:vAlign w:val="center"/>
            <w:hideMark/>
          </w:tcPr>
          <w:p w:rsidR="00B958B1" w:rsidRPr="00416C6F" w:rsidRDefault="00B958B1" w:rsidP="009F3B54">
            <w:pPr>
              <w:pStyle w:val="OGTableofFigures"/>
              <w:rPr>
                <w:i/>
                <w:iCs/>
                <w:color w:val="000000"/>
                <w:lang w:eastAsia="en-AU"/>
              </w:rPr>
            </w:pPr>
            <w:r w:rsidRPr="00416C6F">
              <w:rPr>
                <w:i/>
                <w:iCs/>
                <w:color w:val="000000"/>
                <w:lang w:eastAsia="en-AU"/>
              </w:rPr>
              <w:t> </w:t>
            </w:r>
          </w:p>
        </w:tc>
        <w:tc>
          <w:tcPr>
            <w:tcW w:w="907" w:type="dxa"/>
            <w:tcBorders>
              <w:top w:val="nil"/>
              <w:left w:val="nil"/>
              <w:bottom w:val="nil"/>
              <w:right w:val="nil"/>
            </w:tcBorders>
            <w:shd w:val="clear" w:color="auto" w:fill="auto"/>
            <w:vAlign w:val="center"/>
            <w:hideMark/>
          </w:tcPr>
          <w:p w:rsidR="00B958B1" w:rsidRPr="00416C6F" w:rsidRDefault="00B958B1" w:rsidP="009F3B54">
            <w:pPr>
              <w:pStyle w:val="OGTableofFigures"/>
              <w:rPr>
                <w:i/>
                <w:iCs/>
                <w:color w:val="000000"/>
                <w:lang w:eastAsia="en-AU"/>
              </w:rPr>
            </w:pPr>
            <w:r w:rsidRPr="00416C6F">
              <w:rPr>
                <w:i/>
                <w:iCs/>
                <w:color w:val="000000"/>
                <w:lang w:eastAsia="en-AU"/>
              </w:rPr>
              <w:t> </w:t>
            </w:r>
          </w:p>
        </w:tc>
        <w:tc>
          <w:tcPr>
            <w:tcW w:w="907" w:type="dxa"/>
            <w:tcBorders>
              <w:top w:val="nil"/>
              <w:left w:val="nil"/>
              <w:bottom w:val="nil"/>
              <w:right w:val="nil"/>
            </w:tcBorders>
            <w:shd w:val="clear" w:color="auto" w:fill="auto"/>
            <w:vAlign w:val="center"/>
            <w:hideMark/>
          </w:tcPr>
          <w:p w:rsidR="00B958B1" w:rsidRPr="00416C6F" w:rsidRDefault="00B958B1" w:rsidP="009F3B54">
            <w:pPr>
              <w:pStyle w:val="OGTableofFigures"/>
              <w:rPr>
                <w:i/>
                <w:iCs/>
                <w:color w:val="000000"/>
                <w:lang w:eastAsia="en-AU"/>
              </w:rPr>
            </w:pPr>
            <w:r w:rsidRPr="00416C6F">
              <w:rPr>
                <w:i/>
                <w:iCs/>
                <w:color w:val="000000"/>
                <w:lang w:eastAsia="en-AU"/>
              </w:rPr>
              <w:t> </w:t>
            </w:r>
          </w:p>
        </w:tc>
      </w:tr>
      <w:tr w:rsidR="00B958B1" w:rsidRPr="00A475B8" w:rsidTr="009F3B54">
        <w:trPr>
          <w:cantSplit/>
        </w:trPr>
        <w:tc>
          <w:tcPr>
            <w:tcW w:w="3155" w:type="dxa"/>
            <w:tcBorders>
              <w:top w:val="nil"/>
              <w:left w:val="nil"/>
              <w:right w:val="nil"/>
            </w:tcBorders>
            <w:shd w:val="clear" w:color="auto" w:fill="auto"/>
            <w:vAlign w:val="center"/>
            <w:hideMark/>
          </w:tcPr>
          <w:p w:rsidR="00B958B1" w:rsidRPr="00416C6F" w:rsidRDefault="00B958B1" w:rsidP="009F3B54">
            <w:pPr>
              <w:pStyle w:val="OGTabText"/>
              <w:rPr>
                <w:color w:val="000000"/>
                <w:lang w:eastAsia="en-AU"/>
              </w:rPr>
            </w:pPr>
            <w:r w:rsidRPr="00416C6F">
              <w:rPr>
                <w:color w:val="000000"/>
                <w:lang w:eastAsia="en-AU"/>
              </w:rPr>
              <w:t>Gambling regulatory compliance and licensing activities progressed within set timeframes (VCGLR)</w:t>
            </w:r>
          </w:p>
        </w:tc>
        <w:tc>
          <w:tcPr>
            <w:tcW w:w="907" w:type="dxa"/>
            <w:tcBorders>
              <w:top w:val="nil"/>
              <w:left w:val="nil"/>
              <w:right w:val="nil"/>
            </w:tcBorders>
            <w:shd w:val="clear" w:color="auto" w:fill="auto"/>
            <w:hideMark/>
          </w:tcPr>
          <w:p w:rsidR="00B958B1" w:rsidRPr="00416C6F" w:rsidRDefault="00B958B1" w:rsidP="009F3B54">
            <w:pPr>
              <w:pStyle w:val="OGUoM"/>
              <w:rPr>
                <w:color w:val="000000"/>
                <w:lang w:eastAsia="en-AU"/>
              </w:rPr>
            </w:pPr>
            <w:r>
              <w:rPr>
                <w:color w:val="000000"/>
                <w:lang w:eastAsia="en-AU"/>
              </w:rPr>
              <w:t>per cent</w:t>
            </w:r>
          </w:p>
        </w:tc>
        <w:tc>
          <w:tcPr>
            <w:tcW w:w="907" w:type="dxa"/>
            <w:tcBorders>
              <w:top w:val="nil"/>
              <w:left w:val="nil"/>
              <w:right w:val="nil"/>
            </w:tcBorders>
            <w:shd w:val="clear" w:color="auto" w:fill="D9D9D9"/>
            <w:hideMark/>
          </w:tcPr>
          <w:p w:rsidR="00B958B1" w:rsidRPr="00416C6F" w:rsidRDefault="00B958B1" w:rsidP="009F3B54">
            <w:pPr>
              <w:pStyle w:val="OGTableofFigures"/>
              <w:rPr>
                <w:color w:val="000000"/>
                <w:lang w:eastAsia="en-AU"/>
              </w:rPr>
            </w:pPr>
            <w:r w:rsidRPr="00416C6F">
              <w:rPr>
                <w:color w:val="000000"/>
                <w:lang w:eastAsia="en-AU"/>
              </w:rPr>
              <w:t>85</w:t>
            </w:r>
          </w:p>
        </w:tc>
        <w:tc>
          <w:tcPr>
            <w:tcW w:w="993" w:type="dxa"/>
            <w:tcBorders>
              <w:top w:val="nil"/>
              <w:left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85</w:t>
            </w:r>
          </w:p>
        </w:tc>
        <w:tc>
          <w:tcPr>
            <w:tcW w:w="907" w:type="dxa"/>
            <w:tcBorders>
              <w:top w:val="nil"/>
              <w:left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85</w:t>
            </w:r>
          </w:p>
        </w:tc>
        <w:tc>
          <w:tcPr>
            <w:tcW w:w="907" w:type="dxa"/>
            <w:tcBorders>
              <w:top w:val="nil"/>
              <w:left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83</w:t>
            </w:r>
          </w:p>
        </w:tc>
      </w:tr>
      <w:tr w:rsidR="00B958B1" w:rsidRPr="00A475B8" w:rsidTr="009F3B54">
        <w:trPr>
          <w:cantSplit/>
        </w:trPr>
        <w:tc>
          <w:tcPr>
            <w:tcW w:w="7776" w:type="dxa"/>
            <w:gridSpan w:val="6"/>
            <w:tcBorders>
              <w:top w:val="nil"/>
              <w:left w:val="nil"/>
              <w:bottom w:val="single" w:sz="6" w:space="0" w:color="auto"/>
              <w:right w:val="nil"/>
            </w:tcBorders>
            <w:shd w:val="clear" w:color="auto" w:fill="auto"/>
            <w:vAlign w:val="center"/>
            <w:hideMark/>
          </w:tcPr>
          <w:p w:rsidR="00B958B1" w:rsidRPr="00A475B8" w:rsidRDefault="00B958B1" w:rsidP="009F3B54">
            <w:pPr>
              <w:pStyle w:val="OGNotes"/>
            </w:pPr>
            <w:r w:rsidRPr="00A475B8">
              <w:t>This measure is proposed to be discontinued as it has been replaced in 2013</w:t>
            </w:r>
            <w:r w:rsidR="009F0F49">
              <w:noBreakHyphen/>
            </w:r>
            <w:r w:rsidRPr="00A475B8">
              <w:t xml:space="preserve">14 by two new performance measures, </w:t>
            </w:r>
            <w:r>
              <w:t>‘</w:t>
            </w:r>
            <w:r w:rsidRPr="00A475B8">
              <w:t>Liquor and gambling information and advice responsiveness</w:t>
            </w:r>
            <w:r>
              <w:t>’</w:t>
            </w:r>
            <w:r w:rsidRPr="00A475B8">
              <w:t xml:space="preserve"> and </w:t>
            </w:r>
            <w:r>
              <w:t>‘</w:t>
            </w:r>
            <w:r w:rsidRPr="00A475B8">
              <w:t>Liquor and gambling compliance inspection outcomes provided within set timeframes</w:t>
            </w:r>
            <w:r>
              <w:t>’</w:t>
            </w:r>
            <w:r w:rsidRPr="00A475B8">
              <w:t>, which better reflect the activity of the VCGLR.</w:t>
            </w:r>
          </w:p>
        </w:tc>
      </w:tr>
      <w:tr w:rsidR="00B958B1" w:rsidRPr="00A475B8" w:rsidTr="009F3B54">
        <w:trPr>
          <w:cantSplit/>
        </w:trPr>
        <w:tc>
          <w:tcPr>
            <w:tcW w:w="3155" w:type="dxa"/>
            <w:tcBorders>
              <w:top w:val="single" w:sz="6" w:space="0" w:color="auto"/>
              <w:left w:val="nil"/>
              <w:right w:val="nil"/>
            </w:tcBorders>
            <w:shd w:val="clear" w:color="auto" w:fill="auto"/>
            <w:vAlign w:val="center"/>
            <w:hideMark/>
          </w:tcPr>
          <w:p w:rsidR="00B958B1" w:rsidRPr="00416C6F" w:rsidRDefault="00B958B1" w:rsidP="009F3B54">
            <w:pPr>
              <w:pStyle w:val="OGTabText"/>
              <w:rPr>
                <w:color w:val="000000"/>
                <w:lang w:eastAsia="en-AU"/>
              </w:rPr>
            </w:pPr>
            <w:r w:rsidRPr="00416C6F">
              <w:rPr>
                <w:color w:val="000000"/>
                <w:lang w:eastAsia="en-AU"/>
              </w:rPr>
              <w:t>Racing and gaming applications and initiatives completed within elapsed time benchmark</w:t>
            </w:r>
          </w:p>
        </w:tc>
        <w:tc>
          <w:tcPr>
            <w:tcW w:w="907" w:type="dxa"/>
            <w:tcBorders>
              <w:top w:val="single" w:sz="6" w:space="0" w:color="auto"/>
              <w:left w:val="nil"/>
              <w:right w:val="nil"/>
            </w:tcBorders>
            <w:shd w:val="clear" w:color="auto" w:fill="auto"/>
            <w:hideMark/>
          </w:tcPr>
          <w:p w:rsidR="00B958B1" w:rsidRPr="00416C6F" w:rsidRDefault="00B958B1" w:rsidP="009F3B54">
            <w:pPr>
              <w:pStyle w:val="OGUoM"/>
              <w:rPr>
                <w:color w:val="000000"/>
                <w:lang w:eastAsia="en-AU"/>
              </w:rPr>
            </w:pPr>
            <w:r>
              <w:rPr>
                <w:color w:val="000000"/>
                <w:lang w:eastAsia="en-AU"/>
              </w:rPr>
              <w:t>per cent</w:t>
            </w:r>
          </w:p>
        </w:tc>
        <w:tc>
          <w:tcPr>
            <w:tcW w:w="907" w:type="dxa"/>
            <w:tcBorders>
              <w:top w:val="single" w:sz="6" w:space="0" w:color="auto"/>
              <w:left w:val="nil"/>
              <w:right w:val="nil"/>
            </w:tcBorders>
            <w:shd w:val="clear" w:color="auto" w:fill="D9D9D9"/>
            <w:hideMark/>
          </w:tcPr>
          <w:p w:rsidR="00B958B1" w:rsidRPr="00416C6F" w:rsidRDefault="00B958B1" w:rsidP="009F3B54">
            <w:pPr>
              <w:pStyle w:val="OGTableofFigures"/>
              <w:rPr>
                <w:color w:val="000000"/>
                <w:lang w:eastAsia="en-AU"/>
              </w:rPr>
            </w:pPr>
            <w:r w:rsidRPr="00416C6F">
              <w:rPr>
                <w:color w:val="000000"/>
                <w:lang w:eastAsia="en-AU"/>
              </w:rPr>
              <w:t>100</w:t>
            </w:r>
          </w:p>
        </w:tc>
        <w:tc>
          <w:tcPr>
            <w:tcW w:w="993" w:type="dxa"/>
            <w:tcBorders>
              <w:top w:val="single" w:sz="6" w:space="0" w:color="auto"/>
              <w:left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100</w:t>
            </w:r>
          </w:p>
        </w:tc>
        <w:tc>
          <w:tcPr>
            <w:tcW w:w="907" w:type="dxa"/>
            <w:tcBorders>
              <w:top w:val="single" w:sz="6" w:space="0" w:color="auto"/>
              <w:left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100</w:t>
            </w:r>
          </w:p>
        </w:tc>
        <w:tc>
          <w:tcPr>
            <w:tcW w:w="907" w:type="dxa"/>
            <w:tcBorders>
              <w:top w:val="single" w:sz="6" w:space="0" w:color="auto"/>
              <w:left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100</w:t>
            </w:r>
          </w:p>
        </w:tc>
      </w:tr>
      <w:tr w:rsidR="00B958B1" w:rsidRPr="00A475B8" w:rsidTr="009F3B54">
        <w:trPr>
          <w:cantSplit/>
        </w:trPr>
        <w:tc>
          <w:tcPr>
            <w:tcW w:w="7776" w:type="dxa"/>
            <w:gridSpan w:val="6"/>
            <w:tcBorders>
              <w:left w:val="nil"/>
              <w:bottom w:val="single" w:sz="8" w:space="0" w:color="auto"/>
              <w:right w:val="nil"/>
            </w:tcBorders>
            <w:shd w:val="clear" w:color="auto" w:fill="auto"/>
            <w:vAlign w:val="center"/>
            <w:hideMark/>
          </w:tcPr>
          <w:p w:rsidR="00B958B1" w:rsidRPr="00A475B8" w:rsidRDefault="00B958B1" w:rsidP="009F3B54">
            <w:pPr>
              <w:pStyle w:val="OGNotes"/>
            </w:pPr>
            <w:r w:rsidRPr="00A475B8">
              <w:t>This performance measures is proposed to be discontinued as it is no longer appropriate following structural changes leading to the creation of the Office of Liquor, Gaming and Racing, including the establishment of the Victorian Responsible Gambling Foundation (VRGF) and the VCGLR.</w:t>
            </w:r>
          </w:p>
        </w:tc>
      </w:tr>
      <w:tr w:rsidR="00B958B1" w:rsidRPr="00A475B8" w:rsidTr="009F3B54">
        <w:trPr>
          <w:cantSplit/>
        </w:trPr>
        <w:tc>
          <w:tcPr>
            <w:tcW w:w="7776" w:type="dxa"/>
            <w:gridSpan w:val="6"/>
            <w:tcBorders>
              <w:top w:val="single" w:sz="8" w:space="0" w:color="auto"/>
              <w:left w:val="nil"/>
              <w:bottom w:val="single" w:sz="8" w:space="0" w:color="auto"/>
              <w:right w:val="nil"/>
            </w:tcBorders>
            <w:shd w:val="clear" w:color="auto" w:fill="auto"/>
            <w:vAlign w:val="center"/>
            <w:hideMark/>
          </w:tcPr>
          <w:p w:rsidR="00B958B1" w:rsidRPr="00416C6F" w:rsidRDefault="00B958B1" w:rsidP="009F3B54">
            <w:pPr>
              <w:pStyle w:val="OGHeading2"/>
              <w:rPr>
                <w:color w:val="000000"/>
                <w:lang w:eastAsia="en-AU"/>
              </w:rPr>
            </w:pPr>
            <w:r w:rsidRPr="00416C6F">
              <w:rPr>
                <w:color w:val="000000"/>
                <w:lang w:eastAsia="en-AU"/>
              </w:rPr>
              <w:t>Anti</w:t>
            </w:r>
            <w:r w:rsidR="009F0F49">
              <w:rPr>
                <w:color w:val="000000"/>
                <w:lang w:eastAsia="en-AU"/>
              </w:rPr>
              <w:noBreakHyphen/>
            </w:r>
            <w:r w:rsidRPr="00416C6F">
              <w:rPr>
                <w:color w:val="000000"/>
                <w:lang w:eastAsia="en-AU"/>
              </w:rPr>
              <w:t>Corruption and Public Sector Integrity</w:t>
            </w:r>
          </w:p>
        </w:tc>
      </w:tr>
      <w:tr w:rsidR="00B958B1" w:rsidRPr="00A475B8" w:rsidTr="009F3B54">
        <w:trPr>
          <w:cantSplit/>
        </w:trPr>
        <w:tc>
          <w:tcPr>
            <w:tcW w:w="3155" w:type="dxa"/>
            <w:tcBorders>
              <w:top w:val="single" w:sz="8" w:space="0" w:color="auto"/>
              <w:left w:val="nil"/>
              <w:right w:val="nil"/>
            </w:tcBorders>
            <w:shd w:val="clear" w:color="auto" w:fill="auto"/>
            <w:vAlign w:val="center"/>
            <w:hideMark/>
          </w:tcPr>
          <w:p w:rsidR="00B958B1" w:rsidRPr="00A475B8" w:rsidRDefault="00B958B1" w:rsidP="009F3B54">
            <w:pPr>
              <w:pStyle w:val="OGTabHead"/>
              <w:rPr>
                <w:lang w:eastAsia="en-AU"/>
              </w:rPr>
            </w:pPr>
            <w:r w:rsidRPr="00416C6F">
              <w:rPr>
                <w:iCs/>
                <w:color w:val="000000"/>
                <w:lang w:eastAsia="en-AU"/>
              </w:rPr>
              <w:t>Timeliness</w:t>
            </w:r>
          </w:p>
        </w:tc>
        <w:tc>
          <w:tcPr>
            <w:tcW w:w="907" w:type="dxa"/>
            <w:tcBorders>
              <w:top w:val="single" w:sz="8" w:space="0" w:color="auto"/>
              <w:left w:val="nil"/>
              <w:right w:val="nil"/>
            </w:tcBorders>
            <w:shd w:val="clear" w:color="auto" w:fill="auto"/>
            <w:vAlign w:val="center"/>
            <w:hideMark/>
          </w:tcPr>
          <w:p w:rsidR="00B958B1" w:rsidRPr="00416C6F" w:rsidRDefault="00B958B1" w:rsidP="009F3B54">
            <w:pPr>
              <w:pStyle w:val="OGUoM"/>
              <w:rPr>
                <w:i/>
                <w:iCs/>
                <w:color w:val="000000"/>
                <w:lang w:eastAsia="en-AU"/>
              </w:rPr>
            </w:pPr>
          </w:p>
        </w:tc>
        <w:tc>
          <w:tcPr>
            <w:tcW w:w="907" w:type="dxa"/>
            <w:tcBorders>
              <w:top w:val="single" w:sz="8" w:space="0" w:color="auto"/>
              <w:left w:val="nil"/>
              <w:right w:val="nil"/>
            </w:tcBorders>
            <w:shd w:val="clear" w:color="auto" w:fill="D9D9D9"/>
            <w:vAlign w:val="center"/>
            <w:hideMark/>
          </w:tcPr>
          <w:p w:rsidR="00B958B1" w:rsidRPr="00416C6F" w:rsidRDefault="00B958B1" w:rsidP="009F3B54">
            <w:pPr>
              <w:pStyle w:val="OGTableofFigures"/>
              <w:rPr>
                <w:i/>
                <w:iCs/>
                <w:color w:val="000000"/>
                <w:lang w:eastAsia="en-AU"/>
              </w:rPr>
            </w:pPr>
          </w:p>
        </w:tc>
        <w:tc>
          <w:tcPr>
            <w:tcW w:w="993" w:type="dxa"/>
            <w:tcBorders>
              <w:top w:val="single" w:sz="8" w:space="0" w:color="auto"/>
              <w:left w:val="nil"/>
              <w:right w:val="nil"/>
            </w:tcBorders>
            <w:shd w:val="clear" w:color="auto" w:fill="auto"/>
            <w:vAlign w:val="center"/>
            <w:hideMark/>
          </w:tcPr>
          <w:p w:rsidR="00B958B1" w:rsidRPr="00416C6F" w:rsidRDefault="00B958B1" w:rsidP="009F3B54">
            <w:pPr>
              <w:pStyle w:val="OGTableofFigures"/>
              <w:rPr>
                <w:i/>
                <w:iCs/>
                <w:color w:val="000000"/>
                <w:lang w:eastAsia="en-AU"/>
              </w:rPr>
            </w:pPr>
          </w:p>
        </w:tc>
        <w:tc>
          <w:tcPr>
            <w:tcW w:w="907" w:type="dxa"/>
            <w:tcBorders>
              <w:top w:val="single" w:sz="8" w:space="0" w:color="auto"/>
              <w:left w:val="nil"/>
              <w:right w:val="nil"/>
            </w:tcBorders>
            <w:shd w:val="clear" w:color="auto" w:fill="auto"/>
            <w:vAlign w:val="center"/>
            <w:hideMark/>
          </w:tcPr>
          <w:p w:rsidR="00B958B1" w:rsidRPr="00416C6F" w:rsidRDefault="00B958B1" w:rsidP="009F3B54">
            <w:pPr>
              <w:pStyle w:val="OGTableofFigures"/>
              <w:rPr>
                <w:i/>
                <w:iCs/>
                <w:color w:val="000000"/>
                <w:lang w:eastAsia="en-AU"/>
              </w:rPr>
            </w:pPr>
          </w:p>
        </w:tc>
        <w:tc>
          <w:tcPr>
            <w:tcW w:w="907" w:type="dxa"/>
            <w:tcBorders>
              <w:top w:val="single" w:sz="8" w:space="0" w:color="auto"/>
              <w:left w:val="nil"/>
              <w:right w:val="nil"/>
            </w:tcBorders>
            <w:shd w:val="clear" w:color="auto" w:fill="auto"/>
            <w:vAlign w:val="bottom"/>
            <w:hideMark/>
          </w:tcPr>
          <w:p w:rsidR="00B958B1" w:rsidRPr="00416C6F" w:rsidRDefault="00B958B1" w:rsidP="009F3B54">
            <w:pPr>
              <w:pStyle w:val="OGTableofFigures"/>
              <w:rPr>
                <w:color w:val="000000"/>
                <w:lang w:eastAsia="en-AU"/>
              </w:rPr>
            </w:pPr>
          </w:p>
        </w:tc>
      </w:tr>
      <w:tr w:rsidR="00B958B1" w:rsidRPr="00A475B8" w:rsidTr="009F3B54">
        <w:trPr>
          <w:cantSplit/>
        </w:trPr>
        <w:tc>
          <w:tcPr>
            <w:tcW w:w="3155" w:type="dxa"/>
            <w:tcBorders>
              <w:top w:val="nil"/>
              <w:left w:val="nil"/>
              <w:right w:val="nil"/>
            </w:tcBorders>
            <w:shd w:val="clear" w:color="auto" w:fill="auto"/>
            <w:vAlign w:val="center"/>
            <w:hideMark/>
          </w:tcPr>
          <w:p w:rsidR="00B958B1" w:rsidRPr="00416C6F" w:rsidRDefault="00B958B1" w:rsidP="009F3B54">
            <w:pPr>
              <w:pStyle w:val="OGTabText"/>
              <w:rPr>
                <w:color w:val="000000"/>
                <w:lang w:eastAsia="en-AU"/>
              </w:rPr>
            </w:pPr>
            <w:r w:rsidRPr="00416C6F">
              <w:rPr>
                <w:color w:val="000000"/>
                <w:lang w:eastAsia="en-AU"/>
              </w:rPr>
              <w:t>Statutory and other agreed timeframes met</w:t>
            </w:r>
          </w:p>
        </w:tc>
        <w:tc>
          <w:tcPr>
            <w:tcW w:w="907" w:type="dxa"/>
            <w:tcBorders>
              <w:top w:val="nil"/>
              <w:left w:val="nil"/>
              <w:right w:val="nil"/>
            </w:tcBorders>
            <w:shd w:val="clear" w:color="auto" w:fill="auto"/>
            <w:hideMark/>
          </w:tcPr>
          <w:p w:rsidR="00B958B1" w:rsidRPr="00416C6F" w:rsidRDefault="00B958B1" w:rsidP="009F3B54">
            <w:pPr>
              <w:pStyle w:val="OGUoM"/>
              <w:rPr>
                <w:color w:val="000000"/>
                <w:lang w:eastAsia="en-AU"/>
              </w:rPr>
            </w:pPr>
            <w:r>
              <w:rPr>
                <w:color w:val="000000"/>
                <w:lang w:eastAsia="en-AU"/>
              </w:rPr>
              <w:t>per cent</w:t>
            </w:r>
          </w:p>
        </w:tc>
        <w:tc>
          <w:tcPr>
            <w:tcW w:w="907" w:type="dxa"/>
            <w:tcBorders>
              <w:top w:val="nil"/>
              <w:left w:val="nil"/>
              <w:right w:val="nil"/>
            </w:tcBorders>
            <w:shd w:val="clear" w:color="auto" w:fill="D9D9D9"/>
            <w:hideMark/>
          </w:tcPr>
          <w:p w:rsidR="00B958B1" w:rsidRPr="00416C6F" w:rsidRDefault="00B958B1" w:rsidP="009F3B54">
            <w:pPr>
              <w:pStyle w:val="OGTableofFigures"/>
              <w:rPr>
                <w:color w:val="000000"/>
                <w:lang w:eastAsia="en-AU"/>
              </w:rPr>
            </w:pPr>
            <w:r w:rsidRPr="00416C6F">
              <w:rPr>
                <w:color w:val="000000"/>
                <w:lang w:eastAsia="en-AU"/>
              </w:rPr>
              <w:t>100</w:t>
            </w:r>
          </w:p>
        </w:tc>
        <w:tc>
          <w:tcPr>
            <w:tcW w:w="993" w:type="dxa"/>
            <w:tcBorders>
              <w:top w:val="nil"/>
              <w:left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100</w:t>
            </w:r>
          </w:p>
        </w:tc>
        <w:tc>
          <w:tcPr>
            <w:tcW w:w="907" w:type="dxa"/>
            <w:tcBorders>
              <w:top w:val="nil"/>
              <w:left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100</w:t>
            </w:r>
          </w:p>
        </w:tc>
        <w:tc>
          <w:tcPr>
            <w:tcW w:w="907" w:type="dxa"/>
            <w:tcBorders>
              <w:top w:val="nil"/>
              <w:left w:val="nil"/>
              <w:right w:val="nil"/>
            </w:tcBorders>
            <w:shd w:val="clear" w:color="auto" w:fill="auto"/>
            <w:hideMark/>
          </w:tcPr>
          <w:p w:rsidR="00B958B1" w:rsidRPr="00416C6F" w:rsidRDefault="00B958B1" w:rsidP="009F3B54">
            <w:pPr>
              <w:pStyle w:val="OGTableofFigures"/>
              <w:rPr>
                <w:color w:val="000000"/>
                <w:lang w:eastAsia="en-AU"/>
              </w:rPr>
            </w:pPr>
            <w:r w:rsidRPr="00416C6F">
              <w:rPr>
                <w:color w:val="000000"/>
                <w:lang w:eastAsia="en-AU"/>
              </w:rPr>
              <w:t>nm</w:t>
            </w:r>
          </w:p>
        </w:tc>
      </w:tr>
      <w:tr w:rsidR="00B958B1" w:rsidRPr="00A475B8" w:rsidTr="009F3B54">
        <w:trPr>
          <w:cantSplit/>
        </w:trPr>
        <w:tc>
          <w:tcPr>
            <w:tcW w:w="7776" w:type="dxa"/>
            <w:gridSpan w:val="6"/>
            <w:tcBorders>
              <w:top w:val="nil"/>
              <w:left w:val="nil"/>
              <w:bottom w:val="single" w:sz="12" w:space="0" w:color="auto"/>
              <w:right w:val="nil"/>
            </w:tcBorders>
            <w:shd w:val="clear" w:color="auto" w:fill="auto"/>
            <w:vAlign w:val="center"/>
            <w:hideMark/>
          </w:tcPr>
          <w:p w:rsidR="00B958B1" w:rsidRPr="00A475B8" w:rsidRDefault="00B958B1" w:rsidP="009F3B54">
            <w:pPr>
              <w:pStyle w:val="OGNotes"/>
            </w:pPr>
            <w:r w:rsidRPr="00A475B8">
              <w:t>This measure is proposed to be discontinued as it has been replaced in 2013</w:t>
            </w:r>
            <w:r w:rsidR="009F0F49">
              <w:noBreakHyphen/>
            </w:r>
            <w:r w:rsidRPr="00A475B8">
              <w:t xml:space="preserve">14 by two new performance measures, </w:t>
            </w:r>
            <w:r>
              <w:t>‘Proportion of complaints or notifications received and assessed within 60 days’</w:t>
            </w:r>
            <w:r w:rsidRPr="00A475B8">
              <w:t xml:space="preserve"> and </w:t>
            </w:r>
            <w:r>
              <w:t>‘Proportion of IBAC investigations completed within 12 months’</w:t>
            </w:r>
            <w:r w:rsidRPr="00A475B8">
              <w:t xml:space="preserve">, which better reflect the activity of the </w:t>
            </w:r>
            <w:r>
              <w:t>IBAC</w:t>
            </w:r>
            <w:r w:rsidRPr="00A475B8">
              <w:t>.</w:t>
            </w:r>
          </w:p>
        </w:tc>
      </w:tr>
    </w:tbl>
    <w:p w:rsidR="00B958B1" w:rsidRPr="00416C6F" w:rsidRDefault="00B958B1" w:rsidP="009F3B54">
      <w:pPr>
        <w:pStyle w:val="Source"/>
      </w:pPr>
      <w:r w:rsidRPr="00700DF5">
        <w:t xml:space="preserve">Source: Department of </w:t>
      </w:r>
      <w:r>
        <w:t>Justice</w:t>
      </w:r>
      <w:r>
        <w:fldChar w:fldCharType="begin"/>
      </w:r>
      <w:r>
        <w:instrText xml:space="preserve"> XE "</w:instrText>
      </w:r>
      <w:r w:rsidRPr="00664358">
        <w:instrText>Department of Justice:</w:instrText>
      </w:r>
      <w:r w:rsidRPr="00C60B08">
        <w:instrText xml:space="preserve"> </w:instrText>
      </w:r>
      <w:r w:rsidRPr="003E7F43">
        <w:instrText>Output performance measures for review</w:instrText>
      </w:r>
      <w:r>
        <w:instrText xml:space="preserve">" \r "BP3AppADOJJustice" </w:instrText>
      </w:r>
      <w:r>
        <w:fldChar w:fldCharType="end"/>
      </w:r>
    </w:p>
    <w:bookmarkEnd w:id="165"/>
    <w:p w:rsidR="00B958B1" w:rsidRPr="00FF1C4B" w:rsidRDefault="00B958B1" w:rsidP="009F3B54">
      <w:pPr>
        <w:pStyle w:val="Heading1"/>
      </w:pPr>
      <w:r>
        <w:br w:type="page"/>
      </w:r>
      <w:bookmarkStart w:id="166" w:name="_Toc355362295"/>
      <w:bookmarkStart w:id="167" w:name="BP3AppADPC"/>
      <w:r>
        <w:t>Department of Premier and Cabinet</w:t>
      </w:r>
      <w:bookmarkEnd w:id="166"/>
    </w:p>
    <w:tbl>
      <w:tblPr>
        <w:tblW w:w="7776" w:type="dxa"/>
        <w:tblInd w:w="29" w:type="dxa"/>
        <w:tblLayout w:type="fixed"/>
        <w:tblCellMar>
          <w:left w:w="43" w:type="dxa"/>
          <w:right w:w="43" w:type="dxa"/>
        </w:tblCellMar>
        <w:tblLook w:val="04A0" w:firstRow="1" w:lastRow="0" w:firstColumn="1" w:lastColumn="0" w:noHBand="0" w:noVBand="1"/>
      </w:tblPr>
      <w:tblGrid>
        <w:gridCol w:w="3155"/>
        <w:gridCol w:w="970"/>
        <w:gridCol w:w="844"/>
        <w:gridCol w:w="993"/>
        <w:gridCol w:w="907"/>
        <w:gridCol w:w="907"/>
      </w:tblGrid>
      <w:tr w:rsidR="00B958B1" w:rsidRPr="00F93FD4" w:rsidTr="009F3B54">
        <w:trPr>
          <w:cantSplit/>
          <w:tblHeader/>
        </w:trPr>
        <w:tc>
          <w:tcPr>
            <w:tcW w:w="3155" w:type="dxa"/>
            <w:tcBorders>
              <w:top w:val="single" w:sz="4" w:space="0" w:color="auto"/>
              <w:left w:val="single" w:sz="4" w:space="0" w:color="auto"/>
              <w:bottom w:val="single" w:sz="4" w:space="0" w:color="auto"/>
              <w:right w:val="nil"/>
            </w:tcBorders>
            <w:shd w:val="clear" w:color="auto" w:fill="000000"/>
            <w:vAlign w:val="bottom"/>
          </w:tcPr>
          <w:p w:rsidR="00B958B1" w:rsidRPr="00F93FD4" w:rsidRDefault="00B958B1" w:rsidP="009F3B54">
            <w:pPr>
              <w:pStyle w:val="OGTabColLeft"/>
            </w:pPr>
            <w:r w:rsidRPr="00F93FD4">
              <w:t>Major Outputs/Deliverables</w:t>
            </w:r>
          </w:p>
          <w:p w:rsidR="00B958B1" w:rsidRPr="00F2301B" w:rsidRDefault="00B958B1" w:rsidP="009F3B54">
            <w:pPr>
              <w:pStyle w:val="OGTabColLeft"/>
              <w:rPr>
                <w:b w:val="0"/>
                <w:i/>
              </w:rPr>
            </w:pPr>
            <w:r w:rsidRPr="00F2301B">
              <w:rPr>
                <w:b w:val="0"/>
                <w:i/>
              </w:rPr>
              <w:t>Performance Measures</w:t>
            </w:r>
          </w:p>
        </w:tc>
        <w:tc>
          <w:tcPr>
            <w:tcW w:w="970" w:type="dxa"/>
            <w:tcBorders>
              <w:top w:val="single" w:sz="4" w:space="0" w:color="auto"/>
              <w:left w:val="nil"/>
              <w:bottom w:val="single" w:sz="4" w:space="0" w:color="auto"/>
              <w:right w:val="nil"/>
            </w:tcBorders>
            <w:shd w:val="clear" w:color="auto" w:fill="000000"/>
            <w:noWrap/>
            <w:vAlign w:val="bottom"/>
          </w:tcPr>
          <w:p w:rsidR="00B958B1" w:rsidRPr="00F93FD4" w:rsidRDefault="00B958B1" w:rsidP="009F3B54">
            <w:pPr>
              <w:pStyle w:val="OGTabColCentred"/>
            </w:pPr>
            <w:r w:rsidRPr="00F93FD4">
              <w:t>Unit of Measure</w:t>
            </w:r>
          </w:p>
        </w:tc>
        <w:tc>
          <w:tcPr>
            <w:tcW w:w="844" w:type="dxa"/>
            <w:tcBorders>
              <w:top w:val="single" w:sz="4" w:space="0" w:color="auto"/>
              <w:left w:val="nil"/>
              <w:bottom w:val="single" w:sz="4" w:space="0" w:color="auto"/>
              <w:right w:val="nil"/>
            </w:tcBorders>
            <w:shd w:val="clear" w:color="auto" w:fill="000000"/>
            <w:noWrap/>
            <w:vAlign w:val="bottom"/>
          </w:tcPr>
          <w:p w:rsidR="00B958B1" w:rsidRPr="00F93FD4" w:rsidRDefault="00B958B1" w:rsidP="009F3B54">
            <w:pPr>
              <w:pStyle w:val="OGTabColRight"/>
            </w:pPr>
            <w:r w:rsidRPr="00F93FD4">
              <w:t>2013</w:t>
            </w:r>
            <w:r w:rsidR="009F0F49">
              <w:noBreakHyphen/>
            </w:r>
            <w:r w:rsidRPr="00F93FD4">
              <w:t>14 Target</w:t>
            </w:r>
          </w:p>
        </w:tc>
        <w:tc>
          <w:tcPr>
            <w:tcW w:w="993" w:type="dxa"/>
            <w:tcBorders>
              <w:top w:val="single" w:sz="4" w:space="0" w:color="auto"/>
              <w:left w:val="nil"/>
              <w:bottom w:val="single" w:sz="4" w:space="0" w:color="auto"/>
              <w:right w:val="nil"/>
            </w:tcBorders>
            <w:shd w:val="clear" w:color="auto" w:fill="000000"/>
            <w:noWrap/>
            <w:vAlign w:val="bottom"/>
          </w:tcPr>
          <w:p w:rsidR="00B958B1" w:rsidRPr="00F93FD4" w:rsidRDefault="00B958B1" w:rsidP="009F3B54">
            <w:pPr>
              <w:pStyle w:val="OGTabColRight"/>
            </w:pPr>
            <w:r w:rsidRPr="00F93FD4">
              <w:t>2012</w:t>
            </w:r>
            <w:r w:rsidR="009F0F49">
              <w:noBreakHyphen/>
            </w:r>
            <w:r w:rsidRPr="00F93FD4">
              <w:t>13 Expected Outcome</w:t>
            </w:r>
          </w:p>
        </w:tc>
        <w:tc>
          <w:tcPr>
            <w:tcW w:w="907" w:type="dxa"/>
            <w:tcBorders>
              <w:top w:val="single" w:sz="4" w:space="0" w:color="auto"/>
              <w:left w:val="nil"/>
              <w:bottom w:val="single" w:sz="4" w:space="0" w:color="auto"/>
              <w:right w:val="nil"/>
            </w:tcBorders>
            <w:shd w:val="clear" w:color="auto" w:fill="000000"/>
            <w:noWrap/>
            <w:vAlign w:val="bottom"/>
          </w:tcPr>
          <w:p w:rsidR="00B958B1" w:rsidRPr="00F93FD4" w:rsidRDefault="00B958B1" w:rsidP="009F3B54">
            <w:pPr>
              <w:pStyle w:val="OGTabColRight"/>
            </w:pPr>
            <w:r w:rsidRPr="00F93FD4">
              <w:t>2012</w:t>
            </w:r>
            <w:r w:rsidR="009F0F49">
              <w:noBreakHyphen/>
            </w:r>
            <w:r w:rsidRPr="00F93FD4">
              <w:t>13 Target</w:t>
            </w:r>
          </w:p>
        </w:tc>
        <w:tc>
          <w:tcPr>
            <w:tcW w:w="907" w:type="dxa"/>
            <w:tcBorders>
              <w:top w:val="single" w:sz="4" w:space="0" w:color="auto"/>
              <w:left w:val="nil"/>
              <w:bottom w:val="single" w:sz="4" w:space="0" w:color="auto"/>
              <w:right w:val="single" w:sz="4" w:space="0" w:color="auto"/>
            </w:tcBorders>
            <w:shd w:val="clear" w:color="auto" w:fill="000000"/>
            <w:noWrap/>
            <w:vAlign w:val="bottom"/>
          </w:tcPr>
          <w:p w:rsidR="00B958B1" w:rsidRPr="00F93FD4" w:rsidRDefault="00B958B1" w:rsidP="009F3B54">
            <w:pPr>
              <w:pStyle w:val="OGTabColRight"/>
            </w:pPr>
            <w:r w:rsidRPr="00F93FD4">
              <w:t>2011</w:t>
            </w:r>
            <w:r w:rsidR="009F0F49">
              <w:noBreakHyphen/>
            </w:r>
            <w:r w:rsidRPr="00F93FD4">
              <w:t>12 Actual</w:t>
            </w:r>
          </w:p>
        </w:tc>
      </w:tr>
      <w:tr w:rsidR="00B958B1" w:rsidRPr="00F93FD4" w:rsidTr="009F3B54">
        <w:trPr>
          <w:cantSplit/>
        </w:trPr>
        <w:tc>
          <w:tcPr>
            <w:tcW w:w="7776" w:type="dxa"/>
            <w:gridSpan w:val="6"/>
            <w:tcBorders>
              <w:top w:val="single" w:sz="4" w:space="0" w:color="auto"/>
              <w:left w:val="nil"/>
              <w:bottom w:val="single" w:sz="6" w:space="0" w:color="auto"/>
              <w:right w:val="nil"/>
            </w:tcBorders>
            <w:shd w:val="clear" w:color="auto" w:fill="auto"/>
            <w:hideMark/>
          </w:tcPr>
          <w:p w:rsidR="00B958B1" w:rsidRPr="00F93FD4" w:rsidRDefault="00B958B1" w:rsidP="009F3B54">
            <w:pPr>
              <w:pStyle w:val="OGHeading2"/>
            </w:pPr>
            <w:r w:rsidRPr="00F93FD4">
              <w:t>Strategic Policy Advice and Projects</w:t>
            </w:r>
          </w:p>
        </w:tc>
      </w:tr>
      <w:tr w:rsidR="00B958B1" w:rsidRPr="00F93FD4" w:rsidTr="009F3B54">
        <w:trPr>
          <w:cantSplit/>
        </w:trPr>
        <w:tc>
          <w:tcPr>
            <w:tcW w:w="3155" w:type="dxa"/>
            <w:tcBorders>
              <w:top w:val="single" w:sz="6" w:space="0" w:color="auto"/>
              <w:left w:val="nil"/>
              <w:bottom w:val="nil"/>
              <w:right w:val="nil"/>
            </w:tcBorders>
            <w:shd w:val="clear" w:color="auto" w:fill="auto"/>
          </w:tcPr>
          <w:p w:rsidR="00B958B1" w:rsidRPr="00F93FD4" w:rsidRDefault="00B958B1" w:rsidP="009F3B54">
            <w:pPr>
              <w:pStyle w:val="OGTabHead"/>
            </w:pPr>
            <w:r w:rsidRPr="00F93FD4">
              <w:t>Quantity</w:t>
            </w:r>
          </w:p>
        </w:tc>
        <w:tc>
          <w:tcPr>
            <w:tcW w:w="970" w:type="dxa"/>
            <w:tcBorders>
              <w:top w:val="single" w:sz="6" w:space="0" w:color="auto"/>
              <w:left w:val="nil"/>
              <w:bottom w:val="nil"/>
              <w:right w:val="nil"/>
            </w:tcBorders>
            <w:shd w:val="clear" w:color="auto" w:fill="auto"/>
            <w:noWrap/>
          </w:tcPr>
          <w:p w:rsidR="00B958B1" w:rsidRPr="00F93FD4" w:rsidRDefault="00B958B1" w:rsidP="009F3B54">
            <w:pPr>
              <w:pStyle w:val="OGTabHead"/>
            </w:pPr>
          </w:p>
        </w:tc>
        <w:tc>
          <w:tcPr>
            <w:tcW w:w="844" w:type="dxa"/>
            <w:tcBorders>
              <w:top w:val="single" w:sz="6" w:space="0" w:color="auto"/>
              <w:left w:val="nil"/>
              <w:bottom w:val="nil"/>
              <w:right w:val="nil"/>
            </w:tcBorders>
            <w:shd w:val="clear" w:color="auto" w:fill="D9D9D9"/>
            <w:noWrap/>
          </w:tcPr>
          <w:p w:rsidR="00B958B1" w:rsidRPr="00F93FD4" w:rsidRDefault="00B958B1" w:rsidP="009F3B54">
            <w:pPr>
              <w:pStyle w:val="OGTabHead"/>
            </w:pPr>
          </w:p>
        </w:tc>
        <w:tc>
          <w:tcPr>
            <w:tcW w:w="993" w:type="dxa"/>
            <w:tcBorders>
              <w:top w:val="single" w:sz="6" w:space="0" w:color="auto"/>
              <w:left w:val="nil"/>
              <w:bottom w:val="nil"/>
              <w:right w:val="nil"/>
            </w:tcBorders>
            <w:shd w:val="clear" w:color="auto" w:fill="auto"/>
            <w:noWrap/>
          </w:tcPr>
          <w:p w:rsidR="00B958B1" w:rsidRPr="00F93FD4" w:rsidRDefault="00B958B1" w:rsidP="009F3B54">
            <w:pPr>
              <w:pStyle w:val="OGTabHead"/>
            </w:pPr>
          </w:p>
        </w:tc>
        <w:tc>
          <w:tcPr>
            <w:tcW w:w="907" w:type="dxa"/>
            <w:tcBorders>
              <w:top w:val="single" w:sz="6" w:space="0" w:color="auto"/>
              <w:left w:val="nil"/>
              <w:bottom w:val="nil"/>
              <w:right w:val="nil"/>
            </w:tcBorders>
            <w:shd w:val="clear" w:color="auto" w:fill="auto"/>
            <w:noWrap/>
          </w:tcPr>
          <w:p w:rsidR="00B958B1" w:rsidRPr="00F93FD4" w:rsidRDefault="00B958B1" w:rsidP="009F3B54">
            <w:pPr>
              <w:pStyle w:val="OGTabHead"/>
            </w:pPr>
          </w:p>
        </w:tc>
        <w:tc>
          <w:tcPr>
            <w:tcW w:w="907" w:type="dxa"/>
            <w:tcBorders>
              <w:top w:val="single" w:sz="6" w:space="0" w:color="auto"/>
              <w:left w:val="nil"/>
              <w:bottom w:val="nil"/>
              <w:right w:val="nil"/>
            </w:tcBorders>
            <w:shd w:val="clear" w:color="auto" w:fill="auto"/>
            <w:noWrap/>
          </w:tcPr>
          <w:p w:rsidR="00B958B1" w:rsidRPr="00F93FD4" w:rsidRDefault="00B958B1" w:rsidP="009F3B54">
            <w:pPr>
              <w:pStyle w:val="OGTabHead"/>
            </w:pPr>
          </w:p>
        </w:tc>
      </w:tr>
      <w:tr w:rsidR="00B958B1" w:rsidRPr="00F93FD4" w:rsidTr="009F3B54">
        <w:trPr>
          <w:cantSplit/>
        </w:trPr>
        <w:tc>
          <w:tcPr>
            <w:tcW w:w="3155" w:type="dxa"/>
            <w:tcBorders>
              <w:top w:val="nil"/>
              <w:left w:val="nil"/>
              <w:bottom w:val="nil"/>
              <w:right w:val="nil"/>
            </w:tcBorders>
            <w:shd w:val="clear" w:color="auto" w:fill="auto"/>
          </w:tcPr>
          <w:p w:rsidR="00B958B1" w:rsidRPr="00F93FD4" w:rsidRDefault="00B958B1" w:rsidP="009F3B54">
            <w:pPr>
              <w:pStyle w:val="OGTabText"/>
            </w:pPr>
            <w:r w:rsidRPr="00F93FD4">
              <w:t>Whole of government strategic policy projects</w:t>
            </w:r>
          </w:p>
        </w:tc>
        <w:tc>
          <w:tcPr>
            <w:tcW w:w="970" w:type="dxa"/>
            <w:tcBorders>
              <w:top w:val="nil"/>
              <w:left w:val="nil"/>
              <w:bottom w:val="nil"/>
              <w:right w:val="nil"/>
            </w:tcBorders>
            <w:shd w:val="clear" w:color="auto" w:fill="auto"/>
            <w:noWrap/>
          </w:tcPr>
          <w:p w:rsidR="00B958B1" w:rsidRPr="00F93FD4" w:rsidRDefault="00B958B1" w:rsidP="009F3B54">
            <w:pPr>
              <w:pStyle w:val="OGUoM"/>
            </w:pPr>
            <w:r w:rsidRPr="00F93FD4">
              <w:t>number</w:t>
            </w:r>
          </w:p>
        </w:tc>
        <w:tc>
          <w:tcPr>
            <w:tcW w:w="844" w:type="dxa"/>
            <w:tcBorders>
              <w:top w:val="nil"/>
              <w:left w:val="nil"/>
              <w:bottom w:val="nil"/>
              <w:right w:val="nil"/>
            </w:tcBorders>
            <w:shd w:val="clear" w:color="auto" w:fill="D9D9D9"/>
            <w:noWrap/>
          </w:tcPr>
          <w:p w:rsidR="00B958B1" w:rsidRPr="00F93FD4" w:rsidRDefault="00B958B1" w:rsidP="009F3B54">
            <w:pPr>
              <w:pStyle w:val="OGTableofFigures"/>
            </w:pPr>
            <w:r w:rsidRPr="00F93FD4">
              <w:t>31</w:t>
            </w:r>
          </w:p>
        </w:tc>
        <w:tc>
          <w:tcPr>
            <w:tcW w:w="993" w:type="dxa"/>
            <w:tcBorders>
              <w:top w:val="nil"/>
              <w:left w:val="nil"/>
              <w:bottom w:val="nil"/>
              <w:right w:val="nil"/>
            </w:tcBorders>
            <w:shd w:val="clear" w:color="auto" w:fill="auto"/>
            <w:noWrap/>
          </w:tcPr>
          <w:p w:rsidR="00B958B1" w:rsidRPr="00F93FD4" w:rsidRDefault="00B958B1" w:rsidP="009F3B54">
            <w:pPr>
              <w:pStyle w:val="OGTableofFigures"/>
            </w:pPr>
            <w:r w:rsidRPr="00F93FD4">
              <w:t>32</w:t>
            </w:r>
          </w:p>
        </w:tc>
        <w:tc>
          <w:tcPr>
            <w:tcW w:w="907" w:type="dxa"/>
            <w:tcBorders>
              <w:top w:val="nil"/>
              <w:left w:val="nil"/>
              <w:bottom w:val="nil"/>
              <w:right w:val="nil"/>
            </w:tcBorders>
            <w:shd w:val="clear" w:color="auto" w:fill="auto"/>
            <w:noWrap/>
          </w:tcPr>
          <w:p w:rsidR="00B958B1" w:rsidRPr="00F93FD4" w:rsidRDefault="00B958B1" w:rsidP="009F3B54">
            <w:pPr>
              <w:pStyle w:val="OGTableofFigures"/>
            </w:pPr>
            <w:r w:rsidRPr="00F93FD4">
              <w:t>31</w:t>
            </w:r>
          </w:p>
        </w:tc>
        <w:tc>
          <w:tcPr>
            <w:tcW w:w="907" w:type="dxa"/>
            <w:tcBorders>
              <w:top w:val="nil"/>
              <w:left w:val="nil"/>
              <w:bottom w:val="nil"/>
              <w:right w:val="nil"/>
            </w:tcBorders>
            <w:shd w:val="clear" w:color="auto" w:fill="auto"/>
            <w:noWrap/>
          </w:tcPr>
          <w:p w:rsidR="00B958B1" w:rsidRPr="00F93FD4" w:rsidRDefault="00B958B1" w:rsidP="009F3B54">
            <w:pPr>
              <w:pStyle w:val="OGTableofFigures"/>
            </w:pPr>
            <w:r w:rsidRPr="00F93FD4">
              <w:t>27</w:t>
            </w:r>
          </w:p>
        </w:tc>
      </w:tr>
      <w:tr w:rsidR="00B958B1" w:rsidRPr="00F93FD4" w:rsidTr="009F3B54">
        <w:trPr>
          <w:cantSplit/>
        </w:trPr>
        <w:tc>
          <w:tcPr>
            <w:tcW w:w="7776" w:type="dxa"/>
            <w:gridSpan w:val="6"/>
            <w:tcBorders>
              <w:top w:val="nil"/>
              <w:left w:val="nil"/>
              <w:bottom w:val="single" w:sz="6" w:space="0" w:color="auto"/>
              <w:right w:val="nil"/>
            </w:tcBorders>
            <w:shd w:val="clear" w:color="auto" w:fill="auto"/>
          </w:tcPr>
          <w:p w:rsidR="00B958B1" w:rsidRPr="00F93FD4" w:rsidRDefault="00B958B1" w:rsidP="009F3B54">
            <w:pPr>
              <w:pStyle w:val="OGNotes"/>
            </w:pPr>
            <w:r w:rsidRPr="00F93FD4">
              <w:t>This performance measure is proposed to be discontinued as this activity is captured in the 2013</w:t>
            </w:r>
            <w:r w:rsidR="009F0F49">
              <w:noBreakHyphen/>
            </w:r>
            <w:r w:rsidRPr="00F93FD4">
              <w:t xml:space="preserve">14 performance measure ‘Policy </w:t>
            </w:r>
            <w:r>
              <w:t>analyses and papers</w:t>
            </w:r>
            <w:r w:rsidRPr="00F93FD4">
              <w:t xml:space="preserve"> prepared’ in the Department’s Strategic Advice and Government Support output.</w:t>
            </w:r>
          </w:p>
        </w:tc>
      </w:tr>
      <w:tr w:rsidR="00B958B1" w:rsidRPr="00F93FD4" w:rsidTr="009F3B54">
        <w:trPr>
          <w:cantSplit/>
        </w:trPr>
        <w:tc>
          <w:tcPr>
            <w:tcW w:w="3155" w:type="dxa"/>
            <w:tcBorders>
              <w:top w:val="single" w:sz="6" w:space="0" w:color="auto"/>
              <w:left w:val="nil"/>
              <w:bottom w:val="nil"/>
              <w:right w:val="nil"/>
            </w:tcBorders>
            <w:shd w:val="clear" w:color="auto" w:fill="auto"/>
          </w:tcPr>
          <w:p w:rsidR="00B958B1" w:rsidRPr="00F93FD4" w:rsidRDefault="00B958B1" w:rsidP="009F3B54">
            <w:pPr>
              <w:pStyle w:val="OGTabHead"/>
            </w:pPr>
            <w:r w:rsidRPr="00F93FD4">
              <w:t>Timeliness</w:t>
            </w:r>
          </w:p>
        </w:tc>
        <w:tc>
          <w:tcPr>
            <w:tcW w:w="970" w:type="dxa"/>
            <w:tcBorders>
              <w:top w:val="single" w:sz="6" w:space="0" w:color="auto"/>
              <w:left w:val="nil"/>
              <w:bottom w:val="nil"/>
              <w:right w:val="nil"/>
            </w:tcBorders>
            <w:shd w:val="clear" w:color="auto" w:fill="auto"/>
            <w:noWrap/>
          </w:tcPr>
          <w:p w:rsidR="00B958B1" w:rsidRPr="00F93FD4" w:rsidRDefault="00B958B1" w:rsidP="009F3B54">
            <w:pPr>
              <w:pStyle w:val="OGTabHead"/>
            </w:pPr>
          </w:p>
        </w:tc>
        <w:tc>
          <w:tcPr>
            <w:tcW w:w="844" w:type="dxa"/>
            <w:tcBorders>
              <w:top w:val="single" w:sz="6" w:space="0" w:color="auto"/>
              <w:left w:val="nil"/>
              <w:bottom w:val="nil"/>
              <w:right w:val="nil"/>
            </w:tcBorders>
            <w:shd w:val="clear" w:color="auto" w:fill="D9D9D9"/>
            <w:noWrap/>
          </w:tcPr>
          <w:p w:rsidR="00B958B1" w:rsidRPr="00F93FD4" w:rsidRDefault="00B958B1" w:rsidP="009F3B54">
            <w:pPr>
              <w:pStyle w:val="OGTabHead"/>
            </w:pPr>
          </w:p>
        </w:tc>
        <w:tc>
          <w:tcPr>
            <w:tcW w:w="993" w:type="dxa"/>
            <w:tcBorders>
              <w:top w:val="single" w:sz="6" w:space="0" w:color="auto"/>
              <w:left w:val="nil"/>
              <w:bottom w:val="nil"/>
              <w:right w:val="nil"/>
            </w:tcBorders>
            <w:shd w:val="clear" w:color="auto" w:fill="auto"/>
            <w:noWrap/>
          </w:tcPr>
          <w:p w:rsidR="00B958B1" w:rsidRPr="00F93FD4" w:rsidRDefault="00B958B1" w:rsidP="009F3B54">
            <w:pPr>
              <w:pStyle w:val="OGTabHead"/>
            </w:pPr>
          </w:p>
        </w:tc>
        <w:tc>
          <w:tcPr>
            <w:tcW w:w="907" w:type="dxa"/>
            <w:tcBorders>
              <w:top w:val="single" w:sz="6" w:space="0" w:color="auto"/>
              <w:left w:val="nil"/>
              <w:bottom w:val="nil"/>
              <w:right w:val="nil"/>
            </w:tcBorders>
            <w:shd w:val="clear" w:color="auto" w:fill="auto"/>
            <w:noWrap/>
          </w:tcPr>
          <w:p w:rsidR="00B958B1" w:rsidRPr="00F93FD4" w:rsidRDefault="00B958B1" w:rsidP="009F3B54">
            <w:pPr>
              <w:pStyle w:val="OGTabHead"/>
            </w:pPr>
          </w:p>
        </w:tc>
        <w:tc>
          <w:tcPr>
            <w:tcW w:w="907" w:type="dxa"/>
            <w:tcBorders>
              <w:top w:val="single" w:sz="6" w:space="0" w:color="auto"/>
              <w:left w:val="nil"/>
              <w:bottom w:val="nil"/>
              <w:right w:val="nil"/>
            </w:tcBorders>
            <w:shd w:val="clear" w:color="auto" w:fill="auto"/>
            <w:noWrap/>
          </w:tcPr>
          <w:p w:rsidR="00B958B1" w:rsidRPr="00F93FD4" w:rsidRDefault="00B958B1" w:rsidP="009F3B54">
            <w:pPr>
              <w:pStyle w:val="OGTabHead"/>
            </w:pPr>
          </w:p>
        </w:tc>
      </w:tr>
      <w:tr w:rsidR="00B958B1" w:rsidRPr="00F93FD4" w:rsidTr="009F3B54">
        <w:trPr>
          <w:cantSplit/>
        </w:trPr>
        <w:tc>
          <w:tcPr>
            <w:tcW w:w="3155" w:type="dxa"/>
            <w:tcBorders>
              <w:top w:val="nil"/>
              <w:left w:val="nil"/>
              <w:bottom w:val="nil"/>
              <w:right w:val="nil"/>
            </w:tcBorders>
            <w:shd w:val="clear" w:color="auto" w:fill="auto"/>
          </w:tcPr>
          <w:p w:rsidR="00B958B1" w:rsidRPr="00F93FD4" w:rsidRDefault="00B958B1" w:rsidP="009F3B54">
            <w:pPr>
              <w:pStyle w:val="OGTabText"/>
            </w:pPr>
            <w:r w:rsidRPr="00F93FD4">
              <w:t>Strategic policy projects completed within required timeframe</w:t>
            </w:r>
          </w:p>
        </w:tc>
        <w:tc>
          <w:tcPr>
            <w:tcW w:w="970" w:type="dxa"/>
            <w:tcBorders>
              <w:top w:val="nil"/>
              <w:left w:val="nil"/>
              <w:bottom w:val="nil"/>
              <w:right w:val="nil"/>
            </w:tcBorders>
            <w:shd w:val="clear" w:color="auto" w:fill="auto"/>
            <w:noWrap/>
          </w:tcPr>
          <w:p w:rsidR="00B958B1" w:rsidRPr="00F93FD4" w:rsidRDefault="00B958B1" w:rsidP="009F3B54">
            <w:pPr>
              <w:pStyle w:val="OGUoM"/>
            </w:pPr>
            <w:r w:rsidRPr="00F93FD4">
              <w:t>per cent</w:t>
            </w:r>
          </w:p>
        </w:tc>
        <w:tc>
          <w:tcPr>
            <w:tcW w:w="844" w:type="dxa"/>
            <w:tcBorders>
              <w:top w:val="nil"/>
              <w:left w:val="nil"/>
              <w:bottom w:val="nil"/>
              <w:right w:val="nil"/>
            </w:tcBorders>
            <w:shd w:val="clear" w:color="auto" w:fill="D9D9D9"/>
            <w:noWrap/>
          </w:tcPr>
          <w:p w:rsidR="00B958B1" w:rsidRPr="00F93FD4" w:rsidRDefault="00B958B1" w:rsidP="009F3B54">
            <w:pPr>
              <w:pStyle w:val="OGTableofFigures"/>
            </w:pPr>
            <w:r w:rsidRPr="00F93FD4">
              <w:t>100</w:t>
            </w:r>
          </w:p>
        </w:tc>
        <w:tc>
          <w:tcPr>
            <w:tcW w:w="993" w:type="dxa"/>
            <w:tcBorders>
              <w:top w:val="nil"/>
              <w:left w:val="nil"/>
              <w:bottom w:val="nil"/>
              <w:right w:val="nil"/>
            </w:tcBorders>
            <w:shd w:val="clear" w:color="auto" w:fill="auto"/>
            <w:noWrap/>
          </w:tcPr>
          <w:p w:rsidR="00B958B1" w:rsidRPr="00F93FD4" w:rsidRDefault="00B958B1" w:rsidP="009F3B54">
            <w:pPr>
              <w:pStyle w:val="OGTableofFigures"/>
            </w:pPr>
            <w:r w:rsidRPr="00F93FD4">
              <w:t>100</w:t>
            </w:r>
          </w:p>
        </w:tc>
        <w:tc>
          <w:tcPr>
            <w:tcW w:w="907" w:type="dxa"/>
            <w:tcBorders>
              <w:top w:val="nil"/>
              <w:left w:val="nil"/>
              <w:bottom w:val="nil"/>
              <w:right w:val="nil"/>
            </w:tcBorders>
            <w:shd w:val="clear" w:color="auto" w:fill="auto"/>
            <w:noWrap/>
          </w:tcPr>
          <w:p w:rsidR="00B958B1" w:rsidRPr="00F93FD4" w:rsidRDefault="00B958B1" w:rsidP="009F3B54">
            <w:pPr>
              <w:pStyle w:val="OGTableofFigures"/>
            </w:pPr>
            <w:r w:rsidRPr="00F93FD4">
              <w:t>100</w:t>
            </w:r>
          </w:p>
        </w:tc>
        <w:tc>
          <w:tcPr>
            <w:tcW w:w="907" w:type="dxa"/>
            <w:tcBorders>
              <w:top w:val="nil"/>
              <w:left w:val="nil"/>
              <w:bottom w:val="nil"/>
              <w:right w:val="nil"/>
            </w:tcBorders>
            <w:shd w:val="clear" w:color="auto" w:fill="auto"/>
            <w:noWrap/>
          </w:tcPr>
          <w:p w:rsidR="00B958B1" w:rsidRPr="00F93FD4" w:rsidRDefault="00B958B1" w:rsidP="009F3B54">
            <w:pPr>
              <w:pStyle w:val="OGTableofFigures"/>
            </w:pPr>
            <w:r w:rsidRPr="00F93FD4">
              <w:t>100</w:t>
            </w:r>
          </w:p>
        </w:tc>
      </w:tr>
      <w:tr w:rsidR="00B958B1" w:rsidRPr="00F93FD4" w:rsidTr="009F3B54">
        <w:trPr>
          <w:cantSplit/>
        </w:trPr>
        <w:tc>
          <w:tcPr>
            <w:tcW w:w="7776" w:type="dxa"/>
            <w:gridSpan w:val="6"/>
            <w:tcBorders>
              <w:top w:val="nil"/>
              <w:left w:val="nil"/>
              <w:bottom w:val="single" w:sz="6" w:space="0" w:color="auto"/>
              <w:right w:val="nil"/>
            </w:tcBorders>
            <w:shd w:val="clear" w:color="auto" w:fill="auto"/>
          </w:tcPr>
          <w:p w:rsidR="00B958B1" w:rsidRPr="00F93FD4" w:rsidRDefault="00B958B1" w:rsidP="009F3B54">
            <w:pPr>
              <w:pStyle w:val="OGNotes"/>
            </w:pPr>
            <w:r w:rsidRPr="00F93FD4">
              <w:t>This performance measure is proposed to be discontinued as this activity is captured in the 2013</w:t>
            </w:r>
            <w:r w:rsidR="009F0F49">
              <w:noBreakHyphen/>
            </w:r>
            <w:r w:rsidRPr="00F93FD4">
              <w:t>14 performance measure ‘Policy services timeliness rating’ in the Department’s Strategic Advice and Government Support output.</w:t>
            </w:r>
          </w:p>
        </w:tc>
      </w:tr>
      <w:tr w:rsidR="00B958B1" w:rsidRPr="00F93FD4" w:rsidTr="009F3B54">
        <w:trPr>
          <w:cantSplit/>
        </w:trPr>
        <w:tc>
          <w:tcPr>
            <w:tcW w:w="3155" w:type="dxa"/>
            <w:tcBorders>
              <w:top w:val="single" w:sz="6" w:space="0" w:color="auto"/>
              <w:left w:val="nil"/>
              <w:bottom w:val="nil"/>
              <w:right w:val="nil"/>
            </w:tcBorders>
            <w:shd w:val="clear" w:color="auto" w:fill="auto"/>
          </w:tcPr>
          <w:p w:rsidR="00B958B1" w:rsidRPr="00F93FD4" w:rsidRDefault="00B958B1" w:rsidP="009F3B54">
            <w:pPr>
              <w:pStyle w:val="OGTabHead"/>
            </w:pPr>
            <w:r w:rsidRPr="00F93FD4">
              <w:t>Cost</w:t>
            </w:r>
          </w:p>
        </w:tc>
        <w:tc>
          <w:tcPr>
            <w:tcW w:w="970" w:type="dxa"/>
            <w:tcBorders>
              <w:top w:val="single" w:sz="6" w:space="0" w:color="auto"/>
              <w:left w:val="nil"/>
              <w:bottom w:val="nil"/>
              <w:right w:val="nil"/>
            </w:tcBorders>
            <w:shd w:val="clear" w:color="auto" w:fill="auto"/>
            <w:noWrap/>
          </w:tcPr>
          <w:p w:rsidR="00B958B1" w:rsidRPr="00F93FD4" w:rsidRDefault="00B958B1" w:rsidP="009F3B54">
            <w:pPr>
              <w:pStyle w:val="OGTabHead"/>
            </w:pPr>
          </w:p>
        </w:tc>
        <w:tc>
          <w:tcPr>
            <w:tcW w:w="844" w:type="dxa"/>
            <w:tcBorders>
              <w:top w:val="single" w:sz="6" w:space="0" w:color="auto"/>
              <w:left w:val="nil"/>
              <w:bottom w:val="nil"/>
              <w:right w:val="nil"/>
            </w:tcBorders>
            <w:shd w:val="clear" w:color="auto" w:fill="D9D9D9"/>
            <w:noWrap/>
          </w:tcPr>
          <w:p w:rsidR="00B958B1" w:rsidRPr="00F93FD4" w:rsidRDefault="00B958B1" w:rsidP="009F3B54">
            <w:pPr>
              <w:pStyle w:val="OGTabHead"/>
            </w:pPr>
          </w:p>
        </w:tc>
        <w:tc>
          <w:tcPr>
            <w:tcW w:w="993" w:type="dxa"/>
            <w:tcBorders>
              <w:top w:val="single" w:sz="6" w:space="0" w:color="auto"/>
              <w:left w:val="nil"/>
              <w:bottom w:val="nil"/>
              <w:right w:val="nil"/>
            </w:tcBorders>
            <w:shd w:val="clear" w:color="auto" w:fill="auto"/>
            <w:noWrap/>
          </w:tcPr>
          <w:p w:rsidR="00B958B1" w:rsidRPr="00F93FD4" w:rsidRDefault="00B958B1" w:rsidP="009F3B54">
            <w:pPr>
              <w:pStyle w:val="OGTabHead"/>
            </w:pPr>
          </w:p>
        </w:tc>
        <w:tc>
          <w:tcPr>
            <w:tcW w:w="907" w:type="dxa"/>
            <w:tcBorders>
              <w:top w:val="single" w:sz="6" w:space="0" w:color="auto"/>
              <w:left w:val="nil"/>
              <w:bottom w:val="nil"/>
              <w:right w:val="nil"/>
            </w:tcBorders>
            <w:shd w:val="clear" w:color="auto" w:fill="auto"/>
            <w:noWrap/>
          </w:tcPr>
          <w:p w:rsidR="00B958B1" w:rsidRPr="00F93FD4" w:rsidRDefault="00B958B1" w:rsidP="009F3B54">
            <w:pPr>
              <w:pStyle w:val="OGTabHead"/>
            </w:pPr>
          </w:p>
        </w:tc>
        <w:tc>
          <w:tcPr>
            <w:tcW w:w="907" w:type="dxa"/>
            <w:tcBorders>
              <w:top w:val="single" w:sz="6" w:space="0" w:color="auto"/>
              <w:left w:val="nil"/>
              <w:bottom w:val="nil"/>
              <w:right w:val="nil"/>
            </w:tcBorders>
            <w:shd w:val="clear" w:color="auto" w:fill="auto"/>
            <w:noWrap/>
          </w:tcPr>
          <w:p w:rsidR="00B958B1" w:rsidRPr="00F93FD4" w:rsidRDefault="00B958B1" w:rsidP="009F3B54">
            <w:pPr>
              <w:pStyle w:val="OGTabHead"/>
            </w:pPr>
          </w:p>
        </w:tc>
      </w:tr>
      <w:tr w:rsidR="00B958B1" w:rsidRPr="00F93FD4" w:rsidTr="009F3B54">
        <w:trPr>
          <w:cantSplit/>
        </w:trPr>
        <w:tc>
          <w:tcPr>
            <w:tcW w:w="3155" w:type="dxa"/>
            <w:tcBorders>
              <w:top w:val="nil"/>
              <w:left w:val="nil"/>
              <w:bottom w:val="nil"/>
              <w:right w:val="nil"/>
            </w:tcBorders>
            <w:shd w:val="clear" w:color="auto" w:fill="auto"/>
          </w:tcPr>
          <w:p w:rsidR="00B958B1" w:rsidRPr="00F93FD4" w:rsidRDefault="00B958B1" w:rsidP="009F3B54">
            <w:pPr>
              <w:pStyle w:val="OGTabText"/>
            </w:pPr>
            <w:r w:rsidRPr="00F93FD4">
              <w:t>Total output cost</w:t>
            </w:r>
          </w:p>
        </w:tc>
        <w:tc>
          <w:tcPr>
            <w:tcW w:w="970" w:type="dxa"/>
            <w:tcBorders>
              <w:top w:val="nil"/>
              <w:left w:val="nil"/>
              <w:bottom w:val="nil"/>
              <w:right w:val="nil"/>
            </w:tcBorders>
            <w:shd w:val="clear" w:color="auto" w:fill="auto"/>
            <w:noWrap/>
          </w:tcPr>
          <w:p w:rsidR="00B958B1" w:rsidRPr="00F93FD4" w:rsidRDefault="00B958B1" w:rsidP="009F3B54">
            <w:pPr>
              <w:pStyle w:val="OGUoM"/>
            </w:pPr>
            <w:r w:rsidRPr="00F93FD4">
              <w:t>$</w:t>
            </w:r>
            <w:r>
              <w:t> million</w:t>
            </w:r>
          </w:p>
        </w:tc>
        <w:tc>
          <w:tcPr>
            <w:tcW w:w="844" w:type="dxa"/>
            <w:tcBorders>
              <w:top w:val="nil"/>
              <w:left w:val="nil"/>
              <w:bottom w:val="nil"/>
              <w:right w:val="nil"/>
            </w:tcBorders>
            <w:shd w:val="clear" w:color="auto" w:fill="D9D9D9"/>
            <w:noWrap/>
          </w:tcPr>
          <w:p w:rsidR="00B958B1" w:rsidRPr="00F93FD4" w:rsidRDefault="00B958B1" w:rsidP="009F3B54">
            <w:pPr>
              <w:pStyle w:val="OGTableofFigures"/>
            </w:pPr>
            <w:r>
              <w:t>na</w:t>
            </w:r>
          </w:p>
        </w:tc>
        <w:tc>
          <w:tcPr>
            <w:tcW w:w="993" w:type="dxa"/>
            <w:tcBorders>
              <w:top w:val="nil"/>
              <w:left w:val="nil"/>
              <w:bottom w:val="nil"/>
              <w:right w:val="nil"/>
            </w:tcBorders>
            <w:shd w:val="clear" w:color="auto" w:fill="auto"/>
            <w:noWrap/>
          </w:tcPr>
          <w:p w:rsidR="00B958B1" w:rsidRPr="00F93FD4" w:rsidRDefault="00B958B1" w:rsidP="009F3B54">
            <w:pPr>
              <w:pStyle w:val="OGTableofFigures"/>
            </w:pPr>
            <w:r w:rsidRPr="00F93FD4">
              <w:t>53.9</w:t>
            </w:r>
          </w:p>
        </w:tc>
        <w:tc>
          <w:tcPr>
            <w:tcW w:w="907" w:type="dxa"/>
            <w:tcBorders>
              <w:top w:val="nil"/>
              <w:left w:val="nil"/>
              <w:bottom w:val="nil"/>
              <w:right w:val="nil"/>
            </w:tcBorders>
            <w:shd w:val="clear" w:color="auto" w:fill="auto"/>
            <w:noWrap/>
          </w:tcPr>
          <w:p w:rsidR="00B958B1" w:rsidRPr="00F93FD4" w:rsidRDefault="00B958B1" w:rsidP="009F3B54">
            <w:pPr>
              <w:pStyle w:val="OGTableofFigures"/>
            </w:pPr>
            <w:r w:rsidRPr="00F93FD4">
              <w:t>53.6</w:t>
            </w:r>
          </w:p>
        </w:tc>
        <w:tc>
          <w:tcPr>
            <w:tcW w:w="907" w:type="dxa"/>
            <w:tcBorders>
              <w:top w:val="nil"/>
              <w:left w:val="nil"/>
              <w:bottom w:val="nil"/>
              <w:right w:val="nil"/>
            </w:tcBorders>
            <w:shd w:val="clear" w:color="auto" w:fill="auto"/>
            <w:noWrap/>
          </w:tcPr>
          <w:p w:rsidR="00B958B1" w:rsidRPr="00F93FD4" w:rsidRDefault="00B958B1" w:rsidP="009F3B54">
            <w:pPr>
              <w:pStyle w:val="OGTableofFigures"/>
            </w:pPr>
            <w:r w:rsidRPr="00F93FD4">
              <w:t>73.9</w:t>
            </w:r>
          </w:p>
        </w:tc>
      </w:tr>
      <w:tr w:rsidR="00B958B1" w:rsidRPr="00F93FD4" w:rsidTr="009F3B54">
        <w:trPr>
          <w:cantSplit/>
        </w:trPr>
        <w:tc>
          <w:tcPr>
            <w:tcW w:w="7776" w:type="dxa"/>
            <w:gridSpan w:val="6"/>
            <w:tcBorders>
              <w:top w:val="nil"/>
              <w:left w:val="nil"/>
              <w:bottom w:val="single" w:sz="6" w:space="0" w:color="auto"/>
              <w:right w:val="nil"/>
            </w:tcBorders>
            <w:shd w:val="clear" w:color="auto" w:fill="auto"/>
          </w:tcPr>
          <w:p w:rsidR="00B958B1" w:rsidRPr="00F93FD4" w:rsidRDefault="00B958B1" w:rsidP="009F3B54">
            <w:pPr>
              <w:pStyle w:val="OGNotes"/>
            </w:pPr>
            <w:r w:rsidRPr="00F93FD4">
              <w:t>This output is proposed to be discontinued to reflect changes to the Department’s output structure as a result of a departmental review to improve alignment of DPC’s outputs to its corporate objectives and to better reflect existing key activities undertaken by the Department. The 2012</w:t>
            </w:r>
            <w:r w:rsidR="009F0F49">
              <w:noBreakHyphen/>
            </w:r>
            <w:r w:rsidRPr="00F93FD4">
              <w:t>13 output is replaced by the expanded 2013</w:t>
            </w:r>
            <w:r w:rsidR="009F0F49">
              <w:noBreakHyphen/>
            </w:r>
            <w:r w:rsidRPr="00F93FD4">
              <w:t>14 output ‘Strategic Advice and Government Support’.</w:t>
            </w:r>
          </w:p>
        </w:tc>
      </w:tr>
      <w:tr w:rsidR="00B958B1" w:rsidRPr="00F93FD4" w:rsidTr="009F3B54">
        <w:trPr>
          <w:cantSplit/>
        </w:trPr>
        <w:tc>
          <w:tcPr>
            <w:tcW w:w="7776" w:type="dxa"/>
            <w:gridSpan w:val="6"/>
            <w:tcBorders>
              <w:top w:val="single" w:sz="6" w:space="0" w:color="auto"/>
              <w:left w:val="nil"/>
              <w:bottom w:val="single" w:sz="6" w:space="0" w:color="auto"/>
              <w:right w:val="nil"/>
            </w:tcBorders>
            <w:shd w:val="clear" w:color="auto" w:fill="auto"/>
          </w:tcPr>
          <w:p w:rsidR="00B958B1" w:rsidRPr="00F93FD4" w:rsidRDefault="00B958B1" w:rsidP="009F3B54">
            <w:pPr>
              <w:pStyle w:val="OGHeading2"/>
            </w:pPr>
            <w:r w:rsidRPr="00F93FD4">
              <w:t>Government Information Services and Support</w:t>
            </w:r>
          </w:p>
        </w:tc>
      </w:tr>
      <w:tr w:rsidR="00B958B1" w:rsidRPr="00F93FD4" w:rsidTr="009F3B54">
        <w:trPr>
          <w:cantSplit/>
        </w:trPr>
        <w:tc>
          <w:tcPr>
            <w:tcW w:w="3155" w:type="dxa"/>
            <w:tcBorders>
              <w:top w:val="single" w:sz="6" w:space="0" w:color="auto"/>
              <w:left w:val="nil"/>
              <w:bottom w:val="nil"/>
              <w:right w:val="nil"/>
            </w:tcBorders>
            <w:shd w:val="clear" w:color="auto" w:fill="auto"/>
            <w:hideMark/>
          </w:tcPr>
          <w:p w:rsidR="00B958B1" w:rsidRPr="00F93FD4" w:rsidRDefault="00B958B1" w:rsidP="009F3B54">
            <w:pPr>
              <w:pStyle w:val="OGTabHead"/>
            </w:pPr>
            <w:r w:rsidRPr="00F93FD4">
              <w:t>Quantity</w:t>
            </w:r>
          </w:p>
        </w:tc>
        <w:tc>
          <w:tcPr>
            <w:tcW w:w="970" w:type="dxa"/>
            <w:tcBorders>
              <w:top w:val="single" w:sz="6" w:space="0" w:color="auto"/>
              <w:left w:val="nil"/>
              <w:bottom w:val="nil"/>
              <w:right w:val="nil"/>
            </w:tcBorders>
            <w:shd w:val="clear" w:color="auto" w:fill="auto"/>
            <w:noWrap/>
            <w:hideMark/>
          </w:tcPr>
          <w:p w:rsidR="00B958B1" w:rsidRPr="00F93FD4" w:rsidRDefault="00B958B1" w:rsidP="009F3B54">
            <w:pPr>
              <w:pStyle w:val="OGTabHead"/>
            </w:pPr>
            <w:r w:rsidRPr="00F93FD4">
              <w:t> </w:t>
            </w:r>
          </w:p>
        </w:tc>
        <w:tc>
          <w:tcPr>
            <w:tcW w:w="844" w:type="dxa"/>
            <w:tcBorders>
              <w:top w:val="single" w:sz="6" w:space="0" w:color="auto"/>
              <w:left w:val="nil"/>
              <w:bottom w:val="nil"/>
              <w:right w:val="nil"/>
            </w:tcBorders>
            <w:shd w:val="clear" w:color="auto" w:fill="D9D9D9"/>
            <w:noWrap/>
            <w:hideMark/>
          </w:tcPr>
          <w:p w:rsidR="00B958B1" w:rsidRPr="00F93FD4" w:rsidRDefault="00B958B1" w:rsidP="009F3B54">
            <w:pPr>
              <w:pStyle w:val="OGTabHead"/>
            </w:pPr>
            <w:r w:rsidRPr="00F93FD4">
              <w:t> </w:t>
            </w:r>
          </w:p>
        </w:tc>
        <w:tc>
          <w:tcPr>
            <w:tcW w:w="993" w:type="dxa"/>
            <w:tcBorders>
              <w:top w:val="single" w:sz="6" w:space="0" w:color="auto"/>
              <w:left w:val="nil"/>
              <w:bottom w:val="nil"/>
              <w:right w:val="nil"/>
            </w:tcBorders>
            <w:shd w:val="clear" w:color="auto" w:fill="auto"/>
            <w:noWrap/>
            <w:hideMark/>
          </w:tcPr>
          <w:p w:rsidR="00B958B1" w:rsidRPr="00F93FD4" w:rsidRDefault="00B958B1" w:rsidP="009F3B54">
            <w:pPr>
              <w:pStyle w:val="OGTabHead"/>
            </w:pPr>
            <w:r w:rsidRPr="00F93FD4">
              <w:t> </w:t>
            </w:r>
          </w:p>
        </w:tc>
        <w:tc>
          <w:tcPr>
            <w:tcW w:w="907" w:type="dxa"/>
            <w:tcBorders>
              <w:top w:val="single" w:sz="6" w:space="0" w:color="auto"/>
              <w:left w:val="nil"/>
              <w:bottom w:val="nil"/>
              <w:right w:val="nil"/>
            </w:tcBorders>
            <w:shd w:val="clear" w:color="auto" w:fill="auto"/>
            <w:noWrap/>
            <w:hideMark/>
          </w:tcPr>
          <w:p w:rsidR="00B958B1" w:rsidRPr="00F93FD4" w:rsidRDefault="00B958B1" w:rsidP="009F3B54">
            <w:pPr>
              <w:pStyle w:val="OGTabHead"/>
            </w:pPr>
            <w:r w:rsidRPr="00F93FD4">
              <w:t> </w:t>
            </w:r>
          </w:p>
        </w:tc>
        <w:tc>
          <w:tcPr>
            <w:tcW w:w="907" w:type="dxa"/>
            <w:tcBorders>
              <w:top w:val="single" w:sz="6" w:space="0" w:color="auto"/>
              <w:left w:val="nil"/>
              <w:bottom w:val="nil"/>
              <w:right w:val="nil"/>
            </w:tcBorders>
            <w:shd w:val="clear" w:color="auto" w:fill="auto"/>
            <w:noWrap/>
            <w:hideMark/>
          </w:tcPr>
          <w:p w:rsidR="00B958B1" w:rsidRPr="00F93FD4" w:rsidRDefault="00B958B1" w:rsidP="009F3B54">
            <w:pPr>
              <w:pStyle w:val="OGTabHead"/>
            </w:pPr>
            <w:r w:rsidRPr="00F93FD4">
              <w:t> </w:t>
            </w:r>
          </w:p>
        </w:tc>
      </w:tr>
      <w:tr w:rsidR="00B958B1" w:rsidRPr="00F93FD4" w:rsidTr="009F3B54">
        <w:trPr>
          <w:cantSplit/>
        </w:trPr>
        <w:tc>
          <w:tcPr>
            <w:tcW w:w="3155" w:type="dxa"/>
            <w:tcBorders>
              <w:top w:val="nil"/>
              <w:left w:val="nil"/>
              <w:right w:val="nil"/>
            </w:tcBorders>
            <w:shd w:val="clear" w:color="auto" w:fill="auto"/>
          </w:tcPr>
          <w:p w:rsidR="00B958B1" w:rsidRPr="00F93FD4" w:rsidRDefault="00B958B1" w:rsidP="009F3B54">
            <w:pPr>
              <w:pStyle w:val="OGTabText"/>
            </w:pPr>
            <w:r w:rsidRPr="00F93FD4">
              <w:t>Develop communications resource products, standards and guidelines in response to identified Government requirements</w:t>
            </w:r>
          </w:p>
        </w:tc>
        <w:tc>
          <w:tcPr>
            <w:tcW w:w="970" w:type="dxa"/>
            <w:tcBorders>
              <w:top w:val="nil"/>
              <w:left w:val="nil"/>
              <w:right w:val="nil"/>
            </w:tcBorders>
            <w:shd w:val="clear" w:color="auto" w:fill="auto"/>
            <w:noWrap/>
          </w:tcPr>
          <w:p w:rsidR="00B958B1" w:rsidRPr="00F93FD4" w:rsidRDefault="00B958B1" w:rsidP="009F3B54">
            <w:pPr>
              <w:pStyle w:val="OGUoM"/>
            </w:pPr>
            <w:r w:rsidRPr="00F93FD4">
              <w:t>number</w:t>
            </w:r>
          </w:p>
        </w:tc>
        <w:tc>
          <w:tcPr>
            <w:tcW w:w="844" w:type="dxa"/>
            <w:tcBorders>
              <w:top w:val="nil"/>
              <w:left w:val="nil"/>
              <w:right w:val="nil"/>
            </w:tcBorders>
            <w:shd w:val="clear" w:color="auto" w:fill="D9D9D9"/>
            <w:noWrap/>
          </w:tcPr>
          <w:p w:rsidR="00B958B1" w:rsidRPr="00F93FD4" w:rsidRDefault="00B958B1" w:rsidP="009F3B54">
            <w:pPr>
              <w:pStyle w:val="OGTableofFigures"/>
            </w:pPr>
            <w:r w:rsidRPr="00F93FD4">
              <w:t>4</w:t>
            </w:r>
          </w:p>
        </w:tc>
        <w:tc>
          <w:tcPr>
            <w:tcW w:w="993" w:type="dxa"/>
            <w:tcBorders>
              <w:top w:val="nil"/>
              <w:left w:val="nil"/>
              <w:right w:val="nil"/>
            </w:tcBorders>
            <w:shd w:val="clear" w:color="auto" w:fill="auto"/>
            <w:noWrap/>
          </w:tcPr>
          <w:p w:rsidR="00B958B1" w:rsidRPr="00F93FD4" w:rsidRDefault="00B958B1" w:rsidP="009F3B54">
            <w:pPr>
              <w:pStyle w:val="OGTableofFigures"/>
            </w:pPr>
            <w:r w:rsidRPr="00F93FD4">
              <w:t>4</w:t>
            </w:r>
          </w:p>
        </w:tc>
        <w:tc>
          <w:tcPr>
            <w:tcW w:w="907" w:type="dxa"/>
            <w:tcBorders>
              <w:top w:val="nil"/>
              <w:left w:val="nil"/>
              <w:right w:val="nil"/>
            </w:tcBorders>
            <w:shd w:val="clear" w:color="auto" w:fill="auto"/>
            <w:noWrap/>
          </w:tcPr>
          <w:p w:rsidR="00B958B1" w:rsidRPr="00F93FD4" w:rsidRDefault="00B958B1" w:rsidP="009F3B54">
            <w:pPr>
              <w:pStyle w:val="OGTableofFigures"/>
            </w:pPr>
            <w:r w:rsidRPr="00F93FD4">
              <w:t>4</w:t>
            </w:r>
          </w:p>
        </w:tc>
        <w:tc>
          <w:tcPr>
            <w:tcW w:w="907" w:type="dxa"/>
            <w:tcBorders>
              <w:top w:val="nil"/>
              <w:left w:val="nil"/>
              <w:right w:val="nil"/>
            </w:tcBorders>
            <w:shd w:val="clear" w:color="auto" w:fill="auto"/>
            <w:noWrap/>
          </w:tcPr>
          <w:p w:rsidR="00B958B1" w:rsidRPr="00F93FD4" w:rsidRDefault="00B958B1" w:rsidP="009F3B54">
            <w:pPr>
              <w:pStyle w:val="OGTableofFigures"/>
            </w:pPr>
            <w:r w:rsidRPr="00F93FD4">
              <w:t>6</w:t>
            </w:r>
          </w:p>
        </w:tc>
      </w:tr>
      <w:tr w:rsidR="00B958B1" w:rsidRPr="00F93FD4" w:rsidTr="009F3B54">
        <w:trPr>
          <w:cantSplit/>
        </w:trPr>
        <w:tc>
          <w:tcPr>
            <w:tcW w:w="7776" w:type="dxa"/>
            <w:gridSpan w:val="6"/>
            <w:tcBorders>
              <w:top w:val="nil"/>
              <w:left w:val="nil"/>
              <w:bottom w:val="single" w:sz="6" w:space="0" w:color="auto"/>
              <w:right w:val="nil"/>
            </w:tcBorders>
            <w:shd w:val="clear" w:color="auto" w:fill="auto"/>
          </w:tcPr>
          <w:p w:rsidR="00B958B1" w:rsidRPr="00F93FD4" w:rsidRDefault="00B958B1" w:rsidP="009F3B54">
            <w:pPr>
              <w:pStyle w:val="OGNotes"/>
            </w:pPr>
            <w:r w:rsidRPr="00F93FD4">
              <w:t>This performance measure is proposed to be discontinued as this activity is captured in the 2013</w:t>
            </w:r>
            <w:r w:rsidR="009F0F49">
              <w:noBreakHyphen/>
            </w:r>
            <w:r w:rsidRPr="00F93FD4">
              <w:t xml:space="preserve">14 performance measure ‘Policy </w:t>
            </w:r>
            <w:r>
              <w:t>analyses and papers</w:t>
            </w:r>
            <w:r w:rsidRPr="00F93FD4">
              <w:t xml:space="preserve"> prepared’ in the Department’s </w:t>
            </w:r>
            <w:r>
              <w:t>‘</w:t>
            </w:r>
            <w:r w:rsidRPr="00F93FD4">
              <w:t>Strategic Advice and Government Support</w:t>
            </w:r>
            <w:r>
              <w:t>’</w:t>
            </w:r>
            <w:r w:rsidRPr="00F93FD4">
              <w:t xml:space="preserve"> output.</w:t>
            </w:r>
          </w:p>
        </w:tc>
      </w:tr>
      <w:tr w:rsidR="00B958B1" w:rsidRPr="00F93FD4" w:rsidTr="009F3B54">
        <w:trPr>
          <w:cantSplit/>
        </w:trPr>
        <w:tc>
          <w:tcPr>
            <w:tcW w:w="3155" w:type="dxa"/>
            <w:tcBorders>
              <w:top w:val="single" w:sz="6" w:space="0" w:color="auto"/>
              <w:left w:val="nil"/>
              <w:right w:val="nil"/>
            </w:tcBorders>
            <w:shd w:val="clear" w:color="auto" w:fill="auto"/>
          </w:tcPr>
          <w:p w:rsidR="00B958B1" w:rsidRPr="00F93FD4" w:rsidRDefault="00B958B1" w:rsidP="009F3B54">
            <w:pPr>
              <w:pStyle w:val="OGTabText"/>
            </w:pPr>
            <w:r w:rsidRPr="00F93FD4">
              <w:t>Policy briefs prepared</w:t>
            </w:r>
          </w:p>
        </w:tc>
        <w:tc>
          <w:tcPr>
            <w:tcW w:w="970" w:type="dxa"/>
            <w:tcBorders>
              <w:top w:val="single" w:sz="6" w:space="0" w:color="auto"/>
              <w:left w:val="nil"/>
              <w:right w:val="nil"/>
            </w:tcBorders>
            <w:shd w:val="clear" w:color="auto" w:fill="auto"/>
            <w:noWrap/>
          </w:tcPr>
          <w:p w:rsidR="00B958B1" w:rsidRPr="00F93FD4" w:rsidRDefault="00B958B1" w:rsidP="009F3B54">
            <w:pPr>
              <w:pStyle w:val="OGUoM"/>
            </w:pPr>
            <w:r w:rsidRPr="00F93FD4">
              <w:t>number</w:t>
            </w:r>
          </w:p>
        </w:tc>
        <w:tc>
          <w:tcPr>
            <w:tcW w:w="844" w:type="dxa"/>
            <w:tcBorders>
              <w:top w:val="single" w:sz="6" w:space="0" w:color="auto"/>
              <w:left w:val="nil"/>
              <w:right w:val="nil"/>
            </w:tcBorders>
            <w:shd w:val="clear" w:color="auto" w:fill="D9D9D9"/>
            <w:noWrap/>
          </w:tcPr>
          <w:p w:rsidR="00B958B1" w:rsidRPr="00F93FD4" w:rsidRDefault="00B958B1" w:rsidP="009F3B54">
            <w:pPr>
              <w:pStyle w:val="OGTableofFigures"/>
            </w:pPr>
            <w:r w:rsidRPr="00F93FD4">
              <w:t>80</w:t>
            </w:r>
          </w:p>
        </w:tc>
        <w:tc>
          <w:tcPr>
            <w:tcW w:w="993" w:type="dxa"/>
            <w:tcBorders>
              <w:top w:val="single" w:sz="6" w:space="0" w:color="auto"/>
              <w:left w:val="nil"/>
              <w:right w:val="nil"/>
            </w:tcBorders>
            <w:shd w:val="clear" w:color="auto" w:fill="auto"/>
            <w:noWrap/>
          </w:tcPr>
          <w:p w:rsidR="00B958B1" w:rsidRPr="00F93FD4" w:rsidRDefault="00B958B1" w:rsidP="009F3B54">
            <w:pPr>
              <w:pStyle w:val="OGTableofFigures"/>
            </w:pPr>
            <w:r w:rsidRPr="00F93FD4">
              <w:t>146</w:t>
            </w:r>
          </w:p>
        </w:tc>
        <w:tc>
          <w:tcPr>
            <w:tcW w:w="907" w:type="dxa"/>
            <w:tcBorders>
              <w:top w:val="single" w:sz="6" w:space="0" w:color="auto"/>
              <w:left w:val="nil"/>
              <w:right w:val="nil"/>
            </w:tcBorders>
            <w:shd w:val="clear" w:color="auto" w:fill="auto"/>
            <w:noWrap/>
          </w:tcPr>
          <w:p w:rsidR="00B958B1" w:rsidRPr="00F93FD4" w:rsidRDefault="00B958B1" w:rsidP="009F3B54">
            <w:pPr>
              <w:pStyle w:val="OGTableofFigures"/>
            </w:pPr>
            <w:r w:rsidRPr="00F93FD4">
              <w:t>80</w:t>
            </w:r>
          </w:p>
        </w:tc>
        <w:tc>
          <w:tcPr>
            <w:tcW w:w="907" w:type="dxa"/>
            <w:tcBorders>
              <w:top w:val="single" w:sz="6" w:space="0" w:color="auto"/>
              <w:left w:val="nil"/>
              <w:right w:val="nil"/>
            </w:tcBorders>
            <w:shd w:val="clear" w:color="auto" w:fill="auto"/>
            <w:noWrap/>
          </w:tcPr>
          <w:p w:rsidR="00B958B1" w:rsidRPr="00F93FD4" w:rsidRDefault="00B958B1" w:rsidP="009F3B54">
            <w:pPr>
              <w:pStyle w:val="OGTableofFigures"/>
            </w:pPr>
            <w:r w:rsidRPr="00F93FD4">
              <w:t>98</w:t>
            </w:r>
          </w:p>
        </w:tc>
      </w:tr>
      <w:tr w:rsidR="00B958B1" w:rsidRPr="00F93FD4" w:rsidTr="009F3B54">
        <w:trPr>
          <w:cantSplit/>
        </w:trPr>
        <w:tc>
          <w:tcPr>
            <w:tcW w:w="7776" w:type="dxa"/>
            <w:gridSpan w:val="6"/>
            <w:tcBorders>
              <w:top w:val="nil"/>
              <w:left w:val="nil"/>
              <w:bottom w:val="single" w:sz="6" w:space="0" w:color="auto"/>
              <w:right w:val="nil"/>
            </w:tcBorders>
            <w:shd w:val="clear" w:color="auto" w:fill="auto"/>
          </w:tcPr>
          <w:p w:rsidR="00B958B1" w:rsidRPr="00F93FD4" w:rsidRDefault="00B958B1" w:rsidP="009F3B54">
            <w:pPr>
              <w:pStyle w:val="OGNotes"/>
            </w:pPr>
            <w:r w:rsidRPr="00F93FD4">
              <w:t>This performance measure is proposed to be discontinued as this activity is captured in the 2013</w:t>
            </w:r>
            <w:r w:rsidR="009F0F49">
              <w:noBreakHyphen/>
            </w:r>
            <w:r w:rsidRPr="00F93FD4">
              <w:t xml:space="preserve">14 performance measure ‘Policy </w:t>
            </w:r>
            <w:r>
              <w:t>analyses and papers</w:t>
            </w:r>
            <w:r w:rsidRPr="00F93FD4">
              <w:t xml:space="preserve"> prepared’ in the Department’s </w:t>
            </w:r>
            <w:r>
              <w:t>‘</w:t>
            </w:r>
            <w:r w:rsidRPr="00F93FD4">
              <w:t>Strategic Advice and Government Support</w:t>
            </w:r>
            <w:r>
              <w:t>’</w:t>
            </w:r>
            <w:r w:rsidRPr="00F93FD4">
              <w:t xml:space="preserve"> output.</w:t>
            </w:r>
          </w:p>
          <w:p w:rsidR="00B958B1" w:rsidRPr="00F93FD4" w:rsidRDefault="00B958B1" w:rsidP="009F3B54">
            <w:pPr>
              <w:pStyle w:val="OGNotes"/>
            </w:pPr>
            <w:r w:rsidRPr="00F93FD4">
              <w:t>The 2012</w:t>
            </w:r>
            <w:r w:rsidR="009F0F49">
              <w:noBreakHyphen/>
            </w:r>
            <w:r w:rsidRPr="00F93FD4">
              <w:t>13 Expected Outcome is higher than the 2012</w:t>
            </w:r>
            <w:r w:rsidR="009F0F49">
              <w:noBreakHyphen/>
            </w:r>
            <w:r w:rsidRPr="00F93FD4">
              <w:t>13 Target due to a temporary change in departmental briefing processes.</w:t>
            </w:r>
          </w:p>
        </w:tc>
      </w:tr>
      <w:tr w:rsidR="00B958B1" w:rsidRPr="00F93FD4" w:rsidTr="009F3B54">
        <w:trPr>
          <w:cantSplit/>
        </w:trPr>
        <w:tc>
          <w:tcPr>
            <w:tcW w:w="3155" w:type="dxa"/>
            <w:tcBorders>
              <w:top w:val="single" w:sz="6" w:space="0" w:color="auto"/>
              <w:left w:val="nil"/>
              <w:right w:val="nil"/>
            </w:tcBorders>
            <w:shd w:val="clear" w:color="auto" w:fill="auto"/>
          </w:tcPr>
          <w:p w:rsidR="00B958B1" w:rsidRPr="00F93FD4" w:rsidRDefault="00B958B1" w:rsidP="009F3B54">
            <w:pPr>
              <w:pStyle w:val="OGTabText"/>
              <w:pageBreakBefore/>
            </w:pPr>
            <w:r w:rsidRPr="00F93FD4">
              <w:t>Communication activities/products/policies reviewed by the Advertising and Communications Committee (ACC)</w:t>
            </w:r>
          </w:p>
        </w:tc>
        <w:tc>
          <w:tcPr>
            <w:tcW w:w="970" w:type="dxa"/>
            <w:tcBorders>
              <w:top w:val="single" w:sz="6" w:space="0" w:color="auto"/>
              <w:left w:val="nil"/>
              <w:right w:val="nil"/>
            </w:tcBorders>
            <w:shd w:val="clear" w:color="auto" w:fill="auto"/>
            <w:noWrap/>
          </w:tcPr>
          <w:p w:rsidR="00B958B1" w:rsidRPr="00F93FD4" w:rsidRDefault="00B958B1" w:rsidP="009F3B54">
            <w:pPr>
              <w:pStyle w:val="OGUoM"/>
            </w:pPr>
            <w:r w:rsidRPr="00F93FD4">
              <w:t>number</w:t>
            </w:r>
          </w:p>
        </w:tc>
        <w:tc>
          <w:tcPr>
            <w:tcW w:w="844" w:type="dxa"/>
            <w:tcBorders>
              <w:top w:val="single" w:sz="6" w:space="0" w:color="auto"/>
              <w:left w:val="nil"/>
              <w:right w:val="nil"/>
            </w:tcBorders>
            <w:shd w:val="clear" w:color="auto" w:fill="D9D9D9"/>
            <w:noWrap/>
          </w:tcPr>
          <w:p w:rsidR="00B958B1" w:rsidRPr="00F93FD4" w:rsidRDefault="00B958B1" w:rsidP="009F3B54">
            <w:pPr>
              <w:pStyle w:val="OGTableofFigures"/>
            </w:pPr>
            <w:r w:rsidRPr="00F93FD4">
              <w:t>45</w:t>
            </w:r>
          </w:p>
        </w:tc>
        <w:tc>
          <w:tcPr>
            <w:tcW w:w="993" w:type="dxa"/>
            <w:tcBorders>
              <w:top w:val="single" w:sz="6" w:space="0" w:color="auto"/>
              <w:left w:val="nil"/>
              <w:right w:val="nil"/>
            </w:tcBorders>
            <w:shd w:val="clear" w:color="auto" w:fill="auto"/>
            <w:noWrap/>
          </w:tcPr>
          <w:p w:rsidR="00B958B1" w:rsidRPr="00F93FD4" w:rsidRDefault="00B958B1" w:rsidP="009F3B54">
            <w:pPr>
              <w:pStyle w:val="OGTableofFigures"/>
            </w:pPr>
            <w:r w:rsidRPr="00F93FD4">
              <w:t>42</w:t>
            </w:r>
          </w:p>
        </w:tc>
        <w:tc>
          <w:tcPr>
            <w:tcW w:w="907" w:type="dxa"/>
            <w:tcBorders>
              <w:top w:val="single" w:sz="6" w:space="0" w:color="auto"/>
              <w:left w:val="nil"/>
              <w:right w:val="nil"/>
            </w:tcBorders>
            <w:shd w:val="clear" w:color="auto" w:fill="auto"/>
            <w:noWrap/>
          </w:tcPr>
          <w:p w:rsidR="00B958B1" w:rsidRPr="00F93FD4" w:rsidRDefault="00B958B1" w:rsidP="009F3B54">
            <w:pPr>
              <w:pStyle w:val="OGTableofFigures"/>
            </w:pPr>
            <w:r w:rsidRPr="00F93FD4">
              <w:t>110</w:t>
            </w:r>
          </w:p>
        </w:tc>
        <w:tc>
          <w:tcPr>
            <w:tcW w:w="907" w:type="dxa"/>
            <w:tcBorders>
              <w:top w:val="single" w:sz="6" w:space="0" w:color="auto"/>
              <w:left w:val="nil"/>
              <w:right w:val="nil"/>
            </w:tcBorders>
            <w:shd w:val="clear" w:color="auto" w:fill="auto"/>
            <w:noWrap/>
          </w:tcPr>
          <w:p w:rsidR="00B958B1" w:rsidRPr="00F93FD4" w:rsidRDefault="00B958B1" w:rsidP="009F3B54">
            <w:pPr>
              <w:pStyle w:val="OGTableofFigures"/>
            </w:pPr>
            <w:r w:rsidRPr="00F93FD4">
              <w:t>87</w:t>
            </w:r>
          </w:p>
        </w:tc>
      </w:tr>
      <w:tr w:rsidR="00B958B1" w:rsidRPr="00F93FD4" w:rsidTr="009F3B54">
        <w:trPr>
          <w:cantSplit/>
        </w:trPr>
        <w:tc>
          <w:tcPr>
            <w:tcW w:w="7776" w:type="dxa"/>
            <w:gridSpan w:val="6"/>
            <w:tcBorders>
              <w:top w:val="nil"/>
              <w:left w:val="nil"/>
              <w:bottom w:val="single" w:sz="6" w:space="0" w:color="auto"/>
              <w:right w:val="nil"/>
            </w:tcBorders>
            <w:shd w:val="clear" w:color="auto" w:fill="auto"/>
          </w:tcPr>
          <w:p w:rsidR="00B958B1" w:rsidRPr="00F93FD4" w:rsidRDefault="00B958B1" w:rsidP="009F3B54">
            <w:pPr>
              <w:pStyle w:val="OGNotes"/>
            </w:pPr>
            <w:r w:rsidRPr="00F93FD4">
              <w:t>This performance measure is proposed to be discontinued as this activity is captured in the 2013</w:t>
            </w:r>
            <w:r w:rsidR="009F0F49">
              <w:noBreakHyphen/>
            </w:r>
            <w:r w:rsidRPr="00F93FD4">
              <w:t>14 performance measure ‘Number of briefs supporting Cabinet and Cabinet committee decision</w:t>
            </w:r>
            <w:r w:rsidR="009F0F49">
              <w:noBreakHyphen/>
            </w:r>
            <w:r w:rsidRPr="00F93FD4">
              <w:t>making’ in the Department’s Strategic Advice and Government Support output.</w:t>
            </w:r>
          </w:p>
          <w:p w:rsidR="00B958B1" w:rsidRPr="00F93FD4" w:rsidRDefault="00B958B1" w:rsidP="009F3B54">
            <w:pPr>
              <w:pStyle w:val="OGNotes"/>
            </w:pPr>
            <w:r w:rsidRPr="00F93FD4">
              <w:t>The 2012</w:t>
            </w:r>
            <w:r w:rsidR="009F0F49">
              <w:noBreakHyphen/>
            </w:r>
            <w:r w:rsidRPr="00F93FD4">
              <w:t>13 Expected Outcome is lower than the 2012</w:t>
            </w:r>
            <w:r w:rsidR="009F0F49">
              <w:noBreakHyphen/>
            </w:r>
            <w:r w:rsidRPr="00F93FD4">
              <w:t>13 Target due to the Government commitment to reduce advertising expenditure. The ACC also now reviews departmental communication plans on an annual basis, rather than individual campaigns. Together, these factors have reduced the number of submissions reviewed by the ACC. The 2013</w:t>
            </w:r>
            <w:r w:rsidR="009F0F49">
              <w:noBreakHyphen/>
            </w:r>
            <w:r w:rsidRPr="00F93FD4">
              <w:t>14 Target has been revised downwards to reflect this.</w:t>
            </w:r>
          </w:p>
        </w:tc>
      </w:tr>
      <w:tr w:rsidR="00B958B1" w:rsidRPr="00F93FD4" w:rsidTr="009F3B54">
        <w:trPr>
          <w:cantSplit/>
        </w:trPr>
        <w:tc>
          <w:tcPr>
            <w:tcW w:w="3155" w:type="dxa"/>
            <w:tcBorders>
              <w:top w:val="nil"/>
              <w:left w:val="nil"/>
              <w:bottom w:val="nil"/>
              <w:right w:val="nil"/>
            </w:tcBorders>
            <w:shd w:val="clear" w:color="auto" w:fill="auto"/>
            <w:hideMark/>
          </w:tcPr>
          <w:p w:rsidR="00B958B1" w:rsidRPr="00F93FD4" w:rsidRDefault="00B958B1" w:rsidP="009F3B54">
            <w:pPr>
              <w:pStyle w:val="OGTabHead"/>
            </w:pPr>
            <w:r w:rsidRPr="00F93FD4">
              <w:t>Quality</w:t>
            </w:r>
          </w:p>
        </w:tc>
        <w:tc>
          <w:tcPr>
            <w:tcW w:w="970" w:type="dxa"/>
            <w:tcBorders>
              <w:top w:val="nil"/>
              <w:left w:val="nil"/>
              <w:bottom w:val="nil"/>
              <w:right w:val="nil"/>
            </w:tcBorders>
            <w:shd w:val="clear" w:color="auto" w:fill="auto"/>
            <w:noWrap/>
            <w:hideMark/>
          </w:tcPr>
          <w:p w:rsidR="00B958B1" w:rsidRPr="00F93FD4" w:rsidRDefault="00B958B1" w:rsidP="009F3B54">
            <w:pPr>
              <w:pStyle w:val="OGTabHead"/>
            </w:pPr>
            <w:r w:rsidRPr="00F93FD4">
              <w:t> </w:t>
            </w:r>
          </w:p>
        </w:tc>
        <w:tc>
          <w:tcPr>
            <w:tcW w:w="844" w:type="dxa"/>
            <w:tcBorders>
              <w:top w:val="nil"/>
              <w:left w:val="nil"/>
              <w:bottom w:val="nil"/>
              <w:right w:val="nil"/>
            </w:tcBorders>
            <w:shd w:val="clear" w:color="auto" w:fill="D9D9D9"/>
            <w:noWrap/>
            <w:hideMark/>
          </w:tcPr>
          <w:p w:rsidR="00B958B1" w:rsidRPr="00F93FD4" w:rsidRDefault="00B958B1" w:rsidP="009F3B54">
            <w:pPr>
              <w:pStyle w:val="OGTabHead"/>
            </w:pPr>
            <w:r w:rsidRPr="00F93FD4">
              <w:t> </w:t>
            </w:r>
          </w:p>
        </w:tc>
        <w:tc>
          <w:tcPr>
            <w:tcW w:w="993" w:type="dxa"/>
            <w:tcBorders>
              <w:top w:val="nil"/>
              <w:left w:val="nil"/>
              <w:bottom w:val="nil"/>
              <w:right w:val="nil"/>
            </w:tcBorders>
            <w:shd w:val="clear" w:color="auto" w:fill="auto"/>
            <w:noWrap/>
            <w:hideMark/>
          </w:tcPr>
          <w:p w:rsidR="00B958B1" w:rsidRPr="00F93FD4" w:rsidRDefault="00B958B1" w:rsidP="009F3B54">
            <w:pPr>
              <w:pStyle w:val="OGTabHead"/>
            </w:pPr>
            <w:r w:rsidRPr="00F93FD4">
              <w:t> </w:t>
            </w:r>
          </w:p>
        </w:tc>
        <w:tc>
          <w:tcPr>
            <w:tcW w:w="907" w:type="dxa"/>
            <w:tcBorders>
              <w:top w:val="nil"/>
              <w:left w:val="nil"/>
              <w:bottom w:val="nil"/>
              <w:right w:val="nil"/>
            </w:tcBorders>
            <w:shd w:val="clear" w:color="auto" w:fill="auto"/>
            <w:noWrap/>
            <w:hideMark/>
          </w:tcPr>
          <w:p w:rsidR="00B958B1" w:rsidRPr="00F93FD4" w:rsidRDefault="00B958B1" w:rsidP="009F3B54">
            <w:pPr>
              <w:pStyle w:val="OGTabHead"/>
            </w:pPr>
            <w:r w:rsidRPr="00F93FD4">
              <w:t> </w:t>
            </w:r>
          </w:p>
        </w:tc>
        <w:tc>
          <w:tcPr>
            <w:tcW w:w="907" w:type="dxa"/>
            <w:tcBorders>
              <w:top w:val="nil"/>
              <w:left w:val="nil"/>
              <w:bottom w:val="nil"/>
              <w:right w:val="nil"/>
            </w:tcBorders>
            <w:shd w:val="clear" w:color="auto" w:fill="auto"/>
            <w:noWrap/>
            <w:hideMark/>
          </w:tcPr>
          <w:p w:rsidR="00B958B1" w:rsidRPr="00F93FD4" w:rsidRDefault="00B958B1" w:rsidP="009F3B54">
            <w:pPr>
              <w:pStyle w:val="OGTabHead"/>
            </w:pPr>
            <w:r w:rsidRPr="00F93FD4">
              <w:t> </w:t>
            </w:r>
          </w:p>
        </w:tc>
      </w:tr>
      <w:tr w:rsidR="00B958B1" w:rsidRPr="00F93FD4" w:rsidTr="009F3B54">
        <w:trPr>
          <w:cantSplit/>
        </w:trPr>
        <w:tc>
          <w:tcPr>
            <w:tcW w:w="3155" w:type="dxa"/>
            <w:tcBorders>
              <w:top w:val="nil"/>
              <w:left w:val="nil"/>
              <w:bottom w:val="nil"/>
              <w:right w:val="nil"/>
            </w:tcBorders>
            <w:shd w:val="clear" w:color="auto" w:fill="auto"/>
          </w:tcPr>
          <w:p w:rsidR="00B958B1" w:rsidRPr="00F93FD4" w:rsidRDefault="00B958B1" w:rsidP="009F3B54">
            <w:pPr>
              <w:pStyle w:val="OGTabText"/>
            </w:pPr>
            <w:r w:rsidRPr="00F93FD4">
              <w:t>Policy services rating</w:t>
            </w:r>
          </w:p>
        </w:tc>
        <w:tc>
          <w:tcPr>
            <w:tcW w:w="970" w:type="dxa"/>
            <w:tcBorders>
              <w:top w:val="nil"/>
              <w:left w:val="nil"/>
              <w:bottom w:val="nil"/>
              <w:right w:val="nil"/>
            </w:tcBorders>
            <w:shd w:val="clear" w:color="auto" w:fill="auto"/>
            <w:noWrap/>
          </w:tcPr>
          <w:p w:rsidR="00B958B1" w:rsidRPr="00F93FD4" w:rsidRDefault="00B958B1" w:rsidP="009F3B54">
            <w:pPr>
              <w:pStyle w:val="OGUoM"/>
            </w:pPr>
            <w:r w:rsidRPr="00F93FD4">
              <w:t>per cent</w:t>
            </w:r>
          </w:p>
        </w:tc>
        <w:tc>
          <w:tcPr>
            <w:tcW w:w="844" w:type="dxa"/>
            <w:tcBorders>
              <w:top w:val="nil"/>
              <w:left w:val="nil"/>
              <w:bottom w:val="nil"/>
              <w:right w:val="nil"/>
            </w:tcBorders>
            <w:shd w:val="clear" w:color="auto" w:fill="D9D9D9"/>
            <w:noWrap/>
          </w:tcPr>
          <w:p w:rsidR="00B958B1" w:rsidRPr="00F93FD4" w:rsidRDefault="00B958B1" w:rsidP="009F3B54">
            <w:pPr>
              <w:pStyle w:val="OGTableofFigures"/>
            </w:pPr>
            <w:r w:rsidRPr="00F93FD4">
              <w:t>86</w:t>
            </w:r>
          </w:p>
        </w:tc>
        <w:tc>
          <w:tcPr>
            <w:tcW w:w="993" w:type="dxa"/>
            <w:tcBorders>
              <w:top w:val="nil"/>
              <w:left w:val="nil"/>
              <w:bottom w:val="nil"/>
              <w:right w:val="nil"/>
            </w:tcBorders>
            <w:shd w:val="clear" w:color="auto" w:fill="auto"/>
            <w:noWrap/>
          </w:tcPr>
          <w:p w:rsidR="00B958B1" w:rsidRPr="00F93FD4" w:rsidRDefault="00B958B1" w:rsidP="009F3B54">
            <w:pPr>
              <w:pStyle w:val="OGTableofFigures"/>
            </w:pPr>
            <w:r w:rsidRPr="00F93FD4">
              <w:t>86</w:t>
            </w:r>
          </w:p>
        </w:tc>
        <w:tc>
          <w:tcPr>
            <w:tcW w:w="907" w:type="dxa"/>
            <w:tcBorders>
              <w:top w:val="nil"/>
              <w:left w:val="nil"/>
              <w:bottom w:val="nil"/>
              <w:right w:val="nil"/>
            </w:tcBorders>
            <w:shd w:val="clear" w:color="auto" w:fill="auto"/>
            <w:noWrap/>
          </w:tcPr>
          <w:p w:rsidR="00B958B1" w:rsidRPr="00F93FD4" w:rsidRDefault="00B958B1" w:rsidP="009F3B54">
            <w:pPr>
              <w:pStyle w:val="OGTableofFigures"/>
            </w:pPr>
            <w:r w:rsidRPr="00F93FD4">
              <w:t>86</w:t>
            </w:r>
          </w:p>
        </w:tc>
        <w:tc>
          <w:tcPr>
            <w:tcW w:w="907" w:type="dxa"/>
            <w:tcBorders>
              <w:top w:val="nil"/>
              <w:left w:val="nil"/>
              <w:bottom w:val="nil"/>
              <w:right w:val="nil"/>
            </w:tcBorders>
            <w:shd w:val="clear" w:color="auto" w:fill="auto"/>
            <w:noWrap/>
          </w:tcPr>
          <w:p w:rsidR="00B958B1" w:rsidRPr="00F93FD4" w:rsidRDefault="00B958B1" w:rsidP="009F3B54">
            <w:pPr>
              <w:pStyle w:val="OGTableofFigures"/>
            </w:pPr>
            <w:r w:rsidRPr="00F93FD4">
              <w:t>85</w:t>
            </w:r>
          </w:p>
        </w:tc>
      </w:tr>
      <w:tr w:rsidR="00B958B1" w:rsidRPr="00F93FD4" w:rsidTr="009F3B54">
        <w:trPr>
          <w:cantSplit/>
        </w:trPr>
        <w:tc>
          <w:tcPr>
            <w:tcW w:w="7776" w:type="dxa"/>
            <w:gridSpan w:val="6"/>
            <w:tcBorders>
              <w:top w:val="nil"/>
              <w:left w:val="nil"/>
              <w:bottom w:val="single" w:sz="4" w:space="0" w:color="auto"/>
              <w:right w:val="nil"/>
            </w:tcBorders>
            <w:shd w:val="clear" w:color="auto" w:fill="auto"/>
          </w:tcPr>
          <w:p w:rsidR="00B958B1" w:rsidRPr="00F93FD4" w:rsidRDefault="00B958B1" w:rsidP="009F3B54">
            <w:pPr>
              <w:pStyle w:val="OGNotes"/>
            </w:pPr>
            <w:r w:rsidRPr="00F93FD4">
              <w:t>This performance measure is proposed to be discontinued as this activity is captured in the 2013</w:t>
            </w:r>
            <w:r w:rsidR="009F0F49">
              <w:noBreakHyphen/>
            </w:r>
            <w:r w:rsidRPr="00F93FD4">
              <w:t>14 performance measure ‘Policy services satisfaction rating’ in the Department’s Strategic Advice and Government Support output.</w:t>
            </w:r>
          </w:p>
        </w:tc>
      </w:tr>
      <w:tr w:rsidR="00B958B1" w:rsidRPr="00F93FD4" w:rsidTr="009F3B54">
        <w:trPr>
          <w:cantSplit/>
        </w:trPr>
        <w:tc>
          <w:tcPr>
            <w:tcW w:w="3155" w:type="dxa"/>
            <w:tcBorders>
              <w:top w:val="single" w:sz="4" w:space="0" w:color="auto"/>
              <w:left w:val="nil"/>
              <w:bottom w:val="nil"/>
              <w:right w:val="nil"/>
            </w:tcBorders>
            <w:shd w:val="clear" w:color="auto" w:fill="auto"/>
          </w:tcPr>
          <w:p w:rsidR="00B958B1" w:rsidRPr="00F93FD4" w:rsidRDefault="00B958B1" w:rsidP="009F3B54">
            <w:pPr>
              <w:pStyle w:val="OGTabHead"/>
            </w:pPr>
            <w:r w:rsidRPr="00F93FD4">
              <w:t>Timeliness</w:t>
            </w:r>
          </w:p>
        </w:tc>
        <w:tc>
          <w:tcPr>
            <w:tcW w:w="970" w:type="dxa"/>
            <w:tcBorders>
              <w:top w:val="single" w:sz="4" w:space="0" w:color="auto"/>
              <w:left w:val="nil"/>
              <w:bottom w:val="nil"/>
              <w:right w:val="nil"/>
            </w:tcBorders>
            <w:shd w:val="clear" w:color="auto" w:fill="auto"/>
            <w:noWrap/>
          </w:tcPr>
          <w:p w:rsidR="00B958B1" w:rsidRPr="00F93FD4" w:rsidRDefault="00B958B1" w:rsidP="009F3B54">
            <w:pPr>
              <w:pStyle w:val="OGTabHead"/>
            </w:pPr>
            <w:r w:rsidRPr="00F93FD4">
              <w:t> </w:t>
            </w:r>
          </w:p>
        </w:tc>
        <w:tc>
          <w:tcPr>
            <w:tcW w:w="844" w:type="dxa"/>
            <w:tcBorders>
              <w:top w:val="single" w:sz="4" w:space="0" w:color="auto"/>
              <w:left w:val="nil"/>
              <w:bottom w:val="nil"/>
              <w:right w:val="nil"/>
            </w:tcBorders>
            <w:shd w:val="clear" w:color="auto" w:fill="D9D9D9"/>
            <w:noWrap/>
          </w:tcPr>
          <w:p w:rsidR="00B958B1" w:rsidRPr="00F93FD4" w:rsidRDefault="00B958B1" w:rsidP="009F3B54">
            <w:pPr>
              <w:pStyle w:val="OGTabHead"/>
            </w:pPr>
            <w:r w:rsidRPr="00F93FD4">
              <w:t> </w:t>
            </w:r>
          </w:p>
        </w:tc>
        <w:tc>
          <w:tcPr>
            <w:tcW w:w="993" w:type="dxa"/>
            <w:tcBorders>
              <w:top w:val="single" w:sz="4" w:space="0" w:color="auto"/>
              <w:left w:val="nil"/>
              <w:bottom w:val="nil"/>
              <w:right w:val="nil"/>
            </w:tcBorders>
            <w:shd w:val="clear" w:color="auto" w:fill="auto"/>
            <w:noWrap/>
          </w:tcPr>
          <w:p w:rsidR="00B958B1" w:rsidRPr="00F93FD4" w:rsidRDefault="00B958B1" w:rsidP="009F3B54">
            <w:pPr>
              <w:pStyle w:val="OGTabHead"/>
            </w:pPr>
            <w:r w:rsidRPr="00F93FD4">
              <w:t> </w:t>
            </w:r>
          </w:p>
        </w:tc>
        <w:tc>
          <w:tcPr>
            <w:tcW w:w="907" w:type="dxa"/>
            <w:tcBorders>
              <w:top w:val="single" w:sz="4" w:space="0" w:color="auto"/>
              <w:left w:val="nil"/>
              <w:bottom w:val="nil"/>
              <w:right w:val="nil"/>
            </w:tcBorders>
            <w:shd w:val="clear" w:color="auto" w:fill="auto"/>
            <w:noWrap/>
          </w:tcPr>
          <w:p w:rsidR="00B958B1" w:rsidRPr="00F93FD4" w:rsidRDefault="00B958B1" w:rsidP="009F3B54">
            <w:pPr>
              <w:pStyle w:val="OGTabHead"/>
            </w:pPr>
            <w:r w:rsidRPr="00F93FD4">
              <w:t> </w:t>
            </w:r>
          </w:p>
        </w:tc>
        <w:tc>
          <w:tcPr>
            <w:tcW w:w="907" w:type="dxa"/>
            <w:tcBorders>
              <w:top w:val="single" w:sz="4" w:space="0" w:color="auto"/>
              <w:left w:val="nil"/>
              <w:bottom w:val="nil"/>
              <w:right w:val="nil"/>
            </w:tcBorders>
            <w:shd w:val="clear" w:color="auto" w:fill="auto"/>
            <w:noWrap/>
          </w:tcPr>
          <w:p w:rsidR="00B958B1" w:rsidRPr="00F93FD4" w:rsidRDefault="00B958B1" w:rsidP="009F3B54">
            <w:pPr>
              <w:pStyle w:val="OGTabHead"/>
            </w:pPr>
            <w:r w:rsidRPr="00F93FD4">
              <w:t> </w:t>
            </w:r>
          </w:p>
        </w:tc>
      </w:tr>
      <w:tr w:rsidR="00B958B1" w:rsidRPr="00F93FD4" w:rsidTr="009F3B54">
        <w:trPr>
          <w:cantSplit/>
        </w:trPr>
        <w:tc>
          <w:tcPr>
            <w:tcW w:w="3155" w:type="dxa"/>
            <w:tcBorders>
              <w:top w:val="nil"/>
              <w:left w:val="nil"/>
              <w:bottom w:val="nil"/>
              <w:right w:val="nil"/>
            </w:tcBorders>
            <w:shd w:val="clear" w:color="auto" w:fill="auto"/>
          </w:tcPr>
          <w:p w:rsidR="00B958B1" w:rsidRPr="00F93FD4" w:rsidRDefault="00B958B1" w:rsidP="009F3B54">
            <w:pPr>
              <w:pStyle w:val="OGTabText"/>
            </w:pPr>
            <w:r w:rsidRPr="00F93FD4">
              <w:t xml:space="preserve">Communication activities/products/policies reviewed by ACC by due date </w:t>
            </w:r>
          </w:p>
        </w:tc>
        <w:tc>
          <w:tcPr>
            <w:tcW w:w="970" w:type="dxa"/>
            <w:tcBorders>
              <w:top w:val="nil"/>
              <w:left w:val="nil"/>
              <w:bottom w:val="nil"/>
              <w:right w:val="nil"/>
            </w:tcBorders>
            <w:shd w:val="clear" w:color="auto" w:fill="auto"/>
            <w:noWrap/>
          </w:tcPr>
          <w:p w:rsidR="00B958B1" w:rsidRPr="00F93FD4" w:rsidRDefault="00B958B1" w:rsidP="009F3B54">
            <w:pPr>
              <w:pStyle w:val="OGUoM"/>
            </w:pPr>
            <w:r w:rsidRPr="00F93FD4">
              <w:t>per cent</w:t>
            </w:r>
          </w:p>
        </w:tc>
        <w:tc>
          <w:tcPr>
            <w:tcW w:w="844" w:type="dxa"/>
            <w:tcBorders>
              <w:top w:val="nil"/>
              <w:left w:val="nil"/>
              <w:bottom w:val="nil"/>
              <w:right w:val="nil"/>
            </w:tcBorders>
            <w:shd w:val="clear" w:color="auto" w:fill="D9D9D9"/>
            <w:noWrap/>
          </w:tcPr>
          <w:p w:rsidR="00B958B1" w:rsidRPr="00F93FD4" w:rsidRDefault="00B958B1" w:rsidP="009F3B54">
            <w:pPr>
              <w:pStyle w:val="OGTableofFigures"/>
            </w:pPr>
            <w:r w:rsidRPr="00F93FD4">
              <w:t>95</w:t>
            </w:r>
          </w:p>
        </w:tc>
        <w:tc>
          <w:tcPr>
            <w:tcW w:w="993" w:type="dxa"/>
            <w:tcBorders>
              <w:top w:val="nil"/>
              <w:left w:val="nil"/>
              <w:bottom w:val="nil"/>
              <w:right w:val="nil"/>
            </w:tcBorders>
            <w:shd w:val="clear" w:color="auto" w:fill="auto"/>
            <w:noWrap/>
          </w:tcPr>
          <w:p w:rsidR="00B958B1" w:rsidRPr="00F93FD4" w:rsidRDefault="00B958B1" w:rsidP="009F3B54">
            <w:pPr>
              <w:pStyle w:val="OGTableofFigures"/>
            </w:pPr>
            <w:r w:rsidRPr="00F93FD4">
              <w:t>95</w:t>
            </w:r>
          </w:p>
        </w:tc>
        <w:tc>
          <w:tcPr>
            <w:tcW w:w="907" w:type="dxa"/>
            <w:tcBorders>
              <w:top w:val="nil"/>
              <w:left w:val="nil"/>
              <w:bottom w:val="nil"/>
              <w:right w:val="nil"/>
            </w:tcBorders>
            <w:shd w:val="clear" w:color="auto" w:fill="auto"/>
            <w:noWrap/>
          </w:tcPr>
          <w:p w:rsidR="00B958B1" w:rsidRPr="00F93FD4" w:rsidRDefault="00B958B1" w:rsidP="009F3B54">
            <w:pPr>
              <w:pStyle w:val="OGTableofFigures"/>
            </w:pPr>
            <w:r w:rsidRPr="00F93FD4">
              <w:t>95</w:t>
            </w:r>
          </w:p>
        </w:tc>
        <w:tc>
          <w:tcPr>
            <w:tcW w:w="907" w:type="dxa"/>
            <w:tcBorders>
              <w:top w:val="nil"/>
              <w:left w:val="nil"/>
              <w:bottom w:val="nil"/>
              <w:right w:val="nil"/>
            </w:tcBorders>
            <w:shd w:val="clear" w:color="auto" w:fill="auto"/>
            <w:noWrap/>
          </w:tcPr>
          <w:p w:rsidR="00B958B1" w:rsidRPr="00F93FD4" w:rsidRDefault="00B958B1" w:rsidP="009F3B54">
            <w:pPr>
              <w:pStyle w:val="OGTableofFigures"/>
            </w:pPr>
            <w:r w:rsidRPr="00F93FD4">
              <w:t>91</w:t>
            </w:r>
          </w:p>
        </w:tc>
      </w:tr>
      <w:tr w:rsidR="00B958B1" w:rsidRPr="00F93FD4" w:rsidTr="009F3B54">
        <w:trPr>
          <w:cantSplit/>
        </w:trPr>
        <w:tc>
          <w:tcPr>
            <w:tcW w:w="7776" w:type="dxa"/>
            <w:gridSpan w:val="6"/>
            <w:tcBorders>
              <w:top w:val="nil"/>
              <w:left w:val="nil"/>
              <w:bottom w:val="single" w:sz="6" w:space="0" w:color="auto"/>
              <w:right w:val="nil"/>
            </w:tcBorders>
            <w:shd w:val="clear" w:color="auto" w:fill="auto"/>
          </w:tcPr>
          <w:p w:rsidR="00B958B1" w:rsidRPr="00F93FD4" w:rsidRDefault="00B958B1" w:rsidP="009F3B54">
            <w:pPr>
              <w:pStyle w:val="OGNotes"/>
            </w:pPr>
            <w:r w:rsidRPr="00F93FD4">
              <w:t>This performance measure is proposed to be discontinued as this activity is captured in the new performance measure for 2013</w:t>
            </w:r>
            <w:r w:rsidR="009F0F49">
              <w:noBreakHyphen/>
            </w:r>
            <w:r w:rsidRPr="00F93FD4">
              <w:t>14, ‘Cabinet and Cabinet committee meetings, and Cabinet visits to met</w:t>
            </w:r>
            <w:r>
              <w:t xml:space="preserve">ropolitan and regional Victoria </w:t>
            </w:r>
            <w:r w:rsidRPr="00F93FD4">
              <w:t>supported to the requirement of the Government’ in the Department’s Strategic Advice and Government Support output.</w:t>
            </w:r>
          </w:p>
        </w:tc>
      </w:tr>
      <w:tr w:rsidR="00B958B1" w:rsidRPr="00F93FD4" w:rsidTr="009F3B54">
        <w:trPr>
          <w:cantSplit/>
        </w:trPr>
        <w:tc>
          <w:tcPr>
            <w:tcW w:w="3155" w:type="dxa"/>
            <w:tcBorders>
              <w:top w:val="single" w:sz="6" w:space="0" w:color="auto"/>
              <w:left w:val="nil"/>
              <w:bottom w:val="nil"/>
              <w:right w:val="nil"/>
            </w:tcBorders>
            <w:shd w:val="clear" w:color="auto" w:fill="auto"/>
          </w:tcPr>
          <w:p w:rsidR="00B958B1" w:rsidRPr="00F93FD4" w:rsidRDefault="00B958B1" w:rsidP="009F3B54">
            <w:pPr>
              <w:pStyle w:val="OGTabHead"/>
            </w:pPr>
            <w:r w:rsidRPr="00F93FD4">
              <w:t>Cost</w:t>
            </w:r>
          </w:p>
        </w:tc>
        <w:tc>
          <w:tcPr>
            <w:tcW w:w="970" w:type="dxa"/>
            <w:tcBorders>
              <w:top w:val="single" w:sz="6" w:space="0" w:color="auto"/>
              <w:left w:val="nil"/>
              <w:bottom w:val="nil"/>
              <w:right w:val="nil"/>
            </w:tcBorders>
            <w:shd w:val="clear" w:color="auto" w:fill="auto"/>
            <w:noWrap/>
          </w:tcPr>
          <w:p w:rsidR="00B958B1" w:rsidRPr="00F93FD4" w:rsidRDefault="00B958B1" w:rsidP="009F3B54">
            <w:pPr>
              <w:pStyle w:val="OGTabHead"/>
            </w:pPr>
          </w:p>
        </w:tc>
        <w:tc>
          <w:tcPr>
            <w:tcW w:w="844" w:type="dxa"/>
            <w:tcBorders>
              <w:top w:val="single" w:sz="6" w:space="0" w:color="auto"/>
              <w:left w:val="nil"/>
              <w:bottom w:val="nil"/>
              <w:right w:val="nil"/>
            </w:tcBorders>
            <w:shd w:val="clear" w:color="auto" w:fill="D9D9D9"/>
            <w:noWrap/>
          </w:tcPr>
          <w:p w:rsidR="00B958B1" w:rsidRPr="00F93FD4" w:rsidRDefault="00B958B1" w:rsidP="009F3B54">
            <w:pPr>
              <w:pStyle w:val="OGTabHead"/>
            </w:pPr>
          </w:p>
        </w:tc>
        <w:tc>
          <w:tcPr>
            <w:tcW w:w="993" w:type="dxa"/>
            <w:tcBorders>
              <w:top w:val="single" w:sz="6" w:space="0" w:color="auto"/>
              <w:left w:val="nil"/>
              <w:bottom w:val="nil"/>
              <w:right w:val="nil"/>
            </w:tcBorders>
            <w:shd w:val="clear" w:color="auto" w:fill="auto"/>
            <w:noWrap/>
          </w:tcPr>
          <w:p w:rsidR="00B958B1" w:rsidRPr="00F93FD4" w:rsidRDefault="00B958B1" w:rsidP="009F3B54">
            <w:pPr>
              <w:pStyle w:val="OGTabHead"/>
            </w:pPr>
          </w:p>
        </w:tc>
        <w:tc>
          <w:tcPr>
            <w:tcW w:w="907" w:type="dxa"/>
            <w:tcBorders>
              <w:top w:val="single" w:sz="6" w:space="0" w:color="auto"/>
              <w:left w:val="nil"/>
              <w:bottom w:val="nil"/>
              <w:right w:val="nil"/>
            </w:tcBorders>
            <w:shd w:val="clear" w:color="auto" w:fill="auto"/>
            <w:noWrap/>
          </w:tcPr>
          <w:p w:rsidR="00B958B1" w:rsidRPr="00F93FD4" w:rsidRDefault="00B958B1" w:rsidP="009F3B54">
            <w:pPr>
              <w:pStyle w:val="OGTabHead"/>
            </w:pPr>
          </w:p>
        </w:tc>
        <w:tc>
          <w:tcPr>
            <w:tcW w:w="907" w:type="dxa"/>
            <w:tcBorders>
              <w:top w:val="single" w:sz="6" w:space="0" w:color="auto"/>
              <w:left w:val="nil"/>
              <w:bottom w:val="nil"/>
              <w:right w:val="nil"/>
            </w:tcBorders>
            <w:shd w:val="clear" w:color="auto" w:fill="auto"/>
            <w:noWrap/>
          </w:tcPr>
          <w:p w:rsidR="00B958B1" w:rsidRPr="00F93FD4" w:rsidRDefault="00B958B1" w:rsidP="009F3B54">
            <w:pPr>
              <w:pStyle w:val="OGTabHead"/>
            </w:pPr>
          </w:p>
        </w:tc>
      </w:tr>
      <w:tr w:rsidR="00B958B1" w:rsidRPr="00F93FD4" w:rsidTr="009F3B54">
        <w:trPr>
          <w:cantSplit/>
        </w:trPr>
        <w:tc>
          <w:tcPr>
            <w:tcW w:w="3155" w:type="dxa"/>
            <w:tcBorders>
              <w:top w:val="nil"/>
              <w:left w:val="nil"/>
              <w:bottom w:val="nil"/>
              <w:right w:val="nil"/>
            </w:tcBorders>
            <w:shd w:val="clear" w:color="auto" w:fill="auto"/>
          </w:tcPr>
          <w:p w:rsidR="00B958B1" w:rsidRPr="00F93FD4" w:rsidRDefault="00B958B1" w:rsidP="009F3B54">
            <w:pPr>
              <w:pStyle w:val="OGTabText"/>
            </w:pPr>
            <w:r w:rsidRPr="00F93FD4">
              <w:t>Total output cost</w:t>
            </w:r>
          </w:p>
        </w:tc>
        <w:tc>
          <w:tcPr>
            <w:tcW w:w="970" w:type="dxa"/>
            <w:tcBorders>
              <w:top w:val="nil"/>
              <w:left w:val="nil"/>
              <w:bottom w:val="nil"/>
              <w:right w:val="nil"/>
            </w:tcBorders>
            <w:shd w:val="clear" w:color="auto" w:fill="auto"/>
            <w:noWrap/>
          </w:tcPr>
          <w:p w:rsidR="00B958B1" w:rsidRPr="00F93FD4" w:rsidRDefault="00B958B1" w:rsidP="009F3B54">
            <w:pPr>
              <w:pStyle w:val="OGUoM"/>
            </w:pPr>
            <w:r w:rsidRPr="00F93FD4">
              <w:t>$</w:t>
            </w:r>
            <w:r>
              <w:t> million</w:t>
            </w:r>
          </w:p>
        </w:tc>
        <w:tc>
          <w:tcPr>
            <w:tcW w:w="844" w:type="dxa"/>
            <w:tcBorders>
              <w:top w:val="nil"/>
              <w:left w:val="nil"/>
              <w:bottom w:val="nil"/>
              <w:right w:val="nil"/>
            </w:tcBorders>
            <w:shd w:val="clear" w:color="auto" w:fill="D9D9D9"/>
            <w:noWrap/>
          </w:tcPr>
          <w:p w:rsidR="00B958B1" w:rsidRPr="00F93FD4" w:rsidRDefault="00B958B1" w:rsidP="009F3B54">
            <w:pPr>
              <w:pStyle w:val="OGTableofFigures"/>
            </w:pPr>
            <w:r>
              <w:t>na</w:t>
            </w:r>
          </w:p>
        </w:tc>
        <w:tc>
          <w:tcPr>
            <w:tcW w:w="993" w:type="dxa"/>
            <w:tcBorders>
              <w:top w:val="nil"/>
              <w:left w:val="nil"/>
              <w:bottom w:val="nil"/>
              <w:right w:val="nil"/>
            </w:tcBorders>
            <w:shd w:val="clear" w:color="auto" w:fill="auto"/>
            <w:noWrap/>
          </w:tcPr>
          <w:p w:rsidR="00B958B1" w:rsidRPr="00F93FD4" w:rsidRDefault="00B958B1" w:rsidP="009F3B54">
            <w:pPr>
              <w:pStyle w:val="OGTableofFigures"/>
            </w:pPr>
            <w:r w:rsidRPr="00F93FD4">
              <w:t>40.8</w:t>
            </w:r>
          </w:p>
        </w:tc>
        <w:tc>
          <w:tcPr>
            <w:tcW w:w="907" w:type="dxa"/>
            <w:tcBorders>
              <w:top w:val="nil"/>
              <w:left w:val="nil"/>
              <w:bottom w:val="nil"/>
              <w:right w:val="nil"/>
            </w:tcBorders>
            <w:shd w:val="clear" w:color="auto" w:fill="auto"/>
            <w:noWrap/>
          </w:tcPr>
          <w:p w:rsidR="00B958B1" w:rsidRPr="00F93FD4" w:rsidRDefault="00B958B1" w:rsidP="009F3B54">
            <w:pPr>
              <w:pStyle w:val="OGTableofFigures"/>
            </w:pPr>
            <w:r w:rsidRPr="00F93FD4">
              <w:t>36.0</w:t>
            </w:r>
          </w:p>
        </w:tc>
        <w:tc>
          <w:tcPr>
            <w:tcW w:w="907" w:type="dxa"/>
            <w:tcBorders>
              <w:top w:val="nil"/>
              <w:left w:val="nil"/>
              <w:bottom w:val="nil"/>
              <w:right w:val="nil"/>
            </w:tcBorders>
            <w:shd w:val="clear" w:color="auto" w:fill="auto"/>
            <w:noWrap/>
          </w:tcPr>
          <w:p w:rsidR="00B958B1" w:rsidRPr="00F93FD4" w:rsidRDefault="00B958B1" w:rsidP="009F3B54">
            <w:pPr>
              <w:pStyle w:val="OGTableofFigures"/>
            </w:pPr>
            <w:r w:rsidRPr="00F93FD4">
              <w:t>36.7</w:t>
            </w:r>
          </w:p>
        </w:tc>
      </w:tr>
      <w:tr w:rsidR="00B958B1" w:rsidRPr="00F93FD4" w:rsidTr="009F3B54">
        <w:trPr>
          <w:cantSplit/>
        </w:trPr>
        <w:tc>
          <w:tcPr>
            <w:tcW w:w="7776" w:type="dxa"/>
            <w:gridSpan w:val="6"/>
            <w:tcBorders>
              <w:top w:val="nil"/>
              <w:left w:val="nil"/>
              <w:bottom w:val="single" w:sz="8" w:space="0" w:color="auto"/>
              <w:right w:val="nil"/>
            </w:tcBorders>
            <w:shd w:val="clear" w:color="auto" w:fill="auto"/>
          </w:tcPr>
          <w:p w:rsidR="00B958B1" w:rsidRPr="00F93FD4" w:rsidRDefault="00B958B1" w:rsidP="009F3B54">
            <w:pPr>
              <w:pStyle w:val="OGNotes"/>
            </w:pPr>
            <w:r w:rsidRPr="00F93FD4">
              <w:t>This output is proposed to be discontinued to reflect changes to the Department’s output structure as a result of a departmental review to improve alignment of D</w:t>
            </w:r>
            <w:r>
              <w:t>epartment</w:t>
            </w:r>
            <w:r w:rsidRPr="00F93FD4">
              <w:t>’s outputs to its corporate objectives and to better reflect existing key activities undertaken by the Department. The 2012</w:t>
            </w:r>
            <w:r w:rsidR="009F0F49">
              <w:noBreakHyphen/>
            </w:r>
            <w:r w:rsidRPr="00F93FD4">
              <w:t>13 output is replaced by the expanded 2013</w:t>
            </w:r>
            <w:r w:rsidR="009F0F49">
              <w:noBreakHyphen/>
            </w:r>
            <w:r w:rsidRPr="00F93FD4">
              <w:t>14 output ‘Strategic Advice and Government Support’.</w:t>
            </w:r>
          </w:p>
          <w:p w:rsidR="00B958B1" w:rsidRPr="00F93FD4" w:rsidRDefault="00B958B1" w:rsidP="009F3B54">
            <w:pPr>
              <w:pStyle w:val="OGNotes"/>
            </w:pPr>
            <w:r w:rsidRPr="00F93FD4">
              <w:t>The 2012</w:t>
            </w:r>
            <w:r w:rsidR="009F0F49">
              <w:noBreakHyphen/>
            </w:r>
            <w:r w:rsidRPr="00F93FD4">
              <w:t>13 Expected Outcome is higher than the 2012</w:t>
            </w:r>
            <w:r w:rsidR="009F0F49">
              <w:noBreakHyphen/>
            </w:r>
            <w:r w:rsidRPr="00F93FD4">
              <w:t>13 Target due to the realignment of some branches within the Department which resulted in the reallocation of funds and Treasurer’s Advance funding for the Fire Services Levy.</w:t>
            </w:r>
          </w:p>
        </w:tc>
      </w:tr>
      <w:tr w:rsidR="00B958B1" w:rsidRPr="00F93FD4" w:rsidTr="009F3B54">
        <w:trPr>
          <w:cantSplit/>
        </w:trPr>
        <w:tc>
          <w:tcPr>
            <w:tcW w:w="7776" w:type="dxa"/>
            <w:gridSpan w:val="6"/>
            <w:tcBorders>
              <w:top w:val="single" w:sz="8" w:space="0" w:color="auto"/>
              <w:left w:val="nil"/>
              <w:bottom w:val="single" w:sz="8" w:space="0" w:color="auto"/>
              <w:right w:val="nil"/>
            </w:tcBorders>
            <w:shd w:val="clear" w:color="auto" w:fill="auto"/>
            <w:hideMark/>
          </w:tcPr>
          <w:p w:rsidR="00B958B1" w:rsidRPr="00F93FD4" w:rsidRDefault="00B958B1" w:rsidP="009F3B54">
            <w:pPr>
              <w:pStyle w:val="OGHeading2"/>
            </w:pPr>
            <w:r w:rsidRPr="00F93FD4">
              <w:t>Protocol and Special Events</w:t>
            </w:r>
          </w:p>
        </w:tc>
      </w:tr>
      <w:tr w:rsidR="00B958B1" w:rsidRPr="00F93FD4" w:rsidTr="009F3B54">
        <w:trPr>
          <w:cantSplit/>
        </w:trPr>
        <w:tc>
          <w:tcPr>
            <w:tcW w:w="3155" w:type="dxa"/>
            <w:tcBorders>
              <w:top w:val="single" w:sz="8" w:space="0" w:color="auto"/>
              <w:left w:val="nil"/>
              <w:bottom w:val="nil"/>
              <w:right w:val="nil"/>
            </w:tcBorders>
            <w:shd w:val="clear" w:color="auto" w:fill="auto"/>
            <w:hideMark/>
          </w:tcPr>
          <w:p w:rsidR="00B958B1" w:rsidRPr="00F93FD4" w:rsidRDefault="00B958B1" w:rsidP="009F3B54">
            <w:pPr>
              <w:pStyle w:val="OGTabHead"/>
            </w:pPr>
            <w:r w:rsidRPr="00F93FD4">
              <w:t>Quality</w:t>
            </w:r>
          </w:p>
        </w:tc>
        <w:tc>
          <w:tcPr>
            <w:tcW w:w="970" w:type="dxa"/>
            <w:tcBorders>
              <w:top w:val="single" w:sz="8" w:space="0" w:color="auto"/>
              <w:left w:val="nil"/>
              <w:bottom w:val="nil"/>
              <w:right w:val="nil"/>
            </w:tcBorders>
            <w:shd w:val="clear" w:color="auto" w:fill="auto"/>
            <w:noWrap/>
            <w:hideMark/>
          </w:tcPr>
          <w:p w:rsidR="00B958B1" w:rsidRPr="00F93FD4" w:rsidRDefault="00B958B1" w:rsidP="009F3B54">
            <w:pPr>
              <w:pStyle w:val="OGTabHead"/>
            </w:pPr>
            <w:r w:rsidRPr="00F93FD4">
              <w:t> </w:t>
            </w:r>
          </w:p>
        </w:tc>
        <w:tc>
          <w:tcPr>
            <w:tcW w:w="844" w:type="dxa"/>
            <w:tcBorders>
              <w:top w:val="single" w:sz="8" w:space="0" w:color="auto"/>
              <w:left w:val="nil"/>
              <w:bottom w:val="nil"/>
              <w:right w:val="nil"/>
            </w:tcBorders>
            <w:shd w:val="clear" w:color="auto" w:fill="D9D9D9"/>
            <w:noWrap/>
            <w:hideMark/>
          </w:tcPr>
          <w:p w:rsidR="00B958B1" w:rsidRPr="00F93FD4" w:rsidRDefault="00B958B1" w:rsidP="009F3B54">
            <w:pPr>
              <w:pStyle w:val="OGTabHead"/>
            </w:pPr>
            <w:r w:rsidRPr="00F93FD4">
              <w:t> </w:t>
            </w:r>
          </w:p>
        </w:tc>
        <w:tc>
          <w:tcPr>
            <w:tcW w:w="993" w:type="dxa"/>
            <w:tcBorders>
              <w:top w:val="single" w:sz="8" w:space="0" w:color="auto"/>
              <w:left w:val="nil"/>
              <w:bottom w:val="nil"/>
              <w:right w:val="nil"/>
            </w:tcBorders>
            <w:shd w:val="clear" w:color="auto" w:fill="auto"/>
            <w:noWrap/>
            <w:hideMark/>
          </w:tcPr>
          <w:p w:rsidR="00B958B1" w:rsidRPr="00F93FD4" w:rsidRDefault="00B958B1" w:rsidP="009F3B54">
            <w:pPr>
              <w:pStyle w:val="OGTabHead"/>
            </w:pPr>
            <w:r w:rsidRPr="00F93FD4">
              <w:t> </w:t>
            </w:r>
          </w:p>
        </w:tc>
        <w:tc>
          <w:tcPr>
            <w:tcW w:w="907" w:type="dxa"/>
            <w:tcBorders>
              <w:top w:val="single" w:sz="8" w:space="0" w:color="auto"/>
              <w:left w:val="nil"/>
              <w:bottom w:val="nil"/>
              <w:right w:val="nil"/>
            </w:tcBorders>
            <w:shd w:val="clear" w:color="auto" w:fill="auto"/>
            <w:noWrap/>
            <w:hideMark/>
          </w:tcPr>
          <w:p w:rsidR="00B958B1" w:rsidRPr="00F93FD4" w:rsidRDefault="00B958B1" w:rsidP="009F3B54">
            <w:pPr>
              <w:pStyle w:val="OGTabHead"/>
            </w:pPr>
            <w:r w:rsidRPr="00F93FD4">
              <w:t> </w:t>
            </w:r>
          </w:p>
        </w:tc>
        <w:tc>
          <w:tcPr>
            <w:tcW w:w="907" w:type="dxa"/>
            <w:tcBorders>
              <w:top w:val="single" w:sz="8" w:space="0" w:color="auto"/>
              <w:left w:val="nil"/>
              <w:bottom w:val="nil"/>
              <w:right w:val="nil"/>
            </w:tcBorders>
            <w:shd w:val="clear" w:color="auto" w:fill="auto"/>
            <w:noWrap/>
            <w:hideMark/>
          </w:tcPr>
          <w:p w:rsidR="00B958B1" w:rsidRPr="00F93FD4" w:rsidRDefault="00B958B1" w:rsidP="009F3B54">
            <w:pPr>
              <w:pStyle w:val="OGTabHead"/>
            </w:pPr>
            <w:r w:rsidRPr="00F93FD4">
              <w:t> </w:t>
            </w:r>
          </w:p>
        </w:tc>
      </w:tr>
      <w:tr w:rsidR="00B958B1" w:rsidRPr="00F93FD4" w:rsidTr="009F3B54">
        <w:trPr>
          <w:cantSplit/>
        </w:trPr>
        <w:tc>
          <w:tcPr>
            <w:tcW w:w="3155" w:type="dxa"/>
            <w:tcBorders>
              <w:top w:val="nil"/>
              <w:left w:val="nil"/>
              <w:right w:val="nil"/>
            </w:tcBorders>
            <w:shd w:val="clear" w:color="auto" w:fill="auto"/>
          </w:tcPr>
          <w:p w:rsidR="00B958B1" w:rsidRPr="00F93FD4" w:rsidRDefault="00B958B1" w:rsidP="009F3B54">
            <w:pPr>
              <w:pStyle w:val="OGTabText"/>
            </w:pPr>
            <w:r w:rsidRPr="00F93FD4">
              <w:t>Policy services rating</w:t>
            </w:r>
          </w:p>
        </w:tc>
        <w:tc>
          <w:tcPr>
            <w:tcW w:w="970" w:type="dxa"/>
            <w:tcBorders>
              <w:top w:val="nil"/>
              <w:left w:val="nil"/>
              <w:right w:val="nil"/>
            </w:tcBorders>
            <w:shd w:val="clear" w:color="auto" w:fill="auto"/>
            <w:noWrap/>
          </w:tcPr>
          <w:p w:rsidR="00B958B1" w:rsidRPr="00F93FD4" w:rsidRDefault="00B958B1" w:rsidP="009F3B54">
            <w:pPr>
              <w:pStyle w:val="OGUoM"/>
            </w:pPr>
            <w:r w:rsidRPr="00F93FD4">
              <w:t>per cent</w:t>
            </w:r>
          </w:p>
        </w:tc>
        <w:tc>
          <w:tcPr>
            <w:tcW w:w="844" w:type="dxa"/>
            <w:tcBorders>
              <w:top w:val="nil"/>
              <w:left w:val="nil"/>
              <w:right w:val="nil"/>
            </w:tcBorders>
            <w:shd w:val="clear" w:color="auto" w:fill="D9D9D9"/>
            <w:noWrap/>
          </w:tcPr>
          <w:p w:rsidR="00B958B1" w:rsidRPr="00F93FD4" w:rsidRDefault="00B958B1" w:rsidP="009F3B54">
            <w:pPr>
              <w:pStyle w:val="OGTableofFigures"/>
            </w:pPr>
            <w:r w:rsidRPr="00F93FD4">
              <w:t>86</w:t>
            </w:r>
          </w:p>
        </w:tc>
        <w:tc>
          <w:tcPr>
            <w:tcW w:w="993" w:type="dxa"/>
            <w:tcBorders>
              <w:top w:val="nil"/>
              <w:left w:val="nil"/>
              <w:right w:val="nil"/>
            </w:tcBorders>
            <w:shd w:val="clear" w:color="auto" w:fill="auto"/>
            <w:noWrap/>
          </w:tcPr>
          <w:p w:rsidR="00B958B1" w:rsidRPr="00F93FD4" w:rsidRDefault="00B958B1" w:rsidP="009F3B54">
            <w:pPr>
              <w:pStyle w:val="OGTableofFigures"/>
            </w:pPr>
            <w:r w:rsidRPr="00F93FD4">
              <w:t>86</w:t>
            </w:r>
          </w:p>
        </w:tc>
        <w:tc>
          <w:tcPr>
            <w:tcW w:w="907" w:type="dxa"/>
            <w:tcBorders>
              <w:top w:val="nil"/>
              <w:left w:val="nil"/>
              <w:right w:val="nil"/>
            </w:tcBorders>
            <w:shd w:val="clear" w:color="auto" w:fill="auto"/>
            <w:noWrap/>
          </w:tcPr>
          <w:p w:rsidR="00B958B1" w:rsidRPr="00F93FD4" w:rsidRDefault="00B958B1" w:rsidP="009F3B54">
            <w:pPr>
              <w:pStyle w:val="OGTableofFigures"/>
            </w:pPr>
            <w:r w:rsidRPr="00F93FD4">
              <w:t>86</w:t>
            </w:r>
          </w:p>
        </w:tc>
        <w:tc>
          <w:tcPr>
            <w:tcW w:w="907" w:type="dxa"/>
            <w:tcBorders>
              <w:top w:val="nil"/>
              <w:left w:val="nil"/>
              <w:right w:val="nil"/>
            </w:tcBorders>
            <w:shd w:val="clear" w:color="auto" w:fill="auto"/>
            <w:noWrap/>
          </w:tcPr>
          <w:p w:rsidR="00B958B1" w:rsidRPr="00F93FD4" w:rsidRDefault="00B958B1" w:rsidP="009F3B54">
            <w:pPr>
              <w:pStyle w:val="OGTableofFigures"/>
            </w:pPr>
            <w:r w:rsidRPr="00F93FD4">
              <w:t>85</w:t>
            </w:r>
          </w:p>
        </w:tc>
      </w:tr>
      <w:tr w:rsidR="00B958B1" w:rsidRPr="00F93FD4" w:rsidTr="009F3B54">
        <w:trPr>
          <w:cantSplit/>
        </w:trPr>
        <w:tc>
          <w:tcPr>
            <w:tcW w:w="7776" w:type="dxa"/>
            <w:gridSpan w:val="6"/>
            <w:tcBorders>
              <w:top w:val="nil"/>
              <w:left w:val="nil"/>
              <w:bottom w:val="single" w:sz="6" w:space="0" w:color="auto"/>
              <w:right w:val="nil"/>
            </w:tcBorders>
            <w:shd w:val="clear" w:color="auto" w:fill="auto"/>
          </w:tcPr>
          <w:p w:rsidR="00B958B1" w:rsidRPr="00F93FD4" w:rsidRDefault="00B958B1" w:rsidP="009F3B54">
            <w:pPr>
              <w:pStyle w:val="OGNotes"/>
            </w:pPr>
            <w:r w:rsidRPr="00F93FD4">
              <w:t>This performance measure is proposed to be discontinued as this activity is captured in the 2013</w:t>
            </w:r>
            <w:r w:rsidR="009F0F49">
              <w:noBreakHyphen/>
            </w:r>
            <w:r w:rsidRPr="00F93FD4">
              <w:t>14 performance measure ‘Policy services satisfaction rating’ in the Department’s Strategic Advice and Government Support output.</w:t>
            </w:r>
          </w:p>
        </w:tc>
      </w:tr>
      <w:tr w:rsidR="00B958B1" w:rsidRPr="00F93FD4" w:rsidTr="009F3B54">
        <w:trPr>
          <w:cantSplit/>
        </w:trPr>
        <w:tc>
          <w:tcPr>
            <w:tcW w:w="3155" w:type="dxa"/>
            <w:tcBorders>
              <w:top w:val="single" w:sz="6" w:space="0" w:color="auto"/>
              <w:left w:val="nil"/>
              <w:right w:val="nil"/>
            </w:tcBorders>
            <w:shd w:val="clear" w:color="auto" w:fill="auto"/>
          </w:tcPr>
          <w:p w:rsidR="00B958B1" w:rsidRPr="00F93FD4" w:rsidRDefault="00B958B1" w:rsidP="009F3B54">
            <w:pPr>
              <w:pStyle w:val="OGTabHead"/>
            </w:pPr>
            <w:r w:rsidRPr="00F93FD4">
              <w:t>Cost</w:t>
            </w:r>
          </w:p>
        </w:tc>
        <w:tc>
          <w:tcPr>
            <w:tcW w:w="970" w:type="dxa"/>
            <w:tcBorders>
              <w:top w:val="single" w:sz="6" w:space="0" w:color="auto"/>
              <w:left w:val="nil"/>
              <w:right w:val="nil"/>
            </w:tcBorders>
            <w:shd w:val="clear" w:color="auto" w:fill="auto"/>
            <w:noWrap/>
          </w:tcPr>
          <w:p w:rsidR="00B958B1" w:rsidRPr="00F93FD4" w:rsidRDefault="00B958B1" w:rsidP="009F3B54">
            <w:pPr>
              <w:pStyle w:val="OGTabHead"/>
            </w:pPr>
          </w:p>
        </w:tc>
        <w:tc>
          <w:tcPr>
            <w:tcW w:w="844" w:type="dxa"/>
            <w:tcBorders>
              <w:top w:val="single" w:sz="6" w:space="0" w:color="auto"/>
              <w:left w:val="nil"/>
              <w:right w:val="nil"/>
            </w:tcBorders>
            <w:shd w:val="clear" w:color="auto" w:fill="D9D9D9"/>
            <w:noWrap/>
          </w:tcPr>
          <w:p w:rsidR="00B958B1" w:rsidRPr="00F93FD4" w:rsidRDefault="00B958B1" w:rsidP="009F3B54">
            <w:pPr>
              <w:pStyle w:val="OGTabHead"/>
            </w:pPr>
          </w:p>
        </w:tc>
        <w:tc>
          <w:tcPr>
            <w:tcW w:w="993" w:type="dxa"/>
            <w:tcBorders>
              <w:top w:val="single" w:sz="6" w:space="0" w:color="auto"/>
              <w:left w:val="nil"/>
              <w:right w:val="nil"/>
            </w:tcBorders>
            <w:shd w:val="clear" w:color="auto" w:fill="auto"/>
            <w:noWrap/>
          </w:tcPr>
          <w:p w:rsidR="00B958B1" w:rsidRPr="00F93FD4" w:rsidRDefault="00B958B1" w:rsidP="009F3B54">
            <w:pPr>
              <w:pStyle w:val="OGTabHead"/>
            </w:pPr>
          </w:p>
        </w:tc>
        <w:tc>
          <w:tcPr>
            <w:tcW w:w="907" w:type="dxa"/>
            <w:tcBorders>
              <w:top w:val="single" w:sz="6" w:space="0" w:color="auto"/>
              <w:left w:val="nil"/>
              <w:right w:val="nil"/>
            </w:tcBorders>
            <w:shd w:val="clear" w:color="auto" w:fill="auto"/>
            <w:noWrap/>
          </w:tcPr>
          <w:p w:rsidR="00B958B1" w:rsidRPr="00F93FD4" w:rsidRDefault="00B958B1" w:rsidP="009F3B54">
            <w:pPr>
              <w:pStyle w:val="OGTabHead"/>
            </w:pPr>
          </w:p>
        </w:tc>
        <w:tc>
          <w:tcPr>
            <w:tcW w:w="907" w:type="dxa"/>
            <w:tcBorders>
              <w:top w:val="single" w:sz="6" w:space="0" w:color="auto"/>
              <w:left w:val="nil"/>
              <w:right w:val="nil"/>
            </w:tcBorders>
            <w:shd w:val="clear" w:color="auto" w:fill="auto"/>
            <w:noWrap/>
          </w:tcPr>
          <w:p w:rsidR="00B958B1" w:rsidRPr="00F93FD4" w:rsidRDefault="00B958B1" w:rsidP="009F3B54">
            <w:pPr>
              <w:pStyle w:val="OGTabHead"/>
            </w:pPr>
          </w:p>
        </w:tc>
      </w:tr>
      <w:tr w:rsidR="00B958B1" w:rsidRPr="00F93FD4" w:rsidTr="009F3B54">
        <w:trPr>
          <w:cantSplit/>
        </w:trPr>
        <w:tc>
          <w:tcPr>
            <w:tcW w:w="3155" w:type="dxa"/>
            <w:tcBorders>
              <w:top w:val="nil"/>
              <w:left w:val="nil"/>
              <w:right w:val="nil"/>
            </w:tcBorders>
            <w:shd w:val="clear" w:color="auto" w:fill="auto"/>
          </w:tcPr>
          <w:p w:rsidR="00B958B1" w:rsidRPr="00F93FD4" w:rsidRDefault="00B958B1" w:rsidP="009F3B54">
            <w:pPr>
              <w:pStyle w:val="OGTabText"/>
            </w:pPr>
            <w:r w:rsidRPr="00F93FD4">
              <w:t>Total output cost</w:t>
            </w:r>
          </w:p>
        </w:tc>
        <w:tc>
          <w:tcPr>
            <w:tcW w:w="970" w:type="dxa"/>
            <w:tcBorders>
              <w:top w:val="nil"/>
              <w:left w:val="nil"/>
              <w:right w:val="nil"/>
            </w:tcBorders>
            <w:shd w:val="clear" w:color="auto" w:fill="auto"/>
            <w:noWrap/>
          </w:tcPr>
          <w:p w:rsidR="00B958B1" w:rsidRPr="00F93FD4" w:rsidRDefault="00B958B1" w:rsidP="009F3B54">
            <w:pPr>
              <w:pStyle w:val="OGUoM"/>
            </w:pPr>
            <w:r w:rsidRPr="00F93FD4">
              <w:t>$</w:t>
            </w:r>
            <w:r>
              <w:t> million</w:t>
            </w:r>
          </w:p>
        </w:tc>
        <w:tc>
          <w:tcPr>
            <w:tcW w:w="844" w:type="dxa"/>
            <w:tcBorders>
              <w:top w:val="nil"/>
              <w:left w:val="nil"/>
              <w:right w:val="nil"/>
            </w:tcBorders>
            <w:shd w:val="clear" w:color="auto" w:fill="D9D9D9"/>
            <w:noWrap/>
          </w:tcPr>
          <w:p w:rsidR="00B958B1" w:rsidRPr="00F93FD4" w:rsidRDefault="00B958B1" w:rsidP="009F3B54">
            <w:pPr>
              <w:pStyle w:val="OGTableofFigures"/>
            </w:pPr>
            <w:r>
              <w:t>na</w:t>
            </w:r>
          </w:p>
        </w:tc>
        <w:tc>
          <w:tcPr>
            <w:tcW w:w="993" w:type="dxa"/>
            <w:tcBorders>
              <w:top w:val="nil"/>
              <w:left w:val="nil"/>
              <w:right w:val="nil"/>
            </w:tcBorders>
            <w:shd w:val="clear" w:color="auto" w:fill="auto"/>
            <w:noWrap/>
          </w:tcPr>
          <w:p w:rsidR="00B958B1" w:rsidRPr="00F93FD4" w:rsidRDefault="00B958B1" w:rsidP="009F3B54">
            <w:pPr>
              <w:pStyle w:val="OGTableofFigures"/>
            </w:pPr>
            <w:r w:rsidRPr="00F93FD4">
              <w:t>3.1</w:t>
            </w:r>
          </w:p>
        </w:tc>
        <w:tc>
          <w:tcPr>
            <w:tcW w:w="907" w:type="dxa"/>
            <w:tcBorders>
              <w:top w:val="nil"/>
              <w:left w:val="nil"/>
              <w:right w:val="nil"/>
            </w:tcBorders>
            <w:shd w:val="clear" w:color="auto" w:fill="auto"/>
            <w:noWrap/>
          </w:tcPr>
          <w:p w:rsidR="00B958B1" w:rsidRPr="00F93FD4" w:rsidRDefault="00B958B1" w:rsidP="009F3B54">
            <w:pPr>
              <w:pStyle w:val="OGTableofFigures"/>
            </w:pPr>
            <w:r w:rsidRPr="00F93FD4">
              <w:t>3.1</w:t>
            </w:r>
          </w:p>
        </w:tc>
        <w:tc>
          <w:tcPr>
            <w:tcW w:w="907" w:type="dxa"/>
            <w:tcBorders>
              <w:top w:val="nil"/>
              <w:left w:val="nil"/>
              <w:right w:val="nil"/>
            </w:tcBorders>
            <w:shd w:val="clear" w:color="auto" w:fill="auto"/>
            <w:noWrap/>
          </w:tcPr>
          <w:p w:rsidR="00B958B1" w:rsidRPr="00F93FD4" w:rsidRDefault="00B958B1" w:rsidP="009F3B54">
            <w:pPr>
              <w:pStyle w:val="OGTableofFigures"/>
            </w:pPr>
            <w:r w:rsidRPr="00F93FD4">
              <w:t>4.2</w:t>
            </w:r>
          </w:p>
        </w:tc>
      </w:tr>
      <w:tr w:rsidR="00B958B1" w:rsidRPr="00F93FD4" w:rsidTr="009F3B54">
        <w:trPr>
          <w:cantSplit/>
        </w:trPr>
        <w:tc>
          <w:tcPr>
            <w:tcW w:w="7776" w:type="dxa"/>
            <w:gridSpan w:val="6"/>
            <w:tcBorders>
              <w:top w:val="nil"/>
              <w:left w:val="nil"/>
              <w:bottom w:val="single" w:sz="8" w:space="0" w:color="auto"/>
              <w:right w:val="nil"/>
            </w:tcBorders>
            <w:shd w:val="clear" w:color="auto" w:fill="auto"/>
          </w:tcPr>
          <w:p w:rsidR="00B958B1" w:rsidRPr="00F93FD4" w:rsidRDefault="00B958B1" w:rsidP="009F3B54">
            <w:pPr>
              <w:pStyle w:val="OGNotes"/>
            </w:pPr>
            <w:r w:rsidRPr="00F93FD4">
              <w:t xml:space="preserve">This output is proposed to be discontinued to reflect changes to the Department’s output structure as a result of a departmental review to improve alignment of </w:t>
            </w:r>
            <w:r>
              <w:t>the Department</w:t>
            </w:r>
            <w:r w:rsidRPr="00F93FD4">
              <w:t>’s outputs to its corporate objectives and to better reflect existing key activities undertaken by the Department. The 2012</w:t>
            </w:r>
            <w:r w:rsidR="009F0F49">
              <w:noBreakHyphen/>
            </w:r>
            <w:r w:rsidRPr="00F93FD4">
              <w:t>13 output is largely replaced by the 2013</w:t>
            </w:r>
            <w:r w:rsidR="009F0F49">
              <w:noBreakHyphen/>
            </w:r>
            <w:r w:rsidRPr="00F93FD4">
              <w:t>14 output ‘Government</w:t>
            </w:r>
            <w:r w:rsidR="009F0F49">
              <w:noBreakHyphen/>
            </w:r>
            <w:r w:rsidRPr="00F93FD4">
              <w:t>wide Leadership and Implementation’.</w:t>
            </w:r>
          </w:p>
        </w:tc>
      </w:tr>
      <w:tr w:rsidR="00B958B1" w:rsidRPr="00F93FD4" w:rsidTr="009F3B54">
        <w:trPr>
          <w:cantSplit/>
        </w:trPr>
        <w:tc>
          <w:tcPr>
            <w:tcW w:w="7776" w:type="dxa"/>
            <w:gridSpan w:val="6"/>
            <w:tcBorders>
              <w:top w:val="single" w:sz="8" w:space="0" w:color="auto"/>
              <w:left w:val="nil"/>
              <w:bottom w:val="single" w:sz="8" w:space="0" w:color="auto"/>
              <w:right w:val="nil"/>
            </w:tcBorders>
            <w:shd w:val="clear" w:color="auto" w:fill="auto"/>
            <w:hideMark/>
          </w:tcPr>
          <w:p w:rsidR="00B958B1" w:rsidRPr="00F93FD4" w:rsidRDefault="00B958B1" w:rsidP="009F3B54">
            <w:pPr>
              <w:pStyle w:val="OGHeading2"/>
            </w:pPr>
            <w:r w:rsidRPr="00F93FD4">
              <w:t>Arts Development and Access</w:t>
            </w:r>
          </w:p>
        </w:tc>
      </w:tr>
      <w:tr w:rsidR="00B958B1" w:rsidRPr="00F93FD4" w:rsidTr="009F3B54">
        <w:trPr>
          <w:cantSplit/>
        </w:trPr>
        <w:tc>
          <w:tcPr>
            <w:tcW w:w="3155" w:type="dxa"/>
            <w:tcBorders>
              <w:top w:val="single" w:sz="8" w:space="0" w:color="auto"/>
              <w:left w:val="nil"/>
              <w:bottom w:val="nil"/>
              <w:right w:val="nil"/>
            </w:tcBorders>
            <w:shd w:val="clear" w:color="auto" w:fill="auto"/>
            <w:hideMark/>
          </w:tcPr>
          <w:p w:rsidR="00B958B1" w:rsidRPr="00F93FD4" w:rsidRDefault="00B958B1" w:rsidP="009F3B54">
            <w:pPr>
              <w:pStyle w:val="OGTabHead"/>
            </w:pPr>
            <w:r w:rsidRPr="00F93FD4">
              <w:t>Quantity</w:t>
            </w:r>
          </w:p>
        </w:tc>
        <w:tc>
          <w:tcPr>
            <w:tcW w:w="970" w:type="dxa"/>
            <w:tcBorders>
              <w:top w:val="single" w:sz="8" w:space="0" w:color="auto"/>
              <w:left w:val="nil"/>
              <w:bottom w:val="nil"/>
              <w:right w:val="nil"/>
            </w:tcBorders>
            <w:shd w:val="clear" w:color="auto" w:fill="auto"/>
            <w:noWrap/>
            <w:hideMark/>
          </w:tcPr>
          <w:p w:rsidR="00B958B1" w:rsidRPr="00F93FD4" w:rsidRDefault="00B958B1" w:rsidP="009F3B54">
            <w:pPr>
              <w:pStyle w:val="OGTabHead"/>
            </w:pPr>
            <w:r w:rsidRPr="00F93FD4">
              <w:t> </w:t>
            </w:r>
          </w:p>
        </w:tc>
        <w:tc>
          <w:tcPr>
            <w:tcW w:w="844" w:type="dxa"/>
            <w:tcBorders>
              <w:top w:val="single" w:sz="8" w:space="0" w:color="auto"/>
              <w:left w:val="nil"/>
              <w:bottom w:val="nil"/>
              <w:right w:val="nil"/>
            </w:tcBorders>
            <w:shd w:val="clear" w:color="auto" w:fill="D9D9D9"/>
            <w:noWrap/>
            <w:hideMark/>
          </w:tcPr>
          <w:p w:rsidR="00B958B1" w:rsidRPr="00F93FD4" w:rsidRDefault="00B958B1" w:rsidP="009F3B54">
            <w:pPr>
              <w:pStyle w:val="OGTabHead"/>
            </w:pPr>
            <w:r w:rsidRPr="00F93FD4">
              <w:t> </w:t>
            </w:r>
          </w:p>
        </w:tc>
        <w:tc>
          <w:tcPr>
            <w:tcW w:w="993" w:type="dxa"/>
            <w:tcBorders>
              <w:top w:val="single" w:sz="8" w:space="0" w:color="auto"/>
              <w:left w:val="nil"/>
              <w:bottom w:val="nil"/>
              <w:right w:val="nil"/>
            </w:tcBorders>
            <w:shd w:val="clear" w:color="auto" w:fill="auto"/>
            <w:noWrap/>
            <w:hideMark/>
          </w:tcPr>
          <w:p w:rsidR="00B958B1" w:rsidRPr="00F93FD4" w:rsidRDefault="00B958B1" w:rsidP="009F3B54">
            <w:pPr>
              <w:pStyle w:val="OGTabHead"/>
            </w:pPr>
            <w:r w:rsidRPr="00F93FD4">
              <w:t> </w:t>
            </w:r>
          </w:p>
        </w:tc>
        <w:tc>
          <w:tcPr>
            <w:tcW w:w="907" w:type="dxa"/>
            <w:tcBorders>
              <w:top w:val="single" w:sz="8" w:space="0" w:color="auto"/>
              <w:left w:val="nil"/>
              <w:bottom w:val="nil"/>
              <w:right w:val="nil"/>
            </w:tcBorders>
            <w:shd w:val="clear" w:color="auto" w:fill="auto"/>
            <w:noWrap/>
            <w:hideMark/>
          </w:tcPr>
          <w:p w:rsidR="00B958B1" w:rsidRPr="00F93FD4" w:rsidRDefault="00B958B1" w:rsidP="009F3B54">
            <w:pPr>
              <w:pStyle w:val="OGTabHead"/>
            </w:pPr>
            <w:r w:rsidRPr="00F93FD4">
              <w:t> </w:t>
            </w:r>
          </w:p>
        </w:tc>
        <w:tc>
          <w:tcPr>
            <w:tcW w:w="907" w:type="dxa"/>
            <w:tcBorders>
              <w:top w:val="single" w:sz="8" w:space="0" w:color="auto"/>
              <w:left w:val="nil"/>
              <w:bottom w:val="nil"/>
              <w:right w:val="nil"/>
            </w:tcBorders>
            <w:shd w:val="clear" w:color="auto" w:fill="auto"/>
            <w:noWrap/>
            <w:hideMark/>
          </w:tcPr>
          <w:p w:rsidR="00B958B1" w:rsidRPr="00F93FD4" w:rsidRDefault="00B958B1" w:rsidP="009F3B54">
            <w:pPr>
              <w:pStyle w:val="OGTabHead"/>
            </w:pPr>
            <w:r w:rsidRPr="00F93FD4">
              <w:t> </w:t>
            </w:r>
          </w:p>
        </w:tc>
      </w:tr>
      <w:tr w:rsidR="00B958B1" w:rsidRPr="00F93FD4" w:rsidTr="009F3B54">
        <w:trPr>
          <w:cantSplit/>
        </w:trPr>
        <w:tc>
          <w:tcPr>
            <w:tcW w:w="3155" w:type="dxa"/>
            <w:tcBorders>
              <w:top w:val="nil"/>
              <w:left w:val="nil"/>
              <w:bottom w:val="nil"/>
              <w:right w:val="nil"/>
            </w:tcBorders>
            <w:shd w:val="clear" w:color="auto" w:fill="auto"/>
          </w:tcPr>
          <w:p w:rsidR="00B958B1" w:rsidRPr="00F93FD4" w:rsidRDefault="00B958B1" w:rsidP="009F3B54">
            <w:pPr>
              <w:pStyle w:val="OGTabText"/>
            </w:pPr>
            <w:r w:rsidRPr="00F93FD4">
              <w:t>Access to diverse range of supported projects: local festivals funded</w:t>
            </w:r>
          </w:p>
        </w:tc>
        <w:tc>
          <w:tcPr>
            <w:tcW w:w="970" w:type="dxa"/>
            <w:tcBorders>
              <w:top w:val="nil"/>
              <w:left w:val="nil"/>
              <w:bottom w:val="nil"/>
              <w:right w:val="nil"/>
            </w:tcBorders>
            <w:shd w:val="clear" w:color="auto" w:fill="auto"/>
            <w:noWrap/>
          </w:tcPr>
          <w:p w:rsidR="00B958B1" w:rsidRPr="00F93FD4" w:rsidRDefault="00B958B1" w:rsidP="009F3B54">
            <w:pPr>
              <w:pStyle w:val="OGUoM"/>
            </w:pPr>
            <w:r w:rsidRPr="00F93FD4">
              <w:t>number</w:t>
            </w:r>
          </w:p>
        </w:tc>
        <w:tc>
          <w:tcPr>
            <w:tcW w:w="844" w:type="dxa"/>
            <w:tcBorders>
              <w:top w:val="nil"/>
              <w:left w:val="nil"/>
              <w:bottom w:val="nil"/>
              <w:right w:val="nil"/>
            </w:tcBorders>
            <w:shd w:val="clear" w:color="auto" w:fill="D9D9D9"/>
            <w:noWrap/>
          </w:tcPr>
          <w:p w:rsidR="00B958B1" w:rsidRPr="00F93FD4" w:rsidRDefault="00B958B1" w:rsidP="009F3B54">
            <w:pPr>
              <w:pStyle w:val="OGTableofFigures"/>
            </w:pPr>
            <w:r w:rsidRPr="00F93FD4">
              <w:t>19</w:t>
            </w:r>
          </w:p>
        </w:tc>
        <w:tc>
          <w:tcPr>
            <w:tcW w:w="993" w:type="dxa"/>
            <w:tcBorders>
              <w:top w:val="nil"/>
              <w:left w:val="nil"/>
              <w:bottom w:val="nil"/>
              <w:right w:val="nil"/>
            </w:tcBorders>
            <w:shd w:val="clear" w:color="auto" w:fill="auto"/>
            <w:noWrap/>
          </w:tcPr>
          <w:p w:rsidR="00B958B1" w:rsidRPr="00F93FD4" w:rsidRDefault="00B958B1" w:rsidP="009F3B54">
            <w:pPr>
              <w:pStyle w:val="OGTableofFigures"/>
            </w:pPr>
            <w:r w:rsidRPr="00F93FD4">
              <w:t>19</w:t>
            </w:r>
          </w:p>
        </w:tc>
        <w:tc>
          <w:tcPr>
            <w:tcW w:w="907" w:type="dxa"/>
            <w:tcBorders>
              <w:top w:val="nil"/>
              <w:left w:val="nil"/>
              <w:bottom w:val="nil"/>
              <w:right w:val="nil"/>
            </w:tcBorders>
            <w:shd w:val="clear" w:color="auto" w:fill="auto"/>
            <w:noWrap/>
          </w:tcPr>
          <w:p w:rsidR="00B958B1" w:rsidRPr="00F93FD4" w:rsidRDefault="00B958B1" w:rsidP="009F3B54">
            <w:pPr>
              <w:pStyle w:val="OGTableofFigures"/>
            </w:pPr>
            <w:r w:rsidRPr="00F93FD4">
              <w:t>19</w:t>
            </w:r>
          </w:p>
        </w:tc>
        <w:tc>
          <w:tcPr>
            <w:tcW w:w="907" w:type="dxa"/>
            <w:tcBorders>
              <w:top w:val="nil"/>
              <w:left w:val="nil"/>
              <w:bottom w:val="nil"/>
              <w:right w:val="nil"/>
            </w:tcBorders>
            <w:shd w:val="clear" w:color="auto" w:fill="auto"/>
            <w:noWrap/>
          </w:tcPr>
          <w:p w:rsidR="00B958B1" w:rsidRPr="00F93FD4" w:rsidRDefault="00B958B1" w:rsidP="009F3B54">
            <w:pPr>
              <w:pStyle w:val="OGTableofFigures"/>
            </w:pPr>
            <w:r w:rsidRPr="00F93FD4">
              <w:t>19</w:t>
            </w:r>
          </w:p>
        </w:tc>
      </w:tr>
      <w:tr w:rsidR="00B958B1" w:rsidRPr="00F93FD4" w:rsidTr="009F3B54">
        <w:trPr>
          <w:cantSplit/>
        </w:trPr>
        <w:tc>
          <w:tcPr>
            <w:tcW w:w="7776" w:type="dxa"/>
            <w:gridSpan w:val="6"/>
            <w:tcBorders>
              <w:top w:val="nil"/>
              <w:left w:val="nil"/>
              <w:bottom w:val="single" w:sz="6" w:space="0" w:color="auto"/>
              <w:right w:val="nil"/>
            </w:tcBorders>
            <w:shd w:val="clear" w:color="auto" w:fill="auto"/>
          </w:tcPr>
          <w:p w:rsidR="00B958B1" w:rsidRPr="00F93FD4" w:rsidRDefault="00B958B1" w:rsidP="009F3B54">
            <w:pPr>
              <w:pStyle w:val="OGNotes"/>
            </w:pPr>
            <w:r w:rsidRPr="00F93FD4">
              <w:t>This performance measure is proposed to be discontinued as Arts Victoria has completed a review of its support programs and as a result is implementing a new Organisations Investment Program and a general support program for all projects. Local festivals will continue to receive support but under generic categories of support including established organisations, developing organisations and projects. Target setting is therefore difficult given the spread of applications through these generic program categories.</w:t>
            </w:r>
          </w:p>
        </w:tc>
      </w:tr>
      <w:tr w:rsidR="00B958B1" w:rsidRPr="00F93FD4" w:rsidTr="009F3B54">
        <w:trPr>
          <w:cantSplit/>
        </w:trPr>
        <w:tc>
          <w:tcPr>
            <w:tcW w:w="7776" w:type="dxa"/>
            <w:gridSpan w:val="6"/>
            <w:tcBorders>
              <w:top w:val="nil"/>
              <w:left w:val="nil"/>
              <w:bottom w:val="single" w:sz="6" w:space="0" w:color="auto"/>
              <w:right w:val="nil"/>
            </w:tcBorders>
            <w:shd w:val="clear" w:color="auto" w:fill="auto"/>
            <w:hideMark/>
          </w:tcPr>
          <w:p w:rsidR="00B958B1" w:rsidRPr="00F93FD4" w:rsidRDefault="00B958B1" w:rsidP="009F3B54">
            <w:pPr>
              <w:pStyle w:val="OGHeading2"/>
            </w:pPr>
            <w:r w:rsidRPr="00F93FD4">
              <w:t>Arts Portfolio Agencies</w:t>
            </w:r>
          </w:p>
        </w:tc>
      </w:tr>
      <w:tr w:rsidR="00B958B1" w:rsidRPr="00F93FD4" w:rsidTr="009F3B54">
        <w:trPr>
          <w:cantSplit/>
        </w:trPr>
        <w:tc>
          <w:tcPr>
            <w:tcW w:w="3155" w:type="dxa"/>
            <w:tcBorders>
              <w:top w:val="single" w:sz="6" w:space="0" w:color="auto"/>
              <w:left w:val="nil"/>
              <w:bottom w:val="nil"/>
              <w:right w:val="nil"/>
            </w:tcBorders>
            <w:shd w:val="clear" w:color="auto" w:fill="auto"/>
            <w:hideMark/>
          </w:tcPr>
          <w:p w:rsidR="00B958B1" w:rsidRPr="00F93FD4" w:rsidRDefault="00B958B1" w:rsidP="009F3B54">
            <w:pPr>
              <w:pStyle w:val="OGTabHead"/>
            </w:pPr>
            <w:r w:rsidRPr="00F93FD4">
              <w:t>Quantity</w:t>
            </w:r>
          </w:p>
        </w:tc>
        <w:tc>
          <w:tcPr>
            <w:tcW w:w="970" w:type="dxa"/>
            <w:tcBorders>
              <w:top w:val="single" w:sz="6" w:space="0" w:color="auto"/>
              <w:left w:val="nil"/>
              <w:bottom w:val="nil"/>
              <w:right w:val="nil"/>
            </w:tcBorders>
            <w:shd w:val="clear" w:color="auto" w:fill="auto"/>
            <w:noWrap/>
            <w:hideMark/>
          </w:tcPr>
          <w:p w:rsidR="00B958B1" w:rsidRPr="00F93FD4" w:rsidRDefault="00B958B1" w:rsidP="009F3B54">
            <w:pPr>
              <w:pStyle w:val="OGTabHead"/>
            </w:pPr>
            <w:r w:rsidRPr="00F93FD4">
              <w:t> </w:t>
            </w:r>
          </w:p>
        </w:tc>
        <w:tc>
          <w:tcPr>
            <w:tcW w:w="844" w:type="dxa"/>
            <w:tcBorders>
              <w:top w:val="single" w:sz="6" w:space="0" w:color="auto"/>
              <w:left w:val="nil"/>
              <w:bottom w:val="nil"/>
              <w:right w:val="nil"/>
            </w:tcBorders>
            <w:shd w:val="clear" w:color="auto" w:fill="D9D9D9"/>
            <w:noWrap/>
            <w:hideMark/>
          </w:tcPr>
          <w:p w:rsidR="00B958B1" w:rsidRPr="00F93FD4" w:rsidRDefault="00B958B1" w:rsidP="009F3B54">
            <w:pPr>
              <w:pStyle w:val="OGTabHead"/>
            </w:pPr>
            <w:r w:rsidRPr="00F93FD4">
              <w:t> </w:t>
            </w:r>
          </w:p>
        </w:tc>
        <w:tc>
          <w:tcPr>
            <w:tcW w:w="993" w:type="dxa"/>
            <w:tcBorders>
              <w:top w:val="single" w:sz="6" w:space="0" w:color="auto"/>
              <w:left w:val="nil"/>
              <w:bottom w:val="nil"/>
              <w:right w:val="nil"/>
            </w:tcBorders>
            <w:shd w:val="clear" w:color="auto" w:fill="auto"/>
            <w:noWrap/>
            <w:hideMark/>
          </w:tcPr>
          <w:p w:rsidR="00B958B1" w:rsidRPr="00F93FD4" w:rsidRDefault="00B958B1" w:rsidP="009F3B54">
            <w:pPr>
              <w:pStyle w:val="OGTabHead"/>
            </w:pPr>
            <w:r w:rsidRPr="00F93FD4">
              <w:t> </w:t>
            </w:r>
          </w:p>
        </w:tc>
        <w:tc>
          <w:tcPr>
            <w:tcW w:w="907" w:type="dxa"/>
            <w:tcBorders>
              <w:top w:val="single" w:sz="6" w:space="0" w:color="auto"/>
              <w:left w:val="nil"/>
              <w:bottom w:val="nil"/>
              <w:right w:val="nil"/>
            </w:tcBorders>
            <w:shd w:val="clear" w:color="auto" w:fill="auto"/>
            <w:noWrap/>
            <w:hideMark/>
          </w:tcPr>
          <w:p w:rsidR="00B958B1" w:rsidRPr="00F93FD4" w:rsidRDefault="00B958B1" w:rsidP="009F3B54">
            <w:pPr>
              <w:pStyle w:val="OGTabHead"/>
            </w:pPr>
            <w:r w:rsidRPr="00F93FD4">
              <w:t> </w:t>
            </w:r>
          </w:p>
        </w:tc>
        <w:tc>
          <w:tcPr>
            <w:tcW w:w="907" w:type="dxa"/>
            <w:tcBorders>
              <w:top w:val="single" w:sz="6" w:space="0" w:color="auto"/>
              <w:left w:val="nil"/>
              <w:bottom w:val="nil"/>
              <w:right w:val="nil"/>
            </w:tcBorders>
            <w:shd w:val="clear" w:color="auto" w:fill="auto"/>
            <w:noWrap/>
            <w:hideMark/>
          </w:tcPr>
          <w:p w:rsidR="00B958B1" w:rsidRPr="00F93FD4" w:rsidRDefault="00B958B1" w:rsidP="009F3B54">
            <w:pPr>
              <w:pStyle w:val="OGTabHead"/>
            </w:pPr>
            <w:r w:rsidRPr="00F93FD4">
              <w:t> </w:t>
            </w:r>
          </w:p>
        </w:tc>
      </w:tr>
      <w:tr w:rsidR="00B958B1" w:rsidRPr="00F93FD4" w:rsidTr="009F3B54">
        <w:trPr>
          <w:cantSplit/>
        </w:trPr>
        <w:tc>
          <w:tcPr>
            <w:tcW w:w="3155" w:type="dxa"/>
            <w:tcBorders>
              <w:top w:val="nil"/>
              <w:left w:val="nil"/>
              <w:right w:val="nil"/>
            </w:tcBorders>
            <w:shd w:val="clear" w:color="auto" w:fill="auto"/>
          </w:tcPr>
          <w:p w:rsidR="00B958B1" w:rsidRPr="00F93FD4" w:rsidRDefault="00B958B1" w:rsidP="009F3B54">
            <w:pPr>
              <w:pStyle w:val="OGTabText"/>
            </w:pPr>
            <w:r w:rsidRPr="00F93FD4">
              <w:t>Agency collections stored to industry standard</w:t>
            </w:r>
          </w:p>
        </w:tc>
        <w:tc>
          <w:tcPr>
            <w:tcW w:w="970" w:type="dxa"/>
            <w:tcBorders>
              <w:top w:val="nil"/>
              <w:left w:val="nil"/>
              <w:right w:val="nil"/>
            </w:tcBorders>
            <w:shd w:val="clear" w:color="auto" w:fill="auto"/>
            <w:noWrap/>
          </w:tcPr>
          <w:p w:rsidR="00B958B1" w:rsidRPr="00F93FD4" w:rsidRDefault="00B958B1" w:rsidP="009F3B54">
            <w:pPr>
              <w:pStyle w:val="OGUoM"/>
            </w:pPr>
            <w:r w:rsidRPr="00F93FD4">
              <w:t>per cent</w:t>
            </w:r>
          </w:p>
        </w:tc>
        <w:tc>
          <w:tcPr>
            <w:tcW w:w="844" w:type="dxa"/>
            <w:tcBorders>
              <w:top w:val="nil"/>
              <w:left w:val="nil"/>
              <w:right w:val="nil"/>
            </w:tcBorders>
            <w:shd w:val="clear" w:color="auto" w:fill="D9D9D9"/>
            <w:noWrap/>
          </w:tcPr>
          <w:p w:rsidR="00B958B1" w:rsidRPr="00F93FD4" w:rsidRDefault="00B958B1" w:rsidP="009F3B54">
            <w:pPr>
              <w:pStyle w:val="OGTableofFigures"/>
            </w:pPr>
            <w:r w:rsidRPr="00F93FD4">
              <w:t>85</w:t>
            </w:r>
          </w:p>
        </w:tc>
        <w:tc>
          <w:tcPr>
            <w:tcW w:w="993" w:type="dxa"/>
            <w:tcBorders>
              <w:top w:val="nil"/>
              <w:left w:val="nil"/>
              <w:right w:val="nil"/>
            </w:tcBorders>
            <w:shd w:val="clear" w:color="auto" w:fill="auto"/>
            <w:noWrap/>
          </w:tcPr>
          <w:p w:rsidR="00B958B1" w:rsidRPr="00F93FD4" w:rsidRDefault="00B958B1" w:rsidP="009F3B54">
            <w:pPr>
              <w:pStyle w:val="OGTableofFigures"/>
            </w:pPr>
            <w:r w:rsidRPr="00F93FD4">
              <w:t>85</w:t>
            </w:r>
          </w:p>
        </w:tc>
        <w:tc>
          <w:tcPr>
            <w:tcW w:w="907" w:type="dxa"/>
            <w:tcBorders>
              <w:top w:val="nil"/>
              <w:left w:val="nil"/>
              <w:right w:val="nil"/>
            </w:tcBorders>
            <w:shd w:val="clear" w:color="auto" w:fill="auto"/>
            <w:noWrap/>
          </w:tcPr>
          <w:p w:rsidR="00B958B1" w:rsidRPr="00F93FD4" w:rsidRDefault="00B958B1" w:rsidP="009F3B54">
            <w:pPr>
              <w:pStyle w:val="OGTableofFigures"/>
            </w:pPr>
            <w:r w:rsidRPr="00F93FD4">
              <w:t>85</w:t>
            </w:r>
          </w:p>
        </w:tc>
        <w:tc>
          <w:tcPr>
            <w:tcW w:w="907" w:type="dxa"/>
            <w:tcBorders>
              <w:top w:val="nil"/>
              <w:left w:val="nil"/>
              <w:right w:val="nil"/>
            </w:tcBorders>
            <w:shd w:val="clear" w:color="auto" w:fill="auto"/>
            <w:noWrap/>
          </w:tcPr>
          <w:p w:rsidR="00B958B1" w:rsidRPr="00F93FD4" w:rsidRDefault="00B958B1" w:rsidP="009F3B54">
            <w:pPr>
              <w:pStyle w:val="OGTableofFigures"/>
            </w:pPr>
            <w:r w:rsidRPr="00F93FD4">
              <w:t>85</w:t>
            </w:r>
          </w:p>
        </w:tc>
      </w:tr>
      <w:tr w:rsidR="00B958B1" w:rsidRPr="00F93FD4" w:rsidTr="009F3B54">
        <w:trPr>
          <w:cantSplit/>
        </w:trPr>
        <w:tc>
          <w:tcPr>
            <w:tcW w:w="7776" w:type="dxa"/>
            <w:gridSpan w:val="6"/>
            <w:tcBorders>
              <w:top w:val="nil"/>
              <w:left w:val="nil"/>
              <w:bottom w:val="single" w:sz="6" w:space="0" w:color="auto"/>
              <w:right w:val="nil"/>
            </w:tcBorders>
            <w:shd w:val="clear" w:color="auto" w:fill="auto"/>
          </w:tcPr>
          <w:p w:rsidR="00B958B1" w:rsidRPr="00F93FD4" w:rsidRDefault="00B958B1" w:rsidP="009F3B54">
            <w:pPr>
              <w:pStyle w:val="OGNotes"/>
            </w:pPr>
            <w:r w:rsidRPr="00F93FD4">
              <w:t>This performance measure is proposed to be replaced with the 2013</w:t>
            </w:r>
            <w:r w:rsidR="009F0F49">
              <w:noBreakHyphen/>
            </w:r>
            <w:r w:rsidRPr="00F93FD4">
              <w:t>14 measure ‘Agency collection storage meeting industry standard’. The 2013</w:t>
            </w:r>
            <w:r w:rsidR="009F0F49">
              <w:noBreakHyphen/>
            </w:r>
            <w:r w:rsidRPr="00F93FD4">
              <w:t>14 measure has been developed to improve the rigour of performance measurement relating to collection management.</w:t>
            </w:r>
          </w:p>
        </w:tc>
      </w:tr>
      <w:tr w:rsidR="00B958B1" w:rsidRPr="00F93FD4" w:rsidTr="009F3B54">
        <w:trPr>
          <w:cantSplit/>
        </w:trPr>
        <w:tc>
          <w:tcPr>
            <w:tcW w:w="7776" w:type="dxa"/>
            <w:gridSpan w:val="6"/>
            <w:tcBorders>
              <w:top w:val="single" w:sz="6" w:space="0" w:color="auto"/>
              <w:left w:val="nil"/>
              <w:bottom w:val="single" w:sz="6" w:space="0" w:color="auto"/>
              <w:right w:val="nil"/>
            </w:tcBorders>
            <w:shd w:val="clear" w:color="auto" w:fill="auto"/>
          </w:tcPr>
          <w:p w:rsidR="00B958B1" w:rsidRPr="00F93FD4" w:rsidRDefault="00B958B1" w:rsidP="009F3B54">
            <w:pPr>
              <w:pStyle w:val="OGHeading2"/>
            </w:pPr>
            <w:r w:rsidRPr="00F93FD4">
              <w:t>Indigenous Community and Cultural Development</w:t>
            </w:r>
          </w:p>
        </w:tc>
      </w:tr>
      <w:tr w:rsidR="00B958B1" w:rsidRPr="00F93FD4" w:rsidTr="009F3B54">
        <w:trPr>
          <w:cantSplit/>
        </w:trPr>
        <w:tc>
          <w:tcPr>
            <w:tcW w:w="3155" w:type="dxa"/>
            <w:tcBorders>
              <w:top w:val="single" w:sz="6" w:space="0" w:color="auto"/>
              <w:left w:val="nil"/>
              <w:right w:val="nil"/>
            </w:tcBorders>
            <w:shd w:val="clear" w:color="auto" w:fill="auto"/>
          </w:tcPr>
          <w:p w:rsidR="00B958B1" w:rsidRPr="00F93FD4" w:rsidRDefault="00B958B1" w:rsidP="009F3B54">
            <w:pPr>
              <w:pStyle w:val="OGTabHead"/>
            </w:pPr>
            <w:r w:rsidRPr="00F93FD4">
              <w:t>Quantity</w:t>
            </w:r>
          </w:p>
        </w:tc>
        <w:tc>
          <w:tcPr>
            <w:tcW w:w="970" w:type="dxa"/>
            <w:tcBorders>
              <w:top w:val="single" w:sz="6" w:space="0" w:color="auto"/>
              <w:left w:val="nil"/>
              <w:right w:val="nil"/>
            </w:tcBorders>
            <w:shd w:val="clear" w:color="auto" w:fill="auto"/>
            <w:noWrap/>
          </w:tcPr>
          <w:p w:rsidR="00B958B1" w:rsidRPr="00F93FD4" w:rsidRDefault="00B958B1" w:rsidP="009F3B54">
            <w:pPr>
              <w:pStyle w:val="OGTabHead"/>
            </w:pPr>
          </w:p>
        </w:tc>
        <w:tc>
          <w:tcPr>
            <w:tcW w:w="844" w:type="dxa"/>
            <w:tcBorders>
              <w:top w:val="single" w:sz="6" w:space="0" w:color="auto"/>
              <w:left w:val="nil"/>
              <w:right w:val="nil"/>
            </w:tcBorders>
            <w:shd w:val="clear" w:color="auto" w:fill="D9D9D9"/>
            <w:noWrap/>
          </w:tcPr>
          <w:p w:rsidR="00B958B1" w:rsidRPr="00F93FD4" w:rsidRDefault="00B958B1" w:rsidP="009F3B54">
            <w:pPr>
              <w:pStyle w:val="OGTabHead"/>
            </w:pPr>
          </w:p>
        </w:tc>
        <w:tc>
          <w:tcPr>
            <w:tcW w:w="993" w:type="dxa"/>
            <w:tcBorders>
              <w:top w:val="single" w:sz="6" w:space="0" w:color="auto"/>
              <w:left w:val="nil"/>
              <w:right w:val="nil"/>
            </w:tcBorders>
            <w:shd w:val="clear" w:color="auto" w:fill="auto"/>
            <w:noWrap/>
          </w:tcPr>
          <w:p w:rsidR="00B958B1" w:rsidRPr="00F93FD4" w:rsidRDefault="00B958B1" w:rsidP="009F3B54">
            <w:pPr>
              <w:pStyle w:val="OGTabHead"/>
            </w:pPr>
          </w:p>
        </w:tc>
        <w:tc>
          <w:tcPr>
            <w:tcW w:w="907" w:type="dxa"/>
            <w:tcBorders>
              <w:top w:val="single" w:sz="6" w:space="0" w:color="auto"/>
              <w:left w:val="nil"/>
              <w:right w:val="nil"/>
            </w:tcBorders>
            <w:shd w:val="clear" w:color="auto" w:fill="auto"/>
            <w:noWrap/>
          </w:tcPr>
          <w:p w:rsidR="00B958B1" w:rsidRPr="00F93FD4" w:rsidRDefault="00B958B1" w:rsidP="009F3B54">
            <w:pPr>
              <w:pStyle w:val="OGTabHead"/>
            </w:pPr>
          </w:p>
        </w:tc>
        <w:tc>
          <w:tcPr>
            <w:tcW w:w="907" w:type="dxa"/>
            <w:tcBorders>
              <w:top w:val="single" w:sz="6" w:space="0" w:color="auto"/>
              <w:left w:val="nil"/>
              <w:right w:val="nil"/>
            </w:tcBorders>
            <w:shd w:val="clear" w:color="auto" w:fill="auto"/>
            <w:noWrap/>
          </w:tcPr>
          <w:p w:rsidR="00B958B1" w:rsidRPr="00F93FD4" w:rsidRDefault="00B958B1" w:rsidP="009F3B54">
            <w:pPr>
              <w:pStyle w:val="OGTabHead"/>
            </w:pPr>
          </w:p>
        </w:tc>
      </w:tr>
      <w:tr w:rsidR="00B958B1" w:rsidRPr="00F93FD4" w:rsidTr="009F3B54">
        <w:trPr>
          <w:cantSplit/>
        </w:trPr>
        <w:tc>
          <w:tcPr>
            <w:tcW w:w="3155" w:type="dxa"/>
            <w:tcBorders>
              <w:top w:val="nil"/>
              <w:left w:val="nil"/>
              <w:right w:val="nil"/>
            </w:tcBorders>
            <w:shd w:val="clear" w:color="auto" w:fill="auto"/>
          </w:tcPr>
          <w:p w:rsidR="00B958B1" w:rsidRPr="00F93FD4" w:rsidRDefault="00B958B1" w:rsidP="009F3B54">
            <w:pPr>
              <w:pStyle w:val="OGTabText"/>
            </w:pPr>
            <w:r w:rsidRPr="00F93FD4">
              <w:t>Increase in client service contacts for members of the Stolen Generations with Connecting Home Limited</w:t>
            </w:r>
          </w:p>
        </w:tc>
        <w:tc>
          <w:tcPr>
            <w:tcW w:w="970" w:type="dxa"/>
            <w:tcBorders>
              <w:top w:val="nil"/>
              <w:left w:val="nil"/>
              <w:right w:val="nil"/>
            </w:tcBorders>
            <w:shd w:val="clear" w:color="auto" w:fill="auto"/>
            <w:noWrap/>
          </w:tcPr>
          <w:p w:rsidR="00B958B1" w:rsidRPr="00F93FD4" w:rsidRDefault="00B958B1" w:rsidP="009F3B54">
            <w:pPr>
              <w:pStyle w:val="OGUoM"/>
            </w:pPr>
            <w:r w:rsidRPr="00F93FD4">
              <w:t>per cent</w:t>
            </w:r>
          </w:p>
        </w:tc>
        <w:tc>
          <w:tcPr>
            <w:tcW w:w="844" w:type="dxa"/>
            <w:tcBorders>
              <w:top w:val="nil"/>
              <w:left w:val="nil"/>
              <w:right w:val="nil"/>
            </w:tcBorders>
            <w:shd w:val="clear" w:color="auto" w:fill="D9D9D9"/>
            <w:noWrap/>
          </w:tcPr>
          <w:p w:rsidR="00B958B1" w:rsidRPr="00F93FD4" w:rsidRDefault="00B958B1" w:rsidP="009F3B54">
            <w:pPr>
              <w:pStyle w:val="OGTableofFigures"/>
            </w:pPr>
            <w:r w:rsidRPr="00F93FD4">
              <w:t>5</w:t>
            </w:r>
          </w:p>
        </w:tc>
        <w:tc>
          <w:tcPr>
            <w:tcW w:w="993" w:type="dxa"/>
            <w:tcBorders>
              <w:top w:val="nil"/>
              <w:left w:val="nil"/>
              <w:right w:val="nil"/>
            </w:tcBorders>
            <w:shd w:val="clear" w:color="auto" w:fill="auto"/>
            <w:noWrap/>
          </w:tcPr>
          <w:p w:rsidR="00B958B1" w:rsidRPr="00F93FD4" w:rsidRDefault="00B958B1" w:rsidP="009F3B54">
            <w:pPr>
              <w:pStyle w:val="OGTableofFigures"/>
            </w:pPr>
            <w:r w:rsidRPr="00F93FD4">
              <w:t>5</w:t>
            </w:r>
          </w:p>
        </w:tc>
        <w:tc>
          <w:tcPr>
            <w:tcW w:w="907" w:type="dxa"/>
            <w:tcBorders>
              <w:top w:val="nil"/>
              <w:left w:val="nil"/>
              <w:right w:val="nil"/>
            </w:tcBorders>
            <w:shd w:val="clear" w:color="auto" w:fill="auto"/>
            <w:noWrap/>
          </w:tcPr>
          <w:p w:rsidR="00B958B1" w:rsidRPr="00F93FD4" w:rsidRDefault="00B958B1" w:rsidP="009F3B54">
            <w:pPr>
              <w:pStyle w:val="OGTableofFigures"/>
            </w:pPr>
            <w:r w:rsidRPr="00F93FD4">
              <w:t>5</w:t>
            </w:r>
          </w:p>
        </w:tc>
        <w:tc>
          <w:tcPr>
            <w:tcW w:w="907" w:type="dxa"/>
            <w:tcBorders>
              <w:top w:val="nil"/>
              <w:left w:val="nil"/>
              <w:right w:val="nil"/>
            </w:tcBorders>
            <w:shd w:val="clear" w:color="auto" w:fill="auto"/>
            <w:noWrap/>
          </w:tcPr>
          <w:p w:rsidR="00B958B1" w:rsidRPr="00F93FD4" w:rsidRDefault="00B958B1" w:rsidP="009F3B54">
            <w:pPr>
              <w:pStyle w:val="OGTableofFigures"/>
            </w:pPr>
            <w:r w:rsidRPr="00F93FD4">
              <w:t>21</w:t>
            </w:r>
          </w:p>
        </w:tc>
      </w:tr>
      <w:tr w:rsidR="00B958B1" w:rsidRPr="00F93FD4" w:rsidTr="009F3B54">
        <w:trPr>
          <w:cantSplit/>
        </w:trPr>
        <w:tc>
          <w:tcPr>
            <w:tcW w:w="7776" w:type="dxa"/>
            <w:gridSpan w:val="6"/>
            <w:tcBorders>
              <w:top w:val="nil"/>
              <w:left w:val="nil"/>
              <w:bottom w:val="single" w:sz="6" w:space="0" w:color="auto"/>
              <w:right w:val="nil"/>
            </w:tcBorders>
            <w:shd w:val="clear" w:color="auto" w:fill="auto"/>
          </w:tcPr>
          <w:p w:rsidR="00B958B1" w:rsidRPr="00F93FD4" w:rsidRDefault="00B958B1" w:rsidP="009F3B54">
            <w:pPr>
              <w:pStyle w:val="OGNotes"/>
            </w:pPr>
            <w:r w:rsidRPr="00F93FD4">
              <w:t>This performance measure is proposed to be discontinued and replaced by the 2013</w:t>
            </w:r>
            <w:r w:rsidR="009F0F49">
              <w:noBreakHyphen/>
            </w:r>
            <w:r w:rsidRPr="00F93FD4">
              <w:t>14 performance measure ‘Client service contacts for members of the Stolen Generations with Connecting Home Limited’. It has been amended to reflect the actual number of client service contacts.</w:t>
            </w:r>
          </w:p>
        </w:tc>
      </w:tr>
      <w:tr w:rsidR="00B958B1" w:rsidRPr="00F93FD4" w:rsidTr="009F3B54">
        <w:trPr>
          <w:cantSplit/>
        </w:trPr>
        <w:tc>
          <w:tcPr>
            <w:tcW w:w="3155" w:type="dxa"/>
            <w:tcBorders>
              <w:top w:val="single" w:sz="6" w:space="0" w:color="auto"/>
              <w:left w:val="nil"/>
              <w:right w:val="nil"/>
            </w:tcBorders>
            <w:shd w:val="clear" w:color="auto" w:fill="auto"/>
          </w:tcPr>
          <w:p w:rsidR="00B958B1" w:rsidRPr="00F93FD4" w:rsidRDefault="00B958B1" w:rsidP="009F3B54">
            <w:pPr>
              <w:pStyle w:val="OGTabHead"/>
            </w:pPr>
            <w:r w:rsidRPr="00F93FD4">
              <w:t>Quality</w:t>
            </w:r>
          </w:p>
        </w:tc>
        <w:tc>
          <w:tcPr>
            <w:tcW w:w="970" w:type="dxa"/>
            <w:tcBorders>
              <w:top w:val="single" w:sz="6" w:space="0" w:color="auto"/>
              <w:left w:val="nil"/>
              <w:right w:val="nil"/>
            </w:tcBorders>
            <w:shd w:val="clear" w:color="auto" w:fill="auto"/>
            <w:noWrap/>
          </w:tcPr>
          <w:p w:rsidR="00B958B1" w:rsidRPr="00F93FD4" w:rsidRDefault="00B958B1" w:rsidP="009F3B54">
            <w:pPr>
              <w:pStyle w:val="OGTabHead"/>
            </w:pPr>
          </w:p>
        </w:tc>
        <w:tc>
          <w:tcPr>
            <w:tcW w:w="844" w:type="dxa"/>
            <w:tcBorders>
              <w:top w:val="single" w:sz="6" w:space="0" w:color="auto"/>
              <w:left w:val="nil"/>
              <w:right w:val="nil"/>
            </w:tcBorders>
            <w:shd w:val="clear" w:color="auto" w:fill="D9D9D9"/>
            <w:noWrap/>
          </w:tcPr>
          <w:p w:rsidR="00B958B1" w:rsidRPr="00F93FD4" w:rsidRDefault="00B958B1" w:rsidP="009F3B54">
            <w:pPr>
              <w:pStyle w:val="OGTabHead"/>
            </w:pPr>
          </w:p>
        </w:tc>
        <w:tc>
          <w:tcPr>
            <w:tcW w:w="993" w:type="dxa"/>
            <w:tcBorders>
              <w:top w:val="single" w:sz="6" w:space="0" w:color="auto"/>
              <w:left w:val="nil"/>
              <w:right w:val="nil"/>
            </w:tcBorders>
            <w:shd w:val="clear" w:color="auto" w:fill="auto"/>
            <w:noWrap/>
          </w:tcPr>
          <w:p w:rsidR="00B958B1" w:rsidRPr="00F93FD4" w:rsidRDefault="00B958B1" w:rsidP="009F3B54">
            <w:pPr>
              <w:pStyle w:val="OGTabHead"/>
            </w:pPr>
          </w:p>
        </w:tc>
        <w:tc>
          <w:tcPr>
            <w:tcW w:w="907" w:type="dxa"/>
            <w:tcBorders>
              <w:top w:val="single" w:sz="6" w:space="0" w:color="auto"/>
              <w:left w:val="nil"/>
              <w:right w:val="nil"/>
            </w:tcBorders>
            <w:shd w:val="clear" w:color="auto" w:fill="auto"/>
            <w:noWrap/>
          </w:tcPr>
          <w:p w:rsidR="00B958B1" w:rsidRPr="00F93FD4" w:rsidRDefault="00B958B1" w:rsidP="009F3B54">
            <w:pPr>
              <w:pStyle w:val="OGTabHead"/>
            </w:pPr>
          </w:p>
        </w:tc>
        <w:tc>
          <w:tcPr>
            <w:tcW w:w="907" w:type="dxa"/>
            <w:tcBorders>
              <w:top w:val="single" w:sz="6" w:space="0" w:color="auto"/>
              <w:left w:val="nil"/>
              <w:right w:val="nil"/>
            </w:tcBorders>
            <w:shd w:val="clear" w:color="auto" w:fill="auto"/>
            <w:noWrap/>
          </w:tcPr>
          <w:p w:rsidR="00B958B1" w:rsidRPr="00F93FD4" w:rsidRDefault="00B958B1" w:rsidP="009F3B54">
            <w:pPr>
              <w:pStyle w:val="OGTabHead"/>
            </w:pPr>
          </w:p>
        </w:tc>
      </w:tr>
      <w:tr w:rsidR="00B958B1" w:rsidRPr="00F93FD4" w:rsidTr="009F3B54">
        <w:trPr>
          <w:cantSplit/>
        </w:trPr>
        <w:tc>
          <w:tcPr>
            <w:tcW w:w="3155" w:type="dxa"/>
            <w:tcBorders>
              <w:top w:val="nil"/>
              <w:left w:val="nil"/>
              <w:right w:val="nil"/>
            </w:tcBorders>
            <w:shd w:val="clear" w:color="auto" w:fill="auto"/>
          </w:tcPr>
          <w:p w:rsidR="00B958B1" w:rsidRPr="00F93FD4" w:rsidRDefault="00B958B1" w:rsidP="009F3B54">
            <w:pPr>
              <w:pStyle w:val="OGTabText"/>
            </w:pPr>
            <w:r w:rsidRPr="00F93FD4">
              <w:t>Local Indigenous representation groups completed stage three of community plans</w:t>
            </w:r>
          </w:p>
        </w:tc>
        <w:tc>
          <w:tcPr>
            <w:tcW w:w="970" w:type="dxa"/>
            <w:tcBorders>
              <w:top w:val="nil"/>
              <w:left w:val="nil"/>
              <w:right w:val="nil"/>
            </w:tcBorders>
            <w:shd w:val="clear" w:color="auto" w:fill="auto"/>
            <w:noWrap/>
          </w:tcPr>
          <w:p w:rsidR="00B958B1" w:rsidRPr="00F93FD4" w:rsidRDefault="00B958B1" w:rsidP="009F3B54">
            <w:pPr>
              <w:pStyle w:val="OGUoM"/>
            </w:pPr>
            <w:r w:rsidRPr="00F93FD4">
              <w:t>per cent</w:t>
            </w:r>
          </w:p>
        </w:tc>
        <w:tc>
          <w:tcPr>
            <w:tcW w:w="844" w:type="dxa"/>
            <w:tcBorders>
              <w:top w:val="nil"/>
              <w:left w:val="nil"/>
              <w:right w:val="nil"/>
            </w:tcBorders>
            <w:shd w:val="clear" w:color="auto" w:fill="D9D9D9"/>
            <w:noWrap/>
          </w:tcPr>
          <w:p w:rsidR="00B958B1" w:rsidRPr="00F93FD4" w:rsidRDefault="00B958B1" w:rsidP="009F3B54">
            <w:pPr>
              <w:pStyle w:val="OGTableofFigures"/>
            </w:pPr>
            <w:r>
              <w:t>na</w:t>
            </w:r>
          </w:p>
        </w:tc>
        <w:tc>
          <w:tcPr>
            <w:tcW w:w="993" w:type="dxa"/>
            <w:tcBorders>
              <w:top w:val="nil"/>
              <w:left w:val="nil"/>
              <w:right w:val="nil"/>
            </w:tcBorders>
            <w:shd w:val="clear" w:color="auto" w:fill="auto"/>
            <w:noWrap/>
          </w:tcPr>
          <w:p w:rsidR="00B958B1" w:rsidRPr="00F93FD4" w:rsidRDefault="00B958B1" w:rsidP="009F3B54">
            <w:pPr>
              <w:pStyle w:val="OGTableofFigures"/>
            </w:pPr>
            <w:r w:rsidRPr="00F93FD4">
              <w:t>100</w:t>
            </w:r>
          </w:p>
        </w:tc>
        <w:tc>
          <w:tcPr>
            <w:tcW w:w="907" w:type="dxa"/>
            <w:tcBorders>
              <w:top w:val="nil"/>
              <w:left w:val="nil"/>
              <w:right w:val="nil"/>
            </w:tcBorders>
            <w:shd w:val="clear" w:color="auto" w:fill="auto"/>
            <w:noWrap/>
          </w:tcPr>
          <w:p w:rsidR="00B958B1" w:rsidRPr="00F93FD4" w:rsidRDefault="00B958B1" w:rsidP="009F3B54">
            <w:pPr>
              <w:pStyle w:val="OGTableofFigures"/>
            </w:pPr>
            <w:r w:rsidRPr="00F93FD4">
              <w:t>100</w:t>
            </w:r>
          </w:p>
        </w:tc>
        <w:tc>
          <w:tcPr>
            <w:tcW w:w="907" w:type="dxa"/>
            <w:tcBorders>
              <w:top w:val="nil"/>
              <w:left w:val="nil"/>
              <w:right w:val="nil"/>
            </w:tcBorders>
            <w:shd w:val="clear" w:color="auto" w:fill="auto"/>
            <w:noWrap/>
          </w:tcPr>
          <w:p w:rsidR="00B958B1" w:rsidRPr="00F93FD4" w:rsidRDefault="00B958B1" w:rsidP="009F3B54">
            <w:pPr>
              <w:pStyle w:val="OGTableofFigures"/>
            </w:pPr>
            <w:r w:rsidRPr="00F93FD4">
              <w:t>94.7</w:t>
            </w:r>
          </w:p>
        </w:tc>
      </w:tr>
      <w:tr w:rsidR="00B958B1" w:rsidRPr="00F93FD4" w:rsidTr="009F3B54">
        <w:trPr>
          <w:cantSplit/>
        </w:trPr>
        <w:tc>
          <w:tcPr>
            <w:tcW w:w="7776" w:type="dxa"/>
            <w:gridSpan w:val="6"/>
            <w:tcBorders>
              <w:top w:val="nil"/>
              <w:left w:val="nil"/>
              <w:bottom w:val="single" w:sz="12" w:space="0" w:color="auto"/>
              <w:right w:val="nil"/>
            </w:tcBorders>
            <w:shd w:val="clear" w:color="auto" w:fill="auto"/>
          </w:tcPr>
          <w:p w:rsidR="00B958B1" w:rsidRPr="00F93FD4" w:rsidRDefault="00B958B1" w:rsidP="009F3B54">
            <w:pPr>
              <w:pStyle w:val="OGNotes"/>
            </w:pPr>
            <w:r w:rsidRPr="00F93FD4">
              <w:t>This performance measure is proposed to be discontinued as it is no longer relevant as all community plans have been completed.</w:t>
            </w:r>
          </w:p>
        </w:tc>
      </w:tr>
    </w:tbl>
    <w:p w:rsidR="00B958B1" w:rsidRDefault="00B958B1" w:rsidP="009F3B54">
      <w:pPr>
        <w:pStyle w:val="Source"/>
      </w:pPr>
      <w:r>
        <w:t>Source: Department of Premier and Cabinet</w:t>
      </w:r>
      <w:r>
        <w:fldChar w:fldCharType="begin"/>
      </w:r>
      <w:r>
        <w:instrText xml:space="preserve"> XE "</w:instrText>
      </w:r>
      <w:r w:rsidRPr="00874DB7">
        <w:instrText>Department of Premier and Cabinet:</w:instrText>
      </w:r>
      <w:r w:rsidRPr="00C60B08">
        <w:instrText xml:space="preserve"> </w:instrText>
      </w:r>
      <w:r w:rsidRPr="003E7F43">
        <w:instrText>Output performance measures for review</w:instrText>
      </w:r>
      <w:r>
        <w:instrText xml:space="preserve">" \r "BP3AppADPC" </w:instrText>
      </w:r>
      <w:r>
        <w:fldChar w:fldCharType="end"/>
      </w:r>
    </w:p>
    <w:bookmarkEnd w:id="167"/>
    <w:p w:rsidR="00B958B1" w:rsidRPr="00F038AA" w:rsidRDefault="00B958B1" w:rsidP="009F3B54">
      <w:pPr>
        <w:pStyle w:val="Source"/>
      </w:pPr>
    </w:p>
    <w:p w:rsidR="00B958B1" w:rsidRDefault="00B958B1" w:rsidP="009F3B54">
      <w:pPr>
        <w:pStyle w:val="Heading1"/>
      </w:pPr>
      <w:r>
        <w:br w:type="page"/>
      </w:r>
      <w:bookmarkStart w:id="168" w:name="_Toc355362296"/>
      <w:bookmarkStart w:id="169" w:name="BP3AppADSBI"/>
      <w:r>
        <w:t>Department of State Development Business and Innovation</w:t>
      </w:r>
      <w:bookmarkEnd w:id="168"/>
    </w:p>
    <w:tbl>
      <w:tblPr>
        <w:tblW w:w="7782" w:type="dxa"/>
        <w:tblInd w:w="29" w:type="dxa"/>
        <w:tblLayout w:type="fixed"/>
        <w:tblCellMar>
          <w:left w:w="43" w:type="dxa"/>
          <w:right w:w="43" w:type="dxa"/>
        </w:tblCellMar>
        <w:tblLook w:val="04A0" w:firstRow="1" w:lastRow="0" w:firstColumn="1" w:lastColumn="0" w:noHBand="0" w:noVBand="1"/>
      </w:tblPr>
      <w:tblGrid>
        <w:gridCol w:w="3153"/>
        <w:gridCol w:w="908"/>
        <w:gridCol w:w="907"/>
        <w:gridCol w:w="994"/>
        <w:gridCol w:w="907"/>
        <w:gridCol w:w="907"/>
        <w:gridCol w:w="6"/>
      </w:tblGrid>
      <w:tr w:rsidR="00B958B1" w:rsidRPr="00D32CA4" w:rsidTr="009F3B54">
        <w:trPr>
          <w:cantSplit/>
          <w:tblHeader/>
        </w:trPr>
        <w:tc>
          <w:tcPr>
            <w:tcW w:w="3153" w:type="dxa"/>
            <w:tcBorders>
              <w:top w:val="single" w:sz="4" w:space="0" w:color="auto"/>
              <w:left w:val="single" w:sz="4" w:space="0" w:color="auto"/>
              <w:bottom w:val="single" w:sz="4" w:space="0" w:color="auto"/>
              <w:right w:val="nil"/>
            </w:tcBorders>
            <w:shd w:val="clear" w:color="auto" w:fill="000000"/>
            <w:vAlign w:val="bottom"/>
          </w:tcPr>
          <w:p w:rsidR="00B958B1" w:rsidRPr="00D32CA4" w:rsidRDefault="00B958B1" w:rsidP="009F3B54">
            <w:pPr>
              <w:pStyle w:val="OGTabColLeft"/>
              <w:rPr>
                <w:i/>
              </w:rPr>
            </w:pPr>
            <w:r w:rsidRPr="00B314CC">
              <w:rPr>
                <w:shd w:val="clear" w:color="auto" w:fill="000000"/>
              </w:rPr>
              <w:t xml:space="preserve">Major </w:t>
            </w:r>
            <w:r w:rsidRPr="00D32CA4">
              <w:t>Outputs/Deliverables</w:t>
            </w:r>
            <w:r w:rsidRPr="00D32CA4">
              <w:br/>
            </w:r>
            <w:r w:rsidRPr="0085011C">
              <w:rPr>
                <w:b w:val="0"/>
                <w:i/>
              </w:rPr>
              <w:t>Performance measures</w:t>
            </w:r>
          </w:p>
        </w:tc>
        <w:tc>
          <w:tcPr>
            <w:tcW w:w="908" w:type="dxa"/>
            <w:tcBorders>
              <w:top w:val="single" w:sz="4" w:space="0" w:color="auto"/>
              <w:left w:val="nil"/>
              <w:bottom w:val="single" w:sz="4" w:space="0" w:color="auto"/>
              <w:right w:val="nil"/>
            </w:tcBorders>
            <w:shd w:val="clear" w:color="auto" w:fill="000000"/>
            <w:noWrap/>
            <w:hideMark/>
          </w:tcPr>
          <w:p w:rsidR="00B958B1" w:rsidRPr="00D32CA4" w:rsidRDefault="00B958B1" w:rsidP="009F3B54">
            <w:pPr>
              <w:pStyle w:val="OGTabColCentred"/>
            </w:pPr>
            <w:r>
              <w:br/>
            </w:r>
            <w:r w:rsidRPr="00D32CA4">
              <w:t xml:space="preserve">unit of </w:t>
            </w:r>
            <w:r w:rsidRPr="00D32CA4">
              <w:br/>
            </w:r>
            <w:r w:rsidRPr="00D14B26">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t>2013</w:t>
            </w:r>
            <w:r w:rsidR="009F0F49">
              <w:noBreakHyphen/>
            </w:r>
            <w:r w:rsidRPr="00D32CA4">
              <w:t>1</w:t>
            </w:r>
            <w:r>
              <w:t>4</w:t>
            </w:r>
            <w:r w:rsidRPr="00D32CA4">
              <w:t xml:space="preserve"> target</w:t>
            </w:r>
          </w:p>
        </w:tc>
        <w:tc>
          <w:tcPr>
            <w:tcW w:w="994"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pPr>
            <w:r w:rsidRPr="00D32CA4">
              <w:t>201</w:t>
            </w:r>
            <w:r>
              <w:t>2</w:t>
            </w:r>
            <w:r w:rsidR="009F0F49">
              <w:noBreakHyphen/>
            </w:r>
            <w:r w:rsidRPr="00D32CA4">
              <w:t>1</w:t>
            </w:r>
            <w:r>
              <w:t>3</w:t>
            </w:r>
            <w:r w:rsidRPr="00D32CA4">
              <w:t xml:space="preserve"> target</w:t>
            </w:r>
          </w:p>
        </w:tc>
        <w:tc>
          <w:tcPr>
            <w:tcW w:w="913" w:type="dxa"/>
            <w:gridSpan w:val="2"/>
            <w:tcBorders>
              <w:top w:val="single" w:sz="4" w:space="0" w:color="auto"/>
              <w:left w:val="nil"/>
              <w:bottom w:val="single" w:sz="4" w:space="0" w:color="auto"/>
              <w:right w:val="single" w:sz="4" w:space="0" w:color="auto"/>
            </w:tcBorders>
            <w:shd w:val="clear" w:color="auto" w:fill="000000"/>
            <w:noWrap/>
            <w:vAlign w:val="bottom"/>
            <w:hideMark/>
          </w:tcPr>
          <w:p w:rsidR="00B958B1" w:rsidRPr="00D32CA4" w:rsidRDefault="00B958B1" w:rsidP="009F3B54">
            <w:pPr>
              <w:pStyle w:val="OGTabColRight"/>
            </w:pPr>
            <w:r>
              <w:t>2011</w:t>
            </w:r>
            <w:r w:rsidR="009F0F49">
              <w:noBreakHyphen/>
            </w:r>
            <w:r w:rsidRPr="00D32CA4">
              <w:t>1</w:t>
            </w:r>
            <w:r>
              <w:t>2</w:t>
            </w:r>
            <w:r w:rsidRPr="00D32CA4">
              <w:t xml:space="preserve"> Actual</w:t>
            </w:r>
          </w:p>
        </w:tc>
      </w:tr>
      <w:tr w:rsidR="00B958B1" w:rsidRPr="00C76446" w:rsidTr="009F3B54">
        <w:trPr>
          <w:gridAfter w:val="1"/>
          <w:wAfter w:w="6" w:type="dxa"/>
          <w:cantSplit/>
        </w:trPr>
        <w:tc>
          <w:tcPr>
            <w:tcW w:w="7776" w:type="dxa"/>
            <w:gridSpan w:val="6"/>
            <w:tcBorders>
              <w:top w:val="single" w:sz="4" w:space="0" w:color="auto"/>
              <w:left w:val="nil"/>
              <w:bottom w:val="single" w:sz="6" w:space="0" w:color="auto"/>
              <w:right w:val="nil"/>
            </w:tcBorders>
            <w:shd w:val="clear" w:color="auto" w:fill="auto"/>
          </w:tcPr>
          <w:p w:rsidR="00B958B1" w:rsidRPr="00C76446" w:rsidRDefault="00B958B1" w:rsidP="009F3B54">
            <w:pPr>
              <w:pStyle w:val="OGHeading1"/>
            </w:pPr>
            <w:r>
              <w:t>Innovation and Technology</w:t>
            </w:r>
          </w:p>
        </w:tc>
      </w:tr>
      <w:tr w:rsidR="00B958B1" w:rsidRPr="00C76446" w:rsidTr="009F3B54">
        <w:tblPrEx>
          <w:tblBorders>
            <w:top w:val="single" w:sz="6" w:space="0" w:color="auto"/>
          </w:tblBorders>
        </w:tblPrEx>
        <w:trPr>
          <w:gridAfter w:val="1"/>
          <w:wAfter w:w="6" w:type="dxa"/>
          <w:cantSplit/>
        </w:trPr>
        <w:tc>
          <w:tcPr>
            <w:tcW w:w="3153" w:type="dxa"/>
            <w:tcBorders>
              <w:top w:val="single" w:sz="6" w:space="0" w:color="auto"/>
            </w:tcBorders>
            <w:shd w:val="clear" w:color="auto" w:fill="auto"/>
          </w:tcPr>
          <w:p w:rsidR="00B958B1" w:rsidRPr="00A649E2" w:rsidRDefault="00B958B1" w:rsidP="009F3B54">
            <w:pPr>
              <w:pStyle w:val="OGTabHead"/>
              <w:rPr>
                <w:lang w:eastAsia="en-AU"/>
              </w:rPr>
            </w:pPr>
            <w:r>
              <w:rPr>
                <w:lang w:eastAsia="en-AU"/>
              </w:rPr>
              <w:t>Quality</w:t>
            </w:r>
          </w:p>
        </w:tc>
        <w:tc>
          <w:tcPr>
            <w:tcW w:w="908" w:type="dxa"/>
            <w:tcBorders>
              <w:top w:val="single" w:sz="6" w:space="0" w:color="auto"/>
            </w:tcBorders>
            <w:shd w:val="clear" w:color="auto" w:fill="auto"/>
            <w:noWrap/>
          </w:tcPr>
          <w:p w:rsidR="00B958B1" w:rsidRPr="00C76446" w:rsidRDefault="00B958B1" w:rsidP="009F3B54">
            <w:pPr>
              <w:pStyle w:val="OGUoM"/>
              <w:rPr>
                <w:lang w:eastAsia="en-AU"/>
              </w:rPr>
            </w:pPr>
            <w:r w:rsidRPr="00C76446">
              <w:rPr>
                <w:lang w:eastAsia="en-AU"/>
              </w:rPr>
              <w:t> </w:t>
            </w:r>
          </w:p>
        </w:tc>
        <w:tc>
          <w:tcPr>
            <w:tcW w:w="907" w:type="dxa"/>
            <w:tcBorders>
              <w:top w:val="single" w:sz="6" w:space="0" w:color="auto"/>
            </w:tcBorders>
            <w:shd w:val="clear" w:color="auto" w:fill="D9D9D9"/>
            <w:noWrap/>
          </w:tcPr>
          <w:p w:rsidR="00B958B1" w:rsidRPr="00C76446" w:rsidRDefault="00B958B1" w:rsidP="009F3B54">
            <w:pPr>
              <w:pStyle w:val="OGTableofFigures"/>
              <w:rPr>
                <w:lang w:eastAsia="en-AU"/>
              </w:rPr>
            </w:pPr>
            <w:r w:rsidRPr="00C76446">
              <w:rPr>
                <w:lang w:eastAsia="en-AU"/>
              </w:rPr>
              <w:t> </w:t>
            </w:r>
          </w:p>
        </w:tc>
        <w:tc>
          <w:tcPr>
            <w:tcW w:w="994" w:type="dxa"/>
            <w:tcBorders>
              <w:top w:val="single" w:sz="6" w:space="0" w:color="auto"/>
            </w:tcBorders>
            <w:shd w:val="clear" w:color="auto" w:fill="auto"/>
            <w:noWrap/>
          </w:tcPr>
          <w:p w:rsidR="00B958B1" w:rsidRPr="00C76446" w:rsidRDefault="00B958B1" w:rsidP="009F3B54">
            <w:pPr>
              <w:pStyle w:val="OGTableofFigures"/>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leofFigures"/>
              <w:rPr>
                <w:lang w:eastAsia="en-AU"/>
              </w:rPr>
            </w:pPr>
            <w:r w:rsidRPr="00C76446">
              <w:rPr>
                <w:lang w:eastAsia="en-AU"/>
              </w:rPr>
              <w:t> </w:t>
            </w:r>
          </w:p>
        </w:tc>
        <w:tc>
          <w:tcPr>
            <w:tcW w:w="907" w:type="dxa"/>
            <w:tcBorders>
              <w:top w:val="single" w:sz="6" w:space="0" w:color="auto"/>
            </w:tcBorders>
            <w:shd w:val="clear" w:color="auto" w:fill="auto"/>
            <w:noWrap/>
          </w:tcPr>
          <w:p w:rsidR="00B958B1" w:rsidRPr="00C76446" w:rsidRDefault="00B958B1" w:rsidP="009F3B54">
            <w:pPr>
              <w:pStyle w:val="OGTableofFigures"/>
              <w:rPr>
                <w:lang w:eastAsia="en-AU"/>
              </w:rPr>
            </w:pPr>
            <w:r w:rsidRPr="00C76446">
              <w:rPr>
                <w:lang w:eastAsia="en-AU"/>
              </w:rPr>
              <w:t> </w:t>
            </w:r>
          </w:p>
        </w:tc>
      </w:tr>
      <w:tr w:rsidR="00B958B1" w:rsidRPr="00C76446" w:rsidTr="009F3B54">
        <w:tblPrEx>
          <w:tblBorders>
            <w:top w:val="single" w:sz="6" w:space="0" w:color="auto"/>
          </w:tblBorders>
        </w:tblPrEx>
        <w:trPr>
          <w:gridAfter w:val="1"/>
          <w:wAfter w:w="6" w:type="dxa"/>
          <w:cantSplit/>
        </w:trPr>
        <w:tc>
          <w:tcPr>
            <w:tcW w:w="3153" w:type="dxa"/>
            <w:tcBorders>
              <w:bottom w:val="nil"/>
            </w:tcBorders>
            <w:shd w:val="clear" w:color="auto" w:fill="auto"/>
          </w:tcPr>
          <w:p w:rsidR="00B958B1" w:rsidRPr="00C76446" w:rsidRDefault="00B958B1" w:rsidP="009F3B54">
            <w:pPr>
              <w:pStyle w:val="OGTabText"/>
              <w:rPr>
                <w:color w:val="000000"/>
                <w:lang w:eastAsia="en-AU"/>
              </w:rPr>
            </w:pPr>
            <w:r>
              <w:rPr>
                <w:color w:val="000000"/>
                <w:lang w:eastAsia="en-AU"/>
              </w:rPr>
              <w:t>Percentage of funded science projects that are industry led</w:t>
            </w:r>
          </w:p>
        </w:tc>
        <w:tc>
          <w:tcPr>
            <w:tcW w:w="908" w:type="dxa"/>
            <w:tcBorders>
              <w:bottom w:val="nil"/>
            </w:tcBorders>
            <w:shd w:val="clear" w:color="auto" w:fill="auto"/>
            <w:noWrap/>
          </w:tcPr>
          <w:p w:rsidR="00B958B1" w:rsidRDefault="00B958B1" w:rsidP="009F3B54">
            <w:pPr>
              <w:pStyle w:val="OGUoM"/>
              <w:rPr>
                <w:rFonts w:cs="Calibri"/>
                <w:szCs w:val="20"/>
              </w:rPr>
            </w:pPr>
            <w:r>
              <w:rPr>
                <w:rFonts w:cs="Calibri"/>
                <w:szCs w:val="20"/>
              </w:rPr>
              <w:t>per cent</w:t>
            </w:r>
          </w:p>
        </w:tc>
        <w:tc>
          <w:tcPr>
            <w:tcW w:w="907" w:type="dxa"/>
            <w:tcBorders>
              <w:bottom w:val="nil"/>
            </w:tcBorders>
            <w:shd w:val="clear" w:color="auto" w:fill="D9D9D9"/>
            <w:noWrap/>
          </w:tcPr>
          <w:p w:rsidR="00B958B1" w:rsidRDefault="00B958B1" w:rsidP="009F3B54">
            <w:pPr>
              <w:pStyle w:val="OGTableofFigures"/>
              <w:rPr>
                <w:rFonts w:cs="Calibri"/>
                <w:szCs w:val="20"/>
              </w:rPr>
            </w:pPr>
            <w:r>
              <w:rPr>
                <w:rFonts w:cs="Calibri"/>
                <w:szCs w:val="20"/>
              </w:rPr>
              <w:t xml:space="preserve">na  </w:t>
            </w:r>
          </w:p>
        </w:tc>
        <w:tc>
          <w:tcPr>
            <w:tcW w:w="994" w:type="dxa"/>
            <w:tcBorders>
              <w:bottom w:val="nil"/>
            </w:tcBorders>
            <w:shd w:val="clear" w:color="auto" w:fill="auto"/>
            <w:noWrap/>
          </w:tcPr>
          <w:p w:rsidR="00B958B1" w:rsidRDefault="00B958B1" w:rsidP="009F3B54">
            <w:pPr>
              <w:pStyle w:val="OGTableofFigures"/>
              <w:rPr>
                <w:rFonts w:cs="Calibri"/>
                <w:szCs w:val="20"/>
              </w:rPr>
            </w:pPr>
            <w:r>
              <w:rPr>
                <w:rFonts w:cs="Calibri"/>
                <w:szCs w:val="20"/>
              </w:rPr>
              <w:t>60</w:t>
            </w:r>
          </w:p>
        </w:tc>
        <w:tc>
          <w:tcPr>
            <w:tcW w:w="907" w:type="dxa"/>
            <w:tcBorders>
              <w:bottom w:val="nil"/>
            </w:tcBorders>
            <w:shd w:val="clear" w:color="auto" w:fill="auto"/>
            <w:noWrap/>
          </w:tcPr>
          <w:p w:rsidR="00B958B1" w:rsidRDefault="00B958B1" w:rsidP="009F3B54">
            <w:pPr>
              <w:pStyle w:val="OGTableofFigures"/>
              <w:rPr>
                <w:rFonts w:cs="Calibri"/>
                <w:szCs w:val="20"/>
              </w:rPr>
            </w:pPr>
            <w:r>
              <w:rPr>
                <w:rFonts w:cs="Calibri"/>
                <w:szCs w:val="20"/>
              </w:rPr>
              <w:t xml:space="preserve">60 </w:t>
            </w:r>
          </w:p>
        </w:tc>
        <w:tc>
          <w:tcPr>
            <w:tcW w:w="907" w:type="dxa"/>
            <w:tcBorders>
              <w:bottom w:val="nil"/>
            </w:tcBorders>
            <w:shd w:val="clear" w:color="auto" w:fill="auto"/>
            <w:noWrap/>
          </w:tcPr>
          <w:p w:rsidR="00B958B1" w:rsidRDefault="00B958B1" w:rsidP="009F3B54">
            <w:pPr>
              <w:pStyle w:val="OGTableofFigures"/>
              <w:rPr>
                <w:rFonts w:cs="Calibri"/>
                <w:szCs w:val="20"/>
              </w:rPr>
            </w:pPr>
            <w:r>
              <w:rPr>
                <w:rFonts w:cs="Calibri"/>
                <w:szCs w:val="20"/>
              </w:rPr>
              <w:t xml:space="preserve">60 </w:t>
            </w:r>
          </w:p>
        </w:tc>
      </w:tr>
      <w:tr w:rsidR="00B958B1" w:rsidRPr="00C76446" w:rsidTr="009F3B54">
        <w:tblPrEx>
          <w:tblBorders>
            <w:top w:val="single" w:sz="6" w:space="0" w:color="auto"/>
          </w:tblBorders>
        </w:tblPrEx>
        <w:trPr>
          <w:gridAfter w:val="1"/>
          <w:wAfter w:w="6" w:type="dxa"/>
          <w:cantSplit/>
        </w:trPr>
        <w:tc>
          <w:tcPr>
            <w:tcW w:w="7776" w:type="dxa"/>
            <w:gridSpan w:val="6"/>
            <w:tcBorders>
              <w:top w:val="nil"/>
              <w:bottom w:val="single" w:sz="6" w:space="0" w:color="auto"/>
            </w:tcBorders>
            <w:shd w:val="clear" w:color="auto" w:fill="auto"/>
          </w:tcPr>
          <w:p w:rsidR="00B958B1" w:rsidRDefault="00B958B1" w:rsidP="009F3B54">
            <w:pPr>
              <w:pStyle w:val="OGNotes"/>
              <w:rPr>
                <w:rFonts w:cs="Calibri"/>
              </w:rPr>
            </w:pPr>
            <w:r w:rsidRPr="004E7DAD">
              <w:t xml:space="preserve">This performance measure is proposed to be discontinued as it relates to a single science program which has had all its funds fully committed and the outcome is not expected to change until the program concludes. The measures, </w:t>
            </w:r>
            <w:r>
              <w:t>‘</w:t>
            </w:r>
            <w:r w:rsidRPr="004E7DAD">
              <w:rPr>
                <w:iCs/>
              </w:rPr>
              <w:t>Companies linked to business networks</w:t>
            </w:r>
            <w:r>
              <w:rPr>
                <w:iCs/>
              </w:rPr>
              <w:t>’</w:t>
            </w:r>
            <w:r w:rsidRPr="004E7DAD">
              <w:t xml:space="preserve"> and </w:t>
            </w:r>
            <w:r>
              <w:t>‘</w:t>
            </w:r>
            <w:r w:rsidRPr="004E7DAD">
              <w:rPr>
                <w:iCs/>
              </w:rPr>
              <w:t>Businesses provided with research and development assistance</w:t>
            </w:r>
            <w:r>
              <w:rPr>
                <w:iCs/>
              </w:rPr>
              <w:t>’</w:t>
            </w:r>
            <w:r w:rsidRPr="004E7DAD">
              <w:rPr>
                <w:iCs/>
              </w:rPr>
              <w:t xml:space="preserve"> </w:t>
            </w:r>
            <w:r w:rsidRPr="004E7DAD">
              <w:t xml:space="preserve">reflect the current focus of </w:t>
            </w:r>
            <w:r>
              <w:t>the Department’</w:t>
            </w:r>
            <w:r w:rsidRPr="004E7DAD">
              <w:t>s programs (with a focus on collaborations assisted) which include science and technology projects amongst others.</w:t>
            </w:r>
          </w:p>
        </w:tc>
      </w:tr>
      <w:tr w:rsidR="00B958B1" w:rsidRPr="00C76446" w:rsidTr="009F3B54">
        <w:trPr>
          <w:gridAfter w:val="1"/>
          <w:wAfter w:w="6" w:type="dxa"/>
          <w:cantSplit/>
        </w:trPr>
        <w:tc>
          <w:tcPr>
            <w:tcW w:w="7776" w:type="dxa"/>
            <w:gridSpan w:val="6"/>
            <w:tcBorders>
              <w:top w:val="single" w:sz="6" w:space="0" w:color="auto"/>
              <w:left w:val="nil"/>
              <w:right w:val="nil"/>
            </w:tcBorders>
            <w:shd w:val="clear" w:color="auto" w:fill="auto"/>
          </w:tcPr>
          <w:p w:rsidR="00B958B1" w:rsidRPr="00C76446" w:rsidRDefault="00B958B1" w:rsidP="009F3B54">
            <w:pPr>
              <w:pStyle w:val="OGTabColLeft"/>
              <w:keepNext/>
            </w:pPr>
            <w:r w:rsidRPr="00E23DD0">
              <w:rPr>
                <w:sz w:val="28"/>
                <w:szCs w:val="24"/>
              </w:rPr>
              <w:t>Investment Attraction, Facilitation and Major Projects</w:t>
            </w:r>
          </w:p>
        </w:tc>
      </w:tr>
      <w:tr w:rsidR="00B958B1" w:rsidRPr="00C76446" w:rsidTr="009F3B54">
        <w:trPr>
          <w:gridAfter w:val="1"/>
          <w:wAfter w:w="6" w:type="dxa"/>
          <w:cantSplit/>
        </w:trPr>
        <w:tc>
          <w:tcPr>
            <w:tcW w:w="3153" w:type="dxa"/>
            <w:tcBorders>
              <w:top w:val="single" w:sz="6" w:space="0" w:color="auto"/>
              <w:left w:val="nil"/>
              <w:bottom w:val="nil"/>
              <w:right w:val="nil"/>
            </w:tcBorders>
            <w:shd w:val="clear" w:color="auto" w:fill="auto"/>
          </w:tcPr>
          <w:p w:rsidR="00B958B1" w:rsidRPr="00C76446" w:rsidRDefault="00B958B1" w:rsidP="009F3B54">
            <w:pPr>
              <w:pStyle w:val="OGTabHead"/>
              <w:rPr>
                <w:lang w:eastAsia="en-AU"/>
              </w:rPr>
            </w:pPr>
            <w:r w:rsidRPr="004F1A91">
              <w:rPr>
                <w:lang w:eastAsia="en-AU"/>
              </w:rPr>
              <w:t>Quality</w:t>
            </w:r>
          </w:p>
        </w:tc>
        <w:tc>
          <w:tcPr>
            <w:tcW w:w="908" w:type="dxa"/>
            <w:tcBorders>
              <w:top w:val="single" w:sz="6" w:space="0" w:color="auto"/>
              <w:left w:val="nil"/>
              <w:bottom w:val="nil"/>
              <w:right w:val="nil"/>
            </w:tcBorders>
            <w:shd w:val="clear" w:color="auto" w:fill="auto"/>
            <w:noWrap/>
          </w:tcPr>
          <w:p w:rsidR="00B958B1" w:rsidRPr="00C76446" w:rsidRDefault="00B958B1" w:rsidP="009F3B54">
            <w:pPr>
              <w:pStyle w:val="OGUoM"/>
              <w:rPr>
                <w:lang w:eastAsia="en-AU"/>
              </w:rPr>
            </w:pPr>
            <w:r w:rsidRPr="00C76446">
              <w:rPr>
                <w:lang w:eastAsia="en-AU"/>
              </w:rPr>
              <w:t> </w:t>
            </w:r>
          </w:p>
        </w:tc>
        <w:tc>
          <w:tcPr>
            <w:tcW w:w="907" w:type="dxa"/>
            <w:tcBorders>
              <w:top w:val="single" w:sz="6" w:space="0" w:color="auto"/>
              <w:left w:val="nil"/>
              <w:bottom w:val="nil"/>
              <w:right w:val="nil"/>
            </w:tcBorders>
            <w:shd w:val="clear" w:color="auto" w:fill="D9D9D9"/>
            <w:noWrap/>
          </w:tcPr>
          <w:p w:rsidR="00B958B1" w:rsidRPr="00C76446" w:rsidRDefault="00B958B1" w:rsidP="009F3B54">
            <w:pPr>
              <w:pStyle w:val="OGTableofFigures"/>
              <w:rPr>
                <w:lang w:eastAsia="en-AU"/>
              </w:rPr>
            </w:pPr>
            <w:r w:rsidRPr="00C76446">
              <w:rPr>
                <w:lang w:eastAsia="en-AU"/>
              </w:rPr>
              <w:t> </w:t>
            </w:r>
          </w:p>
        </w:tc>
        <w:tc>
          <w:tcPr>
            <w:tcW w:w="994" w:type="dxa"/>
            <w:tcBorders>
              <w:top w:val="single" w:sz="6" w:space="0" w:color="auto"/>
              <w:left w:val="nil"/>
              <w:bottom w:val="nil"/>
              <w:right w:val="nil"/>
            </w:tcBorders>
            <w:shd w:val="clear" w:color="auto" w:fill="auto"/>
            <w:noWrap/>
          </w:tcPr>
          <w:p w:rsidR="00B958B1" w:rsidRPr="00C76446" w:rsidRDefault="00B958B1" w:rsidP="009F3B54">
            <w:pPr>
              <w:pStyle w:val="OGTableofFigures"/>
              <w:rPr>
                <w:lang w:eastAsia="en-AU"/>
              </w:rPr>
            </w:pPr>
            <w:r w:rsidRPr="00C76446">
              <w:rPr>
                <w:lang w:eastAsia="en-AU"/>
              </w:rPr>
              <w:t> </w:t>
            </w:r>
          </w:p>
        </w:tc>
        <w:tc>
          <w:tcPr>
            <w:tcW w:w="907" w:type="dxa"/>
            <w:tcBorders>
              <w:top w:val="single" w:sz="6" w:space="0" w:color="auto"/>
              <w:left w:val="nil"/>
              <w:bottom w:val="nil"/>
              <w:right w:val="nil"/>
            </w:tcBorders>
            <w:shd w:val="clear" w:color="auto" w:fill="auto"/>
            <w:noWrap/>
          </w:tcPr>
          <w:p w:rsidR="00B958B1" w:rsidRPr="00C76446" w:rsidRDefault="00B958B1" w:rsidP="009F3B54">
            <w:pPr>
              <w:pStyle w:val="OGTableofFigures"/>
              <w:rPr>
                <w:lang w:eastAsia="en-AU"/>
              </w:rPr>
            </w:pPr>
            <w:r w:rsidRPr="00C76446">
              <w:rPr>
                <w:lang w:eastAsia="en-AU"/>
              </w:rPr>
              <w:t> </w:t>
            </w:r>
          </w:p>
        </w:tc>
        <w:tc>
          <w:tcPr>
            <w:tcW w:w="907" w:type="dxa"/>
            <w:tcBorders>
              <w:top w:val="single" w:sz="6" w:space="0" w:color="auto"/>
              <w:left w:val="nil"/>
              <w:bottom w:val="nil"/>
              <w:right w:val="nil"/>
            </w:tcBorders>
            <w:shd w:val="clear" w:color="auto" w:fill="auto"/>
            <w:noWrap/>
          </w:tcPr>
          <w:p w:rsidR="00B958B1" w:rsidRPr="00C76446" w:rsidRDefault="00B958B1" w:rsidP="009F3B54">
            <w:pPr>
              <w:pStyle w:val="OGTableofFigures"/>
              <w:rPr>
                <w:lang w:eastAsia="en-AU"/>
              </w:rPr>
            </w:pPr>
            <w:r w:rsidRPr="00C76446">
              <w:rPr>
                <w:lang w:eastAsia="en-AU"/>
              </w:rPr>
              <w:t> </w:t>
            </w:r>
          </w:p>
        </w:tc>
      </w:tr>
      <w:tr w:rsidR="00B958B1" w:rsidRPr="00C76446" w:rsidTr="009F3B54">
        <w:trPr>
          <w:gridAfter w:val="1"/>
          <w:wAfter w:w="6" w:type="dxa"/>
          <w:cantSplit/>
        </w:trPr>
        <w:tc>
          <w:tcPr>
            <w:tcW w:w="3153" w:type="dxa"/>
            <w:tcBorders>
              <w:top w:val="nil"/>
              <w:left w:val="nil"/>
              <w:bottom w:val="nil"/>
              <w:right w:val="nil"/>
            </w:tcBorders>
            <w:shd w:val="clear" w:color="auto" w:fill="auto"/>
          </w:tcPr>
          <w:p w:rsidR="00B958B1" w:rsidRPr="004E7DAD" w:rsidRDefault="00B958B1" w:rsidP="009F3B54">
            <w:pPr>
              <w:pStyle w:val="OGTabText"/>
              <w:rPr>
                <w:rFonts w:cs="Calibri"/>
                <w:color w:val="000000"/>
                <w:lang w:eastAsia="en-AU"/>
              </w:rPr>
            </w:pPr>
            <w:r w:rsidRPr="004E7DAD">
              <w:rPr>
                <w:rFonts w:cs="Calibri"/>
                <w:color w:val="000000"/>
                <w:szCs w:val="20"/>
              </w:rPr>
              <w:t>Delivery of nominated Major Projects Victoria projects complies with agreed plans and contractual frameworks.</w:t>
            </w:r>
            <w:r w:rsidRPr="004E7DAD">
              <w:rPr>
                <w:rFonts w:cs="Calibri"/>
                <w:color w:val="000000"/>
                <w:lang w:eastAsia="en-AU"/>
              </w:rPr>
              <w:t xml:space="preserve"> </w:t>
            </w:r>
          </w:p>
        </w:tc>
        <w:tc>
          <w:tcPr>
            <w:tcW w:w="908" w:type="dxa"/>
            <w:tcBorders>
              <w:top w:val="nil"/>
              <w:left w:val="nil"/>
              <w:bottom w:val="nil"/>
              <w:right w:val="nil"/>
            </w:tcBorders>
            <w:shd w:val="clear" w:color="auto" w:fill="auto"/>
            <w:noWrap/>
          </w:tcPr>
          <w:p w:rsidR="00B958B1" w:rsidRDefault="00B958B1" w:rsidP="009F3B54">
            <w:pPr>
              <w:pStyle w:val="OGUoM"/>
              <w:rPr>
                <w:rFonts w:cs="Calibri"/>
                <w:szCs w:val="20"/>
              </w:rPr>
            </w:pPr>
            <w:r>
              <w:rPr>
                <w:rFonts w:cs="Calibri"/>
                <w:szCs w:val="20"/>
              </w:rPr>
              <w:t>per cent</w:t>
            </w:r>
          </w:p>
        </w:tc>
        <w:tc>
          <w:tcPr>
            <w:tcW w:w="907" w:type="dxa"/>
            <w:tcBorders>
              <w:top w:val="nil"/>
              <w:left w:val="nil"/>
              <w:bottom w:val="nil"/>
              <w:right w:val="nil"/>
            </w:tcBorders>
            <w:shd w:val="clear" w:color="auto" w:fill="D9D9D9"/>
            <w:noWrap/>
          </w:tcPr>
          <w:p w:rsidR="00B958B1" w:rsidRDefault="00B958B1" w:rsidP="009F3B54">
            <w:pPr>
              <w:pStyle w:val="OGTableofFigures"/>
              <w:rPr>
                <w:rFonts w:cs="Calibri"/>
                <w:szCs w:val="20"/>
              </w:rPr>
            </w:pPr>
            <w:r>
              <w:rPr>
                <w:rFonts w:cs="Calibri"/>
                <w:szCs w:val="20"/>
              </w:rPr>
              <w:t>na</w:t>
            </w:r>
          </w:p>
        </w:tc>
        <w:tc>
          <w:tcPr>
            <w:tcW w:w="994" w:type="dxa"/>
            <w:tcBorders>
              <w:top w:val="nil"/>
              <w:left w:val="nil"/>
              <w:bottom w:val="nil"/>
              <w:right w:val="nil"/>
            </w:tcBorders>
            <w:shd w:val="clear" w:color="auto" w:fill="auto"/>
            <w:noWrap/>
          </w:tcPr>
          <w:p w:rsidR="00B958B1" w:rsidRDefault="00B958B1" w:rsidP="009F3B54">
            <w:pPr>
              <w:pStyle w:val="OGTableofFigures"/>
              <w:rPr>
                <w:rFonts w:cs="Calibri"/>
                <w:szCs w:val="20"/>
              </w:rPr>
            </w:pPr>
            <w:r>
              <w:rPr>
                <w:rFonts w:cs="Calibri"/>
                <w:szCs w:val="20"/>
              </w:rPr>
              <w:t>TBD</w:t>
            </w:r>
          </w:p>
        </w:tc>
        <w:tc>
          <w:tcPr>
            <w:tcW w:w="907" w:type="dxa"/>
            <w:tcBorders>
              <w:top w:val="nil"/>
              <w:left w:val="nil"/>
              <w:bottom w:val="nil"/>
              <w:right w:val="nil"/>
            </w:tcBorders>
            <w:shd w:val="clear" w:color="auto" w:fill="auto"/>
            <w:noWrap/>
          </w:tcPr>
          <w:p w:rsidR="00B958B1" w:rsidRDefault="00B958B1" w:rsidP="009F3B54">
            <w:pPr>
              <w:pStyle w:val="OGTableofFigures"/>
              <w:rPr>
                <w:rFonts w:cs="Calibri"/>
                <w:szCs w:val="20"/>
              </w:rPr>
            </w:pPr>
            <w:r>
              <w:rPr>
                <w:rFonts w:cs="Calibri"/>
                <w:szCs w:val="20"/>
              </w:rPr>
              <w:t>100</w:t>
            </w:r>
          </w:p>
        </w:tc>
        <w:tc>
          <w:tcPr>
            <w:tcW w:w="907" w:type="dxa"/>
            <w:tcBorders>
              <w:top w:val="nil"/>
              <w:left w:val="nil"/>
              <w:bottom w:val="nil"/>
              <w:right w:val="nil"/>
            </w:tcBorders>
            <w:shd w:val="clear" w:color="auto" w:fill="auto"/>
            <w:noWrap/>
          </w:tcPr>
          <w:p w:rsidR="00B958B1" w:rsidRDefault="00B958B1" w:rsidP="009F3B54">
            <w:pPr>
              <w:pStyle w:val="OGTableofFigures"/>
              <w:rPr>
                <w:rFonts w:cs="Calibri"/>
                <w:szCs w:val="20"/>
              </w:rPr>
            </w:pPr>
            <w:r>
              <w:rPr>
                <w:rFonts w:cs="Calibri"/>
                <w:szCs w:val="20"/>
              </w:rPr>
              <w:t>99</w:t>
            </w:r>
          </w:p>
        </w:tc>
      </w:tr>
      <w:tr w:rsidR="00B958B1" w:rsidRPr="00C76446" w:rsidTr="009F3B54">
        <w:trPr>
          <w:gridAfter w:val="1"/>
          <w:wAfter w:w="6" w:type="dxa"/>
          <w:cantSplit/>
        </w:trPr>
        <w:tc>
          <w:tcPr>
            <w:tcW w:w="7776" w:type="dxa"/>
            <w:gridSpan w:val="6"/>
            <w:tcBorders>
              <w:top w:val="nil"/>
              <w:left w:val="nil"/>
              <w:bottom w:val="single" w:sz="6" w:space="0" w:color="auto"/>
              <w:right w:val="nil"/>
            </w:tcBorders>
            <w:shd w:val="clear" w:color="auto" w:fill="auto"/>
          </w:tcPr>
          <w:p w:rsidR="00B958B1" w:rsidRDefault="00B958B1" w:rsidP="009F3B54">
            <w:pPr>
              <w:pStyle w:val="OGNotes"/>
              <w:rPr>
                <w:rFonts w:cs="Calibri"/>
              </w:rPr>
            </w:pPr>
            <w:r w:rsidRPr="008458CF">
              <w:t>This performance measure has been replaced by the 2013</w:t>
            </w:r>
            <w:r w:rsidR="009F0F49">
              <w:noBreakHyphen/>
            </w:r>
            <w:r w:rsidRPr="008458CF">
              <w:t xml:space="preserve">14 performance measures </w:t>
            </w:r>
            <w:r>
              <w:t>‘</w:t>
            </w:r>
            <w:r w:rsidRPr="004E7DAD">
              <w:t>Management</w:t>
            </w:r>
            <w:r>
              <w:t xml:space="preserve"> </w:t>
            </w:r>
            <w:r w:rsidRPr="004E7DAD">
              <w:t>of Major Projects Victoria projects complies with contracted scope</w:t>
            </w:r>
            <w:r>
              <w:t>’</w:t>
            </w:r>
            <w:r w:rsidRPr="004E7DAD">
              <w:t>,</w:t>
            </w:r>
            <w:r w:rsidRPr="008458CF">
              <w:t xml:space="preserve"> </w:t>
            </w:r>
            <w:r>
              <w:t>‘</w:t>
            </w:r>
            <w:r w:rsidRPr="004E7DAD">
              <w:t>Management of Major Projects Victoria projects complies with contracted cost</w:t>
            </w:r>
            <w:r>
              <w:t>’</w:t>
            </w:r>
            <w:r w:rsidRPr="004E7DAD">
              <w:t xml:space="preserve"> and Management of Major Projects Victoria projects complies with contracted time</w:t>
            </w:r>
            <w:r>
              <w:t>’</w:t>
            </w:r>
            <w:r w:rsidRPr="004E7DAD">
              <w:t>.</w:t>
            </w:r>
            <w:r>
              <w:t xml:space="preserve"> The new measures will better demonstrate Major Projects Victoria performance.</w:t>
            </w:r>
          </w:p>
        </w:tc>
      </w:tr>
      <w:tr w:rsidR="00B958B1" w:rsidRPr="00C76446" w:rsidTr="009F3B54">
        <w:trPr>
          <w:gridAfter w:val="1"/>
          <w:wAfter w:w="6" w:type="dxa"/>
          <w:cantSplit/>
        </w:trPr>
        <w:tc>
          <w:tcPr>
            <w:tcW w:w="7776" w:type="dxa"/>
            <w:gridSpan w:val="6"/>
            <w:tcBorders>
              <w:top w:val="single" w:sz="6" w:space="0" w:color="auto"/>
              <w:left w:val="nil"/>
              <w:bottom w:val="single" w:sz="6" w:space="0" w:color="auto"/>
              <w:right w:val="nil"/>
            </w:tcBorders>
            <w:shd w:val="clear" w:color="auto" w:fill="auto"/>
          </w:tcPr>
          <w:p w:rsidR="00B958B1" w:rsidRDefault="00B958B1" w:rsidP="009F3B54">
            <w:pPr>
              <w:pStyle w:val="OGTabColLeft"/>
              <w:keepNext/>
              <w:rPr>
                <w:rFonts w:cs="Calibri"/>
                <w:szCs w:val="20"/>
              </w:rPr>
            </w:pPr>
            <w:r w:rsidRPr="00E23DD0">
              <w:rPr>
                <w:sz w:val="28"/>
                <w:szCs w:val="24"/>
              </w:rPr>
              <w:t>Small Business Assistance</w:t>
            </w:r>
          </w:p>
        </w:tc>
      </w:tr>
      <w:tr w:rsidR="00B958B1" w:rsidRPr="00B903EB" w:rsidTr="009F3B54">
        <w:trPr>
          <w:gridAfter w:val="1"/>
          <w:wAfter w:w="6" w:type="dxa"/>
          <w:cantSplit/>
        </w:trPr>
        <w:tc>
          <w:tcPr>
            <w:tcW w:w="3153" w:type="dxa"/>
            <w:tcBorders>
              <w:top w:val="single" w:sz="6" w:space="0" w:color="auto"/>
            </w:tcBorders>
            <w:shd w:val="clear" w:color="auto" w:fill="auto"/>
          </w:tcPr>
          <w:p w:rsidR="00B958B1" w:rsidRPr="007279CA" w:rsidRDefault="00B958B1" w:rsidP="009F3B54">
            <w:pPr>
              <w:pStyle w:val="OGTabHead"/>
              <w:rPr>
                <w:lang w:eastAsia="en-AU"/>
              </w:rPr>
            </w:pPr>
            <w:r w:rsidRPr="007279CA">
              <w:rPr>
                <w:lang w:eastAsia="en-AU"/>
              </w:rPr>
              <w:t>Quantity</w:t>
            </w:r>
          </w:p>
        </w:tc>
        <w:tc>
          <w:tcPr>
            <w:tcW w:w="908" w:type="dxa"/>
            <w:tcBorders>
              <w:top w:val="single" w:sz="6" w:space="0" w:color="auto"/>
            </w:tcBorders>
            <w:shd w:val="clear" w:color="auto" w:fill="auto"/>
            <w:noWrap/>
          </w:tcPr>
          <w:p w:rsidR="00B958B1" w:rsidRPr="00B903EB" w:rsidRDefault="00B958B1" w:rsidP="009F3B54">
            <w:pPr>
              <w:pStyle w:val="OGUoM"/>
              <w:rPr>
                <w:iCs/>
                <w:color w:val="000000"/>
                <w:lang w:eastAsia="en-AU"/>
              </w:rPr>
            </w:pPr>
          </w:p>
        </w:tc>
        <w:tc>
          <w:tcPr>
            <w:tcW w:w="907" w:type="dxa"/>
            <w:tcBorders>
              <w:top w:val="single" w:sz="6" w:space="0" w:color="auto"/>
            </w:tcBorders>
            <w:shd w:val="clear" w:color="auto" w:fill="D9D9D9"/>
            <w:noWrap/>
          </w:tcPr>
          <w:p w:rsidR="00B958B1" w:rsidRPr="00B903EB" w:rsidRDefault="00B958B1" w:rsidP="009F3B54">
            <w:pPr>
              <w:pStyle w:val="OGTableofFigures"/>
              <w:rPr>
                <w:iCs/>
                <w:color w:val="000000"/>
                <w:lang w:eastAsia="en-AU"/>
              </w:rPr>
            </w:pPr>
          </w:p>
        </w:tc>
        <w:tc>
          <w:tcPr>
            <w:tcW w:w="994" w:type="dxa"/>
            <w:tcBorders>
              <w:top w:val="single" w:sz="6" w:space="0" w:color="auto"/>
            </w:tcBorders>
            <w:shd w:val="clear" w:color="auto" w:fill="auto"/>
            <w:noWrap/>
          </w:tcPr>
          <w:p w:rsidR="00B958B1" w:rsidRPr="00B903EB" w:rsidRDefault="00B958B1" w:rsidP="009F3B54">
            <w:pPr>
              <w:pStyle w:val="OGTableofFigures"/>
              <w:rPr>
                <w:iCs/>
                <w:color w:val="000000"/>
                <w:lang w:eastAsia="en-AU"/>
              </w:rPr>
            </w:pPr>
          </w:p>
        </w:tc>
        <w:tc>
          <w:tcPr>
            <w:tcW w:w="907" w:type="dxa"/>
            <w:tcBorders>
              <w:top w:val="single" w:sz="6" w:space="0" w:color="auto"/>
            </w:tcBorders>
            <w:shd w:val="clear" w:color="auto" w:fill="auto"/>
            <w:noWrap/>
          </w:tcPr>
          <w:p w:rsidR="00B958B1" w:rsidRPr="00B903EB" w:rsidRDefault="00B958B1" w:rsidP="009F3B54">
            <w:pPr>
              <w:pStyle w:val="OGTableofFigures"/>
              <w:rPr>
                <w:iCs/>
                <w:color w:val="000000"/>
                <w:lang w:eastAsia="en-AU"/>
              </w:rPr>
            </w:pPr>
          </w:p>
        </w:tc>
        <w:tc>
          <w:tcPr>
            <w:tcW w:w="907" w:type="dxa"/>
            <w:tcBorders>
              <w:top w:val="single" w:sz="6" w:space="0" w:color="auto"/>
            </w:tcBorders>
            <w:shd w:val="clear" w:color="auto" w:fill="auto"/>
            <w:noWrap/>
          </w:tcPr>
          <w:p w:rsidR="00B958B1" w:rsidRPr="00B903EB" w:rsidRDefault="00B958B1" w:rsidP="009F3B54">
            <w:pPr>
              <w:pStyle w:val="OGTableofFigures"/>
              <w:rPr>
                <w:iCs/>
                <w:color w:val="000000"/>
                <w:lang w:eastAsia="en-AU"/>
              </w:rPr>
            </w:pPr>
          </w:p>
        </w:tc>
      </w:tr>
      <w:tr w:rsidR="00B958B1" w:rsidTr="009F3B54">
        <w:trPr>
          <w:gridAfter w:val="1"/>
          <w:wAfter w:w="6" w:type="dxa"/>
          <w:cantSplit/>
        </w:trPr>
        <w:tc>
          <w:tcPr>
            <w:tcW w:w="3153" w:type="dxa"/>
            <w:shd w:val="clear" w:color="auto" w:fill="auto"/>
          </w:tcPr>
          <w:p w:rsidR="00B958B1" w:rsidRPr="00C76446" w:rsidRDefault="00B958B1" w:rsidP="009F3B54">
            <w:pPr>
              <w:pStyle w:val="OGTabText"/>
              <w:rPr>
                <w:color w:val="000000"/>
                <w:lang w:eastAsia="en-AU"/>
              </w:rPr>
            </w:pPr>
            <w:r w:rsidRPr="004655B9">
              <w:rPr>
                <w:color w:val="000000"/>
                <w:lang w:eastAsia="en-AU"/>
              </w:rPr>
              <w:t>Registration for online services</w:t>
            </w:r>
          </w:p>
        </w:tc>
        <w:tc>
          <w:tcPr>
            <w:tcW w:w="908" w:type="dxa"/>
            <w:shd w:val="clear" w:color="auto" w:fill="auto"/>
            <w:noWrap/>
          </w:tcPr>
          <w:p w:rsidR="00B958B1" w:rsidRDefault="00B958B1" w:rsidP="009F3B54">
            <w:pPr>
              <w:pStyle w:val="OGUoM"/>
              <w:rPr>
                <w:rFonts w:cs="Calibri"/>
                <w:szCs w:val="20"/>
              </w:rPr>
            </w:pPr>
            <w:r>
              <w:rPr>
                <w:rFonts w:cs="Calibri"/>
                <w:szCs w:val="20"/>
              </w:rPr>
              <w:t>number</w:t>
            </w:r>
          </w:p>
        </w:tc>
        <w:tc>
          <w:tcPr>
            <w:tcW w:w="907" w:type="dxa"/>
            <w:shd w:val="clear" w:color="auto" w:fill="D9D9D9"/>
            <w:noWrap/>
          </w:tcPr>
          <w:p w:rsidR="00B958B1" w:rsidRDefault="00B958B1" w:rsidP="009F3B54">
            <w:pPr>
              <w:pStyle w:val="OGTableofFigures"/>
              <w:rPr>
                <w:rFonts w:cs="Calibri"/>
                <w:szCs w:val="20"/>
              </w:rPr>
            </w:pPr>
            <w:r>
              <w:rPr>
                <w:rFonts w:cs="Calibri"/>
                <w:szCs w:val="20"/>
              </w:rPr>
              <w:t xml:space="preserve">na </w:t>
            </w:r>
          </w:p>
        </w:tc>
        <w:tc>
          <w:tcPr>
            <w:tcW w:w="994" w:type="dxa"/>
            <w:shd w:val="clear" w:color="auto" w:fill="auto"/>
            <w:noWrap/>
          </w:tcPr>
          <w:p w:rsidR="00B958B1" w:rsidRPr="0010624E" w:rsidRDefault="00B958B1" w:rsidP="009F3B54">
            <w:pPr>
              <w:pStyle w:val="OGTableofFigures"/>
              <w:rPr>
                <w:rFonts w:cs="Calibri"/>
                <w:szCs w:val="20"/>
              </w:rPr>
            </w:pPr>
            <w:r w:rsidRPr="00BF1406">
              <w:rPr>
                <w:rFonts w:cs="Calibri"/>
                <w:szCs w:val="20"/>
              </w:rPr>
              <w:t xml:space="preserve"> 90</w:t>
            </w:r>
            <w:r>
              <w:rPr>
                <w:rFonts w:cs="Calibri"/>
                <w:szCs w:val="20"/>
              </w:rPr>
              <w:t> </w:t>
            </w:r>
            <w:r w:rsidRPr="00BF1406">
              <w:rPr>
                <w:rFonts w:cs="Calibri"/>
                <w:szCs w:val="20"/>
              </w:rPr>
              <w:t>000</w:t>
            </w:r>
          </w:p>
        </w:tc>
        <w:tc>
          <w:tcPr>
            <w:tcW w:w="907" w:type="dxa"/>
            <w:shd w:val="clear" w:color="auto" w:fill="auto"/>
            <w:noWrap/>
          </w:tcPr>
          <w:p w:rsidR="00B958B1" w:rsidRPr="0010624E" w:rsidRDefault="00B958B1" w:rsidP="009F3B54">
            <w:pPr>
              <w:pStyle w:val="OGTableofFigures"/>
              <w:rPr>
                <w:rFonts w:cs="Calibri"/>
                <w:szCs w:val="20"/>
              </w:rPr>
            </w:pPr>
            <w:r>
              <w:rPr>
                <w:rFonts w:cs="Calibri"/>
                <w:szCs w:val="20"/>
              </w:rPr>
              <w:t>90 000</w:t>
            </w:r>
            <w:r w:rsidRPr="0010624E">
              <w:rPr>
                <w:rFonts w:cs="Calibri"/>
                <w:szCs w:val="20"/>
              </w:rPr>
              <w:t xml:space="preserve"> </w:t>
            </w:r>
          </w:p>
        </w:tc>
        <w:tc>
          <w:tcPr>
            <w:tcW w:w="907" w:type="dxa"/>
            <w:shd w:val="clear" w:color="auto" w:fill="auto"/>
            <w:noWrap/>
          </w:tcPr>
          <w:p w:rsidR="00B958B1" w:rsidRDefault="00B958B1" w:rsidP="009F3B54">
            <w:pPr>
              <w:pStyle w:val="OGTableofFigures"/>
              <w:rPr>
                <w:rFonts w:cs="Calibri"/>
                <w:szCs w:val="20"/>
              </w:rPr>
            </w:pPr>
            <w:r>
              <w:rPr>
                <w:rFonts w:cs="Calibri"/>
                <w:szCs w:val="20"/>
              </w:rPr>
              <w:t xml:space="preserve"> 85 154 </w:t>
            </w:r>
          </w:p>
        </w:tc>
      </w:tr>
      <w:tr w:rsidR="00B958B1" w:rsidTr="009F3B54">
        <w:trPr>
          <w:gridAfter w:val="1"/>
          <w:wAfter w:w="6" w:type="dxa"/>
          <w:cantSplit/>
        </w:trPr>
        <w:tc>
          <w:tcPr>
            <w:tcW w:w="7776" w:type="dxa"/>
            <w:gridSpan w:val="6"/>
            <w:tcBorders>
              <w:bottom w:val="single" w:sz="6" w:space="0" w:color="auto"/>
            </w:tcBorders>
            <w:shd w:val="clear" w:color="auto" w:fill="auto"/>
          </w:tcPr>
          <w:p w:rsidR="00B958B1" w:rsidRDefault="00B958B1" w:rsidP="009F3B54">
            <w:pPr>
              <w:pStyle w:val="OGNotes"/>
              <w:rPr>
                <w:rFonts w:cs="Calibri"/>
              </w:rPr>
            </w:pPr>
            <w:r w:rsidRPr="008458CF">
              <w:rPr>
                <w:color w:val="000000"/>
              </w:rPr>
              <w:t xml:space="preserve">This performance measure has been replaced by </w:t>
            </w:r>
            <w:r>
              <w:rPr>
                <w:color w:val="000000"/>
              </w:rPr>
              <w:t>the 2013</w:t>
            </w:r>
            <w:r w:rsidR="009F0F49">
              <w:rPr>
                <w:color w:val="000000"/>
              </w:rPr>
              <w:noBreakHyphen/>
            </w:r>
            <w:r>
              <w:rPr>
                <w:color w:val="000000"/>
              </w:rPr>
              <w:t xml:space="preserve">14 performance measure </w:t>
            </w:r>
            <w:r>
              <w:rPr>
                <w:rFonts w:cs="Calibri"/>
              </w:rPr>
              <w:t>‘</w:t>
            </w:r>
            <w:r w:rsidRPr="004E7DAD">
              <w:rPr>
                <w:rFonts w:cs="Calibri"/>
              </w:rPr>
              <w:t>Subscriptions to Small Business Victoria Update</w:t>
            </w:r>
            <w:r>
              <w:rPr>
                <w:rFonts w:cs="Calibri"/>
              </w:rPr>
              <w:t>’</w:t>
            </w:r>
            <w:r w:rsidRPr="004E7DAD">
              <w:rPr>
                <w:rFonts w:cs="Calibri"/>
              </w:rPr>
              <w:t>.</w:t>
            </w:r>
            <w:r w:rsidRPr="006E5822">
              <w:t xml:space="preserve"> Online service registrations are being transitioned from Business Victoria to the Australian Business Account. </w:t>
            </w:r>
            <w:r w:rsidRPr="00B23981">
              <w:rPr>
                <w:color w:val="000000"/>
              </w:rPr>
              <w:t>The new measure will better demonstrate active engagement with Business Victoria Online services.</w:t>
            </w:r>
            <w:r w:rsidRPr="006E5822">
              <w:rPr>
                <w:color w:val="FF0000"/>
              </w:rPr>
              <w:t xml:space="preserve"> </w:t>
            </w:r>
          </w:p>
        </w:tc>
      </w:tr>
      <w:tr w:rsidR="00B958B1" w:rsidTr="009F3B54">
        <w:trPr>
          <w:gridAfter w:val="1"/>
          <w:wAfter w:w="6" w:type="dxa"/>
          <w:cantSplit/>
        </w:trPr>
        <w:tc>
          <w:tcPr>
            <w:tcW w:w="7776" w:type="dxa"/>
            <w:gridSpan w:val="6"/>
            <w:tcBorders>
              <w:top w:val="single" w:sz="6" w:space="0" w:color="auto"/>
              <w:bottom w:val="single" w:sz="6" w:space="0" w:color="auto"/>
            </w:tcBorders>
            <w:shd w:val="clear" w:color="auto" w:fill="auto"/>
          </w:tcPr>
          <w:p w:rsidR="00B958B1" w:rsidRDefault="00B958B1" w:rsidP="009F3B54">
            <w:pPr>
              <w:pStyle w:val="OGTabColLeft"/>
              <w:keepNext/>
              <w:rPr>
                <w:rFonts w:cs="Calibri"/>
                <w:szCs w:val="20"/>
              </w:rPr>
            </w:pPr>
            <w:r w:rsidRPr="00E23DD0">
              <w:rPr>
                <w:sz w:val="28"/>
                <w:szCs w:val="24"/>
              </w:rPr>
              <w:t>Regional Development and Regional Cities</w:t>
            </w:r>
          </w:p>
        </w:tc>
      </w:tr>
      <w:tr w:rsidR="00B958B1" w:rsidTr="009F3B54">
        <w:trPr>
          <w:gridAfter w:val="1"/>
          <w:wAfter w:w="6" w:type="dxa"/>
          <w:cantSplit/>
        </w:trPr>
        <w:tc>
          <w:tcPr>
            <w:tcW w:w="3153" w:type="dxa"/>
            <w:tcBorders>
              <w:top w:val="single" w:sz="6" w:space="0" w:color="auto"/>
            </w:tcBorders>
            <w:shd w:val="clear" w:color="auto" w:fill="auto"/>
          </w:tcPr>
          <w:p w:rsidR="00B958B1" w:rsidRDefault="00B958B1" w:rsidP="009F3B54">
            <w:pPr>
              <w:pStyle w:val="OGTabHead"/>
              <w:rPr>
                <w:lang w:eastAsia="en-AU"/>
              </w:rPr>
            </w:pPr>
            <w:r>
              <w:rPr>
                <w:lang w:eastAsia="en-AU"/>
              </w:rPr>
              <w:t>Timeliness</w:t>
            </w:r>
          </w:p>
        </w:tc>
        <w:tc>
          <w:tcPr>
            <w:tcW w:w="908" w:type="dxa"/>
            <w:tcBorders>
              <w:top w:val="single" w:sz="6" w:space="0" w:color="auto"/>
            </w:tcBorders>
            <w:shd w:val="clear" w:color="auto" w:fill="auto"/>
            <w:noWrap/>
          </w:tcPr>
          <w:p w:rsidR="00B958B1" w:rsidRDefault="00B958B1" w:rsidP="009F3B54">
            <w:pPr>
              <w:pStyle w:val="OGUoM"/>
              <w:rPr>
                <w:rFonts w:cs="Calibri"/>
                <w:szCs w:val="20"/>
              </w:rPr>
            </w:pPr>
          </w:p>
        </w:tc>
        <w:tc>
          <w:tcPr>
            <w:tcW w:w="907" w:type="dxa"/>
            <w:tcBorders>
              <w:top w:val="single" w:sz="6" w:space="0" w:color="auto"/>
            </w:tcBorders>
            <w:shd w:val="clear" w:color="auto" w:fill="D9D9D9"/>
            <w:noWrap/>
          </w:tcPr>
          <w:p w:rsidR="00B958B1" w:rsidRDefault="00B958B1" w:rsidP="009F3B54">
            <w:pPr>
              <w:pStyle w:val="OGTableofFigures"/>
              <w:rPr>
                <w:rFonts w:cs="Calibri"/>
                <w:szCs w:val="20"/>
              </w:rPr>
            </w:pPr>
          </w:p>
        </w:tc>
        <w:tc>
          <w:tcPr>
            <w:tcW w:w="994" w:type="dxa"/>
            <w:tcBorders>
              <w:top w:val="single" w:sz="6" w:space="0" w:color="auto"/>
            </w:tcBorders>
            <w:shd w:val="clear" w:color="auto" w:fill="auto"/>
            <w:noWrap/>
          </w:tcPr>
          <w:p w:rsidR="00B958B1" w:rsidRPr="00BF1406" w:rsidRDefault="00B958B1" w:rsidP="009F3B54">
            <w:pPr>
              <w:pStyle w:val="OGTableofFigures"/>
              <w:rPr>
                <w:rFonts w:cs="Calibri"/>
                <w:szCs w:val="20"/>
              </w:rPr>
            </w:pPr>
          </w:p>
        </w:tc>
        <w:tc>
          <w:tcPr>
            <w:tcW w:w="907" w:type="dxa"/>
            <w:tcBorders>
              <w:top w:val="single" w:sz="6" w:space="0" w:color="auto"/>
            </w:tcBorders>
            <w:shd w:val="clear" w:color="auto" w:fill="auto"/>
            <w:noWrap/>
          </w:tcPr>
          <w:p w:rsidR="00B958B1" w:rsidRPr="0010624E" w:rsidRDefault="00B958B1" w:rsidP="009F3B54">
            <w:pPr>
              <w:pStyle w:val="OGTableofFigures"/>
              <w:rPr>
                <w:rFonts w:cs="Calibri"/>
                <w:szCs w:val="20"/>
              </w:rPr>
            </w:pP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p>
        </w:tc>
      </w:tr>
      <w:tr w:rsidR="00B958B1" w:rsidTr="009F3B54">
        <w:trPr>
          <w:gridAfter w:val="1"/>
          <w:wAfter w:w="6" w:type="dxa"/>
          <w:cantSplit/>
        </w:trPr>
        <w:tc>
          <w:tcPr>
            <w:tcW w:w="3153" w:type="dxa"/>
            <w:shd w:val="clear" w:color="auto" w:fill="auto"/>
          </w:tcPr>
          <w:p w:rsidR="00B958B1" w:rsidRDefault="00B958B1" w:rsidP="009F3B54">
            <w:pPr>
              <w:pStyle w:val="OGTabText"/>
              <w:rPr>
                <w:lang w:eastAsia="en-AU"/>
              </w:rPr>
            </w:pPr>
            <w:r>
              <w:rPr>
                <w:lang w:eastAsia="en-AU"/>
              </w:rPr>
              <w:t>Advice provided to government about the bushfire reconstruction and recovery process within agreed timelines</w:t>
            </w:r>
          </w:p>
        </w:tc>
        <w:tc>
          <w:tcPr>
            <w:tcW w:w="908" w:type="dxa"/>
            <w:shd w:val="clear" w:color="auto" w:fill="auto"/>
            <w:noWrap/>
          </w:tcPr>
          <w:p w:rsidR="00B958B1" w:rsidRDefault="00B958B1" w:rsidP="009F3B54">
            <w:pPr>
              <w:pStyle w:val="OGUoM"/>
              <w:rPr>
                <w:rFonts w:cs="Calibri"/>
                <w:szCs w:val="20"/>
              </w:rPr>
            </w:pPr>
            <w:r>
              <w:rPr>
                <w:rFonts w:cs="Calibri"/>
                <w:szCs w:val="20"/>
              </w:rPr>
              <w:t>per cent</w:t>
            </w:r>
          </w:p>
        </w:tc>
        <w:tc>
          <w:tcPr>
            <w:tcW w:w="907" w:type="dxa"/>
            <w:shd w:val="clear" w:color="auto" w:fill="D9D9D9"/>
            <w:noWrap/>
          </w:tcPr>
          <w:p w:rsidR="00B958B1" w:rsidRDefault="00B958B1" w:rsidP="009F3B54">
            <w:pPr>
              <w:pStyle w:val="OGTableofFigures"/>
              <w:rPr>
                <w:rFonts w:cs="Calibri"/>
                <w:szCs w:val="20"/>
              </w:rPr>
            </w:pPr>
            <w:r>
              <w:rPr>
                <w:rFonts w:cs="Calibri"/>
                <w:szCs w:val="20"/>
              </w:rPr>
              <w:t>na</w:t>
            </w:r>
          </w:p>
        </w:tc>
        <w:tc>
          <w:tcPr>
            <w:tcW w:w="994" w:type="dxa"/>
            <w:shd w:val="clear" w:color="auto" w:fill="auto"/>
            <w:noWrap/>
          </w:tcPr>
          <w:p w:rsidR="00B958B1" w:rsidRDefault="00B958B1" w:rsidP="009F3B54">
            <w:pPr>
              <w:pStyle w:val="OGTableofFigures"/>
              <w:rPr>
                <w:rFonts w:cs="Calibri"/>
                <w:szCs w:val="20"/>
              </w:rPr>
            </w:pPr>
            <w:r>
              <w:rPr>
                <w:rFonts w:cs="Calibri"/>
                <w:szCs w:val="20"/>
              </w:rPr>
              <w:t>100</w:t>
            </w:r>
          </w:p>
        </w:tc>
        <w:tc>
          <w:tcPr>
            <w:tcW w:w="907" w:type="dxa"/>
            <w:shd w:val="clear" w:color="auto" w:fill="auto"/>
            <w:noWrap/>
          </w:tcPr>
          <w:p w:rsidR="00B958B1" w:rsidRDefault="00B958B1" w:rsidP="009F3B54">
            <w:pPr>
              <w:pStyle w:val="OGTableofFigures"/>
              <w:rPr>
                <w:rFonts w:cs="Calibri"/>
                <w:szCs w:val="20"/>
              </w:rPr>
            </w:pPr>
            <w:r>
              <w:rPr>
                <w:rFonts w:cs="Calibri"/>
                <w:szCs w:val="20"/>
              </w:rPr>
              <w:t>100</w:t>
            </w:r>
          </w:p>
        </w:tc>
        <w:tc>
          <w:tcPr>
            <w:tcW w:w="907" w:type="dxa"/>
            <w:shd w:val="clear" w:color="auto" w:fill="auto"/>
            <w:noWrap/>
          </w:tcPr>
          <w:p w:rsidR="00B958B1" w:rsidRDefault="00B958B1" w:rsidP="009F3B54">
            <w:pPr>
              <w:pStyle w:val="OGTableofFigures"/>
              <w:rPr>
                <w:rFonts w:cs="Calibri"/>
                <w:szCs w:val="20"/>
              </w:rPr>
            </w:pPr>
            <w:r>
              <w:rPr>
                <w:rFonts w:cs="Calibri"/>
                <w:szCs w:val="20"/>
              </w:rPr>
              <w:t>100</w:t>
            </w:r>
          </w:p>
        </w:tc>
      </w:tr>
      <w:tr w:rsidR="00B958B1" w:rsidTr="009F3B54">
        <w:trPr>
          <w:gridAfter w:val="1"/>
          <w:wAfter w:w="6" w:type="dxa"/>
          <w:cantSplit/>
        </w:trPr>
        <w:tc>
          <w:tcPr>
            <w:tcW w:w="7776" w:type="dxa"/>
            <w:gridSpan w:val="6"/>
            <w:tcBorders>
              <w:bottom w:val="single" w:sz="6" w:space="0" w:color="auto"/>
            </w:tcBorders>
            <w:shd w:val="clear" w:color="auto" w:fill="auto"/>
          </w:tcPr>
          <w:p w:rsidR="00B958B1" w:rsidRDefault="00B958B1" w:rsidP="009F3B54">
            <w:pPr>
              <w:pStyle w:val="OGNotes"/>
              <w:rPr>
                <w:rFonts w:cs="Calibri"/>
              </w:rPr>
            </w:pPr>
            <w:r w:rsidRPr="0067013F">
              <w:t>This performance measure is proposed to be discontinued as it reflects the gradual transition back to core service delivery models for communities impacted by the 2009 bushfires</w:t>
            </w:r>
            <w:r>
              <w:t>.</w:t>
            </w:r>
          </w:p>
        </w:tc>
      </w:tr>
      <w:tr w:rsidR="00B958B1" w:rsidRPr="00D25466" w:rsidTr="009F3B54">
        <w:trPr>
          <w:gridAfter w:val="1"/>
          <w:wAfter w:w="6" w:type="dxa"/>
          <w:cantSplit/>
        </w:trPr>
        <w:tc>
          <w:tcPr>
            <w:tcW w:w="7776" w:type="dxa"/>
            <w:gridSpan w:val="6"/>
            <w:tcBorders>
              <w:top w:val="single" w:sz="6" w:space="0" w:color="auto"/>
              <w:bottom w:val="single" w:sz="6" w:space="0" w:color="auto"/>
            </w:tcBorders>
            <w:shd w:val="clear" w:color="auto" w:fill="auto"/>
          </w:tcPr>
          <w:p w:rsidR="00B958B1" w:rsidRPr="00D25466" w:rsidRDefault="00B958B1" w:rsidP="009F3B54">
            <w:pPr>
              <w:pStyle w:val="OGTabColLeft"/>
              <w:keepNext/>
              <w:pageBreakBefore/>
              <w:rPr>
                <w:i/>
                <w:sz w:val="28"/>
                <w:szCs w:val="28"/>
              </w:rPr>
            </w:pPr>
            <w:r>
              <w:rPr>
                <w:sz w:val="28"/>
                <w:szCs w:val="24"/>
              </w:rPr>
              <w:t>Energy and Resources</w:t>
            </w:r>
          </w:p>
        </w:tc>
      </w:tr>
      <w:tr w:rsidR="00B958B1" w:rsidTr="009F3B54">
        <w:trPr>
          <w:gridAfter w:val="1"/>
          <w:wAfter w:w="6" w:type="dxa"/>
          <w:cantSplit/>
        </w:trPr>
        <w:tc>
          <w:tcPr>
            <w:tcW w:w="3153" w:type="dxa"/>
            <w:tcBorders>
              <w:top w:val="single" w:sz="6" w:space="0" w:color="auto"/>
            </w:tcBorders>
            <w:shd w:val="clear" w:color="auto" w:fill="auto"/>
          </w:tcPr>
          <w:p w:rsidR="00B958B1" w:rsidRDefault="00B958B1" w:rsidP="009F3B54">
            <w:pPr>
              <w:pStyle w:val="OGTabHead"/>
              <w:rPr>
                <w:lang w:eastAsia="en-AU"/>
              </w:rPr>
            </w:pPr>
            <w:r>
              <w:rPr>
                <w:lang w:eastAsia="en-AU"/>
              </w:rPr>
              <w:t>Timeliness</w:t>
            </w:r>
          </w:p>
        </w:tc>
        <w:tc>
          <w:tcPr>
            <w:tcW w:w="908" w:type="dxa"/>
            <w:tcBorders>
              <w:top w:val="single" w:sz="6" w:space="0" w:color="auto"/>
            </w:tcBorders>
            <w:shd w:val="clear" w:color="auto" w:fill="auto"/>
            <w:noWrap/>
          </w:tcPr>
          <w:p w:rsidR="00B958B1" w:rsidRDefault="00B958B1" w:rsidP="009F3B54">
            <w:pPr>
              <w:pStyle w:val="OGUoM"/>
              <w:rPr>
                <w:rFonts w:cs="Calibri"/>
                <w:szCs w:val="20"/>
              </w:rPr>
            </w:pPr>
          </w:p>
        </w:tc>
        <w:tc>
          <w:tcPr>
            <w:tcW w:w="907" w:type="dxa"/>
            <w:tcBorders>
              <w:top w:val="single" w:sz="6" w:space="0" w:color="auto"/>
            </w:tcBorders>
            <w:shd w:val="clear" w:color="auto" w:fill="D9D9D9"/>
            <w:noWrap/>
          </w:tcPr>
          <w:p w:rsidR="00B958B1" w:rsidRDefault="00B958B1" w:rsidP="009F3B54">
            <w:pPr>
              <w:pStyle w:val="OGTableofFigures"/>
              <w:rPr>
                <w:rFonts w:cs="Calibri"/>
                <w:szCs w:val="20"/>
              </w:rPr>
            </w:pPr>
          </w:p>
        </w:tc>
        <w:tc>
          <w:tcPr>
            <w:tcW w:w="994" w:type="dxa"/>
            <w:tcBorders>
              <w:top w:val="single" w:sz="6" w:space="0" w:color="auto"/>
            </w:tcBorders>
            <w:shd w:val="clear" w:color="auto" w:fill="auto"/>
            <w:noWrap/>
          </w:tcPr>
          <w:p w:rsidR="00B958B1" w:rsidRPr="00BF1406" w:rsidRDefault="00B958B1" w:rsidP="009F3B54">
            <w:pPr>
              <w:pStyle w:val="OGTableofFigures"/>
              <w:rPr>
                <w:rFonts w:cs="Calibri"/>
                <w:szCs w:val="20"/>
              </w:rPr>
            </w:pPr>
          </w:p>
        </w:tc>
        <w:tc>
          <w:tcPr>
            <w:tcW w:w="907" w:type="dxa"/>
            <w:tcBorders>
              <w:top w:val="single" w:sz="6" w:space="0" w:color="auto"/>
            </w:tcBorders>
            <w:shd w:val="clear" w:color="auto" w:fill="auto"/>
            <w:noWrap/>
          </w:tcPr>
          <w:p w:rsidR="00B958B1" w:rsidRPr="0010624E" w:rsidRDefault="00B958B1" w:rsidP="009F3B54">
            <w:pPr>
              <w:pStyle w:val="OGTableofFigures"/>
              <w:rPr>
                <w:rFonts w:cs="Calibri"/>
                <w:szCs w:val="20"/>
              </w:rPr>
            </w:pPr>
          </w:p>
        </w:tc>
        <w:tc>
          <w:tcPr>
            <w:tcW w:w="907" w:type="dxa"/>
            <w:tcBorders>
              <w:top w:val="single" w:sz="6" w:space="0" w:color="auto"/>
            </w:tcBorders>
            <w:shd w:val="clear" w:color="auto" w:fill="auto"/>
            <w:noWrap/>
          </w:tcPr>
          <w:p w:rsidR="00B958B1" w:rsidRDefault="00B958B1" w:rsidP="009F3B54">
            <w:pPr>
              <w:pStyle w:val="OGTableofFigures"/>
              <w:rPr>
                <w:rFonts w:cs="Calibri"/>
                <w:szCs w:val="20"/>
              </w:rPr>
            </w:pPr>
          </w:p>
        </w:tc>
      </w:tr>
      <w:tr w:rsidR="00B958B1" w:rsidTr="009F3B54">
        <w:trPr>
          <w:gridAfter w:val="1"/>
          <w:wAfter w:w="6" w:type="dxa"/>
          <w:cantSplit/>
        </w:trPr>
        <w:tc>
          <w:tcPr>
            <w:tcW w:w="3153" w:type="dxa"/>
            <w:shd w:val="clear" w:color="auto" w:fill="auto"/>
          </w:tcPr>
          <w:p w:rsidR="00B958B1" w:rsidRPr="00C76446" w:rsidRDefault="00B958B1" w:rsidP="009F3B54">
            <w:pPr>
              <w:pStyle w:val="OGTabText"/>
              <w:rPr>
                <w:color w:val="000000"/>
                <w:lang w:eastAsia="en-AU"/>
              </w:rPr>
            </w:pPr>
            <w:r w:rsidRPr="001B562D">
              <w:rPr>
                <w:color w:val="000000"/>
                <w:lang w:eastAsia="en-AU"/>
              </w:rPr>
              <w:t>Facilitate delivery of milestones in line with grant agreements for Energy Technology Innovation Strategy large</w:t>
            </w:r>
            <w:r w:rsidR="009F0F49">
              <w:rPr>
                <w:color w:val="000000"/>
                <w:lang w:eastAsia="en-AU"/>
              </w:rPr>
              <w:noBreakHyphen/>
            </w:r>
            <w:r w:rsidRPr="001B562D">
              <w:rPr>
                <w:color w:val="000000"/>
                <w:lang w:eastAsia="en-AU"/>
              </w:rPr>
              <w:t>scale demonstration projects</w:t>
            </w:r>
          </w:p>
        </w:tc>
        <w:tc>
          <w:tcPr>
            <w:tcW w:w="908" w:type="dxa"/>
            <w:shd w:val="clear" w:color="auto" w:fill="auto"/>
            <w:noWrap/>
          </w:tcPr>
          <w:p w:rsidR="00B958B1" w:rsidRDefault="00B958B1" w:rsidP="009F3B54">
            <w:pPr>
              <w:pStyle w:val="OGUoM"/>
              <w:rPr>
                <w:rFonts w:cs="Calibri"/>
                <w:szCs w:val="20"/>
              </w:rPr>
            </w:pPr>
            <w:r>
              <w:rPr>
                <w:rFonts w:cs="Calibri"/>
                <w:szCs w:val="20"/>
              </w:rPr>
              <w:t>per cent</w:t>
            </w:r>
          </w:p>
        </w:tc>
        <w:tc>
          <w:tcPr>
            <w:tcW w:w="907" w:type="dxa"/>
            <w:shd w:val="clear" w:color="auto" w:fill="D9D9D9"/>
            <w:noWrap/>
          </w:tcPr>
          <w:p w:rsidR="00B958B1" w:rsidRDefault="00B958B1" w:rsidP="009F3B54">
            <w:pPr>
              <w:pStyle w:val="OGTableofFigures"/>
              <w:rPr>
                <w:rFonts w:cs="Calibri"/>
                <w:szCs w:val="20"/>
              </w:rPr>
            </w:pPr>
            <w:r w:rsidRPr="001B562D">
              <w:rPr>
                <w:rFonts w:cs="Calibri"/>
                <w:szCs w:val="20"/>
              </w:rPr>
              <w:t>na</w:t>
            </w:r>
          </w:p>
        </w:tc>
        <w:tc>
          <w:tcPr>
            <w:tcW w:w="994" w:type="dxa"/>
            <w:shd w:val="clear" w:color="auto" w:fill="auto"/>
            <w:noWrap/>
          </w:tcPr>
          <w:p w:rsidR="00B958B1" w:rsidRDefault="00B958B1" w:rsidP="009F3B54">
            <w:pPr>
              <w:pStyle w:val="OGTableofFigures"/>
              <w:rPr>
                <w:rFonts w:cs="Calibri"/>
                <w:szCs w:val="20"/>
              </w:rPr>
            </w:pPr>
            <w:r w:rsidRPr="001B562D">
              <w:rPr>
                <w:rFonts w:cs="Calibri"/>
                <w:szCs w:val="20"/>
              </w:rPr>
              <w:t>0</w:t>
            </w:r>
          </w:p>
        </w:tc>
        <w:tc>
          <w:tcPr>
            <w:tcW w:w="907" w:type="dxa"/>
            <w:shd w:val="clear" w:color="auto" w:fill="auto"/>
            <w:noWrap/>
          </w:tcPr>
          <w:p w:rsidR="00B958B1" w:rsidRDefault="00B958B1" w:rsidP="009F3B54">
            <w:pPr>
              <w:pStyle w:val="OGTableofFigures"/>
              <w:rPr>
                <w:rFonts w:cs="Calibri"/>
                <w:szCs w:val="20"/>
              </w:rPr>
            </w:pPr>
            <w:r w:rsidRPr="001B562D">
              <w:rPr>
                <w:rFonts w:cs="Calibri"/>
                <w:szCs w:val="20"/>
              </w:rPr>
              <w:t>100 </w:t>
            </w:r>
          </w:p>
        </w:tc>
        <w:tc>
          <w:tcPr>
            <w:tcW w:w="907" w:type="dxa"/>
            <w:shd w:val="clear" w:color="auto" w:fill="auto"/>
            <w:noWrap/>
          </w:tcPr>
          <w:p w:rsidR="00B958B1" w:rsidRDefault="00B958B1" w:rsidP="009F3B54">
            <w:pPr>
              <w:pStyle w:val="OGTableofFigures"/>
              <w:rPr>
                <w:rFonts w:cs="Calibri"/>
                <w:szCs w:val="20"/>
              </w:rPr>
            </w:pPr>
            <w:r w:rsidRPr="001B562D">
              <w:rPr>
                <w:rFonts w:cs="Calibri"/>
                <w:szCs w:val="20"/>
              </w:rPr>
              <w:t>33</w:t>
            </w:r>
          </w:p>
        </w:tc>
      </w:tr>
      <w:tr w:rsidR="00B958B1" w:rsidTr="009F3B54">
        <w:trPr>
          <w:gridAfter w:val="1"/>
          <w:wAfter w:w="6" w:type="dxa"/>
          <w:cantSplit/>
        </w:trPr>
        <w:tc>
          <w:tcPr>
            <w:tcW w:w="7776" w:type="dxa"/>
            <w:gridSpan w:val="6"/>
            <w:tcBorders>
              <w:bottom w:val="single" w:sz="12" w:space="0" w:color="auto"/>
            </w:tcBorders>
            <w:shd w:val="clear" w:color="auto" w:fill="auto"/>
          </w:tcPr>
          <w:p w:rsidR="00B958B1" w:rsidRPr="001B562D" w:rsidRDefault="00B958B1" w:rsidP="009F3B54">
            <w:pPr>
              <w:pStyle w:val="OGNotes"/>
              <w:rPr>
                <w:rFonts w:cs="Calibri"/>
              </w:rPr>
            </w:pPr>
            <w:r w:rsidRPr="00036230">
              <w:t>This performance measure is proposed to be discontinued reflecting the proposed termination of the fundi</w:t>
            </w:r>
            <w:r>
              <w:t xml:space="preserve">ng agreement with HRL/Dual Gas. </w:t>
            </w:r>
            <w:r w:rsidRPr="00036230">
              <w:t>The 2012</w:t>
            </w:r>
            <w:r w:rsidR="009F0F49">
              <w:noBreakHyphen/>
            </w:r>
            <w:r w:rsidRPr="00036230">
              <w:t>13 Expected Outcome is lower than the 2012</w:t>
            </w:r>
            <w:r w:rsidR="009F0F49">
              <w:noBreakHyphen/>
            </w:r>
            <w:r w:rsidRPr="00036230">
              <w:t>13 Target due to the Commonwealth Government withdrawing funding for the HRL/Dual Gas project.</w:t>
            </w:r>
          </w:p>
        </w:tc>
      </w:tr>
    </w:tbl>
    <w:p w:rsidR="00B958B1" w:rsidRDefault="00B958B1" w:rsidP="009F3B54">
      <w:pPr>
        <w:pStyle w:val="Source"/>
      </w:pPr>
      <w:r>
        <w:t>Source: Department of State Development Business and Innovation</w:t>
      </w:r>
      <w:r>
        <w:fldChar w:fldCharType="begin"/>
      </w:r>
      <w:r>
        <w:instrText xml:space="preserve"> XE "</w:instrText>
      </w:r>
      <w:r w:rsidRPr="00B11C4E">
        <w:instrText>Department of State Development Business and Innovation:</w:instrText>
      </w:r>
      <w:r w:rsidRPr="00C60B08">
        <w:instrText xml:space="preserve"> </w:instrText>
      </w:r>
      <w:r w:rsidRPr="003E7F43">
        <w:instrText>Output performance measures for review</w:instrText>
      </w:r>
      <w:r>
        <w:instrText xml:space="preserve">" \r "BP3AppADSBI" </w:instrText>
      </w:r>
      <w:r>
        <w:fldChar w:fldCharType="end"/>
      </w:r>
    </w:p>
    <w:p w:rsidR="00B958B1" w:rsidRDefault="00B958B1" w:rsidP="009F3B54">
      <w:pPr>
        <w:pStyle w:val="Source"/>
      </w:pPr>
    </w:p>
    <w:bookmarkEnd w:id="169"/>
    <w:p w:rsidR="00B958B1" w:rsidRPr="00B068A0" w:rsidRDefault="00B958B1" w:rsidP="009F3B54">
      <w:pPr>
        <w:pStyle w:val="Heading1"/>
      </w:pPr>
      <w:r>
        <w:br w:type="page"/>
      </w:r>
      <w:bookmarkStart w:id="170" w:name="_Toc355362297"/>
      <w:bookmarkStart w:id="171" w:name="BP3AppADTPLI"/>
      <w:r w:rsidRPr="00700DF5">
        <w:t>Department</w:t>
      </w:r>
      <w:r>
        <w:t xml:space="preserve"> of Transport, Planning and Local Infrastructure</w:t>
      </w:r>
      <w:bookmarkEnd w:id="170"/>
    </w:p>
    <w:tbl>
      <w:tblPr>
        <w:tblW w:w="7776" w:type="dxa"/>
        <w:tblInd w:w="29" w:type="dxa"/>
        <w:tblLayout w:type="fixed"/>
        <w:tblCellMar>
          <w:left w:w="43" w:type="dxa"/>
          <w:right w:w="43" w:type="dxa"/>
        </w:tblCellMar>
        <w:tblLook w:val="04A0" w:firstRow="1" w:lastRow="0" w:firstColumn="1" w:lastColumn="0" w:noHBand="0" w:noVBand="1"/>
      </w:tblPr>
      <w:tblGrid>
        <w:gridCol w:w="3154"/>
        <w:gridCol w:w="907"/>
        <w:gridCol w:w="907"/>
        <w:gridCol w:w="994"/>
        <w:gridCol w:w="907"/>
        <w:gridCol w:w="907"/>
      </w:tblGrid>
      <w:tr w:rsidR="00B958B1" w:rsidRPr="00D32CA4" w:rsidTr="009F3B54">
        <w:trPr>
          <w:cantSplit/>
          <w:tblHeader/>
        </w:trPr>
        <w:tc>
          <w:tcPr>
            <w:tcW w:w="3154" w:type="dxa"/>
            <w:tcBorders>
              <w:top w:val="single" w:sz="4" w:space="0" w:color="auto"/>
              <w:left w:val="single" w:sz="4" w:space="0" w:color="auto"/>
              <w:bottom w:val="single" w:sz="4" w:space="0" w:color="auto"/>
              <w:right w:val="nil"/>
            </w:tcBorders>
            <w:shd w:val="clear" w:color="auto" w:fill="000000"/>
            <w:vAlign w:val="bottom"/>
          </w:tcPr>
          <w:p w:rsidR="00B958B1" w:rsidRPr="00D32CA4" w:rsidRDefault="00B958B1" w:rsidP="009F3B54">
            <w:pPr>
              <w:pStyle w:val="OGTabColLeft"/>
              <w:keepNext/>
              <w:rPr>
                <w:i/>
              </w:rPr>
            </w:pPr>
            <w:r w:rsidRPr="00D32CA4">
              <w:t>Major Outputs/Deliverables</w:t>
            </w:r>
            <w:r w:rsidRPr="00D32CA4">
              <w:br/>
            </w:r>
            <w:r w:rsidRPr="0085011C">
              <w:rPr>
                <w:b w:val="0"/>
                <w:i/>
              </w:rPr>
              <w:t>Performance measures</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Centred"/>
              <w:keepNext/>
            </w:pPr>
            <w:r w:rsidRPr="00D32CA4">
              <w:t xml:space="preserve">Unit of </w:t>
            </w:r>
            <w:r w:rsidRPr="00D32CA4">
              <w:br/>
              <w:t>Measure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keepNext/>
            </w:pPr>
            <w:r>
              <w:t>2013</w:t>
            </w:r>
            <w:r w:rsidR="009F0F49">
              <w:noBreakHyphen/>
            </w:r>
            <w:r w:rsidRPr="00D32CA4">
              <w:t>1</w:t>
            </w:r>
            <w:r>
              <w:t>4</w:t>
            </w:r>
            <w:r w:rsidRPr="00D32CA4">
              <w:t xml:space="preserve"> Target</w:t>
            </w:r>
          </w:p>
        </w:tc>
        <w:tc>
          <w:tcPr>
            <w:tcW w:w="994"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keepNext/>
            </w:pPr>
            <w:r w:rsidRPr="00D32CA4">
              <w:t>201</w:t>
            </w:r>
            <w:r>
              <w:t>2</w:t>
            </w:r>
            <w:r w:rsidR="009F0F49">
              <w:noBreakHyphen/>
            </w:r>
            <w:r w:rsidRPr="00D32CA4">
              <w:t>1</w:t>
            </w:r>
            <w:r>
              <w:t>3</w:t>
            </w:r>
            <w:r w:rsidRPr="00D32CA4">
              <w:t xml:space="preserve"> Expected Outcome</w:t>
            </w:r>
          </w:p>
        </w:tc>
        <w:tc>
          <w:tcPr>
            <w:tcW w:w="907" w:type="dxa"/>
            <w:tcBorders>
              <w:top w:val="single" w:sz="4" w:space="0" w:color="auto"/>
              <w:left w:val="nil"/>
              <w:bottom w:val="single" w:sz="4" w:space="0" w:color="auto"/>
              <w:right w:val="nil"/>
            </w:tcBorders>
            <w:shd w:val="clear" w:color="auto" w:fill="000000"/>
            <w:noWrap/>
            <w:vAlign w:val="bottom"/>
            <w:hideMark/>
          </w:tcPr>
          <w:p w:rsidR="00B958B1" w:rsidRPr="00D32CA4" w:rsidRDefault="00B958B1" w:rsidP="009F3B54">
            <w:pPr>
              <w:pStyle w:val="OGTabColRight"/>
              <w:keepNext/>
            </w:pPr>
            <w:r w:rsidRPr="00D32CA4">
              <w:t>201</w:t>
            </w:r>
            <w:r>
              <w:t>2</w:t>
            </w:r>
            <w:r w:rsidR="009F0F49">
              <w:noBreakHyphen/>
            </w:r>
            <w:r w:rsidRPr="00D32CA4">
              <w:t>1</w:t>
            </w:r>
            <w:r>
              <w:t>3</w:t>
            </w:r>
            <w:r w:rsidRPr="00D32CA4">
              <w:t xml:space="preserve"> Target</w:t>
            </w:r>
          </w:p>
        </w:tc>
        <w:tc>
          <w:tcPr>
            <w:tcW w:w="907" w:type="dxa"/>
            <w:tcBorders>
              <w:top w:val="single" w:sz="4" w:space="0" w:color="auto"/>
              <w:left w:val="nil"/>
              <w:bottom w:val="single" w:sz="4" w:space="0" w:color="auto"/>
              <w:right w:val="single" w:sz="4" w:space="0" w:color="auto"/>
            </w:tcBorders>
            <w:shd w:val="clear" w:color="auto" w:fill="000000"/>
            <w:noWrap/>
            <w:vAlign w:val="bottom"/>
            <w:hideMark/>
          </w:tcPr>
          <w:p w:rsidR="00B958B1" w:rsidRPr="00D32CA4" w:rsidRDefault="00B958B1" w:rsidP="009F3B54">
            <w:pPr>
              <w:pStyle w:val="OGTabColRight"/>
              <w:keepNext/>
            </w:pPr>
            <w:r>
              <w:t>2011</w:t>
            </w:r>
            <w:r w:rsidR="009F0F49">
              <w:noBreakHyphen/>
            </w:r>
            <w:r w:rsidRPr="00D32CA4">
              <w:t>1</w:t>
            </w:r>
            <w:r>
              <w:t>2</w:t>
            </w:r>
            <w:r w:rsidRPr="00D32CA4">
              <w:t xml:space="preserve"> Actual</w:t>
            </w:r>
          </w:p>
        </w:tc>
      </w:tr>
      <w:tr w:rsidR="00B958B1" w:rsidRPr="00B068A0" w:rsidTr="009F3B54">
        <w:trPr>
          <w:cantSplit/>
        </w:trPr>
        <w:tc>
          <w:tcPr>
            <w:tcW w:w="7776" w:type="dxa"/>
            <w:gridSpan w:val="6"/>
            <w:tcBorders>
              <w:top w:val="nil"/>
              <w:left w:val="nil"/>
              <w:bottom w:val="nil"/>
              <w:right w:val="nil"/>
            </w:tcBorders>
            <w:shd w:val="clear" w:color="auto" w:fill="auto"/>
            <w:vAlign w:val="bottom"/>
            <w:hideMark/>
          </w:tcPr>
          <w:p w:rsidR="00B958B1" w:rsidRPr="00B068A0" w:rsidRDefault="00B958B1" w:rsidP="009F3B54">
            <w:pPr>
              <w:pStyle w:val="OGHeading2"/>
              <w:keepNext w:val="0"/>
              <w:rPr>
                <w:lang w:eastAsia="en-AU"/>
              </w:rPr>
            </w:pPr>
            <w:r w:rsidRPr="00B068A0">
              <w:rPr>
                <w:lang w:eastAsia="en-AU"/>
              </w:rPr>
              <w:t>Transport Safety Regulation and Investigations</w:t>
            </w:r>
          </w:p>
        </w:tc>
      </w:tr>
      <w:tr w:rsidR="00B958B1" w:rsidRPr="00B068A0" w:rsidTr="009F3B54">
        <w:trPr>
          <w:cantSplit/>
        </w:trPr>
        <w:tc>
          <w:tcPr>
            <w:tcW w:w="3154" w:type="dxa"/>
            <w:tcBorders>
              <w:top w:val="single" w:sz="6" w:space="0" w:color="auto"/>
              <w:left w:val="nil"/>
              <w:bottom w:val="nil"/>
              <w:right w:val="nil"/>
            </w:tcBorders>
            <w:shd w:val="clear" w:color="auto" w:fill="auto"/>
            <w:vAlign w:val="bottom"/>
            <w:hideMark/>
          </w:tcPr>
          <w:p w:rsidR="00B958B1" w:rsidRPr="00B068A0" w:rsidRDefault="00B958B1" w:rsidP="009F3B54">
            <w:pPr>
              <w:pStyle w:val="OGTabHead"/>
              <w:keepNext w:val="0"/>
              <w:rPr>
                <w:lang w:eastAsia="en-AU"/>
              </w:rPr>
            </w:pPr>
            <w:r w:rsidRPr="00B068A0">
              <w:rPr>
                <w:lang w:eastAsia="en-AU"/>
              </w:rPr>
              <w:t>Quantity</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lang w:eastAsia="en-AU"/>
              </w:rPr>
            </w:pP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r>
      <w:tr w:rsidR="00B958B1" w:rsidRPr="00B068A0" w:rsidTr="009F3B54">
        <w:trPr>
          <w:cantSplit/>
        </w:trPr>
        <w:tc>
          <w:tcPr>
            <w:tcW w:w="3154" w:type="dxa"/>
            <w:tcBorders>
              <w:top w:val="nil"/>
              <w:left w:val="nil"/>
              <w:bottom w:val="nil"/>
              <w:right w:val="nil"/>
            </w:tcBorders>
            <w:shd w:val="clear" w:color="000000" w:fill="FFFFFF"/>
            <w:hideMark/>
          </w:tcPr>
          <w:p w:rsidR="00B958B1" w:rsidRPr="00B068A0" w:rsidRDefault="00B958B1" w:rsidP="009F3B54">
            <w:pPr>
              <w:pStyle w:val="OGTabText"/>
              <w:rPr>
                <w:lang w:eastAsia="en-AU"/>
              </w:rPr>
            </w:pPr>
            <w:r w:rsidRPr="00B068A0">
              <w:rPr>
                <w:lang w:eastAsia="en-AU"/>
              </w:rPr>
              <w:t>Transport and marine safety investigations: proportion of accidents/incidents involving identified multiple safety system failures investigated</w:t>
            </w:r>
          </w:p>
        </w:tc>
        <w:tc>
          <w:tcPr>
            <w:tcW w:w="907" w:type="dxa"/>
            <w:tcBorders>
              <w:top w:val="nil"/>
              <w:left w:val="nil"/>
              <w:bottom w:val="nil"/>
              <w:right w:val="nil"/>
            </w:tcBorders>
            <w:shd w:val="clear" w:color="000000" w:fill="FFFFFF"/>
            <w:hideMark/>
          </w:tcPr>
          <w:p w:rsidR="00B958B1" w:rsidRPr="00B068A0" w:rsidRDefault="00B958B1" w:rsidP="009F3B54">
            <w:pPr>
              <w:pStyle w:val="OGUoM"/>
              <w:rPr>
                <w:lang w:eastAsia="en-AU"/>
              </w:rPr>
            </w:pPr>
            <w:r>
              <w:rPr>
                <w:lang w:eastAsia="en-AU"/>
              </w:rPr>
              <w:t>per cent</w:t>
            </w:r>
          </w:p>
        </w:tc>
        <w:tc>
          <w:tcPr>
            <w:tcW w:w="907" w:type="dxa"/>
            <w:tcBorders>
              <w:top w:val="nil"/>
              <w:left w:val="nil"/>
              <w:bottom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100</w:t>
            </w:r>
          </w:p>
        </w:tc>
        <w:tc>
          <w:tcPr>
            <w:tcW w:w="994"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B068A0" w:rsidRDefault="00B958B1" w:rsidP="009F3B54">
            <w:pPr>
              <w:pStyle w:val="OGNotes"/>
            </w:pPr>
            <w:r w:rsidRPr="00B068A0">
              <w:t>This performance measure is proposed to be discontinued as it is no longer consistent with the collaborative agreement for rail investigations with the Australian Transport Safety Bureau which commenced on 20 January 2013.</w:t>
            </w:r>
          </w:p>
        </w:tc>
      </w:tr>
      <w:tr w:rsidR="00B958B1" w:rsidRPr="00B068A0" w:rsidTr="009F3B54">
        <w:trPr>
          <w:cantSplit/>
        </w:trPr>
        <w:tc>
          <w:tcPr>
            <w:tcW w:w="3154" w:type="dxa"/>
            <w:tcBorders>
              <w:top w:val="single" w:sz="6" w:space="0" w:color="auto"/>
              <w:left w:val="nil"/>
              <w:bottom w:val="nil"/>
              <w:right w:val="nil"/>
            </w:tcBorders>
            <w:shd w:val="clear" w:color="000000" w:fill="FFFFFF"/>
            <w:hideMark/>
          </w:tcPr>
          <w:p w:rsidR="00B958B1" w:rsidRPr="00B068A0" w:rsidRDefault="00B958B1" w:rsidP="009F3B54">
            <w:pPr>
              <w:pStyle w:val="OGTabText"/>
              <w:rPr>
                <w:lang w:eastAsia="en-AU"/>
              </w:rPr>
            </w:pPr>
            <w:r w:rsidRPr="00B068A0">
              <w:rPr>
                <w:lang w:eastAsia="en-AU"/>
              </w:rPr>
              <w:t>Transport safety regulation: commercial and recreational maritime accredited training organisations and training providers audited</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UoM"/>
              <w:rPr>
                <w:lang w:eastAsia="en-AU"/>
              </w:rPr>
            </w:pPr>
            <w:r>
              <w:rPr>
                <w:lang w:eastAsia="en-AU"/>
              </w:rPr>
              <w:t>per cent</w:t>
            </w:r>
          </w:p>
        </w:tc>
        <w:tc>
          <w:tcPr>
            <w:tcW w:w="907" w:type="dxa"/>
            <w:tcBorders>
              <w:top w:val="single" w:sz="6" w:space="0" w:color="auto"/>
              <w:left w:val="nil"/>
              <w:bottom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na</w:t>
            </w:r>
          </w:p>
        </w:tc>
        <w:tc>
          <w:tcPr>
            <w:tcW w:w="994"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66</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B068A0" w:rsidRDefault="00B958B1" w:rsidP="009F3B54">
            <w:pPr>
              <w:pStyle w:val="OGNotes"/>
            </w:pPr>
            <w:r w:rsidRPr="00B068A0">
              <w:t>This performance measure is proposed to be discontinued as it has been replaced by the 2013</w:t>
            </w:r>
            <w:r w:rsidR="009F0F49">
              <w:noBreakHyphen/>
            </w:r>
            <w:r w:rsidRPr="00B068A0">
              <w:t xml:space="preserve">14 performance measure </w:t>
            </w:r>
            <w:r>
              <w:t>‘</w:t>
            </w:r>
            <w:r w:rsidRPr="00B068A0">
              <w:t>Transport safety regulation: accredited maritime training organisations and training providers audited in accordance with risk</w:t>
            </w:r>
            <w:r w:rsidR="009F0F49">
              <w:noBreakHyphen/>
            </w:r>
            <w:r w:rsidRPr="00B068A0">
              <w:t>based audit plan</w:t>
            </w:r>
            <w:r>
              <w:t>’</w:t>
            </w:r>
            <w:r w:rsidRPr="00B068A0">
              <w:t xml:space="preserve"> to more accurately reflect the activities being measured and legislative obligations under the </w:t>
            </w:r>
            <w:r w:rsidRPr="00824CE9">
              <w:rPr>
                <w:i w:val="0"/>
              </w:rPr>
              <w:t>Marine Safety Act 2010</w:t>
            </w:r>
            <w:r w:rsidRPr="00B068A0">
              <w:t>.</w:t>
            </w:r>
          </w:p>
        </w:tc>
      </w:tr>
      <w:tr w:rsidR="00B958B1" w:rsidRPr="00B068A0" w:rsidTr="009F3B54">
        <w:trPr>
          <w:cantSplit/>
        </w:trPr>
        <w:tc>
          <w:tcPr>
            <w:tcW w:w="3154" w:type="dxa"/>
            <w:tcBorders>
              <w:top w:val="single" w:sz="6" w:space="0" w:color="auto"/>
              <w:left w:val="nil"/>
              <w:bottom w:val="nil"/>
              <w:right w:val="nil"/>
            </w:tcBorders>
            <w:shd w:val="clear" w:color="000000" w:fill="FFFFFF"/>
            <w:hideMark/>
          </w:tcPr>
          <w:p w:rsidR="00B958B1" w:rsidRPr="00B068A0" w:rsidRDefault="00B958B1" w:rsidP="009F3B54">
            <w:pPr>
              <w:pStyle w:val="OGTabText"/>
              <w:rPr>
                <w:lang w:eastAsia="en-AU"/>
              </w:rPr>
            </w:pPr>
            <w:r w:rsidRPr="00B068A0">
              <w:rPr>
                <w:lang w:eastAsia="en-AU"/>
              </w:rPr>
              <w:t>Transport safety regulation: delivery of recreational boating safety education seminars</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UoM"/>
              <w:rPr>
                <w:lang w:eastAsia="en-AU"/>
              </w:rPr>
            </w:pPr>
            <w:r w:rsidRPr="00B068A0">
              <w:rPr>
                <w:lang w:eastAsia="en-AU"/>
              </w:rPr>
              <w:t>number</w:t>
            </w:r>
          </w:p>
        </w:tc>
        <w:tc>
          <w:tcPr>
            <w:tcW w:w="907" w:type="dxa"/>
            <w:tcBorders>
              <w:top w:val="single" w:sz="6" w:space="0" w:color="auto"/>
              <w:left w:val="nil"/>
              <w:bottom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na</w:t>
            </w:r>
          </w:p>
        </w:tc>
        <w:tc>
          <w:tcPr>
            <w:tcW w:w="994"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17</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25</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34</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B068A0">
              <w:t>This performance measure is proposed to be discontinued as it is dependent on the funding from Boating Safety and Facilities Program (BSFP). Funding is not confirmed for this activity in 2013</w:t>
            </w:r>
            <w:r w:rsidR="009F0F49">
              <w:noBreakHyphen/>
            </w:r>
            <w:r w:rsidRPr="00B068A0">
              <w:t>14. This measure is a sub</w:t>
            </w:r>
            <w:r w:rsidR="009F0F49">
              <w:noBreakHyphen/>
            </w:r>
            <w:r w:rsidRPr="00B068A0">
              <w:t xml:space="preserve">activity of a range of educational initiatives via the BSFP. </w:t>
            </w:r>
          </w:p>
          <w:p w:rsidR="00B958B1" w:rsidRPr="00B068A0" w:rsidRDefault="00B958B1" w:rsidP="009F3B54">
            <w:pPr>
              <w:pStyle w:val="OGNotes"/>
            </w:pPr>
            <w:r w:rsidRPr="00B068A0">
              <w:t>The 2012</w:t>
            </w:r>
            <w:r w:rsidR="009F0F49">
              <w:noBreakHyphen/>
            </w:r>
            <w:r w:rsidRPr="00B068A0">
              <w:t xml:space="preserve">13 Expected Outcome </w:t>
            </w:r>
            <w:r>
              <w:t>is lower than the 2012</w:t>
            </w:r>
            <w:r w:rsidR="009F0F49">
              <w:noBreakHyphen/>
            </w:r>
            <w:r>
              <w:t>13 Target due to</w:t>
            </w:r>
            <w:r w:rsidRPr="00B068A0">
              <w:t xml:space="preserve"> the lack of demand from boating communities and industry stakeholders.</w:t>
            </w:r>
          </w:p>
        </w:tc>
      </w:tr>
      <w:tr w:rsidR="00B958B1" w:rsidRPr="00B068A0" w:rsidTr="009F3B54">
        <w:trPr>
          <w:cantSplit/>
        </w:trPr>
        <w:tc>
          <w:tcPr>
            <w:tcW w:w="3154" w:type="dxa"/>
            <w:tcBorders>
              <w:top w:val="single" w:sz="6" w:space="0" w:color="auto"/>
              <w:left w:val="nil"/>
              <w:bottom w:val="nil"/>
              <w:right w:val="nil"/>
            </w:tcBorders>
            <w:shd w:val="clear" w:color="000000" w:fill="FFFFFF"/>
            <w:hideMark/>
          </w:tcPr>
          <w:p w:rsidR="00B958B1" w:rsidRPr="00B068A0" w:rsidRDefault="00B958B1" w:rsidP="009F3B54">
            <w:pPr>
              <w:pStyle w:val="OGTabText"/>
              <w:keepNext/>
              <w:rPr>
                <w:lang w:eastAsia="en-AU"/>
              </w:rPr>
            </w:pPr>
            <w:r w:rsidRPr="00B068A0">
              <w:rPr>
                <w:lang w:eastAsia="en-AU"/>
              </w:rPr>
              <w:t>Transport safety regulation: designated waterways audited to determine compliance with vessel operating and zoning rules</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UoM"/>
              <w:keepNext/>
              <w:rPr>
                <w:lang w:eastAsia="en-AU"/>
              </w:rPr>
            </w:pPr>
            <w:r w:rsidRPr="00B068A0">
              <w:rPr>
                <w:lang w:eastAsia="en-AU"/>
              </w:rPr>
              <w:t>number</w:t>
            </w:r>
          </w:p>
        </w:tc>
        <w:tc>
          <w:tcPr>
            <w:tcW w:w="907" w:type="dxa"/>
            <w:tcBorders>
              <w:top w:val="single" w:sz="6" w:space="0" w:color="auto"/>
              <w:left w:val="nil"/>
              <w:bottom w:val="nil"/>
              <w:right w:val="nil"/>
            </w:tcBorders>
            <w:shd w:val="clear" w:color="auto" w:fill="D9D9D9"/>
            <w:hideMark/>
          </w:tcPr>
          <w:p w:rsidR="00B958B1" w:rsidRPr="00B068A0" w:rsidRDefault="00B958B1" w:rsidP="009F3B54">
            <w:pPr>
              <w:pStyle w:val="OGTableofFigures"/>
              <w:keepNext/>
              <w:rPr>
                <w:lang w:eastAsia="en-AU"/>
              </w:rPr>
            </w:pPr>
            <w:r w:rsidRPr="00B068A0">
              <w:rPr>
                <w:lang w:eastAsia="en-AU"/>
              </w:rPr>
              <w:t>na</w:t>
            </w:r>
          </w:p>
        </w:tc>
        <w:tc>
          <w:tcPr>
            <w:tcW w:w="994"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keepNext/>
              <w:rPr>
                <w:lang w:eastAsia="en-AU"/>
              </w:rPr>
            </w:pPr>
            <w:r w:rsidRPr="00B068A0">
              <w:rPr>
                <w:lang w:eastAsia="en-AU"/>
              </w:rPr>
              <w:t>17</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keepNext/>
              <w:rPr>
                <w:lang w:eastAsia="en-AU"/>
              </w:rPr>
            </w:pPr>
            <w:r w:rsidRPr="00B068A0">
              <w:rPr>
                <w:lang w:eastAsia="en-AU"/>
              </w:rPr>
              <w:t>20</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keepNext/>
              <w:rPr>
                <w:lang w:eastAsia="en-AU"/>
              </w:rPr>
            </w:pPr>
            <w:r w:rsidRPr="00B068A0">
              <w:rPr>
                <w:lang w:eastAsia="en-AU"/>
              </w:rPr>
              <w:t>nm</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B068A0">
              <w:t>This performance measure is proposed to be discontinued as it has been replaced by the 2013</w:t>
            </w:r>
            <w:r w:rsidR="009F0F49">
              <w:noBreakHyphen/>
            </w:r>
            <w:r w:rsidRPr="00B068A0">
              <w:t xml:space="preserve">14 performance measure </w:t>
            </w:r>
            <w:r>
              <w:t>‘</w:t>
            </w:r>
            <w:r w:rsidRPr="00B068A0">
              <w:t>Transport safety regulation: compliance inspections of vessel operating and zoning rules in designated high</w:t>
            </w:r>
            <w:r w:rsidR="009F0F49">
              <w:noBreakHyphen/>
            </w:r>
            <w:r w:rsidRPr="00B068A0">
              <w:t>risk segments of Victorian waterways in accordance with risk</w:t>
            </w:r>
            <w:r w:rsidR="009F0F49">
              <w:noBreakHyphen/>
            </w:r>
            <w:r w:rsidRPr="00B068A0">
              <w:t>based audit plan</w:t>
            </w:r>
            <w:r>
              <w:t>’</w:t>
            </w:r>
            <w:r w:rsidRPr="00B068A0">
              <w:t xml:space="preserve"> to more accurately reflect the activities being measured and legislative obligations under the </w:t>
            </w:r>
            <w:r w:rsidRPr="00824CE9">
              <w:rPr>
                <w:i w:val="0"/>
              </w:rPr>
              <w:t>Marine Safety Act 2010</w:t>
            </w:r>
            <w:r w:rsidRPr="00B068A0">
              <w:t xml:space="preserve">. </w:t>
            </w:r>
          </w:p>
          <w:p w:rsidR="00B958B1" w:rsidRPr="00B068A0" w:rsidRDefault="00B958B1" w:rsidP="009F3B54">
            <w:pPr>
              <w:pStyle w:val="OGNotes"/>
            </w:pPr>
            <w:r w:rsidRPr="00B068A0">
              <w:t>The 2012</w:t>
            </w:r>
            <w:r w:rsidR="009F0F49">
              <w:noBreakHyphen/>
            </w:r>
            <w:r w:rsidRPr="00B068A0">
              <w:t xml:space="preserve">13 Expected Outcome </w:t>
            </w:r>
            <w:r>
              <w:t>is lower than the 2012</w:t>
            </w:r>
            <w:r w:rsidR="009F0F49">
              <w:noBreakHyphen/>
            </w:r>
            <w:r>
              <w:t>13 Target due to the</w:t>
            </w:r>
            <w:r w:rsidRPr="00B068A0">
              <w:t xml:space="preserve"> re</w:t>
            </w:r>
            <w:r w:rsidR="009F0F49">
              <w:noBreakHyphen/>
            </w:r>
            <w:r>
              <w:t xml:space="preserve">prioritisation </w:t>
            </w:r>
            <w:r w:rsidRPr="00B068A0">
              <w:t xml:space="preserve">of resources and the impact of the implementation of the </w:t>
            </w:r>
            <w:r w:rsidRPr="00824CE9">
              <w:rPr>
                <w:i w:val="0"/>
              </w:rPr>
              <w:t>Marine Safety Act 2010</w:t>
            </w:r>
            <w:r w:rsidRPr="00B068A0">
              <w:t>.</w:t>
            </w:r>
          </w:p>
        </w:tc>
      </w:tr>
      <w:tr w:rsidR="00B958B1" w:rsidRPr="00B068A0" w:rsidTr="009F3B54">
        <w:trPr>
          <w:cantSplit/>
        </w:trPr>
        <w:tc>
          <w:tcPr>
            <w:tcW w:w="3154" w:type="dxa"/>
            <w:tcBorders>
              <w:left w:val="nil"/>
              <w:bottom w:val="nil"/>
              <w:right w:val="nil"/>
            </w:tcBorders>
            <w:shd w:val="clear" w:color="000000" w:fill="FFFFFF"/>
            <w:hideMark/>
          </w:tcPr>
          <w:p w:rsidR="00B958B1" w:rsidRPr="00B068A0" w:rsidRDefault="00B958B1" w:rsidP="009F3B54">
            <w:pPr>
              <w:pStyle w:val="OGTabText"/>
              <w:pageBreakBefore/>
              <w:ind w:left="142"/>
              <w:rPr>
                <w:lang w:eastAsia="en-AU"/>
              </w:rPr>
            </w:pPr>
            <w:r w:rsidRPr="00B068A0">
              <w:rPr>
                <w:lang w:eastAsia="en-AU"/>
              </w:rPr>
              <w:t>Transport safety regulation: operational safety audits performed on commercial vessel operators</w:t>
            </w:r>
          </w:p>
        </w:tc>
        <w:tc>
          <w:tcPr>
            <w:tcW w:w="907" w:type="dxa"/>
            <w:tcBorders>
              <w:left w:val="nil"/>
              <w:bottom w:val="nil"/>
              <w:right w:val="nil"/>
            </w:tcBorders>
            <w:shd w:val="clear" w:color="000000" w:fill="FFFFFF"/>
            <w:hideMark/>
          </w:tcPr>
          <w:p w:rsidR="00B958B1" w:rsidRPr="00B068A0" w:rsidRDefault="00B958B1" w:rsidP="009F3B54">
            <w:pPr>
              <w:pStyle w:val="OGUoM"/>
              <w:rPr>
                <w:lang w:eastAsia="en-AU"/>
              </w:rPr>
            </w:pPr>
            <w:r>
              <w:rPr>
                <w:lang w:eastAsia="en-AU"/>
              </w:rPr>
              <w:t>per cent</w:t>
            </w:r>
          </w:p>
        </w:tc>
        <w:tc>
          <w:tcPr>
            <w:tcW w:w="907" w:type="dxa"/>
            <w:tcBorders>
              <w:left w:val="nil"/>
              <w:bottom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na</w:t>
            </w:r>
          </w:p>
        </w:tc>
        <w:tc>
          <w:tcPr>
            <w:tcW w:w="994" w:type="dxa"/>
            <w:tcBorders>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14</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B068A0" w:rsidRDefault="00B958B1" w:rsidP="009F3B54">
            <w:pPr>
              <w:pStyle w:val="OGNotes"/>
            </w:pPr>
            <w:r w:rsidRPr="00B068A0">
              <w:t>This performance measure is proposed to be discontinued as it has been replaced by the 2013</w:t>
            </w:r>
            <w:r w:rsidR="009F0F49">
              <w:noBreakHyphen/>
            </w:r>
            <w:r w:rsidRPr="00B068A0">
              <w:t xml:space="preserve">14 performance measure </w:t>
            </w:r>
            <w:r>
              <w:t>‘</w:t>
            </w:r>
            <w:r w:rsidRPr="00B068A0">
              <w:t>Transport safety regulation: audit of commercial maritime duty holders other than vessel owners and operators in accordance with risk</w:t>
            </w:r>
            <w:r w:rsidR="009F0F49">
              <w:noBreakHyphen/>
            </w:r>
            <w:r w:rsidRPr="00B068A0">
              <w:t>based audit plan</w:t>
            </w:r>
            <w:r>
              <w:t>’</w:t>
            </w:r>
            <w:r w:rsidRPr="00B068A0">
              <w:t xml:space="preserve"> to more accurately reflect the activities being measured and legislative obligations under the </w:t>
            </w:r>
            <w:r w:rsidRPr="002230EE">
              <w:rPr>
                <w:i w:val="0"/>
              </w:rPr>
              <w:t>Marine Safety Act 2010</w:t>
            </w:r>
            <w:r w:rsidRPr="00B068A0">
              <w:t>.</w:t>
            </w:r>
          </w:p>
        </w:tc>
      </w:tr>
      <w:tr w:rsidR="00B958B1" w:rsidRPr="00B068A0" w:rsidTr="009F3B54">
        <w:trPr>
          <w:cantSplit/>
        </w:trPr>
        <w:tc>
          <w:tcPr>
            <w:tcW w:w="3154" w:type="dxa"/>
            <w:tcBorders>
              <w:top w:val="single" w:sz="6" w:space="0" w:color="auto"/>
              <w:left w:val="nil"/>
              <w:bottom w:val="nil"/>
              <w:right w:val="nil"/>
            </w:tcBorders>
            <w:shd w:val="clear" w:color="000000" w:fill="FFFFFF"/>
            <w:hideMark/>
          </w:tcPr>
          <w:p w:rsidR="00B958B1" w:rsidRPr="00B068A0" w:rsidRDefault="00B958B1" w:rsidP="009F3B54">
            <w:pPr>
              <w:pStyle w:val="OGTabText"/>
              <w:rPr>
                <w:lang w:eastAsia="en-AU"/>
              </w:rPr>
            </w:pPr>
            <w:r w:rsidRPr="00B068A0">
              <w:rPr>
                <w:lang w:eastAsia="en-AU"/>
              </w:rPr>
              <w:t>Transport safety regulation: recreational vessel inspections undertaken</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UoM"/>
              <w:rPr>
                <w:lang w:eastAsia="en-AU"/>
              </w:rPr>
            </w:pPr>
            <w:r w:rsidRPr="00B068A0">
              <w:rPr>
                <w:lang w:eastAsia="en-AU"/>
              </w:rPr>
              <w:t>number</w:t>
            </w:r>
          </w:p>
        </w:tc>
        <w:tc>
          <w:tcPr>
            <w:tcW w:w="907" w:type="dxa"/>
            <w:tcBorders>
              <w:top w:val="single" w:sz="6" w:space="0" w:color="auto"/>
              <w:left w:val="nil"/>
              <w:bottom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na</w:t>
            </w:r>
          </w:p>
        </w:tc>
        <w:tc>
          <w:tcPr>
            <w:tcW w:w="994"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2</w:t>
            </w:r>
            <w:r>
              <w:rPr>
                <w:lang w:eastAsia="en-AU"/>
              </w:rPr>
              <w:t> </w:t>
            </w:r>
            <w:r w:rsidRPr="00B068A0">
              <w:rPr>
                <w:lang w:eastAsia="en-AU"/>
              </w:rPr>
              <w:t>160</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2</w:t>
            </w:r>
            <w:r>
              <w:rPr>
                <w:lang w:eastAsia="en-AU"/>
              </w:rPr>
              <w:t> </w:t>
            </w:r>
            <w:r w:rsidRPr="00B068A0">
              <w:rPr>
                <w:lang w:eastAsia="en-AU"/>
              </w:rPr>
              <w:t>160</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nm</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B068A0" w:rsidRDefault="00B958B1" w:rsidP="009F3B54">
            <w:pPr>
              <w:pStyle w:val="OGNotes"/>
            </w:pPr>
            <w:r w:rsidRPr="00B068A0">
              <w:t>This performance measure is proposed to be discontinued as it has been replaced by the 2013</w:t>
            </w:r>
            <w:r w:rsidR="009F0F49">
              <w:noBreakHyphen/>
            </w:r>
            <w:r w:rsidRPr="00B068A0">
              <w:t xml:space="preserve">14 performance measure </w:t>
            </w:r>
            <w:r>
              <w:t>‘</w:t>
            </w:r>
            <w:r w:rsidRPr="00B068A0">
              <w:t>Transport safety regulation: recreational vessel inspections undertaken in accordance with risk</w:t>
            </w:r>
            <w:r w:rsidR="009F0F49">
              <w:noBreakHyphen/>
            </w:r>
            <w:r w:rsidRPr="00B068A0">
              <w:t>based audit plan</w:t>
            </w:r>
            <w:r>
              <w:t>’</w:t>
            </w:r>
            <w:r w:rsidRPr="00B068A0">
              <w:t xml:space="preserve"> to more accurately reflect the activities being measured and legislative obligations under the </w:t>
            </w:r>
            <w:r w:rsidRPr="002230EE">
              <w:rPr>
                <w:i w:val="0"/>
              </w:rPr>
              <w:t>Marine Safety Act 2010</w:t>
            </w:r>
            <w:r>
              <w:t>.</w:t>
            </w:r>
          </w:p>
        </w:tc>
      </w:tr>
      <w:tr w:rsidR="00B958B1" w:rsidRPr="00B068A0" w:rsidTr="009F3B54">
        <w:trPr>
          <w:cantSplit/>
        </w:trPr>
        <w:tc>
          <w:tcPr>
            <w:tcW w:w="3154" w:type="dxa"/>
            <w:tcBorders>
              <w:top w:val="single" w:sz="6" w:space="0" w:color="auto"/>
              <w:left w:val="nil"/>
              <w:bottom w:val="nil"/>
              <w:right w:val="nil"/>
            </w:tcBorders>
            <w:shd w:val="clear" w:color="000000" w:fill="FFFFFF"/>
            <w:hideMark/>
          </w:tcPr>
          <w:p w:rsidR="00B958B1" w:rsidRPr="00B068A0" w:rsidRDefault="00B958B1" w:rsidP="009F3B54">
            <w:pPr>
              <w:pStyle w:val="OGTabText"/>
              <w:rPr>
                <w:lang w:eastAsia="en-AU"/>
              </w:rPr>
            </w:pPr>
            <w:r w:rsidRPr="00B068A0">
              <w:rPr>
                <w:lang w:eastAsia="en-AU"/>
              </w:rPr>
              <w:t>Transport safety regulation: waterway inspections undertaken</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UoM"/>
              <w:rPr>
                <w:lang w:eastAsia="en-AU"/>
              </w:rPr>
            </w:pPr>
            <w:r w:rsidRPr="00B068A0">
              <w:rPr>
                <w:lang w:eastAsia="en-AU"/>
              </w:rPr>
              <w:t>number</w:t>
            </w:r>
          </w:p>
        </w:tc>
        <w:tc>
          <w:tcPr>
            <w:tcW w:w="907" w:type="dxa"/>
            <w:tcBorders>
              <w:top w:val="single" w:sz="6" w:space="0" w:color="auto"/>
              <w:left w:val="nil"/>
              <w:bottom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na</w:t>
            </w:r>
          </w:p>
        </w:tc>
        <w:tc>
          <w:tcPr>
            <w:tcW w:w="994"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30</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36</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nm</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B068A0">
              <w:t>This performance measure is proposed to be discontinued as it has been replaced by the 2013</w:t>
            </w:r>
            <w:r w:rsidR="009F0F49">
              <w:noBreakHyphen/>
            </w:r>
            <w:r w:rsidRPr="00B068A0">
              <w:t xml:space="preserve">14 performance measure </w:t>
            </w:r>
            <w:r>
              <w:t>‘</w:t>
            </w:r>
            <w:r w:rsidRPr="00B068A0">
              <w:t>Transport safety regulation: compliance inspections of vessel operating and zoning rules in designated high</w:t>
            </w:r>
            <w:r w:rsidR="009F0F49">
              <w:noBreakHyphen/>
            </w:r>
            <w:r w:rsidRPr="00B068A0">
              <w:t>risk segments of Victorian waterways in accordance with risk</w:t>
            </w:r>
            <w:r w:rsidR="009F0F49">
              <w:noBreakHyphen/>
            </w:r>
            <w:r w:rsidRPr="00B068A0">
              <w:t>based audit plan</w:t>
            </w:r>
            <w:r>
              <w:t>’</w:t>
            </w:r>
            <w:r w:rsidRPr="00B068A0">
              <w:t xml:space="preserve"> to more accurately reflect the activities being measured and legislative obligations under the </w:t>
            </w:r>
            <w:r w:rsidRPr="00824CE9">
              <w:rPr>
                <w:i w:val="0"/>
              </w:rPr>
              <w:t>Marine Safety Act 2010</w:t>
            </w:r>
            <w:r w:rsidRPr="00B068A0">
              <w:t xml:space="preserve">. </w:t>
            </w:r>
          </w:p>
          <w:p w:rsidR="00B958B1" w:rsidRPr="00B068A0" w:rsidRDefault="00B958B1" w:rsidP="009F3B54">
            <w:pPr>
              <w:pStyle w:val="OGNotes"/>
            </w:pPr>
            <w:r w:rsidRPr="00B068A0">
              <w:t>The</w:t>
            </w:r>
            <w:r>
              <w:t xml:space="preserve"> </w:t>
            </w:r>
            <w:r w:rsidRPr="00B068A0">
              <w:t>2012</w:t>
            </w:r>
            <w:r w:rsidR="009F0F49">
              <w:noBreakHyphen/>
            </w:r>
            <w:r w:rsidRPr="00B068A0">
              <w:t>13 Expected Outcome</w:t>
            </w:r>
            <w:r>
              <w:t xml:space="preserve"> is lower than the 2012</w:t>
            </w:r>
            <w:r w:rsidR="009F0F49">
              <w:noBreakHyphen/>
            </w:r>
            <w:r>
              <w:t>13 Target due to</w:t>
            </w:r>
            <w:r w:rsidRPr="00B068A0">
              <w:t xml:space="preserve"> the impact of implementing the </w:t>
            </w:r>
            <w:r w:rsidRPr="002230EE">
              <w:rPr>
                <w:i w:val="0"/>
              </w:rPr>
              <w:t>Marine Safety Act 2010</w:t>
            </w:r>
            <w:r w:rsidRPr="00B068A0">
              <w:t>.</w:t>
            </w:r>
          </w:p>
        </w:tc>
      </w:tr>
      <w:tr w:rsidR="00B958B1" w:rsidRPr="00B068A0" w:rsidTr="009F3B54">
        <w:trPr>
          <w:cantSplit/>
        </w:trPr>
        <w:tc>
          <w:tcPr>
            <w:tcW w:w="3154" w:type="dxa"/>
            <w:tcBorders>
              <w:top w:val="single" w:sz="6" w:space="0" w:color="auto"/>
              <w:left w:val="nil"/>
              <w:bottom w:val="nil"/>
              <w:right w:val="nil"/>
            </w:tcBorders>
            <w:shd w:val="clear" w:color="auto" w:fill="auto"/>
            <w:vAlign w:val="bottom"/>
            <w:hideMark/>
          </w:tcPr>
          <w:p w:rsidR="00B958B1" w:rsidRPr="00B068A0" w:rsidRDefault="00B958B1" w:rsidP="009F3B54">
            <w:pPr>
              <w:pStyle w:val="OGTabHead"/>
              <w:rPr>
                <w:lang w:eastAsia="en-AU"/>
              </w:rPr>
            </w:pPr>
            <w:r w:rsidRPr="00B068A0">
              <w:rPr>
                <w:lang w:eastAsia="en-AU"/>
              </w:rPr>
              <w:t>Timeliness</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lang w:eastAsia="en-AU"/>
              </w:rPr>
            </w:pP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r>
      <w:tr w:rsidR="00B958B1" w:rsidRPr="00B068A0" w:rsidTr="009F3B54">
        <w:trPr>
          <w:cantSplit/>
        </w:trPr>
        <w:tc>
          <w:tcPr>
            <w:tcW w:w="3154" w:type="dxa"/>
            <w:tcBorders>
              <w:top w:val="nil"/>
              <w:left w:val="nil"/>
              <w:bottom w:val="nil"/>
              <w:right w:val="nil"/>
            </w:tcBorders>
            <w:shd w:val="clear" w:color="000000" w:fill="FFFFFF"/>
            <w:hideMark/>
          </w:tcPr>
          <w:p w:rsidR="00B958B1" w:rsidRPr="00B068A0" w:rsidRDefault="00B958B1" w:rsidP="009F3B54">
            <w:pPr>
              <w:pStyle w:val="OGTabText"/>
              <w:rPr>
                <w:lang w:eastAsia="en-AU"/>
              </w:rPr>
            </w:pPr>
            <w:r w:rsidRPr="00B068A0">
              <w:rPr>
                <w:lang w:eastAsia="en-AU"/>
              </w:rPr>
              <w:t>Road vehicle and driver regulation: calls answered within 30 seconds in VicRoads call centres</w:t>
            </w:r>
          </w:p>
        </w:tc>
        <w:tc>
          <w:tcPr>
            <w:tcW w:w="907" w:type="dxa"/>
            <w:tcBorders>
              <w:top w:val="nil"/>
              <w:left w:val="nil"/>
              <w:bottom w:val="nil"/>
              <w:right w:val="nil"/>
            </w:tcBorders>
            <w:shd w:val="clear" w:color="000000" w:fill="FFFFFF"/>
            <w:hideMark/>
          </w:tcPr>
          <w:p w:rsidR="00B958B1" w:rsidRPr="00B068A0" w:rsidRDefault="00B958B1" w:rsidP="009F3B54">
            <w:pPr>
              <w:pStyle w:val="OGUoM"/>
              <w:rPr>
                <w:lang w:eastAsia="en-AU"/>
              </w:rPr>
            </w:pPr>
            <w:r>
              <w:rPr>
                <w:lang w:eastAsia="en-AU"/>
              </w:rPr>
              <w:t>per cent</w:t>
            </w:r>
          </w:p>
        </w:tc>
        <w:tc>
          <w:tcPr>
            <w:tcW w:w="907" w:type="dxa"/>
            <w:tcBorders>
              <w:top w:val="nil"/>
              <w:left w:val="nil"/>
              <w:bottom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na</w:t>
            </w:r>
          </w:p>
        </w:tc>
        <w:tc>
          <w:tcPr>
            <w:tcW w:w="994"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36</w:t>
            </w:r>
          </w:p>
        </w:tc>
        <w:tc>
          <w:tcPr>
            <w:tcW w:w="907"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80</w:t>
            </w:r>
          </w:p>
        </w:tc>
        <w:tc>
          <w:tcPr>
            <w:tcW w:w="907"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36</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B068A0">
              <w:t>This performance measure is proposed to be discontinued and replaced by the 2013</w:t>
            </w:r>
            <w:r w:rsidR="009F0F49">
              <w:noBreakHyphen/>
            </w:r>
            <w:r w:rsidRPr="00B068A0">
              <w:t xml:space="preserve">14 performance measure </w:t>
            </w:r>
            <w:r>
              <w:t>‘</w:t>
            </w:r>
            <w:r w:rsidRPr="00B068A0">
              <w:t>Road vehicle and driver regulation: average speed of calls answered in VicRoads call centres</w:t>
            </w:r>
            <w:r>
              <w:t>’</w:t>
            </w:r>
            <w:r w:rsidRPr="00B068A0">
              <w:t xml:space="preserve"> to provide an improved metric that is based on customer research and reflects the service performance required at VicRoads call centres. </w:t>
            </w:r>
          </w:p>
          <w:p w:rsidR="00B958B1" w:rsidRPr="00B068A0" w:rsidRDefault="00B958B1" w:rsidP="009F3B54">
            <w:pPr>
              <w:pStyle w:val="OGNotes"/>
            </w:pPr>
            <w:r w:rsidRPr="00B068A0">
              <w:t>The</w:t>
            </w:r>
            <w:r>
              <w:t xml:space="preserve"> </w:t>
            </w:r>
            <w:r w:rsidRPr="00B068A0">
              <w:t>2012</w:t>
            </w:r>
            <w:r w:rsidR="009F0F49">
              <w:noBreakHyphen/>
            </w:r>
            <w:r w:rsidRPr="00B068A0">
              <w:t xml:space="preserve">13 Expected Outcome </w:t>
            </w:r>
            <w:r>
              <w:t>is lower than the 2012</w:t>
            </w:r>
            <w:r w:rsidR="009F0F49">
              <w:noBreakHyphen/>
            </w:r>
            <w:r>
              <w:t>13 Target due to</w:t>
            </w:r>
            <w:r w:rsidRPr="00B068A0">
              <w:t xml:space="preserve"> the continuing increase in demand. The VicRoads call centres experienced 9</w:t>
            </w:r>
            <w:r>
              <w:t> per cent</w:t>
            </w:r>
            <w:r w:rsidRPr="00B068A0">
              <w:t xml:space="preserve"> more transactions in 2012</w:t>
            </w:r>
            <w:r w:rsidR="009F0F49">
              <w:noBreakHyphen/>
            </w:r>
            <w:r>
              <w:t>13 tha</w:t>
            </w:r>
            <w:r w:rsidRPr="00B068A0">
              <w:t>n in 2011</w:t>
            </w:r>
            <w:r w:rsidR="009F0F49">
              <w:noBreakHyphen/>
            </w:r>
            <w:r w:rsidRPr="00B068A0">
              <w:t>12.</w:t>
            </w:r>
          </w:p>
        </w:tc>
      </w:tr>
      <w:tr w:rsidR="00B958B1" w:rsidRPr="00B068A0" w:rsidTr="009F3B54">
        <w:trPr>
          <w:cantSplit/>
        </w:trPr>
        <w:tc>
          <w:tcPr>
            <w:tcW w:w="3154" w:type="dxa"/>
            <w:tcBorders>
              <w:top w:val="single" w:sz="6" w:space="0" w:color="auto"/>
              <w:left w:val="nil"/>
              <w:bottom w:val="nil"/>
              <w:right w:val="nil"/>
            </w:tcBorders>
            <w:shd w:val="clear" w:color="000000" w:fill="FFFFFF"/>
            <w:hideMark/>
          </w:tcPr>
          <w:p w:rsidR="00B958B1" w:rsidRPr="00B068A0" w:rsidRDefault="00B958B1" w:rsidP="009F3B54">
            <w:pPr>
              <w:pStyle w:val="OGTabText"/>
              <w:keepNext/>
              <w:rPr>
                <w:lang w:eastAsia="en-AU"/>
              </w:rPr>
            </w:pPr>
            <w:r w:rsidRPr="00B068A0">
              <w:rPr>
                <w:lang w:eastAsia="en-AU"/>
              </w:rPr>
              <w:t>Transport safety regulation: rail safety improvement notices addressed within specified timeframes by accredited rail operators</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UoM"/>
              <w:keepNext/>
              <w:rPr>
                <w:lang w:eastAsia="en-AU"/>
              </w:rPr>
            </w:pPr>
            <w:r>
              <w:rPr>
                <w:lang w:eastAsia="en-AU"/>
              </w:rPr>
              <w:t>per cent</w:t>
            </w:r>
          </w:p>
        </w:tc>
        <w:tc>
          <w:tcPr>
            <w:tcW w:w="907" w:type="dxa"/>
            <w:tcBorders>
              <w:top w:val="single" w:sz="6" w:space="0" w:color="auto"/>
              <w:left w:val="nil"/>
              <w:bottom w:val="nil"/>
              <w:right w:val="nil"/>
            </w:tcBorders>
            <w:shd w:val="clear" w:color="auto" w:fill="D9D9D9"/>
            <w:hideMark/>
          </w:tcPr>
          <w:p w:rsidR="00B958B1" w:rsidRPr="00B068A0" w:rsidRDefault="00B958B1" w:rsidP="009F3B54">
            <w:pPr>
              <w:pStyle w:val="OGTableofFigures"/>
              <w:keepNext/>
              <w:rPr>
                <w:lang w:eastAsia="en-AU"/>
              </w:rPr>
            </w:pPr>
            <w:r>
              <w:rPr>
                <w:lang w:eastAsia="en-AU"/>
              </w:rPr>
              <w:t>100</w:t>
            </w:r>
          </w:p>
        </w:tc>
        <w:tc>
          <w:tcPr>
            <w:tcW w:w="994"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keepNext/>
              <w:rPr>
                <w:lang w:eastAsia="en-AU"/>
              </w:rPr>
            </w:pPr>
            <w:r w:rsidRPr="00B068A0">
              <w:rPr>
                <w:lang w:eastAsia="en-AU"/>
              </w:rPr>
              <w:t>100</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keepNext/>
              <w:rPr>
                <w:lang w:eastAsia="en-AU"/>
              </w:rPr>
            </w:pPr>
            <w:r w:rsidRPr="00B068A0">
              <w:rPr>
                <w:lang w:eastAsia="en-AU"/>
              </w:rPr>
              <w:t>100</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keepNext/>
              <w:rPr>
                <w:lang w:eastAsia="en-AU"/>
              </w:rPr>
            </w:pPr>
            <w:r w:rsidRPr="00B068A0">
              <w:rPr>
                <w:lang w:eastAsia="en-AU"/>
              </w:rPr>
              <w:t>100</w:t>
            </w:r>
          </w:p>
        </w:tc>
      </w:tr>
      <w:tr w:rsidR="00B958B1" w:rsidRPr="00B068A0" w:rsidTr="009F3B54">
        <w:trPr>
          <w:cantSplit/>
        </w:trPr>
        <w:tc>
          <w:tcPr>
            <w:tcW w:w="7776" w:type="dxa"/>
            <w:gridSpan w:val="6"/>
            <w:tcBorders>
              <w:top w:val="nil"/>
              <w:left w:val="nil"/>
              <w:bottom w:val="single" w:sz="8" w:space="0" w:color="auto"/>
              <w:right w:val="nil"/>
            </w:tcBorders>
            <w:shd w:val="clear" w:color="auto" w:fill="auto"/>
            <w:vAlign w:val="bottom"/>
            <w:hideMark/>
          </w:tcPr>
          <w:p w:rsidR="00B958B1" w:rsidRPr="00B068A0" w:rsidRDefault="00B958B1" w:rsidP="009F3B54">
            <w:pPr>
              <w:pStyle w:val="OGNotes"/>
            </w:pPr>
            <w:r w:rsidRPr="00B068A0">
              <w:t>This performance measure is proposed to be discontinued as the primary activities of rail safety regulation are included in the 2013</w:t>
            </w:r>
            <w:r w:rsidR="009F0F49">
              <w:noBreakHyphen/>
            </w:r>
            <w:r w:rsidRPr="00B068A0">
              <w:t xml:space="preserve">14 performance measures </w:t>
            </w:r>
            <w:r>
              <w:t>‘</w:t>
            </w:r>
            <w:r w:rsidRPr="00B068A0">
              <w:t>Transport safety regulation: rail safety audits/compliance inspections conducted in accordance with legislative requirements</w:t>
            </w:r>
            <w:r>
              <w:t>’</w:t>
            </w:r>
            <w:r w:rsidRPr="00B068A0">
              <w:t xml:space="preserve"> and </w:t>
            </w:r>
            <w:r>
              <w:t>‘</w:t>
            </w:r>
            <w:r w:rsidRPr="00B068A0">
              <w:t>Transport safety regulation: applications for rail accreditation and variations to accreditation processed on time</w:t>
            </w:r>
            <w:r>
              <w:t>’</w:t>
            </w:r>
            <w:r w:rsidRPr="00B068A0">
              <w:t>.</w:t>
            </w:r>
          </w:p>
        </w:tc>
      </w:tr>
      <w:tr w:rsidR="00B958B1" w:rsidRPr="00B068A0" w:rsidTr="009F3B54">
        <w:trPr>
          <w:cantSplit/>
        </w:trPr>
        <w:tc>
          <w:tcPr>
            <w:tcW w:w="7776" w:type="dxa"/>
            <w:gridSpan w:val="6"/>
            <w:tcBorders>
              <w:top w:val="single" w:sz="8" w:space="0" w:color="auto"/>
              <w:left w:val="nil"/>
              <w:bottom w:val="nil"/>
              <w:right w:val="nil"/>
            </w:tcBorders>
            <w:shd w:val="clear" w:color="auto" w:fill="auto"/>
            <w:vAlign w:val="bottom"/>
            <w:hideMark/>
          </w:tcPr>
          <w:p w:rsidR="00B958B1" w:rsidRPr="00B068A0" w:rsidRDefault="00B958B1" w:rsidP="009F3B54">
            <w:pPr>
              <w:pStyle w:val="OGHeading2"/>
              <w:rPr>
                <w:lang w:eastAsia="en-AU"/>
              </w:rPr>
            </w:pPr>
            <w:r w:rsidRPr="00B068A0">
              <w:rPr>
                <w:lang w:eastAsia="en-AU"/>
              </w:rPr>
              <w:t>Transport Safety and Security Management</w:t>
            </w:r>
          </w:p>
        </w:tc>
      </w:tr>
      <w:tr w:rsidR="00B958B1" w:rsidRPr="00B068A0" w:rsidTr="009F3B54">
        <w:trPr>
          <w:cantSplit/>
        </w:trPr>
        <w:tc>
          <w:tcPr>
            <w:tcW w:w="3154" w:type="dxa"/>
            <w:tcBorders>
              <w:top w:val="single" w:sz="6" w:space="0" w:color="auto"/>
              <w:left w:val="nil"/>
              <w:bottom w:val="nil"/>
              <w:right w:val="nil"/>
            </w:tcBorders>
            <w:shd w:val="clear" w:color="auto" w:fill="auto"/>
            <w:vAlign w:val="bottom"/>
            <w:hideMark/>
          </w:tcPr>
          <w:p w:rsidR="00B958B1" w:rsidRPr="00B068A0" w:rsidRDefault="00B958B1" w:rsidP="009F3B54">
            <w:pPr>
              <w:pStyle w:val="OGTabHead"/>
              <w:rPr>
                <w:lang w:eastAsia="en-AU"/>
              </w:rPr>
            </w:pPr>
            <w:r w:rsidRPr="00B068A0">
              <w:rPr>
                <w:lang w:eastAsia="en-AU"/>
              </w:rPr>
              <w:t>Quantity</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lang w:eastAsia="en-AU"/>
              </w:rPr>
            </w:pP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r>
      <w:tr w:rsidR="00B958B1" w:rsidRPr="00B068A0" w:rsidTr="009F3B54">
        <w:trPr>
          <w:cantSplit/>
        </w:trPr>
        <w:tc>
          <w:tcPr>
            <w:tcW w:w="3154" w:type="dxa"/>
            <w:tcBorders>
              <w:top w:val="nil"/>
              <w:left w:val="nil"/>
              <w:bottom w:val="nil"/>
              <w:right w:val="nil"/>
            </w:tcBorders>
            <w:shd w:val="clear" w:color="000000" w:fill="FFFFFF"/>
            <w:hideMark/>
          </w:tcPr>
          <w:p w:rsidR="00B958B1" w:rsidRPr="00B068A0" w:rsidRDefault="00B958B1" w:rsidP="009F3B54">
            <w:pPr>
              <w:pStyle w:val="OGTabText"/>
              <w:rPr>
                <w:lang w:eastAsia="en-AU"/>
              </w:rPr>
            </w:pPr>
            <w:r w:rsidRPr="00B068A0">
              <w:rPr>
                <w:lang w:eastAsia="en-AU"/>
              </w:rPr>
              <w:t>Contribution to multi agency exercise management and coordinate Department of Transport portfolio involvement</w:t>
            </w:r>
          </w:p>
        </w:tc>
        <w:tc>
          <w:tcPr>
            <w:tcW w:w="907" w:type="dxa"/>
            <w:tcBorders>
              <w:top w:val="nil"/>
              <w:left w:val="nil"/>
              <w:bottom w:val="nil"/>
              <w:right w:val="nil"/>
            </w:tcBorders>
            <w:shd w:val="clear" w:color="000000" w:fill="FFFFFF"/>
            <w:hideMark/>
          </w:tcPr>
          <w:p w:rsidR="00B958B1" w:rsidRPr="00B068A0" w:rsidRDefault="00B958B1" w:rsidP="009F3B54">
            <w:pPr>
              <w:pStyle w:val="OGUoM"/>
              <w:rPr>
                <w:lang w:eastAsia="en-AU"/>
              </w:rPr>
            </w:pPr>
            <w:r w:rsidRPr="00B068A0">
              <w:rPr>
                <w:lang w:eastAsia="en-AU"/>
              </w:rPr>
              <w:t>number</w:t>
            </w:r>
          </w:p>
        </w:tc>
        <w:tc>
          <w:tcPr>
            <w:tcW w:w="907" w:type="dxa"/>
            <w:tcBorders>
              <w:top w:val="nil"/>
              <w:left w:val="nil"/>
              <w:bottom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4</w:t>
            </w:r>
          </w:p>
        </w:tc>
        <w:tc>
          <w:tcPr>
            <w:tcW w:w="994"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4</w:t>
            </w:r>
          </w:p>
        </w:tc>
        <w:tc>
          <w:tcPr>
            <w:tcW w:w="907"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4</w:t>
            </w:r>
          </w:p>
        </w:tc>
        <w:tc>
          <w:tcPr>
            <w:tcW w:w="907"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4</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B068A0" w:rsidRDefault="00B958B1" w:rsidP="009F3B54">
            <w:pPr>
              <w:pStyle w:val="OGNotes"/>
            </w:pPr>
            <w:r w:rsidRPr="00B068A0">
              <w:t>This performance measure is proposed to be discontinued and replaced by the 2013</w:t>
            </w:r>
            <w:r w:rsidR="009F0F49">
              <w:noBreakHyphen/>
            </w:r>
            <w:r w:rsidRPr="00B068A0">
              <w:t xml:space="preserve">14 performance measure </w:t>
            </w:r>
            <w:r>
              <w:t>‘</w:t>
            </w:r>
            <w:r w:rsidRPr="00B068A0">
              <w:t>Security and emergency management exercises coordinated or contributed to by the Department of Transport</w:t>
            </w:r>
            <w:r>
              <w:t>, Planning and Local Infrastructure’</w:t>
            </w:r>
            <w:r w:rsidRPr="00B068A0">
              <w:t xml:space="preserve"> to provide a more succinct description of the activities undertaken.</w:t>
            </w:r>
          </w:p>
        </w:tc>
      </w:tr>
      <w:tr w:rsidR="00B958B1" w:rsidRPr="00B068A0" w:rsidTr="009F3B54">
        <w:trPr>
          <w:cantSplit/>
        </w:trPr>
        <w:tc>
          <w:tcPr>
            <w:tcW w:w="3154" w:type="dxa"/>
            <w:tcBorders>
              <w:top w:val="single" w:sz="6" w:space="0" w:color="auto"/>
              <w:left w:val="nil"/>
              <w:bottom w:val="nil"/>
              <w:right w:val="nil"/>
            </w:tcBorders>
            <w:shd w:val="clear" w:color="000000" w:fill="FFFFFF"/>
            <w:hideMark/>
          </w:tcPr>
          <w:p w:rsidR="00B958B1" w:rsidRPr="00B068A0" w:rsidRDefault="00B958B1" w:rsidP="009F3B54">
            <w:pPr>
              <w:pStyle w:val="OGTabText"/>
              <w:rPr>
                <w:lang w:eastAsia="en-AU"/>
              </w:rPr>
            </w:pPr>
            <w:r w:rsidRPr="00B068A0">
              <w:rPr>
                <w:lang w:eastAsia="en-AU"/>
              </w:rPr>
              <w:t>Infrastructure security and emergency management exercises coordinated by Department of Transport consistent with the required standards</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UoM"/>
              <w:rPr>
                <w:lang w:eastAsia="en-AU"/>
              </w:rPr>
            </w:pPr>
            <w:r w:rsidRPr="00B068A0">
              <w:rPr>
                <w:lang w:eastAsia="en-AU"/>
              </w:rPr>
              <w:t>number</w:t>
            </w:r>
          </w:p>
        </w:tc>
        <w:tc>
          <w:tcPr>
            <w:tcW w:w="907" w:type="dxa"/>
            <w:tcBorders>
              <w:top w:val="single" w:sz="6" w:space="0" w:color="auto"/>
              <w:left w:val="nil"/>
              <w:bottom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4</w:t>
            </w:r>
          </w:p>
        </w:tc>
        <w:tc>
          <w:tcPr>
            <w:tcW w:w="994"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4</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4</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5</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B068A0" w:rsidRDefault="00B958B1" w:rsidP="009F3B54">
            <w:pPr>
              <w:pStyle w:val="OGNotes"/>
            </w:pPr>
            <w:r w:rsidRPr="00B068A0">
              <w:t>This performance measure is proposed to be discontinued and replaced by the 2013</w:t>
            </w:r>
            <w:r w:rsidR="009F0F49">
              <w:noBreakHyphen/>
            </w:r>
            <w:r w:rsidRPr="00B068A0">
              <w:t xml:space="preserve">14 performance measure </w:t>
            </w:r>
            <w:r>
              <w:t>‘</w:t>
            </w:r>
            <w:r w:rsidRPr="00B068A0">
              <w:t>Security and emergency management exercises coordinated or contributed to by the Department of Transport</w:t>
            </w:r>
            <w:r>
              <w:t>, Planning and Local Infrastructure’</w:t>
            </w:r>
            <w:r w:rsidRPr="00B068A0">
              <w:t xml:space="preserve"> to provide a more succinct description of the activities undertaken.</w:t>
            </w:r>
          </w:p>
        </w:tc>
      </w:tr>
      <w:tr w:rsidR="00B958B1" w:rsidRPr="00B068A0" w:rsidTr="009F3B54">
        <w:trPr>
          <w:cantSplit/>
        </w:trPr>
        <w:tc>
          <w:tcPr>
            <w:tcW w:w="3154" w:type="dxa"/>
            <w:tcBorders>
              <w:top w:val="single" w:sz="6" w:space="0" w:color="auto"/>
              <w:left w:val="nil"/>
              <w:bottom w:val="nil"/>
              <w:right w:val="nil"/>
            </w:tcBorders>
            <w:shd w:val="clear" w:color="auto" w:fill="auto"/>
            <w:vAlign w:val="bottom"/>
            <w:hideMark/>
          </w:tcPr>
          <w:p w:rsidR="00B958B1" w:rsidRPr="00B068A0" w:rsidRDefault="00B958B1" w:rsidP="009F3B54">
            <w:pPr>
              <w:pStyle w:val="OGTabHead"/>
              <w:rPr>
                <w:lang w:eastAsia="en-AU"/>
              </w:rPr>
            </w:pPr>
            <w:r w:rsidRPr="00B068A0">
              <w:rPr>
                <w:lang w:eastAsia="en-AU"/>
              </w:rPr>
              <w:t>Quality</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lang w:eastAsia="en-AU"/>
              </w:rPr>
            </w:pP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r>
      <w:tr w:rsidR="00B958B1" w:rsidRPr="00B068A0" w:rsidTr="009F3B54">
        <w:trPr>
          <w:cantSplit/>
        </w:trPr>
        <w:tc>
          <w:tcPr>
            <w:tcW w:w="3154" w:type="dxa"/>
            <w:tcBorders>
              <w:top w:val="nil"/>
              <w:left w:val="nil"/>
              <w:bottom w:val="nil"/>
              <w:right w:val="nil"/>
            </w:tcBorders>
            <w:shd w:val="clear" w:color="000000" w:fill="FFFFFF"/>
            <w:hideMark/>
          </w:tcPr>
          <w:p w:rsidR="00B958B1" w:rsidRPr="00B068A0" w:rsidRDefault="00B958B1" w:rsidP="009F3B54">
            <w:pPr>
              <w:pStyle w:val="OGTabText"/>
              <w:rPr>
                <w:lang w:eastAsia="en-AU"/>
              </w:rPr>
            </w:pPr>
            <w:r w:rsidRPr="00B068A0">
              <w:rPr>
                <w:lang w:eastAsia="en-AU"/>
              </w:rPr>
              <w:t>Implementation plans developed for agreed recommendations in response to infrastructure security and/or emergency management reviews</w:t>
            </w:r>
          </w:p>
        </w:tc>
        <w:tc>
          <w:tcPr>
            <w:tcW w:w="907" w:type="dxa"/>
            <w:tcBorders>
              <w:top w:val="nil"/>
              <w:left w:val="nil"/>
              <w:bottom w:val="nil"/>
              <w:right w:val="nil"/>
            </w:tcBorders>
            <w:shd w:val="clear" w:color="000000" w:fill="FFFFFF"/>
            <w:hideMark/>
          </w:tcPr>
          <w:p w:rsidR="00B958B1" w:rsidRPr="00B068A0" w:rsidRDefault="00B958B1" w:rsidP="009F3B54">
            <w:pPr>
              <w:pStyle w:val="OGUoM"/>
              <w:rPr>
                <w:lang w:eastAsia="en-AU"/>
              </w:rPr>
            </w:pPr>
            <w:r>
              <w:rPr>
                <w:lang w:eastAsia="en-AU"/>
              </w:rPr>
              <w:t>per cent</w:t>
            </w:r>
          </w:p>
        </w:tc>
        <w:tc>
          <w:tcPr>
            <w:tcW w:w="907" w:type="dxa"/>
            <w:tcBorders>
              <w:top w:val="nil"/>
              <w:left w:val="nil"/>
              <w:bottom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100</w:t>
            </w:r>
          </w:p>
        </w:tc>
        <w:tc>
          <w:tcPr>
            <w:tcW w:w="994"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B068A0" w:rsidRDefault="00B958B1" w:rsidP="009F3B54">
            <w:pPr>
              <w:pStyle w:val="OGNotes"/>
            </w:pPr>
            <w:r w:rsidRPr="00B068A0">
              <w:t>This performance measure is proposed to be discontinued and replaced by the 2013</w:t>
            </w:r>
            <w:r w:rsidR="009F0F49">
              <w:noBreakHyphen/>
            </w:r>
            <w:r w:rsidRPr="00B068A0">
              <w:t xml:space="preserve">14 performance measure </w:t>
            </w:r>
            <w:r>
              <w:t>‘</w:t>
            </w:r>
            <w:r w:rsidRPr="00B068A0">
              <w:t>Portfolio input to government response to infrastructure security and/or emergency management reviews provided within the required time</w:t>
            </w:r>
            <w:r>
              <w:t xml:space="preserve"> </w:t>
            </w:r>
            <w:r w:rsidRPr="00B068A0">
              <w:t>frames</w:t>
            </w:r>
            <w:r>
              <w:t>’</w:t>
            </w:r>
            <w:r w:rsidRPr="00B068A0">
              <w:t xml:space="preserve"> to more accurately reflect the activities undertaken.</w:t>
            </w:r>
          </w:p>
        </w:tc>
      </w:tr>
      <w:tr w:rsidR="00B958B1" w:rsidRPr="00B068A0" w:rsidTr="009F3B54">
        <w:trPr>
          <w:cantSplit/>
        </w:trPr>
        <w:tc>
          <w:tcPr>
            <w:tcW w:w="3154" w:type="dxa"/>
            <w:tcBorders>
              <w:top w:val="single" w:sz="6" w:space="0" w:color="auto"/>
              <w:left w:val="nil"/>
              <w:right w:val="nil"/>
            </w:tcBorders>
            <w:shd w:val="clear" w:color="000000" w:fill="FFFFFF"/>
            <w:hideMark/>
          </w:tcPr>
          <w:p w:rsidR="00B958B1" w:rsidRPr="00B068A0" w:rsidRDefault="00B958B1" w:rsidP="009F3B54">
            <w:pPr>
              <w:pStyle w:val="OGTabText"/>
              <w:rPr>
                <w:lang w:eastAsia="en-AU"/>
              </w:rPr>
            </w:pPr>
            <w:r w:rsidRPr="00B068A0">
              <w:rPr>
                <w:lang w:eastAsia="en-AU"/>
              </w:rPr>
              <w:t>Review of risk management plans of declared essential services for terrorism</w:t>
            </w:r>
          </w:p>
        </w:tc>
        <w:tc>
          <w:tcPr>
            <w:tcW w:w="907" w:type="dxa"/>
            <w:tcBorders>
              <w:top w:val="single" w:sz="6" w:space="0" w:color="auto"/>
              <w:left w:val="nil"/>
              <w:right w:val="nil"/>
            </w:tcBorders>
            <w:shd w:val="clear" w:color="000000" w:fill="FFFFFF"/>
            <w:hideMark/>
          </w:tcPr>
          <w:p w:rsidR="00B958B1" w:rsidRPr="00B068A0"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100</w:t>
            </w:r>
          </w:p>
        </w:tc>
        <w:tc>
          <w:tcPr>
            <w:tcW w:w="994" w:type="dxa"/>
            <w:tcBorders>
              <w:top w:val="single" w:sz="6" w:space="0" w:color="auto"/>
              <w:left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top w:val="single" w:sz="6" w:space="0" w:color="auto"/>
              <w:left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top w:val="single" w:sz="6" w:space="0" w:color="auto"/>
              <w:left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r>
      <w:tr w:rsidR="00B958B1" w:rsidRPr="00B068A0" w:rsidTr="009F3B54">
        <w:trPr>
          <w:cantSplit/>
        </w:trPr>
        <w:tc>
          <w:tcPr>
            <w:tcW w:w="7776" w:type="dxa"/>
            <w:gridSpan w:val="6"/>
            <w:tcBorders>
              <w:left w:val="nil"/>
              <w:bottom w:val="single" w:sz="6" w:space="0" w:color="auto"/>
              <w:right w:val="nil"/>
            </w:tcBorders>
            <w:shd w:val="clear" w:color="000000" w:fill="FFFFFF"/>
          </w:tcPr>
          <w:p w:rsidR="00B958B1" w:rsidRPr="00B068A0" w:rsidRDefault="00B958B1" w:rsidP="009F3B54">
            <w:pPr>
              <w:pStyle w:val="OGNotes"/>
            </w:pPr>
            <w:r>
              <w:t>This performance measure is proposed to be discontinued and replaced by the 2013</w:t>
            </w:r>
            <w:r w:rsidR="009F0F49">
              <w:noBreakHyphen/>
            </w:r>
            <w:r>
              <w:t xml:space="preserve">14 performance measure ‘Review of risk management plans of declared essential services and supervision of exercises to test the plans against the prescribed standards in the </w:t>
            </w:r>
            <w:r w:rsidRPr="00824CE9">
              <w:rPr>
                <w:i w:val="0"/>
              </w:rPr>
              <w:t>Terrorism (Community Protection) Act 2003</w:t>
            </w:r>
            <w:r>
              <w:t xml:space="preserve"> to provide a more succinct description of the activities undertaken.</w:t>
            </w:r>
          </w:p>
        </w:tc>
      </w:tr>
      <w:tr w:rsidR="00B958B1" w:rsidRPr="00B068A0" w:rsidTr="009F3B54">
        <w:trPr>
          <w:cantSplit/>
        </w:trPr>
        <w:tc>
          <w:tcPr>
            <w:tcW w:w="3154" w:type="dxa"/>
            <w:tcBorders>
              <w:top w:val="single" w:sz="6" w:space="0" w:color="auto"/>
              <w:left w:val="nil"/>
              <w:bottom w:val="nil"/>
              <w:right w:val="nil"/>
            </w:tcBorders>
            <w:shd w:val="clear" w:color="000000" w:fill="FFFFFF"/>
            <w:hideMark/>
          </w:tcPr>
          <w:p w:rsidR="00B958B1" w:rsidRPr="00B068A0" w:rsidRDefault="00B958B1" w:rsidP="009F3B54">
            <w:pPr>
              <w:pStyle w:val="OGTabText"/>
              <w:rPr>
                <w:lang w:eastAsia="en-AU"/>
              </w:rPr>
            </w:pPr>
            <w:r w:rsidRPr="00B068A0">
              <w:rPr>
                <w:lang w:eastAsia="en-AU"/>
              </w:rPr>
              <w:t>Supervision of exercises to test declared essential services risk management plans for terrorism</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UoM"/>
              <w:rPr>
                <w:lang w:eastAsia="en-AU"/>
              </w:rPr>
            </w:pPr>
            <w:r>
              <w:rPr>
                <w:lang w:eastAsia="en-AU"/>
              </w:rPr>
              <w:t>per cent</w:t>
            </w:r>
          </w:p>
        </w:tc>
        <w:tc>
          <w:tcPr>
            <w:tcW w:w="907" w:type="dxa"/>
            <w:tcBorders>
              <w:top w:val="single" w:sz="6" w:space="0" w:color="auto"/>
              <w:left w:val="nil"/>
              <w:bottom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100</w:t>
            </w:r>
          </w:p>
        </w:tc>
        <w:tc>
          <w:tcPr>
            <w:tcW w:w="994"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B068A0" w:rsidRDefault="00B958B1" w:rsidP="009F3B54">
            <w:pPr>
              <w:pStyle w:val="OGNotes"/>
            </w:pPr>
            <w:r w:rsidRPr="00B068A0">
              <w:t>This performance measure is proposed to be discontinued and replaced by the 2013</w:t>
            </w:r>
            <w:r w:rsidR="009F0F49">
              <w:noBreakHyphen/>
            </w:r>
            <w:r w:rsidRPr="00B068A0">
              <w:t xml:space="preserve">14 performance measure </w:t>
            </w:r>
            <w:r>
              <w:t>‘</w:t>
            </w:r>
            <w:r w:rsidRPr="00B068A0">
              <w:t xml:space="preserve">Review of risk management plans of declared essential services and supervision of exercises to test the plans against the prescribed standards in the </w:t>
            </w:r>
            <w:r w:rsidRPr="009F0E02">
              <w:rPr>
                <w:i w:val="0"/>
              </w:rPr>
              <w:t>Terrorism (Community Protection) Act 2003</w:t>
            </w:r>
            <w:r w:rsidRPr="00B068A0">
              <w:t xml:space="preserve"> to provide a more succinct description of the activities undertaken.</w:t>
            </w:r>
          </w:p>
        </w:tc>
      </w:tr>
      <w:tr w:rsidR="00B958B1" w:rsidRPr="00B068A0" w:rsidTr="009F3B54">
        <w:trPr>
          <w:cantSplit/>
        </w:trPr>
        <w:tc>
          <w:tcPr>
            <w:tcW w:w="3154" w:type="dxa"/>
            <w:tcBorders>
              <w:top w:val="single" w:sz="6" w:space="0" w:color="auto"/>
              <w:left w:val="nil"/>
              <w:bottom w:val="nil"/>
              <w:right w:val="nil"/>
            </w:tcBorders>
            <w:shd w:val="clear" w:color="auto" w:fill="auto"/>
            <w:vAlign w:val="bottom"/>
            <w:hideMark/>
          </w:tcPr>
          <w:p w:rsidR="00B958B1" w:rsidRPr="00B068A0" w:rsidRDefault="00B958B1" w:rsidP="009F3B54">
            <w:pPr>
              <w:pStyle w:val="OGTabHead"/>
              <w:rPr>
                <w:lang w:eastAsia="en-AU"/>
              </w:rPr>
            </w:pPr>
            <w:r w:rsidRPr="00B068A0">
              <w:rPr>
                <w:lang w:eastAsia="en-AU"/>
              </w:rPr>
              <w:t>Timeliness</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lang w:eastAsia="en-AU"/>
              </w:rPr>
            </w:pP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r>
      <w:tr w:rsidR="00B958B1" w:rsidRPr="00B068A0" w:rsidTr="009F3B54">
        <w:trPr>
          <w:cantSplit/>
        </w:trPr>
        <w:tc>
          <w:tcPr>
            <w:tcW w:w="3154" w:type="dxa"/>
            <w:tcBorders>
              <w:top w:val="nil"/>
              <w:left w:val="nil"/>
              <w:right w:val="nil"/>
            </w:tcBorders>
            <w:shd w:val="clear" w:color="000000" w:fill="FFFFFF"/>
            <w:hideMark/>
          </w:tcPr>
          <w:p w:rsidR="00B958B1" w:rsidRPr="00B068A0" w:rsidRDefault="00B958B1" w:rsidP="009F3B54">
            <w:pPr>
              <w:pStyle w:val="OGTabText"/>
              <w:rPr>
                <w:lang w:eastAsia="en-AU"/>
              </w:rPr>
            </w:pPr>
            <w:r w:rsidRPr="00B068A0">
              <w:rPr>
                <w:lang w:eastAsia="en-AU"/>
              </w:rPr>
              <w:t>Provide advice to the portfolio ministers on security and emergency management policy issues within required timeframes</w:t>
            </w:r>
          </w:p>
        </w:tc>
        <w:tc>
          <w:tcPr>
            <w:tcW w:w="907" w:type="dxa"/>
            <w:tcBorders>
              <w:top w:val="nil"/>
              <w:left w:val="nil"/>
              <w:right w:val="nil"/>
            </w:tcBorders>
            <w:shd w:val="clear" w:color="000000" w:fill="FFFFFF"/>
            <w:hideMark/>
          </w:tcPr>
          <w:p w:rsidR="00B958B1" w:rsidRPr="00B068A0" w:rsidRDefault="00B958B1" w:rsidP="009F3B54">
            <w:pPr>
              <w:pStyle w:val="OGUoM"/>
              <w:rPr>
                <w:lang w:eastAsia="en-AU"/>
              </w:rPr>
            </w:pPr>
            <w:r>
              <w:rPr>
                <w:lang w:eastAsia="en-AU"/>
              </w:rPr>
              <w:t>per cent</w:t>
            </w:r>
          </w:p>
        </w:tc>
        <w:tc>
          <w:tcPr>
            <w:tcW w:w="907" w:type="dxa"/>
            <w:tcBorders>
              <w:top w:val="nil"/>
              <w:left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100</w:t>
            </w:r>
          </w:p>
        </w:tc>
        <w:tc>
          <w:tcPr>
            <w:tcW w:w="994" w:type="dxa"/>
            <w:tcBorders>
              <w:top w:val="nil"/>
              <w:left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top w:val="nil"/>
              <w:left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top w:val="nil"/>
              <w:left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r>
      <w:tr w:rsidR="00B958B1" w:rsidRPr="00B068A0" w:rsidTr="009F3B54">
        <w:trPr>
          <w:cantSplit/>
        </w:trPr>
        <w:tc>
          <w:tcPr>
            <w:tcW w:w="7776" w:type="dxa"/>
            <w:gridSpan w:val="6"/>
            <w:tcBorders>
              <w:top w:val="nil"/>
              <w:left w:val="nil"/>
              <w:bottom w:val="single" w:sz="4" w:space="0" w:color="auto"/>
              <w:right w:val="nil"/>
            </w:tcBorders>
            <w:shd w:val="clear" w:color="auto" w:fill="auto"/>
            <w:vAlign w:val="bottom"/>
            <w:hideMark/>
          </w:tcPr>
          <w:p w:rsidR="00B958B1" w:rsidRPr="00B068A0" w:rsidRDefault="00B958B1" w:rsidP="009F3B54">
            <w:pPr>
              <w:pStyle w:val="OGNotes"/>
            </w:pPr>
            <w:r w:rsidRPr="00B068A0">
              <w:t>This performance measure is proposed to be discontinued as the key activities are reflected in other security and emergency management performance measures in this output</w:t>
            </w:r>
            <w:r>
              <w:t>.</w:t>
            </w:r>
          </w:p>
        </w:tc>
      </w:tr>
      <w:tr w:rsidR="00B958B1" w:rsidRPr="00B068A0" w:rsidTr="009F3B54">
        <w:trPr>
          <w:cantSplit/>
        </w:trPr>
        <w:tc>
          <w:tcPr>
            <w:tcW w:w="7776" w:type="dxa"/>
            <w:gridSpan w:val="6"/>
            <w:tcBorders>
              <w:top w:val="nil"/>
              <w:left w:val="nil"/>
              <w:bottom w:val="single" w:sz="4" w:space="0" w:color="auto"/>
              <w:right w:val="nil"/>
            </w:tcBorders>
            <w:shd w:val="clear" w:color="auto" w:fill="auto"/>
            <w:vAlign w:val="bottom"/>
          </w:tcPr>
          <w:p w:rsidR="00B958B1" w:rsidRPr="00B068A0" w:rsidRDefault="00B958B1" w:rsidP="009F3B54">
            <w:pPr>
              <w:pStyle w:val="OGHeading2"/>
            </w:pPr>
            <w:r w:rsidRPr="00F12A14">
              <w:rPr>
                <w:lang w:eastAsia="en-AU"/>
              </w:rPr>
              <w:t>Statewide Transport Services</w:t>
            </w:r>
          </w:p>
        </w:tc>
      </w:tr>
      <w:tr w:rsidR="00B958B1" w:rsidRPr="00B068A0" w:rsidTr="009F3B54">
        <w:trPr>
          <w:cantSplit/>
        </w:trPr>
        <w:tc>
          <w:tcPr>
            <w:tcW w:w="7776" w:type="dxa"/>
            <w:gridSpan w:val="6"/>
            <w:tcBorders>
              <w:top w:val="single" w:sz="4" w:space="0" w:color="auto"/>
              <w:left w:val="nil"/>
              <w:right w:val="nil"/>
            </w:tcBorders>
            <w:shd w:val="clear" w:color="auto" w:fill="auto"/>
            <w:vAlign w:val="bottom"/>
          </w:tcPr>
          <w:p w:rsidR="00B958B1" w:rsidRPr="00F12A14" w:rsidRDefault="00B958B1" w:rsidP="009F3B54">
            <w:pPr>
              <w:pStyle w:val="OGTabHead"/>
              <w:rPr>
                <w:lang w:eastAsia="en-AU"/>
              </w:rPr>
            </w:pPr>
            <w:r w:rsidRPr="00B068A0">
              <w:rPr>
                <w:lang w:eastAsia="en-AU"/>
              </w:rPr>
              <w:t>Timeliness</w:t>
            </w:r>
          </w:p>
        </w:tc>
      </w:tr>
      <w:tr w:rsidR="00B958B1" w:rsidRPr="00B068A0" w:rsidTr="009F3B54">
        <w:trPr>
          <w:cantSplit/>
        </w:trPr>
        <w:tc>
          <w:tcPr>
            <w:tcW w:w="3154" w:type="dxa"/>
            <w:tcBorders>
              <w:left w:val="nil"/>
              <w:right w:val="nil"/>
            </w:tcBorders>
            <w:shd w:val="clear" w:color="000000" w:fill="FFFFFF"/>
          </w:tcPr>
          <w:p w:rsidR="00B958B1" w:rsidRPr="00B068A0" w:rsidRDefault="00B958B1" w:rsidP="009F3B54">
            <w:pPr>
              <w:pStyle w:val="OGTabText"/>
              <w:rPr>
                <w:lang w:eastAsia="en-AU"/>
              </w:rPr>
            </w:pPr>
            <w:r w:rsidRPr="00F12A14">
              <w:rPr>
                <w:lang w:eastAsia="en-AU"/>
              </w:rPr>
              <w:t>Service punctuality for school bus services</w:t>
            </w:r>
          </w:p>
        </w:tc>
        <w:tc>
          <w:tcPr>
            <w:tcW w:w="907" w:type="dxa"/>
            <w:tcBorders>
              <w:left w:val="nil"/>
              <w:right w:val="nil"/>
            </w:tcBorders>
            <w:shd w:val="clear" w:color="000000" w:fill="FFFFFF"/>
          </w:tcPr>
          <w:p w:rsidR="00B958B1" w:rsidRDefault="00B958B1" w:rsidP="009F3B54">
            <w:pPr>
              <w:pStyle w:val="OGUoM"/>
              <w:rPr>
                <w:lang w:eastAsia="en-AU"/>
              </w:rPr>
            </w:pPr>
            <w:r>
              <w:rPr>
                <w:lang w:eastAsia="en-AU"/>
              </w:rPr>
              <w:t>per cent</w:t>
            </w:r>
          </w:p>
        </w:tc>
        <w:tc>
          <w:tcPr>
            <w:tcW w:w="907" w:type="dxa"/>
            <w:tcBorders>
              <w:left w:val="nil"/>
              <w:right w:val="nil"/>
            </w:tcBorders>
            <w:shd w:val="clear" w:color="auto" w:fill="D9D9D9"/>
          </w:tcPr>
          <w:p w:rsidR="00B958B1" w:rsidRPr="00B068A0" w:rsidRDefault="00B958B1" w:rsidP="009F3B54">
            <w:pPr>
              <w:pStyle w:val="OGTableofFigures"/>
              <w:rPr>
                <w:lang w:eastAsia="en-AU"/>
              </w:rPr>
            </w:pPr>
            <w:r>
              <w:rPr>
                <w:lang w:eastAsia="en-AU"/>
              </w:rPr>
              <w:t>na</w:t>
            </w:r>
          </w:p>
        </w:tc>
        <w:tc>
          <w:tcPr>
            <w:tcW w:w="994" w:type="dxa"/>
            <w:tcBorders>
              <w:left w:val="nil"/>
              <w:right w:val="nil"/>
            </w:tcBorders>
            <w:shd w:val="clear" w:color="000000" w:fill="FFFFFF"/>
          </w:tcPr>
          <w:p w:rsidR="00B958B1" w:rsidRPr="00B068A0" w:rsidRDefault="00B958B1" w:rsidP="009F3B54">
            <w:pPr>
              <w:pStyle w:val="OGTableofFigures"/>
              <w:rPr>
                <w:lang w:eastAsia="en-AU"/>
              </w:rPr>
            </w:pPr>
            <w:r>
              <w:rPr>
                <w:lang w:eastAsia="en-AU"/>
              </w:rPr>
              <w:t>99.0</w:t>
            </w:r>
          </w:p>
        </w:tc>
        <w:tc>
          <w:tcPr>
            <w:tcW w:w="907" w:type="dxa"/>
            <w:tcBorders>
              <w:left w:val="nil"/>
              <w:right w:val="nil"/>
            </w:tcBorders>
            <w:shd w:val="clear" w:color="000000" w:fill="FFFFFF"/>
          </w:tcPr>
          <w:p w:rsidR="00B958B1" w:rsidRPr="00B068A0" w:rsidRDefault="00B958B1" w:rsidP="009F3B54">
            <w:pPr>
              <w:pStyle w:val="OGTableofFigures"/>
              <w:rPr>
                <w:lang w:eastAsia="en-AU"/>
              </w:rPr>
            </w:pPr>
            <w:r>
              <w:rPr>
                <w:lang w:eastAsia="en-AU"/>
              </w:rPr>
              <w:t>99.0</w:t>
            </w:r>
          </w:p>
        </w:tc>
        <w:tc>
          <w:tcPr>
            <w:tcW w:w="907" w:type="dxa"/>
            <w:tcBorders>
              <w:left w:val="nil"/>
              <w:right w:val="nil"/>
            </w:tcBorders>
            <w:shd w:val="clear" w:color="000000" w:fill="FFFFFF"/>
          </w:tcPr>
          <w:p w:rsidR="00B958B1" w:rsidRPr="00B068A0" w:rsidRDefault="00B958B1" w:rsidP="009F3B54">
            <w:pPr>
              <w:pStyle w:val="OGTableofFigures"/>
              <w:rPr>
                <w:lang w:eastAsia="en-AU"/>
              </w:rPr>
            </w:pPr>
            <w:r>
              <w:rPr>
                <w:lang w:eastAsia="en-AU"/>
              </w:rPr>
              <w:t>99.5</w:t>
            </w:r>
          </w:p>
        </w:tc>
      </w:tr>
      <w:tr w:rsidR="00B958B1" w:rsidRPr="00B068A0" w:rsidTr="009F3B54">
        <w:trPr>
          <w:cantSplit/>
        </w:trPr>
        <w:tc>
          <w:tcPr>
            <w:tcW w:w="7776" w:type="dxa"/>
            <w:gridSpan w:val="6"/>
            <w:tcBorders>
              <w:top w:val="nil"/>
              <w:left w:val="nil"/>
              <w:bottom w:val="single" w:sz="4" w:space="0" w:color="auto"/>
              <w:right w:val="nil"/>
            </w:tcBorders>
            <w:shd w:val="clear" w:color="auto" w:fill="auto"/>
            <w:vAlign w:val="bottom"/>
          </w:tcPr>
          <w:p w:rsidR="00B958B1" w:rsidRPr="00B068A0" w:rsidRDefault="00B958B1" w:rsidP="009F3B54">
            <w:pPr>
              <w:pStyle w:val="OGNotes"/>
            </w:pPr>
            <w:r w:rsidRPr="00F12A14">
              <w:t>This performance measure is proposed to be discontinued as the output of school bus se</w:t>
            </w:r>
            <w:r>
              <w:t>rvices is reflected in the 2013</w:t>
            </w:r>
            <w:r w:rsidR="009F0F49">
              <w:noBreakHyphen/>
            </w:r>
            <w:r w:rsidRPr="00F12A14">
              <w:t>14 performance measure ‘Scheduled services delivered: school bus’. Measuring punctuality is not a requirement of the current (2010) school bus service contracts and it cannot be conducted in a comprehensive and cost efficient manner.</w:t>
            </w:r>
          </w:p>
        </w:tc>
      </w:tr>
      <w:tr w:rsidR="00B958B1" w:rsidRPr="00B068A0" w:rsidTr="009F3B54">
        <w:trPr>
          <w:cantSplit/>
        </w:trPr>
        <w:tc>
          <w:tcPr>
            <w:tcW w:w="7776" w:type="dxa"/>
            <w:gridSpan w:val="6"/>
            <w:tcBorders>
              <w:top w:val="single" w:sz="4" w:space="0" w:color="auto"/>
              <w:left w:val="nil"/>
              <w:bottom w:val="single" w:sz="6" w:space="0" w:color="auto"/>
              <w:right w:val="nil"/>
            </w:tcBorders>
            <w:shd w:val="clear" w:color="auto" w:fill="auto"/>
            <w:vAlign w:val="center"/>
            <w:hideMark/>
          </w:tcPr>
          <w:p w:rsidR="00B958B1" w:rsidRPr="003B3916" w:rsidRDefault="00B958B1" w:rsidP="009F3B54">
            <w:pPr>
              <w:pStyle w:val="OGHeading2"/>
            </w:pPr>
            <w:r w:rsidRPr="003B3916">
              <w:rPr>
                <w:lang w:eastAsia="en-AU"/>
              </w:rPr>
              <w:t xml:space="preserve">Integrated Transport </w:t>
            </w:r>
            <w:r>
              <w:rPr>
                <w:lang w:eastAsia="en-AU"/>
              </w:rPr>
              <w:t xml:space="preserve">System </w:t>
            </w:r>
            <w:r w:rsidRPr="003B3916">
              <w:rPr>
                <w:lang w:eastAsia="en-AU"/>
              </w:rPr>
              <w:t xml:space="preserve">Planning </w:t>
            </w:r>
          </w:p>
        </w:tc>
      </w:tr>
      <w:tr w:rsidR="00B958B1" w:rsidRPr="00B068A0" w:rsidTr="009F3B54">
        <w:trPr>
          <w:cantSplit/>
        </w:trPr>
        <w:tc>
          <w:tcPr>
            <w:tcW w:w="3154" w:type="dxa"/>
            <w:tcBorders>
              <w:top w:val="single" w:sz="6" w:space="0" w:color="auto"/>
              <w:left w:val="nil"/>
              <w:bottom w:val="nil"/>
              <w:right w:val="nil"/>
            </w:tcBorders>
            <w:shd w:val="clear" w:color="auto" w:fill="auto"/>
            <w:vAlign w:val="center"/>
            <w:hideMark/>
          </w:tcPr>
          <w:p w:rsidR="00B958B1" w:rsidRPr="00B068A0" w:rsidRDefault="00B958B1" w:rsidP="009F3B54">
            <w:pPr>
              <w:pStyle w:val="OGTabHead"/>
              <w:rPr>
                <w:lang w:eastAsia="en-AU"/>
              </w:rPr>
            </w:pPr>
            <w:r w:rsidRPr="00B068A0">
              <w:rPr>
                <w:lang w:eastAsia="en-AU"/>
              </w:rPr>
              <w:t>Quantity</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szCs w:val="22"/>
                <w:lang w:eastAsia="en-AU"/>
              </w:rPr>
            </w:pP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szCs w:val="22"/>
                <w:lang w:eastAsia="en-AU"/>
              </w:rPr>
            </w:pP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p>
        </w:tc>
      </w:tr>
      <w:tr w:rsidR="00B958B1" w:rsidRPr="00B068A0" w:rsidTr="009F3B54">
        <w:trPr>
          <w:cantSplit/>
        </w:trPr>
        <w:tc>
          <w:tcPr>
            <w:tcW w:w="3154" w:type="dxa"/>
            <w:tcBorders>
              <w:top w:val="nil"/>
              <w:left w:val="nil"/>
              <w:bottom w:val="nil"/>
              <w:right w:val="nil"/>
            </w:tcBorders>
            <w:shd w:val="clear" w:color="auto" w:fill="auto"/>
            <w:vAlign w:val="center"/>
            <w:hideMark/>
          </w:tcPr>
          <w:p w:rsidR="00B958B1" w:rsidRPr="00B068A0" w:rsidRDefault="00B958B1" w:rsidP="009F3B54">
            <w:pPr>
              <w:pStyle w:val="OGTabText"/>
              <w:rPr>
                <w:szCs w:val="22"/>
                <w:lang w:eastAsia="en-AU"/>
              </w:rPr>
            </w:pPr>
            <w:r w:rsidRPr="00B068A0">
              <w:rPr>
                <w:szCs w:val="22"/>
                <w:lang w:eastAsia="en-AU"/>
              </w:rPr>
              <w:t>East West Link: planning and development progressed</w:t>
            </w:r>
          </w:p>
        </w:tc>
        <w:tc>
          <w:tcPr>
            <w:tcW w:w="907" w:type="dxa"/>
            <w:tcBorders>
              <w:top w:val="nil"/>
              <w:left w:val="nil"/>
              <w:bottom w:val="nil"/>
              <w:right w:val="nil"/>
            </w:tcBorders>
            <w:shd w:val="clear" w:color="auto" w:fill="auto"/>
            <w:noWrap/>
            <w:hideMark/>
          </w:tcPr>
          <w:p w:rsidR="00B958B1" w:rsidRPr="00B068A0" w:rsidRDefault="00B958B1" w:rsidP="009F3B54">
            <w:pPr>
              <w:pStyle w:val="OGUoM"/>
              <w:rPr>
                <w:szCs w:val="22"/>
                <w:lang w:eastAsia="en-AU"/>
              </w:rPr>
            </w:pPr>
            <w:r w:rsidRPr="00B068A0">
              <w:rPr>
                <w:szCs w:val="22"/>
                <w:lang w:eastAsia="en-AU"/>
              </w:rPr>
              <w:t>number</w:t>
            </w:r>
          </w:p>
        </w:tc>
        <w:tc>
          <w:tcPr>
            <w:tcW w:w="907" w:type="dxa"/>
            <w:tcBorders>
              <w:top w:val="nil"/>
              <w:left w:val="nil"/>
              <w:bottom w:val="nil"/>
              <w:right w:val="nil"/>
            </w:tcBorders>
            <w:shd w:val="clear" w:color="auto" w:fill="D9D9D9"/>
            <w:noWrap/>
            <w:hideMark/>
          </w:tcPr>
          <w:p w:rsidR="00B958B1" w:rsidRPr="00B068A0" w:rsidRDefault="00B958B1" w:rsidP="009F3B54">
            <w:pPr>
              <w:pStyle w:val="OGTableofFigures"/>
              <w:rPr>
                <w:szCs w:val="22"/>
                <w:lang w:eastAsia="en-AU"/>
              </w:rPr>
            </w:pPr>
            <w:r w:rsidRPr="00B068A0">
              <w:rPr>
                <w:szCs w:val="22"/>
                <w:lang w:eastAsia="en-AU"/>
              </w:rPr>
              <w:t>1</w:t>
            </w:r>
          </w:p>
        </w:tc>
        <w:tc>
          <w:tcPr>
            <w:tcW w:w="994" w:type="dxa"/>
            <w:tcBorders>
              <w:top w:val="nil"/>
              <w:left w:val="nil"/>
              <w:bottom w:val="nil"/>
              <w:right w:val="nil"/>
            </w:tcBorders>
            <w:shd w:val="clear" w:color="auto" w:fill="auto"/>
            <w:noWrap/>
            <w:hideMark/>
          </w:tcPr>
          <w:p w:rsidR="00B958B1" w:rsidRPr="00B068A0" w:rsidRDefault="00B958B1" w:rsidP="009F3B54">
            <w:pPr>
              <w:pStyle w:val="OGTableofFigures"/>
              <w:rPr>
                <w:szCs w:val="22"/>
                <w:lang w:eastAsia="en-AU"/>
              </w:rPr>
            </w:pPr>
            <w:r>
              <w:rPr>
                <w:szCs w:val="22"/>
                <w:lang w:eastAsia="en-AU"/>
              </w:rPr>
              <w:t>1</w:t>
            </w:r>
          </w:p>
        </w:tc>
        <w:tc>
          <w:tcPr>
            <w:tcW w:w="907" w:type="dxa"/>
            <w:tcBorders>
              <w:top w:val="nil"/>
              <w:left w:val="nil"/>
              <w:bottom w:val="nil"/>
              <w:right w:val="nil"/>
            </w:tcBorders>
            <w:shd w:val="clear" w:color="auto" w:fill="auto"/>
            <w:noWrap/>
            <w:hideMark/>
          </w:tcPr>
          <w:p w:rsidR="00B958B1" w:rsidRPr="00B068A0" w:rsidRDefault="00B958B1" w:rsidP="009F3B54">
            <w:pPr>
              <w:pStyle w:val="OGTableofFigures"/>
              <w:rPr>
                <w:szCs w:val="22"/>
                <w:lang w:eastAsia="en-AU"/>
              </w:rPr>
            </w:pPr>
            <w:r>
              <w:rPr>
                <w:szCs w:val="22"/>
                <w:lang w:eastAsia="en-AU"/>
              </w:rPr>
              <w:t>1</w:t>
            </w:r>
          </w:p>
        </w:tc>
        <w:tc>
          <w:tcPr>
            <w:tcW w:w="907" w:type="dxa"/>
            <w:tcBorders>
              <w:top w:val="nil"/>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nm</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center"/>
            <w:hideMark/>
          </w:tcPr>
          <w:p w:rsidR="00B958B1" w:rsidRPr="00B068A0" w:rsidRDefault="00B958B1" w:rsidP="009F3B54">
            <w:pPr>
              <w:pStyle w:val="OGNotes"/>
              <w:rPr>
                <w:iCs/>
                <w:sz w:val="16"/>
                <w:szCs w:val="16"/>
              </w:rPr>
            </w:pPr>
            <w:r w:rsidRPr="00B068A0">
              <w:t>This performance measure is proposed to be discontinued and replaced by the 2013</w:t>
            </w:r>
            <w:r w:rsidR="009F0F49">
              <w:noBreakHyphen/>
            </w:r>
            <w:r w:rsidRPr="00B068A0">
              <w:t xml:space="preserve">14 performance measure </w:t>
            </w:r>
            <w:r>
              <w:t>‘</w:t>
            </w:r>
            <w:r w:rsidRPr="00B068A0">
              <w:t>Planning projects for major transport infrastructure requiring Commonwealth funding</w:t>
            </w:r>
            <w:r>
              <w:t>’</w:t>
            </w:r>
            <w:r w:rsidRPr="00B068A0">
              <w:t xml:space="preserve"> to provide a more integrated representation of planning activities undertaken by the department together with the Commonwealth.</w:t>
            </w:r>
          </w:p>
        </w:tc>
      </w:tr>
      <w:tr w:rsidR="00B958B1" w:rsidRPr="00B068A0" w:rsidTr="009F3B54">
        <w:trPr>
          <w:cantSplit/>
        </w:trPr>
        <w:tc>
          <w:tcPr>
            <w:tcW w:w="3154" w:type="dxa"/>
            <w:tcBorders>
              <w:top w:val="single" w:sz="6" w:space="0" w:color="auto"/>
              <w:left w:val="nil"/>
              <w:bottom w:val="nil"/>
              <w:right w:val="nil"/>
            </w:tcBorders>
            <w:shd w:val="clear" w:color="auto" w:fill="auto"/>
            <w:vAlign w:val="center"/>
            <w:hideMark/>
          </w:tcPr>
          <w:p w:rsidR="00B958B1" w:rsidRPr="00B068A0" w:rsidRDefault="00B958B1" w:rsidP="009F3B54">
            <w:pPr>
              <w:pStyle w:val="OGTabText"/>
              <w:rPr>
                <w:szCs w:val="22"/>
                <w:lang w:eastAsia="en-AU"/>
              </w:rPr>
            </w:pPr>
            <w:r w:rsidRPr="00B068A0">
              <w:rPr>
                <w:szCs w:val="22"/>
                <w:lang w:eastAsia="en-AU"/>
              </w:rPr>
              <w:t>Public transport planning and development: feasibility studies continuing</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szCs w:val="22"/>
                <w:lang w:eastAsia="en-AU"/>
              </w:rPr>
            </w:pPr>
            <w:r w:rsidRPr="00B068A0">
              <w:rPr>
                <w:szCs w:val="22"/>
                <w:lang w:eastAsia="en-AU"/>
              </w:rPr>
              <w:t>number</w:t>
            </w: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szCs w:val="22"/>
                <w:lang w:eastAsia="en-AU"/>
              </w:rPr>
            </w:pPr>
            <w:r w:rsidRPr="00B068A0">
              <w:rPr>
                <w:szCs w:val="22"/>
                <w:lang w:eastAsia="en-AU"/>
              </w:rPr>
              <w:t>na</w:t>
            </w: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3</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3</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nm</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center"/>
            <w:hideMark/>
          </w:tcPr>
          <w:p w:rsidR="00B958B1" w:rsidRPr="003B3916" w:rsidRDefault="00B958B1" w:rsidP="009F3B54">
            <w:pPr>
              <w:pStyle w:val="OGNotes"/>
            </w:pPr>
            <w:r w:rsidRPr="00B068A0">
              <w:t>This performance measure is proposed to be discontinued as it is expected to be completed in 2012</w:t>
            </w:r>
            <w:r w:rsidR="009F0F49">
              <w:noBreakHyphen/>
            </w:r>
            <w:r w:rsidRPr="00B068A0">
              <w:t>13.</w:t>
            </w:r>
          </w:p>
        </w:tc>
      </w:tr>
      <w:tr w:rsidR="00B958B1" w:rsidRPr="00B068A0" w:rsidTr="009F3B54">
        <w:trPr>
          <w:cantSplit/>
        </w:trPr>
        <w:tc>
          <w:tcPr>
            <w:tcW w:w="3154" w:type="dxa"/>
            <w:tcBorders>
              <w:top w:val="single" w:sz="6" w:space="0" w:color="auto"/>
              <w:left w:val="nil"/>
              <w:bottom w:val="nil"/>
              <w:right w:val="nil"/>
            </w:tcBorders>
            <w:shd w:val="clear" w:color="auto" w:fill="auto"/>
            <w:vAlign w:val="center"/>
            <w:hideMark/>
          </w:tcPr>
          <w:p w:rsidR="00B958B1" w:rsidRPr="00B068A0" w:rsidRDefault="00B958B1" w:rsidP="009F3B54">
            <w:pPr>
              <w:pStyle w:val="OGTabText"/>
              <w:rPr>
                <w:i/>
                <w:iCs/>
                <w:lang w:eastAsia="en-AU"/>
              </w:rPr>
            </w:pPr>
            <w:r w:rsidRPr="00B068A0">
              <w:rPr>
                <w:i/>
                <w:iCs/>
                <w:lang w:eastAsia="en-AU"/>
              </w:rPr>
              <w:t>Timeliness</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szCs w:val="22"/>
                <w:lang w:eastAsia="en-AU"/>
              </w:rPr>
            </w:pP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szCs w:val="22"/>
                <w:lang w:eastAsia="en-AU"/>
              </w:rPr>
            </w:pP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p>
        </w:tc>
      </w:tr>
      <w:tr w:rsidR="00B958B1" w:rsidRPr="00B068A0" w:rsidTr="009F3B54">
        <w:trPr>
          <w:cantSplit/>
        </w:trPr>
        <w:tc>
          <w:tcPr>
            <w:tcW w:w="3154" w:type="dxa"/>
            <w:tcBorders>
              <w:top w:val="nil"/>
              <w:left w:val="nil"/>
              <w:bottom w:val="nil"/>
              <w:right w:val="nil"/>
            </w:tcBorders>
            <w:shd w:val="clear" w:color="auto" w:fill="auto"/>
            <w:vAlign w:val="center"/>
            <w:hideMark/>
          </w:tcPr>
          <w:p w:rsidR="00B958B1" w:rsidRPr="00B068A0" w:rsidRDefault="00B958B1" w:rsidP="009F3B54">
            <w:pPr>
              <w:pStyle w:val="OGTabText"/>
              <w:rPr>
                <w:szCs w:val="22"/>
                <w:lang w:eastAsia="en-AU"/>
              </w:rPr>
            </w:pPr>
            <w:r w:rsidRPr="00B068A0">
              <w:rPr>
                <w:szCs w:val="22"/>
                <w:lang w:eastAsia="en-AU"/>
              </w:rPr>
              <w:t>Avalon Airport rail link: determine a preferred investigation area for the rail corridor</w:t>
            </w:r>
          </w:p>
        </w:tc>
        <w:tc>
          <w:tcPr>
            <w:tcW w:w="907" w:type="dxa"/>
            <w:tcBorders>
              <w:top w:val="nil"/>
              <w:left w:val="nil"/>
              <w:bottom w:val="nil"/>
              <w:right w:val="nil"/>
            </w:tcBorders>
            <w:shd w:val="clear" w:color="auto" w:fill="auto"/>
            <w:noWrap/>
            <w:hideMark/>
          </w:tcPr>
          <w:p w:rsidR="00B958B1" w:rsidRPr="00B068A0" w:rsidRDefault="00B958B1" w:rsidP="009F3B54">
            <w:pPr>
              <w:pStyle w:val="OGUoM"/>
              <w:rPr>
                <w:szCs w:val="22"/>
                <w:lang w:eastAsia="en-AU"/>
              </w:rPr>
            </w:pPr>
            <w:r w:rsidRPr="00B068A0">
              <w:rPr>
                <w:szCs w:val="22"/>
                <w:lang w:eastAsia="en-AU"/>
              </w:rPr>
              <w:t>date</w:t>
            </w:r>
          </w:p>
        </w:tc>
        <w:tc>
          <w:tcPr>
            <w:tcW w:w="907" w:type="dxa"/>
            <w:tcBorders>
              <w:top w:val="nil"/>
              <w:left w:val="nil"/>
              <w:bottom w:val="nil"/>
              <w:right w:val="nil"/>
            </w:tcBorders>
            <w:shd w:val="clear" w:color="auto" w:fill="D9D9D9"/>
            <w:noWrap/>
            <w:hideMark/>
          </w:tcPr>
          <w:p w:rsidR="00B958B1" w:rsidRPr="00B068A0" w:rsidRDefault="00B958B1" w:rsidP="009F3B54">
            <w:pPr>
              <w:pStyle w:val="OGTableofFigures"/>
              <w:rPr>
                <w:szCs w:val="22"/>
                <w:lang w:eastAsia="en-AU"/>
              </w:rPr>
            </w:pPr>
            <w:r w:rsidRPr="00B068A0">
              <w:rPr>
                <w:szCs w:val="22"/>
                <w:lang w:eastAsia="en-AU"/>
              </w:rPr>
              <w:t>na</w:t>
            </w:r>
          </w:p>
        </w:tc>
        <w:tc>
          <w:tcPr>
            <w:tcW w:w="994" w:type="dxa"/>
            <w:tcBorders>
              <w:top w:val="nil"/>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qtr 1</w:t>
            </w:r>
          </w:p>
        </w:tc>
        <w:tc>
          <w:tcPr>
            <w:tcW w:w="907" w:type="dxa"/>
            <w:tcBorders>
              <w:top w:val="nil"/>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qtr 1</w:t>
            </w:r>
          </w:p>
        </w:tc>
        <w:tc>
          <w:tcPr>
            <w:tcW w:w="907" w:type="dxa"/>
            <w:tcBorders>
              <w:top w:val="nil"/>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nm</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center"/>
            <w:hideMark/>
          </w:tcPr>
          <w:p w:rsidR="00B958B1" w:rsidRPr="003B3916" w:rsidRDefault="00B958B1" w:rsidP="009F3B54">
            <w:pPr>
              <w:pStyle w:val="OGNotes"/>
            </w:pPr>
            <w:r w:rsidRPr="00B068A0">
              <w:t>This performance measure is proposed to be discontinued as it has been completed in 2012</w:t>
            </w:r>
            <w:r w:rsidR="009F0F49">
              <w:noBreakHyphen/>
            </w:r>
            <w:r w:rsidRPr="00B068A0">
              <w:t>13.</w:t>
            </w:r>
          </w:p>
        </w:tc>
      </w:tr>
      <w:tr w:rsidR="00B958B1" w:rsidRPr="00B068A0" w:rsidTr="009F3B54">
        <w:trPr>
          <w:cantSplit/>
        </w:trPr>
        <w:tc>
          <w:tcPr>
            <w:tcW w:w="3154" w:type="dxa"/>
            <w:tcBorders>
              <w:top w:val="single" w:sz="6" w:space="0" w:color="auto"/>
              <w:left w:val="nil"/>
              <w:bottom w:val="nil"/>
              <w:right w:val="nil"/>
            </w:tcBorders>
            <w:shd w:val="clear" w:color="auto" w:fill="auto"/>
            <w:vAlign w:val="center"/>
            <w:hideMark/>
          </w:tcPr>
          <w:p w:rsidR="00B958B1" w:rsidRPr="00B068A0" w:rsidRDefault="00B958B1" w:rsidP="009F3B54">
            <w:pPr>
              <w:pStyle w:val="OGTabText"/>
              <w:rPr>
                <w:szCs w:val="22"/>
                <w:lang w:eastAsia="en-AU"/>
              </w:rPr>
            </w:pPr>
            <w:r w:rsidRPr="00B068A0">
              <w:rPr>
                <w:szCs w:val="22"/>
                <w:lang w:eastAsia="en-AU"/>
              </w:rPr>
              <w:t>Transport policy advice regarding the Council of Australian Government</w:t>
            </w:r>
            <w:r>
              <w:rPr>
                <w:szCs w:val="22"/>
                <w:lang w:eastAsia="en-AU"/>
              </w:rPr>
              <w:t>’</w:t>
            </w:r>
            <w:r w:rsidRPr="00B068A0">
              <w:rPr>
                <w:szCs w:val="22"/>
                <w:lang w:eastAsia="en-AU"/>
              </w:rPr>
              <w:t>s (COAG) National Reform Agenda provided within agreed timelines</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szCs w:val="22"/>
                <w:lang w:eastAsia="en-AU"/>
              </w:rPr>
            </w:pPr>
            <w:r>
              <w:rPr>
                <w:szCs w:val="22"/>
                <w:lang w:eastAsia="en-AU"/>
              </w:rPr>
              <w:t>per cent</w:t>
            </w: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szCs w:val="22"/>
                <w:lang w:eastAsia="en-AU"/>
              </w:rPr>
            </w:pPr>
            <w:r w:rsidRPr="00B068A0">
              <w:rPr>
                <w:szCs w:val="22"/>
                <w:lang w:eastAsia="en-AU"/>
              </w:rPr>
              <w:t>100</w:t>
            </w: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100</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100</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100</w:t>
            </w:r>
          </w:p>
        </w:tc>
      </w:tr>
      <w:tr w:rsidR="00B958B1" w:rsidRPr="00B068A0"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Pr="00B068A0" w:rsidRDefault="00B958B1" w:rsidP="009F3B54">
            <w:pPr>
              <w:pStyle w:val="OGNotes"/>
              <w:rPr>
                <w:iCs/>
                <w:sz w:val="16"/>
                <w:szCs w:val="16"/>
              </w:rPr>
            </w:pPr>
            <w:r w:rsidRPr="00B068A0">
              <w:t>This performance measure is proposed to be discontinued and replaced by the 2013</w:t>
            </w:r>
            <w:r w:rsidR="009F0F49">
              <w:noBreakHyphen/>
            </w:r>
            <w:r w:rsidRPr="00B068A0">
              <w:t xml:space="preserve">14 performance measure </w:t>
            </w:r>
            <w:r>
              <w:t>‘</w:t>
            </w:r>
            <w:r w:rsidRPr="00B068A0">
              <w:t>Planning projects for major transport infrastructure requiring Commonwealth funding</w:t>
            </w:r>
            <w:r>
              <w:t>’</w:t>
            </w:r>
            <w:r w:rsidRPr="00B068A0">
              <w:t xml:space="preserve"> to provide a more integrated representation of planning activities undertaken by the </w:t>
            </w:r>
            <w:r>
              <w:t>D</w:t>
            </w:r>
            <w:r w:rsidRPr="00B068A0">
              <w:t>epartment together with the Commonwealth.</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center"/>
            <w:hideMark/>
          </w:tcPr>
          <w:p w:rsidR="00B958B1" w:rsidRPr="003B3916" w:rsidRDefault="00B958B1" w:rsidP="009F3B54">
            <w:pPr>
              <w:pStyle w:val="OGHeading2"/>
              <w:pageBreakBefore/>
            </w:pPr>
            <w:r w:rsidRPr="00B068A0">
              <w:rPr>
                <w:lang w:eastAsia="en-AU"/>
              </w:rPr>
              <w:t xml:space="preserve">Public Transport </w:t>
            </w:r>
            <w:r>
              <w:rPr>
                <w:lang w:eastAsia="en-AU"/>
              </w:rPr>
              <w:t>Network Improvements and Maintenance</w:t>
            </w:r>
          </w:p>
        </w:tc>
      </w:tr>
      <w:tr w:rsidR="00B958B1" w:rsidRPr="00B068A0" w:rsidTr="009F3B54">
        <w:trPr>
          <w:cantSplit/>
        </w:trPr>
        <w:tc>
          <w:tcPr>
            <w:tcW w:w="3154" w:type="dxa"/>
            <w:tcBorders>
              <w:top w:val="single" w:sz="6" w:space="0" w:color="auto"/>
              <w:left w:val="nil"/>
              <w:bottom w:val="nil"/>
              <w:right w:val="nil"/>
            </w:tcBorders>
            <w:shd w:val="clear" w:color="auto" w:fill="auto"/>
            <w:vAlign w:val="center"/>
            <w:hideMark/>
          </w:tcPr>
          <w:p w:rsidR="00B958B1" w:rsidRPr="00B068A0" w:rsidRDefault="00B958B1" w:rsidP="009F3B54">
            <w:pPr>
              <w:pStyle w:val="OGTabText"/>
              <w:rPr>
                <w:i/>
                <w:iCs/>
                <w:lang w:eastAsia="en-AU"/>
              </w:rPr>
            </w:pPr>
            <w:r w:rsidRPr="00B068A0">
              <w:rPr>
                <w:i/>
                <w:iCs/>
                <w:lang w:eastAsia="en-AU"/>
              </w:rPr>
              <w:t>Quantity</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szCs w:val="22"/>
                <w:lang w:eastAsia="en-AU"/>
              </w:rPr>
            </w:pP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szCs w:val="22"/>
                <w:lang w:eastAsia="en-AU"/>
              </w:rPr>
            </w:pP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p>
        </w:tc>
      </w:tr>
      <w:tr w:rsidR="00B958B1" w:rsidRPr="00B068A0" w:rsidTr="009F3B54">
        <w:trPr>
          <w:cantSplit/>
        </w:trPr>
        <w:tc>
          <w:tcPr>
            <w:tcW w:w="3154" w:type="dxa"/>
            <w:tcBorders>
              <w:top w:val="nil"/>
              <w:left w:val="nil"/>
              <w:bottom w:val="nil"/>
              <w:right w:val="nil"/>
            </w:tcBorders>
            <w:shd w:val="clear" w:color="auto" w:fill="auto"/>
            <w:vAlign w:val="center"/>
            <w:hideMark/>
          </w:tcPr>
          <w:p w:rsidR="00B958B1" w:rsidRPr="00B068A0" w:rsidRDefault="00B958B1" w:rsidP="009F3B54">
            <w:pPr>
              <w:pStyle w:val="OGTabText"/>
              <w:rPr>
                <w:szCs w:val="22"/>
                <w:lang w:eastAsia="en-AU"/>
              </w:rPr>
            </w:pPr>
            <w:r w:rsidRPr="00B068A0">
              <w:rPr>
                <w:szCs w:val="22"/>
                <w:lang w:eastAsia="en-AU"/>
              </w:rPr>
              <w:t>Growth Area Stations – completion of design and construction work</w:t>
            </w:r>
          </w:p>
        </w:tc>
        <w:tc>
          <w:tcPr>
            <w:tcW w:w="907" w:type="dxa"/>
            <w:tcBorders>
              <w:top w:val="nil"/>
              <w:left w:val="nil"/>
              <w:bottom w:val="nil"/>
              <w:right w:val="nil"/>
            </w:tcBorders>
            <w:shd w:val="clear" w:color="auto" w:fill="auto"/>
            <w:noWrap/>
            <w:hideMark/>
          </w:tcPr>
          <w:p w:rsidR="00B958B1" w:rsidRPr="00B068A0" w:rsidRDefault="00B958B1" w:rsidP="009F3B54">
            <w:pPr>
              <w:pStyle w:val="OGUoM"/>
              <w:rPr>
                <w:szCs w:val="22"/>
                <w:lang w:eastAsia="en-AU"/>
              </w:rPr>
            </w:pPr>
            <w:r>
              <w:rPr>
                <w:szCs w:val="22"/>
                <w:lang w:eastAsia="en-AU"/>
              </w:rPr>
              <w:t>per cent</w:t>
            </w:r>
          </w:p>
        </w:tc>
        <w:tc>
          <w:tcPr>
            <w:tcW w:w="907" w:type="dxa"/>
            <w:tcBorders>
              <w:top w:val="nil"/>
              <w:left w:val="nil"/>
              <w:bottom w:val="nil"/>
              <w:right w:val="nil"/>
            </w:tcBorders>
            <w:shd w:val="clear" w:color="auto" w:fill="D9D9D9"/>
            <w:noWrap/>
            <w:hideMark/>
          </w:tcPr>
          <w:p w:rsidR="00B958B1" w:rsidRPr="00B068A0" w:rsidRDefault="00B958B1" w:rsidP="009F3B54">
            <w:pPr>
              <w:pStyle w:val="OGTableofFigures"/>
              <w:rPr>
                <w:szCs w:val="22"/>
                <w:lang w:eastAsia="en-AU"/>
              </w:rPr>
            </w:pPr>
            <w:r w:rsidRPr="00B068A0">
              <w:rPr>
                <w:szCs w:val="22"/>
                <w:lang w:eastAsia="en-AU"/>
              </w:rPr>
              <w:t>na</w:t>
            </w:r>
          </w:p>
        </w:tc>
        <w:tc>
          <w:tcPr>
            <w:tcW w:w="994" w:type="dxa"/>
            <w:tcBorders>
              <w:top w:val="nil"/>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100</w:t>
            </w:r>
          </w:p>
        </w:tc>
        <w:tc>
          <w:tcPr>
            <w:tcW w:w="907" w:type="dxa"/>
            <w:tcBorders>
              <w:top w:val="nil"/>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100</w:t>
            </w:r>
          </w:p>
        </w:tc>
        <w:tc>
          <w:tcPr>
            <w:tcW w:w="907" w:type="dxa"/>
            <w:tcBorders>
              <w:top w:val="nil"/>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80</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center"/>
            <w:hideMark/>
          </w:tcPr>
          <w:p w:rsidR="00B958B1" w:rsidRPr="00B068A0" w:rsidRDefault="00B958B1" w:rsidP="009F3B54">
            <w:pPr>
              <w:pStyle w:val="OGNotes"/>
              <w:rPr>
                <w:iCs/>
                <w:sz w:val="16"/>
                <w:szCs w:val="16"/>
              </w:rPr>
            </w:pPr>
            <w:r w:rsidRPr="00B068A0">
              <w:t>This performance measure is proposed</w:t>
            </w:r>
            <w:r>
              <w:t xml:space="preserve"> to be discontinued as the</w:t>
            </w:r>
            <w:r w:rsidRPr="00B068A0">
              <w:t xml:space="preserve"> stations have been completed in 2012</w:t>
            </w:r>
            <w:r w:rsidR="009F0F49">
              <w:noBreakHyphen/>
            </w:r>
            <w:r w:rsidRPr="00B068A0">
              <w:t>13.</w:t>
            </w:r>
          </w:p>
        </w:tc>
      </w:tr>
      <w:tr w:rsidR="00B958B1" w:rsidRPr="00B068A0" w:rsidTr="009F3B54">
        <w:trPr>
          <w:cantSplit/>
        </w:trPr>
        <w:tc>
          <w:tcPr>
            <w:tcW w:w="3154" w:type="dxa"/>
            <w:tcBorders>
              <w:top w:val="single" w:sz="6" w:space="0" w:color="auto"/>
              <w:left w:val="nil"/>
              <w:bottom w:val="nil"/>
              <w:right w:val="nil"/>
            </w:tcBorders>
            <w:shd w:val="clear" w:color="auto" w:fill="auto"/>
            <w:vAlign w:val="center"/>
            <w:hideMark/>
          </w:tcPr>
          <w:p w:rsidR="00B958B1" w:rsidRPr="00B068A0" w:rsidRDefault="00B958B1" w:rsidP="009F3B54">
            <w:pPr>
              <w:pStyle w:val="OGTabText"/>
              <w:ind w:left="142"/>
              <w:rPr>
                <w:lang w:eastAsia="en-AU"/>
              </w:rPr>
            </w:pPr>
            <w:r w:rsidRPr="00B068A0">
              <w:rPr>
                <w:lang w:eastAsia="en-AU"/>
              </w:rPr>
              <w:t xml:space="preserve">Metro Trains: new trains for Melbourne commuters: Stage 1 – </w:t>
            </w:r>
            <w:r w:rsidRPr="00175147">
              <w:t>procurement</w:t>
            </w:r>
            <w:r w:rsidRPr="00B068A0">
              <w:rPr>
                <w:lang w:eastAsia="en-AU"/>
              </w:rPr>
              <w:t xml:space="preserve"> of seven new train sets</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szCs w:val="22"/>
                <w:lang w:eastAsia="en-AU"/>
              </w:rPr>
            </w:pPr>
            <w:r>
              <w:rPr>
                <w:szCs w:val="22"/>
                <w:lang w:eastAsia="en-AU"/>
              </w:rPr>
              <w:t>per cent</w:t>
            </w: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szCs w:val="22"/>
                <w:lang w:eastAsia="en-AU"/>
              </w:rPr>
            </w:pPr>
            <w:r w:rsidRPr="00B068A0">
              <w:rPr>
                <w:szCs w:val="22"/>
                <w:lang w:eastAsia="en-AU"/>
              </w:rPr>
              <w:t>na</w:t>
            </w: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100</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 71</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nm</w:t>
            </w:r>
          </w:p>
        </w:tc>
      </w:tr>
      <w:tr w:rsidR="00B958B1" w:rsidRPr="00B068A0" w:rsidTr="009F3B54">
        <w:trPr>
          <w:cantSplit/>
        </w:trPr>
        <w:tc>
          <w:tcPr>
            <w:tcW w:w="7776" w:type="dxa"/>
            <w:gridSpan w:val="6"/>
            <w:tcBorders>
              <w:top w:val="nil"/>
              <w:left w:val="nil"/>
              <w:bottom w:val="nil"/>
              <w:right w:val="nil"/>
            </w:tcBorders>
            <w:shd w:val="clear" w:color="auto" w:fill="auto"/>
            <w:vAlign w:val="center"/>
            <w:hideMark/>
          </w:tcPr>
          <w:p w:rsidR="00B958B1" w:rsidRDefault="00B958B1" w:rsidP="009F3B54">
            <w:pPr>
              <w:pStyle w:val="OGNotes"/>
            </w:pPr>
            <w:r w:rsidRPr="00B068A0">
              <w:t>This performance measure is proposed to be discontinued as it is expected to be completed in 2012</w:t>
            </w:r>
            <w:r w:rsidR="009F0F49">
              <w:noBreakHyphen/>
            </w:r>
            <w:r w:rsidRPr="00B068A0">
              <w:t>13.</w:t>
            </w:r>
          </w:p>
          <w:p w:rsidR="00B958B1" w:rsidRPr="00B068A0" w:rsidRDefault="00B958B1" w:rsidP="009F3B54">
            <w:pPr>
              <w:pStyle w:val="OGNotes"/>
              <w:rPr>
                <w:iCs/>
                <w:sz w:val="16"/>
                <w:szCs w:val="16"/>
              </w:rPr>
            </w:pPr>
            <w:r w:rsidRPr="00B068A0">
              <w:t>The 2012</w:t>
            </w:r>
            <w:r w:rsidR="009F0F49">
              <w:noBreakHyphen/>
            </w:r>
            <w:r w:rsidRPr="00B068A0">
              <w:t>13 Expected Outcome is higher than the 2012</w:t>
            </w:r>
            <w:r w:rsidR="009F0F49">
              <w:noBreakHyphen/>
            </w:r>
            <w:r w:rsidRPr="00B068A0">
              <w:t>13 Target due to a better than expected manufacturer</w:t>
            </w:r>
            <w:r>
              <w:t>’</w:t>
            </w:r>
            <w:r w:rsidRPr="00B068A0">
              <w:t>s delivery schedule.</w:t>
            </w:r>
          </w:p>
        </w:tc>
      </w:tr>
      <w:tr w:rsidR="00B958B1" w:rsidRPr="00B068A0" w:rsidTr="009F3B54">
        <w:trPr>
          <w:cantSplit/>
        </w:trPr>
        <w:tc>
          <w:tcPr>
            <w:tcW w:w="3154" w:type="dxa"/>
            <w:tcBorders>
              <w:top w:val="single" w:sz="6" w:space="0" w:color="auto"/>
              <w:left w:val="nil"/>
              <w:bottom w:val="nil"/>
              <w:right w:val="nil"/>
            </w:tcBorders>
            <w:shd w:val="clear" w:color="auto" w:fill="auto"/>
            <w:vAlign w:val="center"/>
            <w:hideMark/>
          </w:tcPr>
          <w:p w:rsidR="00B958B1" w:rsidRPr="00B068A0" w:rsidRDefault="00B958B1" w:rsidP="009F3B54">
            <w:pPr>
              <w:pStyle w:val="OGTabText"/>
              <w:rPr>
                <w:szCs w:val="22"/>
                <w:lang w:eastAsia="en-AU"/>
              </w:rPr>
            </w:pPr>
            <w:r w:rsidRPr="00B068A0">
              <w:rPr>
                <w:szCs w:val="22"/>
                <w:lang w:eastAsia="en-AU"/>
              </w:rPr>
              <w:t>Projects continuing: Country rail services: Mildura</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szCs w:val="22"/>
                <w:lang w:eastAsia="en-AU"/>
              </w:rPr>
            </w:pPr>
            <w:r w:rsidRPr="00B068A0">
              <w:rPr>
                <w:szCs w:val="22"/>
                <w:lang w:eastAsia="en-AU"/>
              </w:rPr>
              <w:t>number</w:t>
            </w: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szCs w:val="22"/>
                <w:lang w:eastAsia="en-AU"/>
              </w:rPr>
            </w:pPr>
            <w:r w:rsidRPr="00B068A0">
              <w:rPr>
                <w:szCs w:val="22"/>
                <w:lang w:eastAsia="en-AU"/>
              </w:rPr>
              <w:t>na</w:t>
            </w: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1</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1</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1</w:t>
            </w:r>
          </w:p>
        </w:tc>
      </w:tr>
      <w:tr w:rsidR="00B958B1" w:rsidRPr="003B3916" w:rsidTr="009F3B54">
        <w:trPr>
          <w:cantSplit/>
        </w:trPr>
        <w:tc>
          <w:tcPr>
            <w:tcW w:w="7776" w:type="dxa"/>
            <w:gridSpan w:val="6"/>
            <w:tcBorders>
              <w:top w:val="nil"/>
              <w:left w:val="nil"/>
              <w:bottom w:val="single" w:sz="6" w:space="0" w:color="auto"/>
              <w:right w:val="nil"/>
            </w:tcBorders>
            <w:shd w:val="clear" w:color="auto" w:fill="auto"/>
            <w:vAlign w:val="center"/>
            <w:hideMark/>
          </w:tcPr>
          <w:p w:rsidR="00B958B1" w:rsidRPr="003B3916" w:rsidRDefault="00B958B1" w:rsidP="009F3B54">
            <w:pPr>
              <w:pStyle w:val="OGNotes"/>
            </w:pPr>
            <w:r w:rsidRPr="003B3916">
              <w:t>This performance measure is proposed to be discontinued as it is expected to be completed in 2012</w:t>
            </w:r>
            <w:r w:rsidR="009F0F49">
              <w:noBreakHyphen/>
            </w:r>
            <w:r w:rsidRPr="003B3916">
              <w:t>13. </w:t>
            </w:r>
          </w:p>
        </w:tc>
      </w:tr>
      <w:tr w:rsidR="00B958B1" w:rsidRPr="00B068A0" w:rsidTr="009F3B54">
        <w:trPr>
          <w:cantSplit/>
        </w:trPr>
        <w:tc>
          <w:tcPr>
            <w:tcW w:w="3154" w:type="dxa"/>
            <w:tcBorders>
              <w:top w:val="single" w:sz="6" w:space="0" w:color="auto"/>
              <w:left w:val="nil"/>
              <w:bottom w:val="nil"/>
              <w:right w:val="nil"/>
            </w:tcBorders>
            <w:shd w:val="clear" w:color="auto" w:fill="auto"/>
            <w:vAlign w:val="center"/>
            <w:hideMark/>
          </w:tcPr>
          <w:p w:rsidR="00B958B1" w:rsidRPr="00B068A0" w:rsidRDefault="00B958B1" w:rsidP="009F3B54">
            <w:pPr>
              <w:pStyle w:val="OGTabText"/>
              <w:rPr>
                <w:szCs w:val="22"/>
                <w:lang w:eastAsia="en-AU"/>
              </w:rPr>
            </w:pPr>
            <w:r w:rsidRPr="00B068A0">
              <w:rPr>
                <w:szCs w:val="22"/>
                <w:lang w:eastAsia="en-AU"/>
              </w:rPr>
              <w:t>South Morang: construction of Epping Corridor</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szCs w:val="22"/>
                <w:lang w:eastAsia="en-AU"/>
              </w:rPr>
            </w:pPr>
            <w:r>
              <w:rPr>
                <w:szCs w:val="22"/>
                <w:lang w:eastAsia="en-AU"/>
              </w:rPr>
              <w:t>per cent</w:t>
            </w: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szCs w:val="22"/>
                <w:lang w:eastAsia="en-AU"/>
              </w:rPr>
            </w:pPr>
            <w:r w:rsidRPr="00B068A0">
              <w:rPr>
                <w:szCs w:val="22"/>
                <w:lang w:eastAsia="en-AU"/>
              </w:rPr>
              <w:t>na</w:t>
            </w: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100</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100</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95</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center"/>
            <w:hideMark/>
          </w:tcPr>
          <w:p w:rsidR="00B958B1" w:rsidRPr="00B068A0" w:rsidRDefault="00B958B1" w:rsidP="009F3B54">
            <w:pPr>
              <w:pStyle w:val="OGNotes"/>
              <w:rPr>
                <w:iCs/>
                <w:sz w:val="16"/>
                <w:szCs w:val="16"/>
              </w:rPr>
            </w:pPr>
            <w:r w:rsidRPr="00B068A0">
              <w:t>This performance measure is proposed to be discontinued as it has been completed in 2012</w:t>
            </w:r>
            <w:r w:rsidR="009F0F49">
              <w:noBreakHyphen/>
            </w:r>
            <w:r w:rsidRPr="00B068A0">
              <w:t>13.</w:t>
            </w:r>
          </w:p>
        </w:tc>
      </w:tr>
      <w:tr w:rsidR="00B958B1" w:rsidRPr="00B068A0" w:rsidTr="009F3B54">
        <w:trPr>
          <w:cantSplit/>
        </w:trPr>
        <w:tc>
          <w:tcPr>
            <w:tcW w:w="3154" w:type="dxa"/>
            <w:tcBorders>
              <w:top w:val="single" w:sz="6" w:space="0" w:color="auto"/>
              <w:left w:val="nil"/>
              <w:bottom w:val="nil"/>
              <w:right w:val="nil"/>
            </w:tcBorders>
            <w:shd w:val="clear" w:color="auto" w:fill="auto"/>
            <w:vAlign w:val="center"/>
            <w:hideMark/>
          </w:tcPr>
          <w:p w:rsidR="00B958B1" w:rsidRPr="00B068A0" w:rsidRDefault="00B958B1" w:rsidP="009F3B54">
            <w:pPr>
              <w:pStyle w:val="OGTabText"/>
              <w:rPr>
                <w:szCs w:val="22"/>
                <w:lang w:eastAsia="en-AU"/>
              </w:rPr>
            </w:pPr>
            <w:r w:rsidRPr="00B068A0">
              <w:rPr>
                <w:szCs w:val="22"/>
                <w:lang w:eastAsia="en-AU"/>
              </w:rPr>
              <w:t>South Morang: construction of Hurstbridge Corridor</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szCs w:val="22"/>
                <w:lang w:eastAsia="en-AU"/>
              </w:rPr>
            </w:pPr>
            <w:r>
              <w:rPr>
                <w:szCs w:val="22"/>
                <w:lang w:eastAsia="en-AU"/>
              </w:rPr>
              <w:t>per cent</w:t>
            </w: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szCs w:val="22"/>
                <w:lang w:eastAsia="en-AU"/>
              </w:rPr>
            </w:pPr>
            <w:r w:rsidRPr="00B068A0">
              <w:rPr>
                <w:szCs w:val="22"/>
                <w:lang w:eastAsia="en-AU"/>
              </w:rPr>
              <w:t>na</w:t>
            </w: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100</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100</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40</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center"/>
            <w:hideMark/>
          </w:tcPr>
          <w:p w:rsidR="00B958B1" w:rsidRPr="003B3916" w:rsidRDefault="00B958B1" w:rsidP="009F3B54">
            <w:pPr>
              <w:pStyle w:val="OGNotes"/>
            </w:pPr>
            <w:r w:rsidRPr="00B068A0">
              <w:t>This performance measure is proposed to be discontinued as it is expected to be completed in 2012</w:t>
            </w:r>
            <w:r w:rsidR="009F0F49">
              <w:noBreakHyphen/>
            </w:r>
            <w:r w:rsidRPr="00B068A0">
              <w:t>13.</w:t>
            </w:r>
            <w:r w:rsidRPr="00B068A0">
              <w:rPr>
                <w:i w:val="0"/>
                <w:iCs/>
                <w:sz w:val="16"/>
                <w:szCs w:val="16"/>
              </w:rPr>
              <w:t> </w:t>
            </w:r>
          </w:p>
        </w:tc>
      </w:tr>
      <w:tr w:rsidR="00B958B1" w:rsidRPr="00B068A0" w:rsidTr="009F3B54">
        <w:trPr>
          <w:cantSplit/>
        </w:trPr>
        <w:tc>
          <w:tcPr>
            <w:tcW w:w="3154" w:type="dxa"/>
            <w:tcBorders>
              <w:top w:val="single" w:sz="6" w:space="0" w:color="auto"/>
              <w:left w:val="nil"/>
              <w:bottom w:val="nil"/>
              <w:right w:val="nil"/>
            </w:tcBorders>
            <w:shd w:val="clear" w:color="auto" w:fill="auto"/>
            <w:vAlign w:val="center"/>
            <w:hideMark/>
          </w:tcPr>
          <w:p w:rsidR="00B958B1" w:rsidRPr="00B068A0" w:rsidRDefault="00B958B1" w:rsidP="009F3B54">
            <w:pPr>
              <w:pStyle w:val="OGTabHead"/>
              <w:rPr>
                <w:lang w:eastAsia="en-AU"/>
              </w:rPr>
            </w:pPr>
            <w:r w:rsidRPr="00B068A0">
              <w:rPr>
                <w:lang w:eastAsia="en-AU"/>
              </w:rPr>
              <w:t>Quality</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szCs w:val="22"/>
                <w:lang w:eastAsia="en-AU"/>
              </w:rPr>
            </w:pP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szCs w:val="22"/>
                <w:lang w:eastAsia="en-AU"/>
              </w:rPr>
            </w:pP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p>
        </w:tc>
      </w:tr>
      <w:tr w:rsidR="00B958B1" w:rsidRPr="00B068A0" w:rsidTr="009F3B54">
        <w:trPr>
          <w:cantSplit/>
        </w:trPr>
        <w:tc>
          <w:tcPr>
            <w:tcW w:w="3154" w:type="dxa"/>
            <w:tcBorders>
              <w:top w:val="nil"/>
              <w:left w:val="nil"/>
              <w:bottom w:val="nil"/>
              <w:right w:val="nil"/>
            </w:tcBorders>
            <w:shd w:val="clear" w:color="auto" w:fill="auto"/>
            <w:vAlign w:val="center"/>
            <w:hideMark/>
          </w:tcPr>
          <w:p w:rsidR="00B958B1" w:rsidRPr="00B068A0" w:rsidRDefault="00B958B1" w:rsidP="009F3B54">
            <w:pPr>
              <w:pStyle w:val="OGTabText"/>
              <w:rPr>
                <w:szCs w:val="22"/>
                <w:lang w:eastAsia="en-AU"/>
              </w:rPr>
            </w:pPr>
            <w:r w:rsidRPr="00B068A0">
              <w:rPr>
                <w:szCs w:val="22"/>
                <w:lang w:eastAsia="en-AU"/>
              </w:rPr>
              <w:t>myki customer satisfaction score (statewide)</w:t>
            </w:r>
          </w:p>
        </w:tc>
        <w:tc>
          <w:tcPr>
            <w:tcW w:w="907" w:type="dxa"/>
            <w:tcBorders>
              <w:top w:val="nil"/>
              <w:left w:val="nil"/>
              <w:bottom w:val="nil"/>
              <w:right w:val="nil"/>
            </w:tcBorders>
            <w:shd w:val="clear" w:color="auto" w:fill="auto"/>
            <w:noWrap/>
            <w:hideMark/>
          </w:tcPr>
          <w:p w:rsidR="00B958B1" w:rsidRPr="00B068A0" w:rsidRDefault="00B958B1" w:rsidP="009F3B54">
            <w:pPr>
              <w:pStyle w:val="OGUoM"/>
              <w:rPr>
                <w:szCs w:val="22"/>
                <w:lang w:eastAsia="en-AU"/>
              </w:rPr>
            </w:pPr>
            <w:r w:rsidRPr="00B068A0">
              <w:rPr>
                <w:szCs w:val="22"/>
                <w:lang w:eastAsia="en-AU"/>
              </w:rPr>
              <w:t>score</w:t>
            </w:r>
          </w:p>
        </w:tc>
        <w:tc>
          <w:tcPr>
            <w:tcW w:w="907" w:type="dxa"/>
            <w:tcBorders>
              <w:top w:val="nil"/>
              <w:left w:val="nil"/>
              <w:bottom w:val="nil"/>
              <w:right w:val="nil"/>
            </w:tcBorders>
            <w:shd w:val="clear" w:color="auto" w:fill="D9D9D9"/>
            <w:noWrap/>
            <w:hideMark/>
          </w:tcPr>
          <w:p w:rsidR="00B958B1" w:rsidRPr="00B068A0" w:rsidRDefault="00B958B1" w:rsidP="009F3B54">
            <w:pPr>
              <w:pStyle w:val="OGTableofFigures"/>
              <w:rPr>
                <w:szCs w:val="22"/>
                <w:lang w:eastAsia="en-AU"/>
              </w:rPr>
            </w:pPr>
            <w:r w:rsidRPr="00B068A0">
              <w:rPr>
                <w:szCs w:val="22"/>
                <w:lang w:eastAsia="en-AU"/>
              </w:rPr>
              <w:t>na</w:t>
            </w:r>
          </w:p>
        </w:tc>
        <w:tc>
          <w:tcPr>
            <w:tcW w:w="994" w:type="dxa"/>
            <w:tcBorders>
              <w:top w:val="nil"/>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na</w:t>
            </w:r>
          </w:p>
        </w:tc>
        <w:tc>
          <w:tcPr>
            <w:tcW w:w="907" w:type="dxa"/>
            <w:tcBorders>
              <w:top w:val="nil"/>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75</w:t>
            </w:r>
          </w:p>
        </w:tc>
        <w:tc>
          <w:tcPr>
            <w:tcW w:w="907" w:type="dxa"/>
            <w:tcBorders>
              <w:top w:val="nil"/>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69.6</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center"/>
            <w:hideMark/>
          </w:tcPr>
          <w:p w:rsidR="00B958B1" w:rsidRPr="00B068A0" w:rsidRDefault="00B958B1" w:rsidP="009F3B54">
            <w:pPr>
              <w:pStyle w:val="OGNotes"/>
              <w:rPr>
                <w:iCs/>
                <w:sz w:val="16"/>
                <w:szCs w:val="16"/>
              </w:rPr>
            </w:pPr>
            <w:r w:rsidRPr="00B068A0">
              <w:t>This performance measure is proposed to be discontinued as customer satisfaction with ticketing is one of the elements of the Customer satisfaction index for each mode. The 2012</w:t>
            </w:r>
            <w:r w:rsidR="009F0F49">
              <w:noBreakHyphen/>
            </w:r>
            <w:r w:rsidRPr="00B068A0">
              <w:t>13 Expected Outcome is not available as the measure has been superseded by the performance measures on customer satisfaction index for each of the public transport modes.</w:t>
            </w:r>
          </w:p>
        </w:tc>
      </w:tr>
      <w:tr w:rsidR="00B958B1" w:rsidRPr="00B068A0" w:rsidTr="009F3B54">
        <w:trPr>
          <w:cantSplit/>
        </w:trPr>
        <w:tc>
          <w:tcPr>
            <w:tcW w:w="3154" w:type="dxa"/>
            <w:tcBorders>
              <w:top w:val="single" w:sz="6" w:space="0" w:color="auto"/>
              <w:left w:val="nil"/>
              <w:bottom w:val="nil"/>
              <w:right w:val="nil"/>
            </w:tcBorders>
            <w:shd w:val="clear" w:color="auto" w:fill="auto"/>
            <w:vAlign w:val="center"/>
            <w:hideMark/>
          </w:tcPr>
          <w:p w:rsidR="00B958B1" w:rsidRPr="00B068A0" w:rsidRDefault="00B958B1" w:rsidP="009F3B54">
            <w:pPr>
              <w:pStyle w:val="OGTabText"/>
              <w:keepNext/>
              <w:rPr>
                <w:szCs w:val="22"/>
                <w:lang w:eastAsia="en-AU"/>
              </w:rPr>
            </w:pPr>
            <w:r w:rsidRPr="00B068A0">
              <w:rPr>
                <w:szCs w:val="22"/>
                <w:lang w:eastAsia="en-AU"/>
              </w:rPr>
              <w:t>Projects progressed to agreed plans and timeframes</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keepNext/>
              <w:rPr>
                <w:szCs w:val="22"/>
                <w:lang w:eastAsia="en-AU"/>
              </w:rPr>
            </w:pPr>
            <w:r>
              <w:rPr>
                <w:szCs w:val="22"/>
                <w:lang w:eastAsia="en-AU"/>
              </w:rPr>
              <w:t>per cent</w:t>
            </w: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keepNext/>
              <w:rPr>
                <w:szCs w:val="22"/>
                <w:lang w:eastAsia="en-AU"/>
              </w:rPr>
            </w:pPr>
            <w:r w:rsidRPr="00B068A0">
              <w:rPr>
                <w:szCs w:val="22"/>
                <w:lang w:eastAsia="en-AU"/>
              </w:rPr>
              <w:t>100</w:t>
            </w: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keepNext/>
              <w:rPr>
                <w:szCs w:val="22"/>
                <w:lang w:eastAsia="en-AU"/>
              </w:rPr>
            </w:pPr>
            <w:r w:rsidRPr="00B068A0">
              <w:rPr>
                <w:szCs w:val="22"/>
                <w:lang w:eastAsia="en-AU"/>
              </w:rPr>
              <w:t>54</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keepNext/>
              <w:rPr>
                <w:szCs w:val="22"/>
                <w:lang w:eastAsia="en-AU"/>
              </w:rPr>
            </w:pPr>
            <w:r w:rsidRPr="00B068A0">
              <w:rPr>
                <w:szCs w:val="22"/>
                <w:lang w:eastAsia="en-AU"/>
              </w:rPr>
              <w:t>100</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keepNext/>
              <w:rPr>
                <w:szCs w:val="22"/>
                <w:lang w:eastAsia="en-AU"/>
              </w:rPr>
            </w:pPr>
            <w:r w:rsidRPr="00B068A0">
              <w:rPr>
                <w:szCs w:val="22"/>
                <w:lang w:eastAsia="en-AU"/>
              </w:rPr>
              <w:t>62</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center"/>
            <w:hideMark/>
          </w:tcPr>
          <w:p w:rsidR="00B958B1" w:rsidRPr="003B3916" w:rsidRDefault="00B958B1" w:rsidP="009F3B54">
            <w:pPr>
              <w:pStyle w:val="OGNotes"/>
            </w:pPr>
            <w:r w:rsidRPr="003B3916">
              <w:t>This performance measure is proposed to be discontinued and replaced by the 2013</w:t>
            </w:r>
            <w:r w:rsidR="009F0F49">
              <w:noBreakHyphen/>
            </w:r>
            <w:r w:rsidRPr="003B3916">
              <w:t xml:space="preserve">14 performance measure </w:t>
            </w:r>
            <w:r>
              <w:t>‘</w:t>
            </w:r>
            <w:r w:rsidRPr="003B3916">
              <w:t>Public transport network improvement: performance against master project schedule</w:t>
            </w:r>
            <w:r>
              <w:t>’</w:t>
            </w:r>
            <w:r w:rsidRPr="003B3916">
              <w:t xml:space="preserve"> to more accurately reflect all activities on the master public transport project schedule.</w:t>
            </w:r>
          </w:p>
          <w:p w:rsidR="00B958B1" w:rsidRPr="003B3916" w:rsidRDefault="00B958B1" w:rsidP="009F3B54">
            <w:pPr>
              <w:pStyle w:val="OGNotes"/>
            </w:pPr>
            <w:r w:rsidRPr="003B3916">
              <w:t>The 2012</w:t>
            </w:r>
            <w:r w:rsidR="009F0F49">
              <w:noBreakHyphen/>
            </w:r>
            <w:r w:rsidRPr="003B3916">
              <w:t>13 Expected Outcome is lower than the 2012</w:t>
            </w:r>
            <w:r w:rsidR="009F0F49">
              <w:noBreakHyphen/>
            </w:r>
            <w:r w:rsidRPr="003B3916">
              <w:t>13 Target due to seven projects out of 13 reported in the 2012</w:t>
            </w:r>
            <w:r w:rsidR="009F0F49">
              <w:noBreakHyphen/>
            </w:r>
            <w:r w:rsidRPr="003B3916">
              <w:t xml:space="preserve">13 </w:t>
            </w:r>
            <w:r>
              <w:t>‘</w:t>
            </w:r>
            <w:r w:rsidRPr="003B3916">
              <w:t>Public Transport Infrastructure Development</w:t>
            </w:r>
            <w:r>
              <w:t>’</w:t>
            </w:r>
            <w:r w:rsidRPr="003B3916">
              <w:t xml:space="preserve"> output which met specified project targets.</w:t>
            </w:r>
          </w:p>
          <w:p w:rsidR="00B958B1" w:rsidRPr="003B3916" w:rsidRDefault="00B958B1" w:rsidP="009F3B54">
            <w:pPr>
              <w:pStyle w:val="OGNotes"/>
            </w:pPr>
            <w:r w:rsidRPr="003B3916">
              <w:t>In addition</w:t>
            </w:r>
            <w:r>
              <w:t xml:space="preserve">, </w:t>
            </w:r>
            <w:r w:rsidRPr="003B3916">
              <w:t>two projects</w:t>
            </w:r>
            <w:r>
              <w:t xml:space="preserve"> – ‘</w:t>
            </w:r>
            <w:r w:rsidRPr="003B3916">
              <w:t>Metrol Replacement: existing reporting Train Operation Performance System (TOPS) replaced</w:t>
            </w:r>
            <w:r>
              <w:t>’</w:t>
            </w:r>
            <w:r w:rsidRPr="003B3916">
              <w:t xml:space="preserve"> and </w:t>
            </w:r>
            <w:r>
              <w:t>‘</w:t>
            </w:r>
            <w:r w:rsidRPr="003B3916">
              <w:t>Sunbury Electrification: construction completed</w:t>
            </w:r>
            <w:r>
              <w:t>’</w:t>
            </w:r>
            <w:r w:rsidRPr="003B3916">
              <w:t xml:space="preserve"> did not meet the specified project targets. However</w:t>
            </w:r>
            <w:r>
              <w:t xml:space="preserve"> </w:t>
            </w:r>
            <w:r w:rsidRPr="003B3916">
              <w:t>these projects have been</w:t>
            </w:r>
            <w:r>
              <w:t>/</w:t>
            </w:r>
            <w:r w:rsidRPr="003B3916">
              <w:t>are expected to be completed in 2012</w:t>
            </w:r>
            <w:r w:rsidR="009F0F49">
              <w:noBreakHyphen/>
            </w:r>
            <w:r w:rsidRPr="003B3916">
              <w:t>13.</w:t>
            </w:r>
          </w:p>
        </w:tc>
      </w:tr>
      <w:tr w:rsidR="00B958B1" w:rsidRPr="00B068A0" w:rsidTr="009F3B54">
        <w:trPr>
          <w:cantSplit/>
        </w:trPr>
        <w:tc>
          <w:tcPr>
            <w:tcW w:w="3154" w:type="dxa"/>
            <w:tcBorders>
              <w:top w:val="single" w:sz="6" w:space="0" w:color="auto"/>
              <w:left w:val="nil"/>
              <w:bottom w:val="nil"/>
              <w:right w:val="nil"/>
            </w:tcBorders>
            <w:shd w:val="clear" w:color="auto" w:fill="auto"/>
            <w:vAlign w:val="center"/>
            <w:hideMark/>
          </w:tcPr>
          <w:p w:rsidR="00B958B1" w:rsidRPr="00B068A0" w:rsidRDefault="00B958B1" w:rsidP="009F3B54">
            <w:pPr>
              <w:pStyle w:val="OGTabHead"/>
              <w:pageBreakBefore/>
              <w:rPr>
                <w:lang w:eastAsia="en-AU"/>
              </w:rPr>
            </w:pPr>
            <w:r w:rsidRPr="00B068A0">
              <w:rPr>
                <w:lang w:eastAsia="en-AU"/>
              </w:rPr>
              <w:t>Timeliness</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szCs w:val="22"/>
                <w:lang w:eastAsia="en-AU"/>
              </w:rPr>
            </w:pP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szCs w:val="22"/>
                <w:lang w:eastAsia="en-AU"/>
              </w:rPr>
            </w:pP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p>
        </w:tc>
      </w:tr>
      <w:tr w:rsidR="00B958B1" w:rsidRPr="00B068A0" w:rsidTr="009F3B54">
        <w:trPr>
          <w:cantSplit/>
        </w:trPr>
        <w:tc>
          <w:tcPr>
            <w:tcW w:w="3154" w:type="dxa"/>
            <w:tcBorders>
              <w:top w:val="nil"/>
              <w:left w:val="nil"/>
              <w:bottom w:val="nil"/>
              <w:right w:val="nil"/>
            </w:tcBorders>
            <w:shd w:val="clear" w:color="auto" w:fill="auto"/>
            <w:vAlign w:val="center"/>
            <w:hideMark/>
          </w:tcPr>
          <w:p w:rsidR="00B958B1" w:rsidRPr="00B068A0" w:rsidRDefault="00B958B1" w:rsidP="009F3B54">
            <w:pPr>
              <w:pStyle w:val="OGTabText"/>
              <w:rPr>
                <w:szCs w:val="22"/>
                <w:lang w:eastAsia="en-AU"/>
              </w:rPr>
            </w:pPr>
            <w:r w:rsidRPr="00B068A0">
              <w:rPr>
                <w:szCs w:val="22"/>
                <w:lang w:eastAsia="en-AU"/>
              </w:rPr>
              <w:t>Development of new integrated public transport ticketing solution: complete implementation of metropolitan live operations</w:t>
            </w:r>
          </w:p>
        </w:tc>
        <w:tc>
          <w:tcPr>
            <w:tcW w:w="907" w:type="dxa"/>
            <w:tcBorders>
              <w:top w:val="nil"/>
              <w:left w:val="nil"/>
              <w:bottom w:val="nil"/>
              <w:right w:val="nil"/>
            </w:tcBorders>
            <w:shd w:val="clear" w:color="auto" w:fill="auto"/>
            <w:noWrap/>
            <w:hideMark/>
          </w:tcPr>
          <w:p w:rsidR="00B958B1" w:rsidRPr="00B068A0" w:rsidRDefault="00B958B1" w:rsidP="009F3B54">
            <w:pPr>
              <w:pStyle w:val="OGUoM"/>
              <w:rPr>
                <w:szCs w:val="22"/>
                <w:lang w:eastAsia="en-AU"/>
              </w:rPr>
            </w:pPr>
            <w:r w:rsidRPr="00B068A0">
              <w:rPr>
                <w:szCs w:val="22"/>
                <w:lang w:eastAsia="en-AU"/>
              </w:rPr>
              <w:t>date</w:t>
            </w:r>
          </w:p>
        </w:tc>
        <w:tc>
          <w:tcPr>
            <w:tcW w:w="907" w:type="dxa"/>
            <w:tcBorders>
              <w:top w:val="nil"/>
              <w:left w:val="nil"/>
              <w:bottom w:val="nil"/>
              <w:right w:val="nil"/>
            </w:tcBorders>
            <w:shd w:val="clear" w:color="auto" w:fill="D9D9D9"/>
            <w:noWrap/>
            <w:hideMark/>
          </w:tcPr>
          <w:p w:rsidR="00B958B1" w:rsidRPr="00B068A0" w:rsidRDefault="00B958B1" w:rsidP="009F3B54">
            <w:pPr>
              <w:pStyle w:val="OGTableofFigures"/>
              <w:rPr>
                <w:szCs w:val="22"/>
                <w:lang w:eastAsia="en-AU"/>
              </w:rPr>
            </w:pPr>
            <w:r w:rsidRPr="00B068A0">
              <w:rPr>
                <w:szCs w:val="22"/>
                <w:lang w:eastAsia="en-AU"/>
              </w:rPr>
              <w:t>na</w:t>
            </w:r>
          </w:p>
        </w:tc>
        <w:tc>
          <w:tcPr>
            <w:tcW w:w="994" w:type="dxa"/>
            <w:tcBorders>
              <w:top w:val="nil"/>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qtr 2</w:t>
            </w:r>
          </w:p>
        </w:tc>
        <w:tc>
          <w:tcPr>
            <w:tcW w:w="907" w:type="dxa"/>
            <w:tcBorders>
              <w:top w:val="nil"/>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qtr 2</w:t>
            </w:r>
          </w:p>
        </w:tc>
        <w:tc>
          <w:tcPr>
            <w:tcW w:w="907" w:type="dxa"/>
            <w:tcBorders>
              <w:top w:val="nil"/>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na</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center"/>
            <w:hideMark/>
          </w:tcPr>
          <w:p w:rsidR="00B958B1" w:rsidRPr="00B068A0" w:rsidRDefault="00B958B1" w:rsidP="009F3B54">
            <w:pPr>
              <w:pStyle w:val="OGNotes"/>
              <w:rPr>
                <w:iCs/>
                <w:sz w:val="16"/>
                <w:szCs w:val="16"/>
              </w:rPr>
            </w:pPr>
            <w:r w:rsidRPr="00B068A0">
              <w:t>This performance measure is proposed to be discontinued as it has been completed in 2012</w:t>
            </w:r>
            <w:r w:rsidR="009F0F49">
              <w:noBreakHyphen/>
            </w:r>
            <w:r w:rsidRPr="00B068A0">
              <w:t>13.</w:t>
            </w:r>
          </w:p>
        </w:tc>
      </w:tr>
      <w:tr w:rsidR="00B958B1" w:rsidRPr="00B068A0" w:rsidTr="009F3B54">
        <w:trPr>
          <w:cantSplit/>
        </w:trPr>
        <w:tc>
          <w:tcPr>
            <w:tcW w:w="3154" w:type="dxa"/>
            <w:tcBorders>
              <w:top w:val="single" w:sz="6" w:space="0" w:color="auto"/>
              <w:left w:val="nil"/>
              <w:bottom w:val="nil"/>
              <w:right w:val="nil"/>
            </w:tcBorders>
            <w:shd w:val="clear" w:color="auto" w:fill="auto"/>
            <w:vAlign w:val="center"/>
            <w:hideMark/>
          </w:tcPr>
          <w:p w:rsidR="00B958B1" w:rsidRPr="00B068A0" w:rsidRDefault="00B958B1" w:rsidP="009F3B54">
            <w:pPr>
              <w:pStyle w:val="OGTabText"/>
              <w:rPr>
                <w:szCs w:val="22"/>
                <w:lang w:eastAsia="en-AU"/>
              </w:rPr>
            </w:pPr>
            <w:r w:rsidRPr="00B068A0">
              <w:rPr>
                <w:szCs w:val="22"/>
                <w:lang w:eastAsia="en-AU"/>
              </w:rPr>
              <w:t>Development of new integrated public transport ticketing solution: V/Line commuter belt completion</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szCs w:val="22"/>
                <w:lang w:eastAsia="en-AU"/>
              </w:rPr>
            </w:pPr>
            <w:r w:rsidRPr="00B068A0">
              <w:rPr>
                <w:szCs w:val="22"/>
                <w:lang w:eastAsia="en-AU"/>
              </w:rPr>
              <w:t>date</w:t>
            </w: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szCs w:val="22"/>
                <w:lang w:eastAsia="en-AU"/>
              </w:rPr>
            </w:pPr>
            <w:r w:rsidRPr="00B068A0">
              <w:rPr>
                <w:szCs w:val="22"/>
                <w:lang w:eastAsia="en-AU"/>
              </w:rPr>
              <w:t>na</w:t>
            </w: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qtr 4</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qtr 4</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nm</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center"/>
            <w:hideMark/>
          </w:tcPr>
          <w:p w:rsidR="00B958B1" w:rsidRPr="003B3916" w:rsidRDefault="00B958B1" w:rsidP="009F3B54">
            <w:pPr>
              <w:pStyle w:val="OGNotes"/>
            </w:pPr>
            <w:r w:rsidRPr="00B068A0">
              <w:t>This performance measure is proposed to be discontinued as it is expected to be completed in 2012</w:t>
            </w:r>
            <w:r w:rsidR="009F0F49">
              <w:noBreakHyphen/>
            </w:r>
            <w:r w:rsidRPr="00B068A0">
              <w:t>13.</w:t>
            </w:r>
          </w:p>
        </w:tc>
      </w:tr>
      <w:tr w:rsidR="00B958B1" w:rsidRPr="00B068A0" w:rsidTr="009F3B54">
        <w:trPr>
          <w:cantSplit/>
        </w:trPr>
        <w:tc>
          <w:tcPr>
            <w:tcW w:w="3154" w:type="dxa"/>
            <w:tcBorders>
              <w:top w:val="single" w:sz="6" w:space="0" w:color="auto"/>
              <w:left w:val="nil"/>
              <w:bottom w:val="nil"/>
              <w:right w:val="nil"/>
            </w:tcBorders>
            <w:shd w:val="clear" w:color="auto" w:fill="auto"/>
            <w:vAlign w:val="center"/>
            <w:hideMark/>
          </w:tcPr>
          <w:p w:rsidR="00B958B1" w:rsidRPr="00B068A0" w:rsidRDefault="00B958B1" w:rsidP="009F3B54">
            <w:pPr>
              <w:pStyle w:val="OGTabText"/>
              <w:rPr>
                <w:szCs w:val="22"/>
                <w:lang w:eastAsia="en-AU"/>
              </w:rPr>
            </w:pPr>
            <w:r w:rsidRPr="00B068A0">
              <w:rPr>
                <w:szCs w:val="22"/>
                <w:lang w:eastAsia="en-AU"/>
              </w:rPr>
              <w:t>Metrol Replacement: existing reporting Train Operation Performance System (TOPS) replaced</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szCs w:val="22"/>
                <w:lang w:eastAsia="en-AU"/>
              </w:rPr>
            </w:pPr>
            <w:r w:rsidRPr="00B068A0">
              <w:rPr>
                <w:szCs w:val="22"/>
                <w:lang w:eastAsia="en-AU"/>
              </w:rPr>
              <w:t>date</w:t>
            </w: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szCs w:val="22"/>
                <w:lang w:eastAsia="en-AU"/>
              </w:rPr>
            </w:pPr>
            <w:r w:rsidRPr="00B068A0">
              <w:rPr>
                <w:szCs w:val="22"/>
                <w:lang w:eastAsia="en-AU"/>
              </w:rPr>
              <w:t>na</w:t>
            </w: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qtr 4</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qtr 3</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na</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center"/>
            <w:hideMark/>
          </w:tcPr>
          <w:p w:rsidR="00B958B1" w:rsidRDefault="00B958B1" w:rsidP="009F3B54">
            <w:pPr>
              <w:pStyle w:val="OGNotes"/>
            </w:pPr>
            <w:r w:rsidRPr="00B068A0">
              <w:t>This performance measure is proposed to be discontinued as it is expected to be completed in 2012</w:t>
            </w:r>
            <w:r w:rsidR="009F0F49">
              <w:noBreakHyphen/>
            </w:r>
            <w:r w:rsidRPr="00B068A0">
              <w:t>13.</w:t>
            </w:r>
          </w:p>
          <w:p w:rsidR="00B958B1" w:rsidRPr="00B068A0" w:rsidRDefault="00B958B1" w:rsidP="009F3B54">
            <w:pPr>
              <w:pStyle w:val="OGNotes"/>
              <w:rPr>
                <w:iCs/>
                <w:sz w:val="16"/>
                <w:szCs w:val="16"/>
              </w:rPr>
            </w:pPr>
            <w:r w:rsidRPr="00B068A0">
              <w:t>The 2012</w:t>
            </w:r>
            <w:r w:rsidR="009F0F49">
              <w:noBreakHyphen/>
            </w:r>
            <w:r w:rsidRPr="00B068A0">
              <w:t>13 Expected Outcome is later than the 2012</w:t>
            </w:r>
            <w:r w:rsidR="009F0F49">
              <w:noBreakHyphen/>
            </w:r>
            <w:r w:rsidRPr="00B068A0">
              <w:t>13 Target due to design modifications required to equipment.</w:t>
            </w:r>
          </w:p>
        </w:tc>
      </w:tr>
      <w:tr w:rsidR="00B958B1" w:rsidRPr="00B068A0" w:rsidTr="009F3B54">
        <w:trPr>
          <w:cantSplit/>
        </w:trPr>
        <w:tc>
          <w:tcPr>
            <w:tcW w:w="3154" w:type="dxa"/>
            <w:tcBorders>
              <w:top w:val="single" w:sz="6" w:space="0" w:color="auto"/>
              <w:left w:val="nil"/>
              <w:bottom w:val="nil"/>
              <w:right w:val="nil"/>
            </w:tcBorders>
            <w:shd w:val="clear" w:color="auto" w:fill="auto"/>
            <w:vAlign w:val="center"/>
            <w:hideMark/>
          </w:tcPr>
          <w:p w:rsidR="00B958B1" w:rsidRPr="00B068A0" w:rsidRDefault="00B958B1" w:rsidP="009F3B54">
            <w:pPr>
              <w:pStyle w:val="OGTabText"/>
              <w:rPr>
                <w:szCs w:val="22"/>
                <w:lang w:eastAsia="en-AU"/>
              </w:rPr>
            </w:pPr>
            <w:r w:rsidRPr="00B068A0">
              <w:rPr>
                <w:szCs w:val="22"/>
                <w:lang w:eastAsia="en-AU"/>
              </w:rPr>
              <w:t>Regional train: procurement of new rail carriages – contract awarded</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szCs w:val="22"/>
                <w:lang w:eastAsia="en-AU"/>
              </w:rPr>
            </w:pPr>
            <w:r w:rsidRPr="00B068A0">
              <w:rPr>
                <w:szCs w:val="22"/>
                <w:lang w:eastAsia="en-AU"/>
              </w:rPr>
              <w:t>date</w:t>
            </w: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szCs w:val="22"/>
                <w:lang w:eastAsia="en-AU"/>
              </w:rPr>
            </w:pPr>
            <w:r w:rsidRPr="00B068A0">
              <w:rPr>
                <w:szCs w:val="22"/>
                <w:lang w:eastAsia="en-AU"/>
              </w:rPr>
              <w:t>na</w:t>
            </w: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qtr 2</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qtr 2</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nm</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center"/>
            <w:hideMark/>
          </w:tcPr>
          <w:p w:rsidR="00B958B1" w:rsidRPr="00B068A0" w:rsidRDefault="00B958B1" w:rsidP="009F3B54">
            <w:pPr>
              <w:pStyle w:val="OGNotes"/>
              <w:rPr>
                <w:iCs/>
                <w:sz w:val="16"/>
                <w:szCs w:val="16"/>
              </w:rPr>
            </w:pPr>
            <w:r w:rsidRPr="00B068A0">
              <w:t>This performance measure is proposed to be discontinued as it has been completed in 2012</w:t>
            </w:r>
            <w:r w:rsidR="009F0F49">
              <w:noBreakHyphen/>
            </w:r>
            <w:r w:rsidRPr="00B068A0">
              <w:t>13.</w:t>
            </w:r>
          </w:p>
        </w:tc>
      </w:tr>
      <w:tr w:rsidR="00B958B1" w:rsidRPr="00B068A0" w:rsidTr="009F3B54">
        <w:trPr>
          <w:cantSplit/>
        </w:trPr>
        <w:tc>
          <w:tcPr>
            <w:tcW w:w="3154" w:type="dxa"/>
            <w:tcBorders>
              <w:top w:val="single" w:sz="6" w:space="0" w:color="auto"/>
              <w:left w:val="nil"/>
              <w:bottom w:val="nil"/>
              <w:right w:val="nil"/>
            </w:tcBorders>
            <w:shd w:val="clear" w:color="auto" w:fill="auto"/>
            <w:vAlign w:val="center"/>
            <w:hideMark/>
          </w:tcPr>
          <w:p w:rsidR="00B958B1" w:rsidRPr="00B068A0" w:rsidRDefault="00B958B1" w:rsidP="009F3B54">
            <w:pPr>
              <w:pStyle w:val="OGTabText"/>
              <w:rPr>
                <w:szCs w:val="22"/>
                <w:lang w:eastAsia="en-AU"/>
              </w:rPr>
            </w:pPr>
            <w:r w:rsidRPr="00B068A0">
              <w:rPr>
                <w:szCs w:val="22"/>
                <w:lang w:eastAsia="en-AU"/>
              </w:rPr>
              <w:t>Sunbury Electrification: construction completed</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szCs w:val="22"/>
                <w:lang w:eastAsia="en-AU"/>
              </w:rPr>
            </w:pPr>
            <w:r w:rsidRPr="00B068A0">
              <w:rPr>
                <w:szCs w:val="22"/>
                <w:lang w:eastAsia="en-AU"/>
              </w:rPr>
              <w:t>date</w:t>
            </w: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szCs w:val="22"/>
                <w:lang w:eastAsia="en-AU"/>
              </w:rPr>
            </w:pPr>
            <w:r w:rsidRPr="00B068A0">
              <w:rPr>
                <w:szCs w:val="22"/>
                <w:lang w:eastAsia="en-AU"/>
              </w:rPr>
              <w:t>na</w:t>
            </w: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qtr 2</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qtr 1</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na</w:t>
            </w:r>
          </w:p>
        </w:tc>
      </w:tr>
      <w:tr w:rsidR="00B958B1" w:rsidRPr="00B068A0"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Default="00B958B1" w:rsidP="009F3B54">
            <w:pPr>
              <w:pStyle w:val="OGNotes"/>
            </w:pPr>
            <w:r w:rsidRPr="00B068A0">
              <w:t>This performance measure is proposed to be discontinued as it has been completed in 2012</w:t>
            </w:r>
            <w:r w:rsidR="009F0F49">
              <w:noBreakHyphen/>
            </w:r>
            <w:r w:rsidRPr="00B068A0">
              <w:t xml:space="preserve">13. </w:t>
            </w:r>
          </w:p>
          <w:p w:rsidR="00B958B1" w:rsidRPr="003B3916" w:rsidRDefault="00B958B1" w:rsidP="009F3B54">
            <w:pPr>
              <w:pStyle w:val="OGNotes"/>
            </w:pPr>
            <w:r w:rsidRPr="00B068A0">
              <w:t>The 2012</w:t>
            </w:r>
            <w:r w:rsidR="009F0F49">
              <w:noBreakHyphen/>
            </w:r>
            <w:r w:rsidRPr="00B068A0">
              <w:t>13 Expected Outcome is later than the 2012</w:t>
            </w:r>
            <w:r w:rsidR="009F0F49">
              <w:noBreakHyphen/>
            </w:r>
            <w:r w:rsidRPr="00B068A0">
              <w:t>13 Target due to some minor defects that required rectification.</w:t>
            </w:r>
          </w:p>
        </w:tc>
      </w:tr>
      <w:tr w:rsidR="00B958B1" w:rsidRPr="00B068A0" w:rsidTr="009F3B54">
        <w:trPr>
          <w:cantSplit/>
        </w:trPr>
        <w:tc>
          <w:tcPr>
            <w:tcW w:w="7776" w:type="dxa"/>
            <w:gridSpan w:val="6"/>
            <w:tcBorders>
              <w:top w:val="nil"/>
              <w:left w:val="nil"/>
              <w:bottom w:val="nil"/>
              <w:right w:val="nil"/>
            </w:tcBorders>
            <w:shd w:val="clear" w:color="auto" w:fill="auto"/>
            <w:vAlign w:val="bottom"/>
            <w:hideMark/>
          </w:tcPr>
          <w:p w:rsidR="00B958B1" w:rsidRPr="00B068A0" w:rsidRDefault="00B958B1" w:rsidP="009F3B54">
            <w:pPr>
              <w:pStyle w:val="OGHeading2"/>
              <w:keepLines/>
              <w:spacing w:before="30" w:after="30"/>
              <w:rPr>
                <w:lang w:eastAsia="en-AU"/>
              </w:rPr>
            </w:pPr>
            <w:r w:rsidRPr="00B068A0">
              <w:rPr>
                <w:lang w:eastAsia="en-AU"/>
              </w:rPr>
              <w:t>Road Network Improvements</w:t>
            </w:r>
          </w:p>
        </w:tc>
      </w:tr>
      <w:tr w:rsidR="00B958B1" w:rsidRPr="00B068A0" w:rsidTr="009F3B54">
        <w:trPr>
          <w:cantSplit/>
        </w:trPr>
        <w:tc>
          <w:tcPr>
            <w:tcW w:w="3154" w:type="dxa"/>
            <w:tcBorders>
              <w:top w:val="single" w:sz="6" w:space="0" w:color="auto"/>
              <w:left w:val="nil"/>
              <w:bottom w:val="nil"/>
              <w:right w:val="nil"/>
            </w:tcBorders>
            <w:shd w:val="clear" w:color="auto" w:fill="auto"/>
            <w:vAlign w:val="bottom"/>
            <w:hideMark/>
          </w:tcPr>
          <w:p w:rsidR="00B958B1" w:rsidRPr="00B068A0" w:rsidRDefault="00B958B1" w:rsidP="009F3B54">
            <w:pPr>
              <w:pStyle w:val="OGTabHead"/>
              <w:rPr>
                <w:lang w:eastAsia="en-AU"/>
              </w:rPr>
            </w:pPr>
            <w:r w:rsidRPr="00B068A0">
              <w:rPr>
                <w:lang w:eastAsia="en-AU"/>
              </w:rPr>
              <w:t>Timeliness</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lang w:eastAsia="en-AU"/>
              </w:rPr>
            </w:pP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r>
      <w:tr w:rsidR="00B958B1" w:rsidRPr="00B068A0" w:rsidTr="009F3B54">
        <w:trPr>
          <w:cantSplit/>
        </w:trPr>
        <w:tc>
          <w:tcPr>
            <w:tcW w:w="3154" w:type="dxa"/>
            <w:tcBorders>
              <w:top w:val="nil"/>
              <w:left w:val="nil"/>
              <w:bottom w:val="nil"/>
              <w:right w:val="nil"/>
            </w:tcBorders>
            <w:shd w:val="clear" w:color="000000" w:fill="FFFFFF"/>
            <w:hideMark/>
          </w:tcPr>
          <w:p w:rsidR="00B958B1" w:rsidRPr="00B068A0" w:rsidRDefault="00B958B1" w:rsidP="009F3B54">
            <w:pPr>
              <w:pStyle w:val="OGTabText"/>
              <w:rPr>
                <w:lang w:eastAsia="en-AU"/>
              </w:rPr>
            </w:pPr>
            <w:r w:rsidRPr="00B068A0">
              <w:rPr>
                <w:lang w:eastAsia="en-AU"/>
              </w:rPr>
              <w:t>Peninsula Link: major design and construction milestones reviewed and reported</w:t>
            </w:r>
          </w:p>
        </w:tc>
        <w:tc>
          <w:tcPr>
            <w:tcW w:w="907" w:type="dxa"/>
            <w:tcBorders>
              <w:top w:val="nil"/>
              <w:left w:val="nil"/>
              <w:bottom w:val="nil"/>
              <w:right w:val="nil"/>
            </w:tcBorders>
            <w:shd w:val="clear" w:color="000000" w:fill="FFFFFF"/>
            <w:hideMark/>
          </w:tcPr>
          <w:p w:rsidR="00B958B1" w:rsidRPr="00B068A0" w:rsidRDefault="00B958B1" w:rsidP="009F3B54">
            <w:pPr>
              <w:pStyle w:val="OGUoM"/>
              <w:rPr>
                <w:lang w:eastAsia="en-AU"/>
              </w:rPr>
            </w:pPr>
            <w:r>
              <w:rPr>
                <w:lang w:eastAsia="en-AU"/>
              </w:rPr>
              <w:t>per cent</w:t>
            </w:r>
          </w:p>
        </w:tc>
        <w:tc>
          <w:tcPr>
            <w:tcW w:w="907" w:type="dxa"/>
            <w:tcBorders>
              <w:top w:val="nil"/>
              <w:left w:val="nil"/>
              <w:bottom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na</w:t>
            </w:r>
          </w:p>
        </w:tc>
        <w:tc>
          <w:tcPr>
            <w:tcW w:w="994"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B068A0" w:rsidRDefault="00B958B1" w:rsidP="009F3B54">
            <w:pPr>
              <w:pStyle w:val="OGNotes"/>
            </w:pPr>
            <w:r w:rsidRPr="00B068A0">
              <w:t>This performance measure is proposed to be discontinued as it has been completed in 2012</w:t>
            </w:r>
            <w:r w:rsidR="009F0F49">
              <w:noBreakHyphen/>
            </w:r>
            <w:r w:rsidRPr="00B068A0">
              <w:t>13.</w:t>
            </w:r>
          </w:p>
        </w:tc>
      </w:tr>
      <w:tr w:rsidR="00B958B1" w:rsidRPr="00B068A0" w:rsidTr="009F3B54">
        <w:trPr>
          <w:cantSplit/>
        </w:trPr>
        <w:tc>
          <w:tcPr>
            <w:tcW w:w="7776" w:type="dxa"/>
            <w:gridSpan w:val="6"/>
            <w:tcBorders>
              <w:top w:val="single" w:sz="8" w:space="0" w:color="auto"/>
              <w:left w:val="nil"/>
              <w:bottom w:val="single" w:sz="6" w:space="0" w:color="auto"/>
              <w:right w:val="nil"/>
            </w:tcBorders>
            <w:shd w:val="clear" w:color="auto" w:fill="auto"/>
            <w:vAlign w:val="center"/>
            <w:hideMark/>
          </w:tcPr>
          <w:p w:rsidR="00B958B1" w:rsidRPr="003B3916" w:rsidRDefault="00B958B1" w:rsidP="009F3B54">
            <w:pPr>
              <w:pStyle w:val="OGHeading2"/>
            </w:pPr>
            <w:r>
              <w:rPr>
                <w:lang w:eastAsia="en-AU"/>
              </w:rPr>
              <w:t>Ports and Freight Network Improvements and Maintenance</w:t>
            </w:r>
          </w:p>
        </w:tc>
      </w:tr>
      <w:tr w:rsidR="00B958B1" w:rsidRPr="00B068A0" w:rsidTr="009F3B54">
        <w:trPr>
          <w:cantSplit/>
        </w:trPr>
        <w:tc>
          <w:tcPr>
            <w:tcW w:w="3154" w:type="dxa"/>
            <w:tcBorders>
              <w:top w:val="single" w:sz="6" w:space="0" w:color="auto"/>
              <w:left w:val="nil"/>
              <w:bottom w:val="nil"/>
              <w:right w:val="nil"/>
            </w:tcBorders>
            <w:shd w:val="clear" w:color="auto" w:fill="auto"/>
            <w:vAlign w:val="center"/>
            <w:hideMark/>
          </w:tcPr>
          <w:p w:rsidR="00B958B1" w:rsidRPr="00B068A0" w:rsidRDefault="00B958B1" w:rsidP="009F3B54">
            <w:pPr>
              <w:pStyle w:val="OGTabHead"/>
              <w:rPr>
                <w:lang w:eastAsia="en-AU"/>
              </w:rPr>
            </w:pPr>
            <w:r w:rsidRPr="00B068A0">
              <w:rPr>
                <w:lang w:eastAsia="en-AU"/>
              </w:rPr>
              <w:t>Quantity</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szCs w:val="22"/>
                <w:lang w:eastAsia="en-AU"/>
              </w:rPr>
            </w:pP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szCs w:val="22"/>
                <w:lang w:eastAsia="en-AU"/>
              </w:rPr>
            </w:pP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p>
        </w:tc>
      </w:tr>
      <w:tr w:rsidR="00B958B1" w:rsidRPr="00B068A0" w:rsidTr="009F3B54">
        <w:trPr>
          <w:cantSplit/>
        </w:trPr>
        <w:tc>
          <w:tcPr>
            <w:tcW w:w="3154" w:type="dxa"/>
            <w:tcBorders>
              <w:top w:val="nil"/>
              <w:left w:val="nil"/>
              <w:bottom w:val="nil"/>
              <w:right w:val="nil"/>
            </w:tcBorders>
            <w:shd w:val="clear" w:color="auto" w:fill="auto"/>
            <w:vAlign w:val="center"/>
            <w:hideMark/>
          </w:tcPr>
          <w:p w:rsidR="00B958B1" w:rsidRPr="00B068A0" w:rsidRDefault="00B958B1" w:rsidP="009F3B54">
            <w:pPr>
              <w:pStyle w:val="OGTabText"/>
              <w:rPr>
                <w:szCs w:val="22"/>
                <w:lang w:eastAsia="en-AU"/>
              </w:rPr>
            </w:pPr>
            <w:r w:rsidRPr="00B068A0">
              <w:rPr>
                <w:szCs w:val="22"/>
                <w:lang w:eastAsia="en-AU"/>
              </w:rPr>
              <w:t>Port of Hastings: planning and development progressed</w:t>
            </w:r>
          </w:p>
        </w:tc>
        <w:tc>
          <w:tcPr>
            <w:tcW w:w="907" w:type="dxa"/>
            <w:tcBorders>
              <w:top w:val="nil"/>
              <w:left w:val="nil"/>
              <w:bottom w:val="nil"/>
              <w:right w:val="nil"/>
            </w:tcBorders>
            <w:shd w:val="clear" w:color="auto" w:fill="auto"/>
            <w:noWrap/>
            <w:hideMark/>
          </w:tcPr>
          <w:p w:rsidR="00B958B1" w:rsidRPr="00B068A0" w:rsidRDefault="00B958B1" w:rsidP="009F3B54">
            <w:pPr>
              <w:pStyle w:val="OGUoM"/>
              <w:rPr>
                <w:szCs w:val="22"/>
                <w:lang w:eastAsia="en-AU"/>
              </w:rPr>
            </w:pPr>
            <w:r w:rsidRPr="00B068A0">
              <w:rPr>
                <w:szCs w:val="22"/>
                <w:lang w:eastAsia="en-AU"/>
              </w:rPr>
              <w:t>number</w:t>
            </w:r>
          </w:p>
        </w:tc>
        <w:tc>
          <w:tcPr>
            <w:tcW w:w="907" w:type="dxa"/>
            <w:tcBorders>
              <w:top w:val="nil"/>
              <w:left w:val="nil"/>
              <w:bottom w:val="nil"/>
              <w:right w:val="nil"/>
            </w:tcBorders>
            <w:shd w:val="clear" w:color="auto" w:fill="D9D9D9"/>
            <w:noWrap/>
            <w:hideMark/>
          </w:tcPr>
          <w:p w:rsidR="00B958B1" w:rsidRPr="00B068A0" w:rsidRDefault="00B958B1" w:rsidP="009F3B54">
            <w:pPr>
              <w:pStyle w:val="OGTableofFigures"/>
              <w:rPr>
                <w:szCs w:val="22"/>
                <w:lang w:eastAsia="en-AU"/>
              </w:rPr>
            </w:pPr>
            <w:r w:rsidRPr="00B068A0">
              <w:rPr>
                <w:szCs w:val="22"/>
                <w:lang w:eastAsia="en-AU"/>
              </w:rPr>
              <w:t>1</w:t>
            </w:r>
          </w:p>
        </w:tc>
        <w:tc>
          <w:tcPr>
            <w:tcW w:w="994" w:type="dxa"/>
            <w:tcBorders>
              <w:top w:val="nil"/>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1</w:t>
            </w:r>
          </w:p>
        </w:tc>
        <w:tc>
          <w:tcPr>
            <w:tcW w:w="907" w:type="dxa"/>
            <w:tcBorders>
              <w:top w:val="nil"/>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1</w:t>
            </w:r>
          </w:p>
        </w:tc>
        <w:tc>
          <w:tcPr>
            <w:tcW w:w="907" w:type="dxa"/>
            <w:tcBorders>
              <w:top w:val="nil"/>
              <w:left w:val="nil"/>
              <w:bottom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nm</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center"/>
            <w:hideMark/>
          </w:tcPr>
          <w:p w:rsidR="00B958B1" w:rsidRPr="003B3916" w:rsidRDefault="00B958B1" w:rsidP="009F3B54">
            <w:pPr>
              <w:pStyle w:val="OGNotes"/>
            </w:pPr>
            <w:r w:rsidRPr="00B068A0">
              <w:t>This performance measure is proposed to be discontinued and replaced by the 2013</w:t>
            </w:r>
            <w:r w:rsidR="009F0F49">
              <w:noBreakHyphen/>
            </w:r>
            <w:r w:rsidRPr="00B068A0">
              <w:t xml:space="preserve">14 performance measure </w:t>
            </w:r>
            <w:r>
              <w:t>‘</w:t>
            </w:r>
            <w:r w:rsidRPr="00B068A0">
              <w:t>Planning projects for major transport infrastructure requiring Commonwealth funding</w:t>
            </w:r>
            <w:r>
              <w:t>’</w:t>
            </w:r>
            <w:r w:rsidRPr="00B068A0">
              <w:t xml:space="preserve"> to provide a more integrated representation of planning activities undertaken by the department together with the Commonwealth.</w:t>
            </w:r>
          </w:p>
        </w:tc>
      </w:tr>
      <w:tr w:rsidR="00B958B1" w:rsidRPr="00B068A0" w:rsidTr="009F3B54">
        <w:trPr>
          <w:cantSplit/>
        </w:trPr>
        <w:tc>
          <w:tcPr>
            <w:tcW w:w="3154" w:type="dxa"/>
            <w:tcBorders>
              <w:top w:val="single" w:sz="6" w:space="0" w:color="auto"/>
              <w:left w:val="nil"/>
              <w:bottom w:val="nil"/>
              <w:right w:val="nil"/>
            </w:tcBorders>
            <w:shd w:val="clear" w:color="auto" w:fill="auto"/>
            <w:vAlign w:val="center"/>
            <w:hideMark/>
          </w:tcPr>
          <w:p w:rsidR="00B958B1" w:rsidRPr="00B068A0" w:rsidRDefault="00B958B1" w:rsidP="009F3B54">
            <w:pPr>
              <w:pStyle w:val="OGTabHead"/>
              <w:pageBreakBefore/>
              <w:rPr>
                <w:lang w:eastAsia="en-AU"/>
              </w:rPr>
            </w:pPr>
            <w:r w:rsidRPr="00B068A0">
              <w:rPr>
                <w:lang w:eastAsia="en-AU"/>
              </w:rPr>
              <w:t>Timeliness</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szCs w:val="22"/>
                <w:lang w:eastAsia="en-AU"/>
              </w:rPr>
            </w:pP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szCs w:val="22"/>
                <w:lang w:eastAsia="en-AU"/>
              </w:rPr>
            </w:pP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szCs w:val="22"/>
                <w:lang w:eastAsia="en-AU"/>
              </w:rPr>
            </w:pPr>
          </w:p>
        </w:tc>
      </w:tr>
      <w:tr w:rsidR="00B958B1" w:rsidRPr="00B068A0" w:rsidTr="009F3B54">
        <w:trPr>
          <w:cantSplit/>
        </w:trPr>
        <w:tc>
          <w:tcPr>
            <w:tcW w:w="3154" w:type="dxa"/>
            <w:tcBorders>
              <w:top w:val="nil"/>
              <w:left w:val="nil"/>
              <w:right w:val="nil"/>
            </w:tcBorders>
            <w:shd w:val="clear" w:color="auto" w:fill="auto"/>
            <w:vAlign w:val="center"/>
            <w:hideMark/>
          </w:tcPr>
          <w:p w:rsidR="00B958B1" w:rsidRPr="00B068A0" w:rsidRDefault="00B958B1" w:rsidP="009F3B54">
            <w:pPr>
              <w:pStyle w:val="OGTabText"/>
              <w:rPr>
                <w:szCs w:val="22"/>
                <w:lang w:eastAsia="en-AU"/>
              </w:rPr>
            </w:pPr>
            <w:r w:rsidRPr="00B068A0">
              <w:rPr>
                <w:szCs w:val="22"/>
                <w:lang w:eastAsia="en-AU"/>
              </w:rPr>
              <w:t>Development of the Victorian Freight and Logistics Plan completed</w:t>
            </w:r>
          </w:p>
        </w:tc>
        <w:tc>
          <w:tcPr>
            <w:tcW w:w="907" w:type="dxa"/>
            <w:tcBorders>
              <w:top w:val="nil"/>
              <w:left w:val="nil"/>
              <w:right w:val="nil"/>
            </w:tcBorders>
            <w:shd w:val="clear" w:color="auto" w:fill="auto"/>
            <w:noWrap/>
            <w:hideMark/>
          </w:tcPr>
          <w:p w:rsidR="00B958B1" w:rsidRPr="00B068A0" w:rsidRDefault="00B958B1" w:rsidP="009F3B54">
            <w:pPr>
              <w:pStyle w:val="OGUoM"/>
              <w:rPr>
                <w:szCs w:val="22"/>
                <w:lang w:eastAsia="en-AU"/>
              </w:rPr>
            </w:pPr>
            <w:r w:rsidRPr="00B068A0">
              <w:rPr>
                <w:szCs w:val="22"/>
                <w:lang w:eastAsia="en-AU"/>
              </w:rPr>
              <w:t>date</w:t>
            </w:r>
          </w:p>
        </w:tc>
        <w:tc>
          <w:tcPr>
            <w:tcW w:w="907" w:type="dxa"/>
            <w:tcBorders>
              <w:top w:val="nil"/>
              <w:left w:val="nil"/>
              <w:right w:val="nil"/>
            </w:tcBorders>
            <w:shd w:val="clear" w:color="auto" w:fill="D9D9D9"/>
            <w:noWrap/>
            <w:hideMark/>
          </w:tcPr>
          <w:p w:rsidR="00B958B1" w:rsidRPr="00B068A0" w:rsidRDefault="00B958B1" w:rsidP="009F3B54">
            <w:pPr>
              <w:pStyle w:val="OGTableofFigures"/>
              <w:rPr>
                <w:szCs w:val="22"/>
                <w:lang w:eastAsia="en-AU"/>
              </w:rPr>
            </w:pPr>
            <w:r w:rsidRPr="00B068A0">
              <w:rPr>
                <w:szCs w:val="22"/>
                <w:lang w:eastAsia="en-AU"/>
              </w:rPr>
              <w:t>na</w:t>
            </w:r>
          </w:p>
        </w:tc>
        <w:tc>
          <w:tcPr>
            <w:tcW w:w="994" w:type="dxa"/>
            <w:tcBorders>
              <w:top w:val="nil"/>
              <w:left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qtr 4</w:t>
            </w:r>
          </w:p>
        </w:tc>
        <w:tc>
          <w:tcPr>
            <w:tcW w:w="907" w:type="dxa"/>
            <w:tcBorders>
              <w:top w:val="nil"/>
              <w:left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qtr 3</w:t>
            </w:r>
          </w:p>
        </w:tc>
        <w:tc>
          <w:tcPr>
            <w:tcW w:w="907" w:type="dxa"/>
            <w:tcBorders>
              <w:top w:val="nil"/>
              <w:left w:val="nil"/>
              <w:right w:val="nil"/>
            </w:tcBorders>
            <w:shd w:val="clear" w:color="auto" w:fill="auto"/>
            <w:noWrap/>
            <w:hideMark/>
          </w:tcPr>
          <w:p w:rsidR="00B958B1" w:rsidRPr="00B068A0" w:rsidRDefault="00B958B1" w:rsidP="009F3B54">
            <w:pPr>
              <w:pStyle w:val="OGTableofFigures"/>
              <w:rPr>
                <w:szCs w:val="22"/>
                <w:lang w:eastAsia="en-AU"/>
              </w:rPr>
            </w:pPr>
            <w:r w:rsidRPr="00B068A0">
              <w:rPr>
                <w:szCs w:val="22"/>
                <w:lang w:eastAsia="en-AU"/>
              </w:rPr>
              <w:t>nm</w:t>
            </w:r>
          </w:p>
        </w:tc>
      </w:tr>
      <w:tr w:rsidR="00B958B1" w:rsidRPr="00B068A0" w:rsidTr="009F3B54">
        <w:trPr>
          <w:cantSplit/>
        </w:trPr>
        <w:tc>
          <w:tcPr>
            <w:tcW w:w="7776" w:type="dxa"/>
            <w:gridSpan w:val="6"/>
            <w:tcBorders>
              <w:top w:val="nil"/>
              <w:left w:val="nil"/>
              <w:bottom w:val="single" w:sz="8" w:space="0" w:color="auto"/>
              <w:right w:val="nil"/>
            </w:tcBorders>
            <w:shd w:val="clear" w:color="auto" w:fill="auto"/>
            <w:vAlign w:val="center"/>
            <w:hideMark/>
          </w:tcPr>
          <w:p w:rsidR="00B958B1" w:rsidRDefault="00B958B1" w:rsidP="009F3B54">
            <w:pPr>
              <w:pStyle w:val="OGNotes"/>
            </w:pPr>
            <w:r w:rsidRPr="00B068A0">
              <w:t>This performance measure is proposed to be discontinued as the plan is expected to be completed in 2012</w:t>
            </w:r>
            <w:r w:rsidR="009F0F49">
              <w:noBreakHyphen/>
            </w:r>
            <w:r w:rsidRPr="00B068A0">
              <w:t>13.</w:t>
            </w:r>
          </w:p>
          <w:p w:rsidR="00B958B1" w:rsidRPr="00B068A0" w:rsidRDefault="00B958B1" w:rsidP="009F3B54">
            <w:pPr>
              <w:pStyle w:val="OGNotes"/>
              <w:rPr>
                <w:iCs/>
                <w:sz w:val="16"/>
                <w:szCs w:val="16"/>
              </w:rPr>
            </w:pPr>
            <w:r w:rsidRPr="00B068A0">
              <w:t>The 2012</w:t>
            </w:r>
            <w:r w:rsidR="009F0F49">
              <w:noBreakHyphen/>
            </w:r>
            <w:r w:rsidRPr="00B068A0">
              <w:t>13 Expected Outcome is later than the 2012</w:t>
            </w:r>
            <w:r w:rsidR="009F0F49">
              <w:noBreakHyphen/>
            </w:r>
            <w:r>
              <w:t>13 Target due to consideration of</w:t>
            </w:r>
            <w:r w:rsidRPr="00B068A0">
              <w:t xml:space="preserve"> the Victorian Freight and</w:t>
            </w:r>
            <w:r>
              <w:t xml:space="preserve"> Logistics Plan by</w:t>
            </w:r>
            <w:r w:rsidRPr="00B068A0">
              <w:t xml:space="preserve"> Government.</w:t>
            </w:r>
          </w:p>
        </w:tc>
      </w:tr>
      <w:tr w:rsidR="00B958B1" w:rsidRPr="00B068A0" w:rsidTr="009F3B54">
        <w:trPr>
          <w:cantSplit/>
        </w:trPr>
        <w:tc>
          <w:tcPr>
            <w:tcW w:w="7776" w:type="dxa"/>
            <w:gridSpan w:val="6"/>
            <w:tcBorders>
              <w:top w:val="single" w:sz="8" w:space="0" w:color="auto"/>
              <w:left w:val="nil"/>
              <w:bottom w:val="nil"/>
              <w:right w:val="nil"/>
            </w:tcBorders>
            <w:shd w:val="clear" w:color="auto" w:fill="auto"/>
            <w:vAlign w:val="bottom"/>
            <w:hideMark/>
          </w:tcPr>
          <w:p w:rsidR="00B958B1" w:rsidRPr="00B068A0" w:rsidRDefault="00B958B1" w:rsidP="009F3B54">
            <w:pPr>
              <w:pStyle w:val="OGHeading2"/>
              <w:keepLines/>
              <w:spacing w:before="30" w:after="30"/>
              <w:rPr>
                <w:lang w:eastAsia="en-AU"/>
              </w:rPr>
            </w:pPr>
            <w:r w:rsidRPr="00B068A0">
              <w:rPr>
                <w:lang w:eastAsia="en-AU"/>
              </w:rPr>
              <w:t>Planning</w:t>
            </w:r>
            <w:r>
              <w:rPr>
                <w:lang w:eastAsia="en-AU"/>
              </w:rPr>
              <w:t>,</w:t>
            </w:r>
            <w:r w:rsidRPr="00B068A0">
              <w:rPr>
                <w:lang w:eastAsia="en-AU"/>
              </w:rPr>
              <w:t xml:space="preserve"> Building and Heritage</w:t>
            </w:r>
          </w:p>
        </w:tc>
      </w:tr>
      <w:tr w:rsidR="00B958B1" w:rsidRPr="00B068A0" w:rsidTr="009F3B54">
        <w:trPr>
          <w:cantSplit/>
        </w:trPr>
        <w:tc>
          <w:tcPr>
            <w:tcW w:w="3154" w:type="dxa"/>
            <w:tcBorders>
              <w:top w:val="single" w:sz="6" w:space="0" w:color="auto"/>
              <w:left w:val="nil"/>
              <w:bottom w:val="nil"/>
              <w:right w:val="nil"/>
            </w:tcBorders>
            <w:shd w:val="clear" w:color="auto" w:fill="auto"/>
            <w:vAlign w:val="bottom"/>
            <w:hideMark/>
          </w:tcPr>
          <w:p w:rsidR="00B958B1" w:rsidRPr="00B068A0" w:rsidRDefault="00B958B1" w:rsidP="009F3B54">
            <w:pPr>
              <w:pStyle w:val="OGTabHead"/>
              <w:rPr>
                <w:lang w:eastAsia="en-AU"/>
              </w:rPr>
            </w:pPr>
            <w:r w:rsidRPr="00B068A0">
              <w:rPr>
                <w:lang w:eastAsia="en-AU"/>
              </w:rPr>
              <w:t>Quantity</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keepNext/>
              <w:rPr>
                <w:lang w:eastAsia="en-AU"/>
              </w:rPr>
            </w:pP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keepNext/>
              <w:rPr>
                <w:lang w:eastAsia="en-AU"/>
              </w:rPr>
            </w:pP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keepNext/>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keepNext/>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keepNext/>
              <w:rPr>
                <w:lang w:eastAsia="en-AU"/>
              </w:rPr>
            </w:pPr>
          </w:p>
        </w:tc>
      </w:tr>
      <w:tr w:rsidR="00B958B1" w:rsidRPr="00B068A0" w:rsidTr="009F3B54">
        <w:trPr>
          <w:cantSplit/>
        </w:trPr>
        <w:tc>
          <w:tcPr>
            <w:tcW w:w="3154" w:type="dxa"/>
            <w:tcBorders>
              <w:top w:val="nil"/>
              <w:left w:val="nil"/>
              <w:bottom w:val="nil"/>
              <w:right w:val="nil"/>
            </w:tcBorders>
            <w:shd w:val="clear" w:color="000000" w:fill="FFFFFF"/>
            <w:hideMark/>
          </w:tcPr>
          <w:p w:rsidR="00B958B1" w:rsidRPr="00B068A0" w:rsidRDefault="00B958B1" w:rsidP="009F3B54">
            <w:pPr>
              <w:pStyle w:val="OGTabText"/>
              <w:keepNext/>
              <w:rPr>
                <w:lang w:eastAsia="en-AU"/>
              </w:rPr>
            </w:pPr>
            <w:r w:rsidRPr="00B068A0">
              <w:rPr>
                <w:lang w:eastAsia="en-AU"/>
              </w:rPr>
              <w:t>Community Support Grant Projects funded through the Community Support and Recreational Sport Package</w:t>
            </w:r>
          </w:p>
        </w:tc>
        <w:tc>
          <w:tcPr>
            <w:tcW w:w="907" w:type="dxa"/>
            <w:tcBorders>
              <w:top w:val="nil"/>
              <w:left w:val="nil"/>
              <w:bottom w:val="nil"/>
              <w:right w:val="nil"/>
            </w:tcBorders>
            <w:shd w:val="clear" w:color="000000" w:fill="FFFFFF"/>
            <w:hideMark/>
          </w:tcPr>
          <w:p w:rsidR="00B958B1" w:rsidRPr="00B068A0" w:rsidRDefault="00B958B1" w:rsidP="009F3B54">
            <w:pPr>
              <w:pStyle w:val="OGUoM"/>
              <w:keepNext/>
              <w:rPr>
                <w:lang w:eastAsia="en-AU"/>
              </w:rPr>
            </w:pPr>
            <w:r w:rsidRPr="00B068A0">
              <w:rPr>
                <w:lang w:eastAsia="en-AU"/>
              </w:rPr>
              <w:t>number</w:t>
            </w:r>
          </w:p>
        </w:tc>
        <w:tc>
          <w:tcPr>
            <w:tcW w:w="907" w:type="dxa"/>
            <w:tcBorders>
              <w:top w:val="nil"/>
              <w:left w:val="nil"/>
              <w:bottom w:val="nil"/>
              <w:right w:val="nil"/>
            </w:tcBorders>
            <w:shd w:val="clear" w:color="auto" w:fill="D9D9D9"/>
            <w:hideMark/>
          </w:tcPr>
          <w:p w:rsidR="00B958B1" w:rsidRPr="00B068A0" w:rsidRDefault="00B958B1" w:rsidP="009F3B54">
            <w:pPr>
              <w:pStyle w:val="OGTableofFigures"/>
              <w:keepNext/>
              <w:rPr>
                <w:lang w:eastAsia="en-AU"/>
              </w:rPr>
            </w:pPr>
            <w:r w:rsidRPr="00B068A0">
              <w:rPr>
                <w:lang w:eastAsia="en-AU"/>
              </w:rPr>
              <w:t>na</w:t>
            </w:r>
          </w:p>
        </w:tc>
        <w:tc>
          <w:tcPr>
            <w:tcW w:w="994" w:type="dxa"/>
            <w:tcBorders>
              <w:top w:val="nil"/>
              <w:left w:val="nil"/>
              <w:bottom w:val="nil"/>
              <w:right w:val="nil"/>
            </w:tcBorders>
            <w:shd w:val="clear" w:color="000000" w:fill="FFFFFF"/>
            <w:hideMark/>
          </w:tcPr>
          <w:p w:rsidR="00B958B1" w:rsidRPr="00B068A0" w:rsidRDefault="00B958B1" w:rsidP="009F3B54">
            <w:pPr>
              <w:pStyle w:val="OGTableofFigures"/>
              <w:keepNext/>
              <w:rPr>
                <w:lang w:eastAsia="en-AU"/>
              </w:rPr>
            </w:pPr>
            <w:r w:rsidRPr="00B068A0">
              <w:rPr>
                <w:lang w:eastAsia="en-AU"/>
              </w:rPr>
              <w:t>30</w:t>
            </w:r>
          </w:p>
        </w:tc>
        <w:tc>
          <w:tcPr>
            <w:tcW w:w="907" w:type="dxa"/>
            <w:tcBorders>
              <w:top w:val="nil"/>
              <w:left w:val="nil"/>
              <w:bottom w:val="nil"/>
              <w:right w:val="nil"/>
            </w:tcBorders>
            <w:shd w:val="clear" w:color="000000" w:fill="FFFFFF"/>
            <w:hideMark/>
          </w:tcPr>
          <w:p w:rsidR="00B958B1" w:rsidRPr="00B068A0" w:rsidRDefault="00B958B1" w:rsidP="009F3B54">
            <w:pPr>
              <w:pStyle w:val="OGTableofFigures"/>
              <w:keepNext/>
              <w:rPr>
                <w:lang w:eastAsia="en-AU"/>
              </w:rPr>
            </w:pPr>
            <w:r w:rsidRPr="00B068A0">
              <w:rPr>
                <w:lang w:eastAsia="en-AU"/>
              </w:rPr>
              <w:t>50</w:t>
            </w:r>
          </w:p>
        </w:tc>
        <w:tc>
          <w:tcPr>
            <w:tcW w:w="907" w:type="dxa"/>
            <w:tcBorders>
              <w:top w:val="nil"/>
              <w:left w:val="nil"/>
              <w:bottom w:val="nil"/>
              <w:right w:val="nil"/>
            </w:tcBorders>
            <w:shd w:val="clear" w:color="000000" w:fill="FFFFFF"/>
            <w:hideMark/>
          </w:tcPr>
          <w:p w:rsidR="00B958B1" w:rsidRPr="00B068A0" w:rsidRDefault="00B958B1" w:rsidP="009F3B54">
            <w:pPr>
              <w:pStyle w:val="OGTableofFigures"/>
              <w:keepNext/>
              <w:rPr>
                <w:lang w:eastAsia="en-AU"/>
              </w:rPr>
            </w:pPr>
            <w:r w:rsidRPr="00B068A0">
              <w:rPr>
                <w:lang w:eastAsia="en-AU"/>
              </w:rPr>
              <w:t>nm</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B068A0">
              <w:t>This performance measure is proposed to be discontinued as it has been replaced by the 2013</w:t>
            </w:r>
            <w:r w:rsidR="009F0F49">
              <w:noBreakHyphen/>
            </w:r>
            <w:r w:rsidRPr="00B068A0">
              <w:t xml:space="preserve">14 performance measure </w:t>
            </w:r>
            <w:r>
              <w:t>‘</w:t>
            </w:r>
            <w:r w:rsidRPr="00B068A0">
              <w:t>Funded Community Support Grant projects contribute to planning and delivery of community infrastructure</w:t>
            </w:r>
            <w:r>
              <w:t xml:space="preserve"> </w:t>
            </w:r>
            <w:r w:rsidRPr="00B068A0">
              <w:t>or improving economic development and productivity</w:t>
            </w:r>
            <w:r>
              <w:t>’</w:t>
            </w:r>
            <w:r w:rsidRPr="00B068A0">
              <w:t>.</w:t>
            </w:r>
          </w:p>
          <w:p w:rsidR="00B958B1" w:rsidRDefault="00B958B1" w:rsidP="009F3B54">
            <w:pPr>
              <w:pStyle w:val="OGNotes"/>
            </w:pPr>
            <w:r w:rsidRPr="00B068A0">
              <w:t>The 2012</w:t>
            </w:r>
            <w:r w:rsidR="009F0F49">
              <w:noBreakHyphen/>
            </w:r>
            <w:r w:rsidRPr="00B068A0">
              <w:t>13 Expected Outcome is lower than 2012</w:t>
            </w:r>
            <w:r w:rsidR="009F0F49">
              <w:noBreakHyphen/>
            </w:r>
            <w:r w:rsidRPr="00B068A0">
              <w:t>13 Target as it reflects that the 2011</w:t>
            </w:r>
            <w:r w:rsidR="009F0F49">
              <w:noBreakHyphen/>
            </w:r>
            <w:r w:rsidRPr="00B068A0">
              <w:t xml:space="preserve">12 year of the program allocated a larger </w:t>
            </w:r>
            <w:r>
              <w:t>percent</w:t>
            </w:r>
            <w:r w:rsidRPr="00B068A0">
              <w:t>age of program budget than anticipated; consequently the 2012</w:t>
            </w:r>
            <w:r w:rsidR="009F0F49">
              <w:noBreakHyphen/>
            </w:r>
            <w:r w:rsidRPr="00B068A0">
              <w:t xml:space="preserve">13 program has </w:t>
            </w:r>
            <w:r>
              <w:t>focused</w:t>
            </w:r>
            <w:r w:rsidRPr="00B068A0">
              <w:t xml:space="preserve"> on the planning of future projects</w:t>
            </w:r>
            <w:r>
              <w:t xml:space="preserve"> </w:t>
            </w:r>
            <w:r w:rsidRPr="00B068A0">
              <w:t>particularly infrastructure in growth areas.</w:t>
            </w:r>
          </w:p>
          <w:p w:rsidR="00B958B1" w:rsidRPr="00B068A0" w:rsidRDefault="00B958B1" w:rsidP="009F3B54">
            <w:pPr>
              <w:pStyle w:val="OGNotes"/>
            </w:pPr>
            <w:r w:rsidRPr="00B068A0">
              <w:t>This performance measure is transferred directly from the 2012</w:t>
            </w:r>
            <w:r w:rsidR="009F0F49">
              <w:noBreakHyphen/>
            </w:r>
            <w:r w:rsidRPr="00B068A0">
              <w:t xml:space="preserve">13 </w:t>
            </w:r>
            <w:r>
              <w:t>‘</w:t>
            </w:r>
            <w:r w:rsidRPr="00B068A0">
              <w:t>Community Development</w:t>
            </w:r>
            <w:r>
              <w:t>’</w:t>
            </w:r>
            <w:r w:rsidRPr="00B068A0">
              <w:t xml:space="preserve"> output of the former Department of Planning and Community Development as a result of machinery</w:t>
            </w:r>
            <w:r w:rsidR="009F0F49">
              <w:noBreakHyphen/>
            </w:r>
            <w:r w:rsidRPr="00B068A0">
              <w:t>of</w:t>
            </w:r>
            <w:r w:rsidR="009F0F49">
              <w:noBreakHyphen/>
            </w:r>
            <w:r w:rsidRPr="00B068A0">
              <w:t>government changes.</w:t>
            </w:r>
          </w:p>
        </w:tc>
      </w:tr>
      <w:tr w:rsidR="00B958B1" w:rsidRPr="00B068A0" w:rsidTr="009F3B54">
        <w:trPr>
          <w:cantSplit/>
        </w:trPr>
        <w:tc>
          <w:tcPr>
            <w:tcW w:w="3154" w:type="dxa"/>
            <w:tcBorders>
              <w:top w:val="single" w:sz="6" w:space="0" w:color="auto"/>
              <w:left w:val="nil"/>
              <w:bottom w:val="nil"/>
              <w:right w:val="nil"/>
            </w:tcBorders>
            <w:shd w:val="clear" w:color="000000" w:fill="FFFFFF"/>
            <w:hideMark/>
          </w:tcPr>
          <w:p w:rsidR="00B958B1" w:rsidRPr="00B068A0" w:rsidRDefault="00B958B1" w:rsidP="009F3B54">
            <w:pPr>
              <w:pStyle w:val="OGTabText"/>
              <w:rPr>
                <w:lang w:eastAsia="en-AU"/>
              </w:rPr>
            </w:pPr>
            <w:r w:rsidRPr="00B068A0">
              <w:rPr>
                <w:lang w:eastAsia="en-AU"/>
              </w:rPr>
              <w:t>Complete annual Urban Development Program analysis of supply</w:t>
            </w:r>
            <w:r>
              <w:rPr>
                <w:lang w:eastAsia="en-AU"/>
              </w:rPr>
              <w:t xml:space="preserve"> </w:t>
            </w:r>
            <w:r w:rsidRPr="00B068A0">
              <w:rPr>
                <w:lang w:eastAsia="en-AU"/>
              </w:rPr>
              <w:t>demand and adequacy of residential and industrial land</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UoM"/>
              <w:rPr>
                <w:lang w:eastAsia="en-AU"/>
              </w:rPr>
            </w:pPr>
            <w:r w:rsidRPr="00B068A0">
              <w:rPr>
                <w:lang w:eastAsia="en-AU"/>
              </w:rPr>
              <w:t>number</w:t>
            </w:r>
          </w:p>
        </w:tc>
        <w:tc>
          <w:tcPr>
            <w:tcW w:w="907" w:type="dxa"/>
            <w:tcBorders>
              <w:top w:val="single" w:sz="6" w:space="0" w:color="auto"/>
              <w:left w:val="nil"/>
              <w:bottom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na</w:t>
            </w:r>
          </w:p>
        </w:tc>
        <w:tc>
          <w:tcPr>
            <w:tcW w:w="994"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B068A0" w:rsidRDefault="00B958B1" w:rsidP="009F3B54">
            <w:pPr>
              <w:pStyle w:val="OGNotes"/>
            </w:pPr>
            <w:r w:rsidRPr="00B068A0">
              <w:t>This performance measure is proposed to be discontinued as it has been replaced by the 2013</w:t>
            </w:r>
            <w:r w:rsidR="009F0F49">
              <w:noBreakHyphen/>
            </w:r>
            <w:r w:rsidRPr="00B068A0">
              <w:t xml:space="preserve">14 performance measure </w:t>
            </w:r>
            <w:r>
              <w:t>‘</w:t>
            </w:r>
            <w:r w:rsidRPr="00B068A0">
              <w:t>Repor</w:t>
            </w:r>
            <w:r>
              <w:t xml:space="preserve">t annually on analysis of supply </w:t>
            </w:r>
            <w:r w:rsidRPr="00B068A0">
              <w:t>consumption and adequacy of residential and industrial land</w:t>
            </w:r>
            <w:r>
              <w:t>’</w:t>
            </w:r>
            <w:r w:rsidRPr="00B068A0">
              <w:t>. This performance measure has been consolidated with the 2012</w:t>
            </w:r>
            <w:r w:rsidR="009F0F49">
              <w:noBreakHyphen/>
            </w:r>
            <w:r w:rsidRPr="00B068A0">
              <w:t xml:space="preserve">13 performance measure </w:t>
            </w:r>
            <w:r>
              <w:t>‘</w:t>
            </w:r>
            <w:r w:rsidRPr="00B068A0">
              <w:t>Report annually on housing development activity across metropolitan Melbourne to inform planning strategies</w:t>
            </w:r>
            <w:r>
              <w:t>’</w:t>
            </w:r>
            <w:r w:rsidRPr="00B068A0">
              <w:t xml:space="preserve"> in line with an internal review to streamline the products delivered by this output. </w:t>
            </w:r>
          </w:p>
        </w:tc>
      </w:tr>
      <w:tr w:rsidR="00B958B1" w:rsidRPr="00B068A0" w:rsidTr="009F3B54">
        <w:trPr>
          <w:cantSplit/>
        </w:trPr>
        <w:tc>
          <w:tcPr>
            <w:tcW w:w="3154" w:type="dxa"/>
            <w:tcBorders>
              <w:top w:val="single" w:sz="6" w:space="0" w:color="auto"/>
              <w:left w:val="nil"/>
              <w:bottom w:val="nil"/>
              <w:right w:val="nil"/>
            </w:tcBorders>
            <w:shd w:val="clear" w:color="auto" w:fill="auto"/>
            <w:vAlign w:val="bottom"/>
            <w:hideMark/>
          </w:tcPr>
          <w:p w:rsidR="00B958B1" w:rsidRPr="00B068A0" w:rsidRDefault="00B958B1" w:rsidP="009F3B54">
            <w:pPr>
              <w:pStyle w:val="OGTabHead"/>
              <w:rPr>
                <w:lang w:eastAsia="en-AU"/>
              </w:rPr>
            </w:pPr>
            <w:r w:rsidRPr="00B068A0">
              <w:rPr>
                <w:lang w:eastAsia="en-AU"/>
              </w:rPr>
              <w:t>Quality</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lang w:eastAsia="en-AU"/>
              </w:rPr>
            </w:pP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r>
      <w:tr w:rsidR="00B958B1" w:rsidRPr="00B068A0" w:rsidTr="009F3B54">
        <w:trPr>
          <w:cantSplit/>
        </w:trPr>
        <w:tc>
          <w:tcPr>
            <w:tcW w:w="3154" w:type="dxa"/>
            <w:tcBorders>
              <w:top w:val="nil"/>
              <w:left w:val="nil"/>
              <w:bottom w:val="nil"/>
              <w:right w:val="nil"/>
            </w:tcBorders>
            <w:shd w:val="clear" w:color="000000" w:fill="FFFFFF"/>
            <w:hideMark/>
          </w:tcPr>
          <w:p w:rsidR="00B958B1" w:rsidRPr="00B068A0" w:rsidRDefault="00B958B1" w:rsidP="009F3B54">
            <w:pPr>
              <w:pStyle w:val="OGTabText"/>
              <w:rPr>
                <w:lang w:eastAsia="en-AU"/>
              </w:rPr>
            </w:pPr>
            <w:r w:rsidRPr="00B068A0">
              <w:rPr>
                <w:lang w:eastAsia="en-AU"/>
              </w:rPr>
              <w:t>Appeals lodged against heritage permits</w:t>
            </w:r>
          </w:p>
        </w:tc>
        <w:tc>
          <w:tcPr>
            <w:tcW w:w="907" w:type="dxa"/>
            <w:tcBorders>
              <w:top w:val="nil"/>
              <w:left w:val="nil"/>
              <w:bottom w:val="nil"/>
              <w:right w:val="nil"/>
            </w:tcBorders>
            <w:shd w:val="clear" w:color="000000" w:fill="FFFFFF"/>
            <w:hideMark/>
          </w:tcPr>
          <w:p w:rsidR="00B958B1" w:rsidRPr="00B068A0" w:rsidRDefault="00B958B1" w:rsidP="009F3B54">
            <w:pPr>
              <w:pStyle w:val="OGUoM"/>
              <w:rPr>
                <w:lang w:eastAsia="en-AU"/>
              </w:rPr>
            </w:pPr>
            <w:r>
              <w:rPr>
                <w:lang w:eastAsia="en-AU"/>
              </w:rPr>
              <w:t>per cent</w:t>
            </w:r>
          </w:p>
        </w:tc>
        <w:tc>
          <w:tcPr>
            <w:tcW w:w="907" w:type="dxa"/>
            <w:tcBorders>
              <w:top w:val="nil"/>
              <w:left w:val="nil"/>
              <w:bottom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na</w:t>
            </w:r>
          </w:p>
        </w:tc>
        <w:tc>
          <w:tcPr>
            <w:tcW w:w="994"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5</w:t>
            </w:r>
          </w:p>
        </w:tc>
        <w:tc>
          <w:tcPr>
            <w:tcW w:w="907"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5</w:t>
            </w:r>
          </w:p>
        </w:tc>
        <w:tc>
          <w:tcPr>
            <w:tcW w:w="907"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0</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B068A0" w:rsidRDefault="00B958B1" w:rsidP="009F3B54">
            <w:pPr>
              <w:pStyle w:val="OGNotes"/>
            </w:pPr>
            <w:r w:rsidRPr="00B068A0">
              <w:t>This performance measure is proposed to be discontinued as results against this measure are outside Heritage Victoria</w:t>
            </w:r>
            <w:r>
              <w:t>’</w:t>
            </w:r>
            <w:r w:rsidRPr="00B068A0">
              <w:t>s control and rely on appeals being lodged by permit applicants.</w:t>
            </w:r>
          </w:p>
        </w:tc>
      </w:tr>
      <w:tr w:rsidR="00B958B1" w:rsidRPr="00B068A0" w:rsidTr="009F3B54">
        <w:trPr>
          <w:cantSplit/>
        </w:trPr>
        <w:tc>
          <w:tcPr>
            <w:tcW w:w="3154" w:type="dxa"/>
            <w:tcBorders>
              <w:top w:val="single" w:sz="6" w:space="0" w:color="auto"/>
              <w:left w:val="nil"/>
              <w:bottom w:val="nil"/>
              <w:right w:val="nil"/>
            </w:tcBorders>
            <w:shd w:val="clear" w:color="000000" w:fill="FFFFFF"/>
            <w:hideMark/>
          </w:tcPr>
          <w:p w:rsidR="00B958B1" w:rsidRPr="00B068A0" w:rsidRDefault="00B958B1" w:rsidP="009F3B54">
            <w:pPr>
              <w:pStyle w:val="OGTabText"/>
              <w:rPr>
                <w:lang w:eastAsia="en-AU"/>
              </w:rPr>
            </w:pPr>
            <w:r w:rsidRPr="00B068A0">
              <w:rPr>
                <w:lang w:eastAsia="en-AU"/>
              </w:rPr>
              <w:t>Changes made to zoned land in metropolitan areas consider housing capacity needs</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UoM"/>
              <w:rPr>
                <w:lang w:eastAsia="en-AU"/>
              </w:rPr>
            </w:pPr>
            <w:r>
              <w:rPr>
                <w:lang w:eastAsia="en-AU"/>
              </w:rPr>
              <w:t>per cent</w:t>
            </w:r>
          </w:p>
        </w:tc>
        <w:tc>
          <w:tcPr>
            <w:tcW w:w="907" w:type="dxa"/>
            <w:tcBorders>
              <w:top w:val="single" w:sz="6" w:space="0" w:color="auto"/>
              <w:left w:val="nil"/>
              <w:bottom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na</w:t>
            </w:r>
          </w:p>
        </w:tc>
        <w:tc>
          <w:tcPr>
            <w:tcW w:w="994"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B068A0" w:rsidRDefault="00B958B1" w:rsidP="009F3B54">
            <w:pPr>
              <w:pStyle w:val="OGNotes"/>
            </w:pPr>
            <w:r w:rsidRPr="00B068A0">
              <w:t>This performance measure is proposed to be discontinued as the recent Zones Review recommended that in applying the New Residential Zones local government is not likely to be required to use departmental data.</w:t>
            </w:r>
          </w:p>
        </w:tc>
      </w:tr>
      <w:tr w:rsidR="00B958B1" w:rsidRPr="00B068A0" w:rsidTr="009F3B54">
        <w:trPr>
          <w:cantSplit/>
        </w:trPr>
        <w:tc>
          <w:tcPr>
            <w:tcW w:w="3154" w:type="dxa"/>
            <w:tcBorders>
              <w:top w:val="single" w:sz="6" w:space="0" w:color="auto"/>
              <w:left w:val="nil"/>
              <w:bottom w:val="nil"/>
              <w:right w:val="nil"/>
            </w:tcBorders>
            <w:shd w:val="clear" w:color="000000" w:fill="FFFFFF"/>
            <w:hideMark/>
          </w:tcPr>
          <w:p w:rsidR="00B958B1" w:rsidRPr="00B068A0" w:rsidRDefault="00B958B1" w:rsidP="009F3B54">
            <w:pPr>
              <w:pStyle w:val="OGTabText"/>
              <w:rPr>
                <w:lang w:eastAsia="en-AU"/>
              </w:rPr>
            </w:pPr>
            <w:r w:rsidRPr="00B068A0">
              <w:rPr>
                <w:lang w:eastAsia="en-AU"/>
              </w:rPr>
              <w:t>Heritage certificates issued accurately and satisfactorily</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UoM"/>
              <w:rPr>
                <w:lang w:eastAsia="en-AU"/>
              </w:rPr>
            </w:pPr>
            <w:r>
              <w:rPr>
                <w:lang w:eastAsia="en-AU"/>
              </w:rPr>
              <w:t>per cent</w:t>
            </w:r>
          </w:p>
        </w:tc>
        <w:tc>
          <w:tcPr>
            <w:tcW w:w="907" w:type="dxa"/>
            <w:tcBorders>
              <w:top w:val="single" w:sz="6" w:space="0" w:color="auto"/>
              <w:left w:val="nil"/>
              <w:bottom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na</w:t>
            </w:r>
          </w:p>
        </w:tc>
        <w:tc>
          <w:tcPr>
            <w:tcW w:w="994"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99.2</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B068A0" w:rsidRDefault="00B958B1" w:rsidP="009F3B54">
            <w:pPr>
              <w:pStyle w:val="OGNotes"/>
            </w:pPr>
            <w:r w:rsidRPr="00B068A0">
              <w:t>This performance measure is proposed to be discontinued as it has been replaced by the 2013</w:t>
            </w:r>
            <w:r w:rsidR="009F0F49">
              <w:noBreakHyphen/>
            </w:r>
            <w:r w:rsidRPr="00B068A0">
              <w:t xml:space="preserve">14 performance measure </w:t>
            </w:r>
            <w:r>
              <w:t>‘</w:t>
            </w:r>
            <w:r w:rsidRPr="00B068A0">
              <w:t>Heritage certificates issued accurately</w:t>
            </w:r>
            <w:r>
              <w:t>’</w:t>
            </w:r>
            <w:r w:rsidRPr="00B068A0">
              <w:t xml:space="preserve"> to better describe the statutory process.</w:t>
            </w:r>
          </w:p>
        </w:tc>
      </w:tr>
      <w:tr w:rsidR="00B958B1" w:rsidRPr="00B068A0" w:rsidTr="009F3B54">
        <w:trPr>
          <w:cantSplit/>
        </w:trPr>
        <w:tc>
          <w:tcPr>
            <w:tcW w:w="3154" w:type="dxa"/>
            <w:tcBorders>
              <w:top w:val="single" w:sz="6" w:space="0" w:color="auto"/>
              <w:left w:val="nil"/>
              <w:bottom w:val="nil"/>
              <w:right w:val="nil"/>
            </w:tcBorders>
            <w:shd w:val="clear" w:color="000000" w:fill="FFFFFF"/>
            <w:hideMark/>
          </w:tcPr>
          <w:p w:rsidR="00B958B1" w:rsidRPr="00B068A0" w:rsidRDefault="00B958B1" w:rsidP="009F3B54">
            <w:pPr>
              <w:pStyle w:val="OGTabText"/>
              <w:rPr>
                <w:lang w:eastAsia="en-AU"/>
              </w:rPr>
            </w:pPr>
            <w:r w:rsidRPr="00B068A0">
              <w:rPr>
                <w:lang w:eastAsia="en-AU"/>
              </w:rPr>
              <w:t>Payments made against completion of milestones in funding agreements: Heritage Grants</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UoM"/>
              <w:rPr>
                <w:lang w:eastAsia="en-AU"/>
              </w:rPr>
            </w:pPr>
            <w:r>
              <w:rPr>
                <w:lang w:eastAsia="en-AU"/>
              </w:rPr>
              <w:t>per cent</w:t>
            </w:r>
          </w:p>
        </w:tc>
        <w:tc>
          <w:tcPr>
            <w:tcW w:w="907" w:type="dxa"/>
            <w:tcBorders>
              <w:top w:val="single" w:sz="6" w:space="0" w:color="auto"/>
              <w:left w:val="nil"/>
              <w:bottom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na</w:t>
            </w:r>
          </w:p>
        </w:tc>
        <w:tc>
          <w:tcPr>
            <w:tcW w:w="994"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nm</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B068A0" w:rsidRDefault="00B958B1" w:rsidP="009F3B54">
            <w:pPr>
              <w:pStyle w:val="OGNotes"/>
            </w:pPr>
            <w:r w:rsidRPr="00B068A0">
              <w:t>This performance measure is proposed to be discontinued as the Heritage Grants Program has been reviewed and an alternative delivery mechanism through a partner organisation has been agreed to.</w:t>
            </w:r>
          </w:p>
        </w:tc>
      </w:tr>
      <w:tr w:rsidR="00B958B1" w:rsidRPr="00B068A0" w:rsidTr="009F3B54">
        <w:trPr>
          <w:cantSplit/>
        </w:trPr>
        <w:tc>
          <w:tcPr>
            <w:tcW w:w="3154" w:type="dxa"/>
            <w:tcBorders>
              <w:top w:val="single" w:sz="6" w:space="0" w:color="auto"/>
              <w:left w:val="nil"/>
              <w:bottom w:val="nil"/>
              <w:right w:val="nil"/>
            </w:tcBorders>
            <w:shd w:val="clear" w:color="auto" w:fill="auto"/>
            <w:vAlign w:val="bottom"/>
            <w:hideMark/>
          </w:tcPr>
          <w:p w:rsidR="00B958B1" w:rsidRPr="00B068A0" w:rsidRDefault="00B958B1" w:rsidP="009F3B54">
            <w:pPr>
              <w:pStyle w:val="OGTabHead"/>
              <w:rPr>
                <w:lang w:eastAsia="en-AU"/>
              </w:rPr>
            </w:pPr>
            <w:r w:rsidRPr="00B068A0">
              <w:rPr>
                <w:lang w:eastAsia="en-AU"/>
              </w:rPr>
              <w:t>Timeliness</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lang w:eastAsia="en-AU"/>
              </w:rPr>
            </w:pP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r>
      <w:tr w:rsidR="00B958B1" w:rsidRPr="00B068A0" w:rsidTr="009F3B54">
        <w:trPr>
          <w:cantSplit/>
        </w:trPr>
        <w:tc>
          <w:tcPr>
            <w:tcW w:w="3154" w:type="dxa"/>
            <w:tcBorders>
              <w:top w:val="nil"/>
              <w:left w:val="nil"/>
              <w:bottom w:val="nil"/>
              <w:right w:val="nil"/>
            </w:tcBorders>
            <w:shd w:val="clear" w:color="000000" w:fill="FFFFFF"/>
            <w:hideMark/>
          </w:tcPr>
          <w:p w:rsidR="00B958B1" w:rsidRPr="00B068A0" w:rsidRDefault="00B958B1" w:rsidP="009F3B54">
            <w:pPr>
              <w:pStyle w:val="OGTabText"/>
              <w:rPr>
                <w:lang w:eastAsia="en-AU"/>
              </w:rPr>
            </w:pPr>
            <w:r w:rsidRPr="00B068A0">
              <w:rPr>
                <w:lang w:eastAsia="en-AU"/>
              </w:rPr>
              <w:t>Authorisations to prepare planning s</w:t>
            </w:r>
            <w:r>
              <w:rPr>
                <w:lang w:eastAsia="en-AU"/>
              </w:rPr>
              <w:t>cheme amendments completed in 7 </w:t>
            </w:r>
            <w:r w:rsidRPr="00B068A0">
              <w:rPr>
                <w:lang w:eastAsia="en-AU"/>
              </w:rPr>
              <w:t>days</w:t>
            </w:r>
          </w:p>
        </w:tc>
        <w:tc>
          <w:tcPr>
            <w:tcW w:w="907" w:type="dxa"/>
            <w:tcBorders>
              <w:top w:val="nil"/>
              <w:left w:val="nil"/>
              <w:bottom w:val="nil"/>
              <w:right w:val="nil"/>
            </w:tcBorders>
            <w:shd w:val="clear" w:color="000000" w:fill="FFFFFF"/>
            <w:hideMark/>
          </w:tcPr>
          <w:p w:rsidR="00B958B1" w:rsidRPr="00B068A0" w:rsidRDefault="00B958B1" w:rsidP="009F3B54">
            <w:pPr>
              <w:pStyle w:val="OGUoM"/>
              <w:rPr>
                <w:lang w:eastAsia="en-AU"/>
              </w:rPr>
            </w:pPr>
            <w:r>
              <w:rPr>
                <w:lang w:eastAsia="en-AU"/>
              </w:rPr>
              <w:t>per cent</w:t>
            </w:r>
          </w:p>
        </w:tc>
        <w:tc>
          <w:tcPr>
            <w:tcW w:w="907" w:type="dxa"/>
            <w:tcBorders>
              <w:top w:val="nil"/>
              <w:left w:val="nil"/>
              <w:bottom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na</w:t>
            </w:r>
          </w:p>
        </w:tc>
        <w:tc>
          <w:tcPr>
            <w:tcW w:w="994"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50</w:t>
            </w:r>
          </w:p>
        </w:tc>
        <w:tc>
          <w:tcPr>
            <w:tcW w:w="907"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80</w:t>
            </w:r>
          </w:p>
        </w:tc>
        <w:tc>
          <w:tcPr>
            <w:tcW w:w="907"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58</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B068A0">
              <w:t>This performance measure is proposed to be discontinued as it has been replaced by the 2013</w:t>
            </w:r>
            <w:r w:rsidR="009F0F49">
              <w:noBreakHyphen/>
            </w:r>
            <w:r w:rsidRPr="00B068A0">
              <w:t xml:space="preserve">14 measure </w:t>
            </w:r>
            <w:r>
              <w:t>‘</w:t>
            </w:r>
            <w:r w:rsidRPr="00B068A0">
              <w:t>Average number of days to process a planning scheme authorisation</w:t>
            </w:r>
            <w:r>
              <w:t>’</w:t>
            </w:r>
            <w:r w:rsidRPr="00B068A0">
              <w:t>. The number of days in the performance measure has been revised from 7 days to 10 days</w:t>
            </w:r>
            <w:r>
              <w:t xml:space="preserve">. </w:t>
            </w:r>
            <w:r w:rsidRPr="00B068A0">
              <w:t xml:space="preserve">This has occurred to implement a change to the </w:t>
            </w:r>
            <w:r w:rsidRPr="002230EE">
              <w:rPr>
                <w:i w:val="0"/>
              </w:rPr>
              <w:t>Planning and Environment Act 1987</w:t>
            </w:r>
            <w:r w:rsidRPr="00B068A0">
              <w:t xml:space="preserve"> introduced by the </w:t>
            </w:r>
            <w:r w:rsidRPr="002230EE">
              <w:rPr>
                <w:i w:val="0"/>
              </w:rPr>
              <w:t>Planning and Environment Amendment (General) Bill 2012</w:t>
            </w:r>
            <w:r w:rsidRPr="00B068A0">
              <w:t>. Part 5 of the Act has been amended to enable a municipal Council to prepare an amendment 10 business days after the Minister receives the application if the Minister has not made a decision within that period</w:t>
            </w:r>
            <w:r>
              <w:t xml:space="preserve">. </w:t>
            </w:r>
            <w:r w:rsidRPr="00B068A0">
              <w:t>This legislation will become operational in 2013</w:t>
            </w:r>
            <w:r w:rsidR="009F0F49">
              <w:noBreakHyphen/>
            </w:r>
            <w:r w:rsidRPr="00B068A0">
              <w:t>14. The performance measure is the average number of days as distinct from measuring the number of authorisations meeting the timeline versus the number not meeting the timeline</w:t>
            </w:r>
            <w:r>
              <w:t xml:space="preserve">. </w:t>
            </w:r>
            <w:r w:rsidRPr="00B068A0">
              <w:t>This will provide a more accurate measure of the time it takes authorisations to be made.</w:t>
            </w:r>
          </w:p>
          <w:p w:rsidR="00B958B1" w:rsidRPr="00B068A0" w:rsidRDefault="00B958B1" w:rsidP="009F3B54">
            <w:pPr>
              <w:pStyle w:val="OGNotes"/>
            </w:pPr>
            <w:r w:rsidRPr="00B068A0">
              <w:t>The 2012</w:t>
            </w:r>
            <w:r w:rsidR="009F0F49">
              <w:noBreakHyphen/>
            </w:r>
            <w:r w:rsidRPr="00B068A0">
              <w:t>13 Expected Outcome is lower than the 2012</w:t>
            </w:r>
            <w:r w:rsidR="009F0F49">
              <w:noBreakHyphen/>
            </w:r>
            <w:r w:rsidRPr="00B068A0">
              <w:t xml:space="preserve">13 Target as this year a significant backlog of older authorisations has been dealt with resulting in a lower </w:t>
            </w:r>
            <w:r>
              <w:t>percent</w:t>
            </w:r>
            <w:r w:rsidRPr="00B068A0">
              <w:t>age being dealt with in the 7 day time frame</w:t>
            </w:r>
            <w:r>
              <w:t xml:space="preserve">. </w:t>
            </w:r>
            <w:r w:rsidRPr="00B068A0">
              <w:t>Numerous time</w:t>
            </w:r>
            <w:r>
              <w:t>–</w:t>
            </w:r>
            <w:r w:rsidRPr="00B068A0">
              <w:t>saving initiatives have been introduced throughout the year such as electronic lodgement which will result in improved future performance</w:t>
            </w:r>
            <w:r>
              <w:t xml:space="preserve">. </w:t>
            </w:r>
            <w:r w:rsidRPr="00B068A0">
              <w:t>The 7</w:t>
            </w:r>
            <w:r>
              <w:t> </w:t>
            </w:r>
            <w:r w:rsidRPr="00B068A0">
              <w:t>day target for quarter four has improved to 63</w:t>
            </w:r>
            <w:r>
              <w:t> per cent</w:t>
            </w:r>
            <w:r w:rsidRPr="00B068A0">
              <w:t xml:space="preserve"> giving an expected end of year outcome of 50</w:t>
            </w:r>
            <w:r>
              <w:t> per cent</w:t>
            </w:r>
            <w:r w:rsidRPr="00B068A0">
              <w:t>.</w:t>
            </w:r>
          </w:p>
        </w:tc>
      </w:tr>
      <w:tr w:rsidR="00B958B1" w:rsidRPr="00B068A0" w:rsidTr="009F3B54">
        <w:trPr>
          <w:cantSplit/>
        </w:trPr>
        <w:tc>
          <w:tcPr>
            <w:tcW w:w="3154" w:type="dxa"/>
            <w:tcBorders>
              <w:top w:val="single" w:sz="6" w:space="0" w:color="auto"/>
              <w:left w:val="nil"/>
              <w:bottom w:val="nil"/>
              <w:right w:val="nil"/>
            </w:tcBorders>
            <w:shd w:val="clear" w:color="000000" w:fill="FFFFFF"/>
            <w:hideMark/>
          </w:tcPr>
          <w:p w:rsidR="00B958B1" w:rsidRPr="00B068A0" w:rsidRDefault="00B958B1" w:rsidP="009F3B54">
            <w:pPr>
              <w:pStyle w:val="OGTabText"/>
              <w:rPr>
                <w:lang w:eastAsia="en-AU"/>
              </w:rPr>
            </w:pPr>
            <w:r w:rsidRPr="00B068A0">
              <w:rPr>
                <w:lang w:eastAsia="en-AU"/>
              </w:rPr>
              <w:t>Planning scheme amendments completed in 30 days</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UoM"/>
              <w:rPr>
                <w:lang w:eastAsia="en-AU"/>
              </w:rPr>
            </w:pPr>
            <w:r>
              <w:rPr>
                <w:lang w:eastAsia="en-AU"/>
              </w:rPr>
              <w:t>per cent</w:t>
            </w:r>
          </w:p>
        </w:tc>
        <w:tc>
          <w:tcPr>
            <w:tcW w:w="907" w:type="dxa"/>
            <w:tcBorders>
              <w:top w:val="single" w:sz="6" w:space="0" w:color="auto"/>
              <w:left w:val="nil"/>
              <w:bottom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na</w:t>
            </w:r>
          </w:p>
        </w:tc>
        <w:tc>
          <w:tcPr>
            <w:tcW w:w="994"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50</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80</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65.25</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B068A0">
              <w:t>This performance measure is proposed to be discontinued as it has been replaced by the 2013</w:t>
            </w:r>
            <w:r w:rsidR="009F0F49">
              <w:noBreakHyphen/>
            </w:r>
            <w:r w:rsidRPr="00B068A0">
              <w:t xml:space="preserve">14 measure </w:t>
            </w:r>
            <w:r>
              <w:t>‘</w:t>
            </w:r>
            <w:r w:rsidRPr="00B068A0">
              <w:t>Average number of days to process a planning scheme amendment</w:t>
            </w:r>
            <w:r>
              <w:t xml:space="preserve">’. </w:t>
            </w:r>
            <w:r w:rsidRPr="00B068A0">
              <w:t>Ministerial Direction No. 15 (Timelines for Planning Scheme Amendments) took effect from 25 October 2012 and introduced a requirement for the Minister to make a decision on an amendment within 40 business days of receiving the adopted amendment</w:t>
            </w:r>
            <w:r>
              <w:t xml:space="preserve">. </w:t>
            </w:r>
            <w:r w:rsidRPr="00B068A0">
              <w:t>The new measure is consistent with this. The 30 day target reported on in the 2012</w:t>
            </w:r>
            <w:r w:rsidR="009F0F49">
              <w:noBreakHyphen/>
            </w:r>
            <w:r w:rsidRPr="00B068A0">
              <w:t>2013 financial year is the length of time taken from when a planning scheme amendment is lodged with the Minister for approval to the point in time at which it is ready for a decision; a decision then needs to be made by the delegate or the Minister. The new 40</w:t>
            </w:r>
            <w:r>
              <w:t> </w:t>
            </w:r>
            <w:r w:rsidRPr="00B068A0">
              <w:t>day target will measure the entire decision process</w:t>
            </w:r>
            <w:r>
              <w:t>–</w:t>
            </w:r>
            <w:r w:rsidRPr="00B068A0">
              <w:t>length of time taken from when an amendment is lodged with the Minister for approval to the time the decision is made</w:t>
            </w:r>
            <w:r>
              <w:t xml:space="preserve">. </w:t>
            </w:r>
            <w:r w:rsidRPr="00B068A0">
              <w:t>The performance measure will be an average number of days as distinct from measuring the number of amendments meeting the timeline versus the number not meeting the timeline</w:t>
            </w:r>
            <w:r>
              <w:t xml:space="preserve">. </w:t>
            </w:r>
            <w:r w:rsidRPr="00B068A0">
              <w:t>This will provide a more accurate measure of the time taken to approve amendments. </w:t>
            </w:r>
          </w:p>
          <w:p w:rsidR="00B958B1" w:rsidRPr="00B068A0" w:rsidRDefault="00B958B1" w:rsidP="009F3B54">
            <w:pPr>
              <w:pStyle w:val="OGNotes"/>
            </w:pPr>
            <w:r w:rsidRPr="00B068A0">
              <w:t>The 2012</w:t>
            </w:r>
            <w:r w:rsidR="009F0F49">
              <w:noBreakHyphen/>
            </w:r>
            <w:r w:rsidRPr="00B068A0">
              <w:t>13 Expected Outcome is lower than the target</w:t>
            </w:r>
            <w:r>
              <w:t xml:space="preserve">. </w:t>
            </w:r>
            <w:r w:rsidRPr="00B068A0">
              <w:t>During the year</w:t>
            </w:r>
            <w:r>
              <w:t xml:space="preserve"> </w:t>
            </w:r>
            <w:r w:rsidRPr="00B068A0">
              <w:t>the Department has completed a significant backlog of older amendments as well as an increased number of Ministerial amendments. The Department is currently introducing a number of process improvements to implement Ministerial Direction No.15 which will result in improved performance</w:t>
            </w:r>
            <w:r>
              <w:t xml:space="preserve">. </w:t>
            </w:r>
            <w:r w:rsidRPr="00B068A0">
              <w:t>The 30 day target for quarter four has improved to 60</w:t>
            </w:r>
            <w:r>
              <w:t> per cent</w:t>
            </w:r>
            <w:r w:rsidRPr="00B068A0">
              <w:t xml:space="preserve"> giving an expected end of year outcome of 50</w:t>
            </w:r>
            <w:r>
              <w:t> per cent</w:t>
            </w:r>
            <w:r w:rsidRPr="00B068A0">
              <w:t>.</w:t>
            </w:r>
          </w:p>
        </w:tc>
      </w:tr>
      <w:tr w:rsidR="00B958B1" w:rsidRPr="00B068A0" w:rsidTr="009F3B54">
        <w:trPr>
          <w:cantSplit/>
        </w:trPr>
        <w:tc>
          <w:tcPr>
            <w:tcW w:w="3154" w:type="dxa"/>
            <w:tcBorders>
              <w:top w:val="single" w:sz="6" w:space="0" w:color="auto"/>
              <w:left w:val="nil"/>
              <w:bottom w:val="nil"/>
              <w:right w:val="nil"/>
            </w:tcBorders>
            <w:shd w:val="clear" w:color="000000" w:fill="FFFFFF"/>
            <w:hideMark/>
          </w:tcPr>
          <w:p w:rsidR="00B958B1" w:rsidRPr="00B068A0" w:rsidRDefault="00B958B1" w:rsidP="009F3B54">
            <w:pPr>
              <w:pStyle w:val="OGTabText"/>
              <w:keepNext/>
              <w:rPr>
                <w:lang w:eastAsia="en-AU"/>
              </w:rPr>
            </w:pPr>
            <w:r w:rsidRPr="00B068A0">
              <w:rPr>
                <w:lang w:eastAsia="en-AU"/>
              </w:rPr>
              <w:t>Report annually on housing development activity across metropolitan Melbourne to inform planning strategies</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UoM"/>
              <w:keepNext/>
              <w:rPr>
                <w:lang w:eastAsia="en-AU"/>
              </w:rPr>
            </w:pPr>
            <w:r w:rsidRPr="00B068A0">
              <w:rPr>
                <w:lang w:eastAsia="en-AU"/>
              </w:rPr>
              <w:t>date</w:t>
            </w:r>
          </w:p>
        </w:tc>
        <w:tc>
          <w:tcPr>
            <w:tcW w:w="907" w:type="dxa"/>
            <w:tcBorders>
              <w:top w:val="single" w:sz="6" w:space="0" w:color="auto"/>
              <w:left w:val="nil"/>
              <w:bottom w:val="nil"/>
              <w:right w:val="nil"/>
            </w:tcBorders>
            <w:shd w:val="clear" w:color="auto" w:fill="D9D9D9"/>
            <w:hideMark/>
          </w:tcPr>
          <w:p w:rsidR="00B958B1" w:rsidRPr="00B068A0" w:rsidRDefault="00B958B1" w:rsidP="009F3B54">
            <w:pPr>
              <w:pStyle w:val="OGTableofFigures"/>
              <w:keepNext/>
              <w:rPr>
                <w:lang w:eastAsia="en-AU"/>
              </w:rPr>
            </w:pPr>
            <w:r w:rsidRPr="00B068A0">
              <w:rPr>
                <w:lang w:eastAsia="en-AU"/>
              </w:rPr>
              <w:t>na</w:t>
            </w:r>
          </w:p>
        </w:tc>
        <w:tc>
          <w:tcPr>
            <w:tcW w:w="994"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keepNext/>
              <w:rPr>
                <w:lang w:eastAsia="en-AU"/>
              </w:rPr>
            </w:pPr>
            <w:r w:rsidRPr="00B068A0">
              <w:rPr>
                <w:lang w:eastAsia="en-AU"/>
              </w:rPr>
              <w:t>Jun</w:t>
            </w:r>
            <w:r>
              <w:rPr>
                <w:lang w:eastAsia="en-AU"/>
              </w:rPr>
              <w:t xml:space="preserve"> 20</w:t>
            </w:r>
            <w:r w:rsidRPr="00B068A0">
              <w:rPr>
                <w:lang w:eastAsia="en-AU"/>
              </w:rPr>
              <w:t>13</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keepNext/>
              <w:rPr>
                <w:lang w:eastAsia="en-AU"/>
              </w:rPr>
            </w:pPr>
            <w:r w:rsidRPr="00B068A0">
              <w:rPr>
                <w:lang w:eastAsia="en-AU"/>
              </w:rPr>
              <w:t>Jun</w:t>
            </w:r>
            <w:r>
              <w:rPr>
                <w:lang w:eastAsia="en-AU"/>
              </w:rPr>
              <w:t xml:space="preserve"> 20</w:t>
            </w:r>
            <w:r w:rsidRPr="00B068A0">
              <w:rPr>
                <w:lang w:eastAsia="en-AU"/>
              </w:rPr>
              <w:t>13</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keepNext/>
              <w:rPr>
                <w:lang w:eastAsia="en-AU"/>
              </w:rPr>
            </w:pPr>
            <w:r w:rsidRPr="00B068A0">
              <w:rPr>
                <w:lang w:eastAsia="en-AU"/>
              </w:rPr>
              <w:t>May</w:t>
            </w:r>
            <w:r>
              <w:rPr>
                <w:lang w:eastAsia="en-AU"/>
              </w:rPr>
              <w:t xml:space="preserve"> 20</w:t>
            </w:r>
            <w:r w:rsidRPr="00B068A0">
              <w:rPr>
                <w:lang w:eastAsia="en-AU"/>
              </w:rPr>
              <w:t>12</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B068A0" w:rsidRDefault="00B958B1" w:rsidP="009F3B54">
            <w:pPr>
              <w:pStyle w:val="OGNotes"/>
            </w:pPr>
            <w:r w:rsidRPr="00B068A0">
              <w:t>This performance measure is proposed to be discontinued as it has been replaced by the 2013</w:t>
            </w:r>
            <w:r w:rsidR="009F0F49">
              <w:noBreakHyphen/>
            </w:r>
            <w:r w:rsidRPr="00B068A0">
              <w:t xml:space="preserve">14 performance measure </w:t>
            </w:r>
            <w:r>
              <w:t>‘</w:t>
            </w:r>
            <w:r w:rsidRPr="00B068A0">
              <w:t>Repor</w:t>
            </w:r>
            <w:r>
              <w:t xml:space="preserve">t annually on analysis of supply </w:t>
            </w:r>
            <w:r w:rsidRPr="00B068A0">
              <w:t>consumption and adequacy of residential and industrial land</w:t>
            </w:r>
            <w:r>
              <w:t>’</w:t>
            </w:r>
            <w:r w:rsidRPr="00B068A0">
              <w:t>. This performance measure has been consolidated with the 2012</w:t>
            </w:r>
            <w:r w:rsidR="009F0F49">
              <w:noBreakHyphen/>
            </w:r>
            <w:r w:rsidRPr="00B068A0">
              <w:t xml:space="preserve">13 performance measure </w:t>
            </w:r>
            <w:r>
              <w:t>‘</w:t>
            </w:r>
            <w:r w:rsidRPr="00B068A0">
              <w:t>Complete annual Urban Development Program analysis of supply</w:t>
            </w:r>
            <w:r>
              <w:t xml:space="preserve"> </w:t>
            </w:r>
            <w:r w:rsidRPr="00B068A0">
              <w:t>demand and adequacy of residential and industrial land</w:t>
            </w:r>
            <w:r>
              <w:t>’</w:t>
            </w:r>
            <w:r w:rsidRPr="00B068A0">
              <w:t xml:space="preserve"> in line with an internal review to streamline products delivered by this output.</w:t>
            </w:r>
          </w:p>
        </w:tc>
      </w:tr>
      <w:tr w:rsidR="00B958B1" w:rsidRPr="00B068A0" w:rsidTr="009F3B54">
        <w:trPr>
          <w:cantSplit/>
        </w:trPr>
        <w:tc>
          <w:tcPr>
            <w:tcW w:w="3154" w:type="dxa"/>
            <w:tcBorders>
              <w:top w:val="single" w:sz="6" w:space="0" w:color="auto"/>
              <w:left w:val="nil"/>
              <w:bottom w:val="nil"/>
              <w:right w:val="nil"/>
            </w:tcBorders>
            <w:shd w:val="clear" w:color="000000" w:fill="FFFFFF"/>
            <w:hideMark/>
          </w:tcPr>
          <w:p w:rsidR="00B958B1" w:rsidRPr="00B068A0" w:rsidRDefault="00B958B1" w:rsidP="009F3B54">
            <w:pPr>
              <w:pStyle w:val="OGTabText"/>
              <w:pageBreakBefore/>
              <w:rPr>
                <w:lang w:eastAsia="en-AU"/>
              </w:rPr>
            </w:pPr>
            <w:r w:rsidRPr="00B068A0">
              <w:rPr>
                <w:lang w:eastAsia="en-AU"/>
              </w:rPr>
              <w:t>Strategic integrated transport and land use planning input to the development of new growth areas is provided within agreed timeframes</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UoM"/>
              <w:rPr>
                <w:lang w:eastAsia="en-AU"/>
              </w:rPr>
            </w:pPr>
            <w:r>
              <w:rPr>
                <w:lang w:eastAsia="en-AU"/>
              </w:rPr>
              <w:t>per cent</w:t>
            </w:r>
          </w:p>
        </w:tc>
        <w:tc>
          <w:tcPr>
            <w:tcW w:w="907" w:type="dxa"/>
            <w:tcBorders>
              <w:top w:val="single" w:sz="6" w:space="0" w:color="auto"/>
              <w:left w:val="nil"/>
              <w:bottom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na</w:t>
            </w:r>
          </w:p>
        </w:tc>
        <w:tc>
          <w:tcPr>
            <w:tcW w:w="994"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B068A0" w:rsidRDefault="00B958B1" w:rsidP="009F3B54">
            <w:pPr>
              <w:pStyle w:val="OGNotes"/>
            </w:pPr>
            <w:r w:rsidRPr="00B068A0">
              <w:t>This performance measure is proposed to be discontinued. It was particularly significant during the development of Growth Corridor Plans which were released in June 2012. Transport is now an integrated consideration in the development of Regional Growth Plans and the Metropolitan Planning Strategy and is considered core business.</w:t>
            </w:r>
          </w:p>
        </w:tc>
      </w:tr>
      <w:tr w:rsidR="00B958B1" w:rsidRPr="00B068A0" w:rsidTr="009F3B54">
        <w:trPr>
          <w:cantSplit/>
        </w:trPr>
        <w:tc>
          <w:tcPr>
            <w:tcW w:w="7776" w:type="dxa"/>
            <w:gridSpan w:val="6"/>
            <w:tcBorders>
              <w:top w:val="single" w:sz="6" w:space="0" w:color="auto"/>
              <w:left w:val="nil"/>
              <w:bottom w:val="nil"/>
              <w:right w:val="nil"/>
            </w:tcBorders>
            <w:shd w:val="clear" w:color="auto" w:fill="auto"/>
            <w:vAlign w:val="bottom"/>
            <w:hideMark/>
          </w:tcPr>
          <w:p w:rsidR="00B958B1" w:rsidRPr="00B068A0" w:rsidRDefault="00B958B1" w:rsidP="009F3B54">
            <w:pPr>
              <w:pStyle w:val="OGHeading2"/>
              <w:rPr>
                <w:lang w:eastAsia="en-AU"/>
              </w:rPr>
            </w:pPr>
            <w:r w:rsidRPr="00B068A0">
              <w:rPr>
                <w:lang w:eastAsia="en-AU"/>
              </w:rPr>
              <w:t>Local Government</w:t>
            </w:r>
          </w:p>
        </w:tc>
      </w:tr>
      <w:tr w:rsidR="00B958B1" w:rsidRPr="00B068A0" w:rsidTr="009F3B54">
        <w:trPr>
          <w:cantSplit/>
        </w:trPr>
        <w:tc>
          <w:tcPr>
            <w:tcW w:w="3154" w:type="dxa"/>
            <w:tcBorders>
              <w:top w:val="single" w:sz="6" w:space="0" w:color="auto"/>
              <w:left w:val="nil"/>
              <w:bottom w:val="nil"/>
              <w:right w:val="nil"/>
            </w:tcBorders>
            <w:shd w:val="clear" w:color="auto" w:fill="auto"/>
            <w:vAlign w:val="bottom"/>
            <w:hideMark/>
          </w:tcPr>
          <w:p w:rsidR="00B958B1" w:rsidRPr="00B068A0" w:rsidRDefault="00B958B1" w:rsidP="009F3B54">
            <w:pPr>
              <w:pStyle w:val="OGTabHead"/>
              <w:rPr>
                <w:lang w:eastAsia="en-AU"/>
              </w:rPr>
            </w:pPr>
            <w:r w:rsidRPr="00B068A0">
              <w:rPr>
                <w:lang w:eastAsia="en-AU"/>
              </w:rPr>
              <w:t>Quantity</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lang w:eastAsia="en-AU"/>
              </w:rPr>
            </w:pP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r>
      <w:tr w:rsidR="00B958B1" w:rsidRPr="00B068A0" w:rsidTr="009F3B54">
        <w:trPr>
          <w:cantSplit/>
        </w:trPr>
        <w:tc>
          <w:tcPr>
            <w:tcW w:w="3154" w:type="dxa"/>
            <w:tcBorders>
              <w:top w:val="nil"/>
              <w:left w:val="nil"/>
              <w:bottom w:val="nil"/>
              <w:right w:val="nil"/>
            </w:tcBorders>
            <w:shd w:val="clear" w:color="000000" w:fill="FFFFFF"/>
            <w:hideMark/>
          </w:tcPr>
          <w:p w:rsidR="00B958B1" w:rsidRPr="00B068A0" w:rsidRDefault="00B958B1" w:rsidP="009F3B54">
            <w:pPr>
              <w:pStyle w:val="OGTabText"/>
              <w:rPr>
                <w:lang w:eastAsia="en-AU"/>
              </w:rPr>
            </w:pPr>
            <w:r w:rsidRPr="00B068A0">
              <w:rPr>
                <w:lang w:eastAsia="en-AU"/>
              </w:rPr>
              <w:t>Audits undertaken as part of the Local Government Investigations and Compliance Inspectorate planned audit program</w:t>
            </w:r>
          </w:p>
        </w:tc>
        <w:tc>
          <w:tcPr>
            <w:tcW w:w="907" w:type="dxa"/>
            <w:tcBorders>
              <w:top w:val="nil"/>
              <w:left w:val="nil"/>
              <w:bottom w:val="nil"/>
              <w:right w:val="nil"/>
            </w:tcBorders>
            <w:shd w:val="clear" w:color="000000" w:fill="FFFFFF"/>
            <w:hideMark/>
          </w:tcPr>
          <w:p w:rsidR="00B958B1" w:rsidRPr="00B068A0" w:rsidRDefault="00B958B1" w:rsidP="009F3B54">
            <w:pPr>
              <w:pStyle w:val="OGUoM"/>
              <w:rPr>
                <w:lang w:eastAsia="en-AU"/>
              </w:rPr>
            </w:pPr>
            <w:r w:rsidRPr="00B068A0">
              <w:rPr>
                <w:lang w:eastAsia="en-AU"/>
              </w:rPr>
              <w:t>number</w:t>
            </w:r>
          </w:p>
        </w:tc>
        <w:tc>
          <w:tcPr>
            <w:tcW w:w="907" w:type="dxa"/>
            <w:tcBorders>
              <w:top w:val="nil"/>
              <w:left w:val="nil"/>
              <w:bottom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na</w:t>
            </w:r>
          </w:p>
        </w:tc>
        <w:tc>
          <w:tcPr>
            <w:tcW w:w="994"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15</w:t>
            </w:r>
          </w:p>
        </w:tc>
        <w:tc>
          <w:tcPr>
            <w:tcW w:w="907"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15</w:t>
            </w:r>
          </w:p>
        </w:tc>
        <w:tc>
          <w:tcPr>
            <w:tcW w:w="907" w:type="dxa"/>
            <w:tcBorders>
              <w:top w:val="nil"/>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25</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B068A0" w:rsidRDefault="00B958B1" w:rsidP="009F3B54">
            <w:pPr>
              <w:pStyle w:val="OGNotes"/>
            </w:pPr>
            <w:r w:rsidRPr="00B068A0">
              <w:t>This performance measure is proposed to be discontinued as previous budgets did not allocate funding for this program beyond 30 June 2013.</w:t>
            </w:r>
          </w:p>
        </w:tc>
      </w:tr>
      <w:tr w:rsidR="00B958B1" w:rsidRPr="00B068A0" w:rsidTr="009F3B54">
        <w:trPr>
          <w:cantSplit/>
        </w:trPr>
        <w:tc>
          <w:tcPr>
            <w:tcW w:w="3154" w:type="dxa"/>
            <w:tcBorders>
              <w:top w:val="single" w:sz="6" w:space="0" w:color="auto"/>
              <w:left w:val="nil"/>
              <w:right w:val="nil"/>
            </w:tcBorders>
            <w:shd w:val="clear" w:color="000000" w:fill="FFFFFF"/>
            <w:hideMark/>
          </w:tcPr>
          <w:p w:rsidR="00B958B1" w:rsidRPr="00B068A0" w:rsidRDefault="00B958B1" w:rsidP="009F3B54">
            <w:pPr>
              <w:pStyle w:val="OGTabText"/>
              <w:rPr>
                <w:lang w:eastAsia="en-AU"/>
              </w:rPr>
            </w:pPr>
            <w:r w:rsidRPr="00B068A0">
              <w:rPr>
                <w:lang w:eastAsia="en-AU"/>
              </w:rPr>
              <w:t>Local government uptake of LGI recommendations</w:t>
            </w:r>
          </w:p>
        </w:tc>
        <w:tc>
          <w:tcPr>
            <w:tcW w:w="907" w:type="dxa"/>
            <w:tcBorders>
              <w:top w:val="single" w:sz="6" w:space="0" w:color="auto"/>
              <w:left w:val="nil"/>
              <w:right w:val="nil"/>
            </w:tcBorders>
            <w:shd w:val="clear" w:color="000000" w:fill="FFFFFF"/>
            <w:hideMark/>
          </w:tcPr>
          <w:p w:rsidR="00B958B1" w:rsidRPr="00B068A0" w:rsidRDefault="00B958B1" w:rsidP="009F3B54">
            <w:pPr>
              <w:pStyle w:val="OGUoM"/>
              <w:rPr>
                <w:lang w:eastAsia="en-AU"/>
              </w:rPr>
            </w:pPr>
            <w:r>
              <w:rPr>
                <w:lang w:eastAsia="en-AU"/>
              </w:rPr>
              <w:t>per cent</w:t>
            </w:r>
          </w:p>
        </w:tc>
        <w:tc>
          <w:tcPr>
            <w:tcW w:w="907" w:type="dxa"/>
            <w:tcBorders>
              <w:top w:val="single" w:sz="6" w:space="0" w:color="auto"/>
              <w:left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na</w:t>
            </w:r>
          </w:p>
        </w:tc>
        <w:tc>
          <w:tcPr>
            <w:tcW w:w="994" w:type="dxa"/>
            <w:tcBorders>
              <w:top w:val="single" w:sz="6" w:space="0" w:color="auto"/>
              <w:left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95</w:t>
            </w:r>
          </w:p>
        </w:tc>
        <w:tc>
          <w:tcPr>
            <w:tcW w:w="907" w:type="dxa"/>
            <w:tcBorders>
              <w:top w:val="single" w:sz="6" w:space="0" w:color="auto"/>
              <w:left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95</w:t>
            </w:r>
          </w:p>
        </w:tc>
        <w:tc>
          <w:tcPr>
            <w:tcW w:w="907" w:type="dxa"/>
            <w:tcBorders>
              <w:top w:val="single" w:sz="6" w:space="0" w:color="auto"/>
              <w:left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100</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B068A0" w:rsidRDefault="00B958B1" w:rsidP="009F3B54">
            <w:pPr>
              <w:pStyle w:val="OGNotes"/>
            </w:pPr>
            <w:r w:rsidRPr="00B068A0">
              <w:t>This performance measure is proposed to be discontinued as previous budgets did not allocate funding for this program beyond 30 June 2013.</w:t>
            </w:r>
          </w:p>
        </w:tc>
      </w:tr>
      <w:tr w:rsidR="00B958B1" w:rsidRPr="00B068A0" w:rsidTr="009F3B54">
        <w:trPr>
          <w:cantSplit/>
        </w:trPr>
        <w:tc>
          <w:tcPr>
            <w:tcW w:w="3154" w:type="dxa"/>
            <w:tcBorders>
              <w:top w:val="single" w:sz="6" w:space="0" w:color="auto"/>
              <w:left w:val="nil"/>
              <w:bottom w:val="nil"/>
              <w:right w:val="nil"/>
            </w:tcBorders>
            <w:shd w:val="clear" w:color="000000" w:fill="FFFFFF"/>
            <w:hideMark/>
          </w:tcPr>
          <w:p w:rsidR="00B958B1" w:rsidRPr="00B068A0" w:rsidRDefault="00B958B1" w:rsidP="009F3B54">
            <w:pPr>
              <w:pStyle w:val="OGTabText"/>
              <w:rPr>
                <w:lang w:eastAsia="en-AU"/>
              </w:rPr>
            </w:pPr>
            <w:r>
              <w:rPr>
                <w:lang w:eastAsia="en-AU"/>
              </w:rPr>
              <w:t>Percent</w:t>
            </w:r>
            <w:r w:rsidRPr="00B068A0">
              <w:rPr>
                <w:lang w:eastAsia="en-AU"/>
              </w:rPr>
              <w:t>age of accepted LGI recommendations implemented by councils when reviewed</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UoM"/>
              <w:rPr>
                <w:lang w:eastAsia="en-AU"/>
              </w:rPr>
            </w:pPr>
            <w:r>
              <w:rPr>
                <w:lang w:eastAsia="en-AU"/>
              </w:rPr>
              <w:t>per cent</w:t>
            </w:r>
          </w:p>
        </w:tc>
        <w:tc>
          <w:tcPr>
            <w:tcW w:w="907" w:type="dxa"/>
            <w:tcBorders>
              <w:top w:val="single" w:sz="6" w:space="0" w:color="auto"/>
              <w:left w:val="nil"/>
              <w:bottom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na</w:t>
            </w:r>
          </w:p>
        </w:tc>
        <w:tc>
          <w:tcPr>
            <w:tcW w:w="994"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95</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95</w:t>
            </w:r>
          </w:p>
        </w:tc>
        <w:tc>
          <w:tcPr>
            <w:tcW w:w="907" w:type="dxa"/>
            <w:tcBorders>
              <w:top w:val="single" w:sz="6" w:space="0" w:color="auto"/>
              <w:left w:val="nil"/>
              <w:bottom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nm</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Pr="00B068A0" w:rsidRDefault="00B958B1" w:rsidP="009F3B54">
            <w:pPr>
              <w:pStyle w:val="OGNotes"/>
            </w:pPr>
            <w:r w:rsidRPr="00B068A0">
              <w:t>This performance measure is proposed to be discontinued as previous budgets did not allocate funding for this program beyond 30 June 2013.</w:t>
            </w:r>
          </w:p>
        </w:tc>
      </w:tr>
      <w:tr w:rsidR="00B958B1" w:rsidRPr="00B068A0" w:rsidTr="009F3B54">
        <w:trPr>
          <w:cantSplit/>
        </w:trPr>
        <w:tc>
          <w:tcPr>
            <w:tcW w:w="3154" w:type="dxa"/>
            <w:tcBorders>
              <w:top w:val="single" w:sz="6" w:space="0" w:color="auto"/>
              <w:left w:val="nil"/>
              <w:bottom w:val="nil"/>
              <w:right w:val="nil"/>
            </w:tcBorders>
            <w:shd w:val="clear" w:color="auto" w:fill="auto"/>
            <w:vAlign w:val="bottom"/>
            <w:hideMark/>
          </w:tcPr>
          <w:p w:rsidR="00B958B1" w:rsidRPr="00B068A0" w:rsidRDefault="00B958B1" w:rsidP="009F3B54">
            <w:pPr>
              <w:pStyle w:val="OGTabHead"/>
              <w:rPr>
                <w:lang w:eastAsia="en-AU"/>
              </w:rPr>
            </w:pPr>
            <w:r w:rsidRPr="00B068A0">
              <w:rPr>
                <w:lang w:eastAsia="en-AU"/>
              </w:rPr>
              <w:t>Timeliness</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keepNext/>
              <w:rPr>
                <w:lang w:eastAsia="en-AU"/>
              </w:rPr>
            </w:pP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keepNext/>
              <w:rPr>
                <w:lang w:eastAsia="en-AU"/>
              </w:rPr>
            </w:pP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keepNext/>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keepNext/>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keepNext/>
              <w:rPr>
                <w:lang w:eastAsia="en-AU"/>
              </w:rPr>
            </w:pPr>
          </w:p>
        </w:tc>
      </w:tr>
      <w:tr w:rsidR="00B958B1" w:rsidRPr="00B068A0" w:rsidTr="009F3B54">
        <w:trPr>
          <w:cantSplit/>
        </w:trPr>
        <w:tc>
          <w:tcPr>
            <w:tcW w:w="3154" w:type="dxa"/>
            <w:tcBorders>
              <w:top w:val="nil"/>
              <w:left w:val="nil"/>
              <w:bottom w:val="nil"/>
              <w:right w:val="nil"/>
            </w:tcBorders>
            <w:shd w:val="clear" w:color="000000" w:fill="FFFFFF"/>
            <w:hideMark/>
          </w:tcPr>
          <w:p w:rsidR="00B958B1" w:rsidRPr="00B068A0" w:rsidRDefault="00B958B1" w:rsidP="009F3B54">
            <w:pPr>
              <w:pStyle w:val="OGTabText"/>
              <w:keepNext/>
              <w:rPr>
                <w:lang w:eastAsia="en-AU"/>
              </w:rPr>
            </w:pPr>
            <w:r w:rsidRPr="00B068A0">
              <w:rPr>
                <w:lang w:eastAsia="en-AU"/>
              </w:rPr>
              <w:t>Complaints received by the LGI assessed and actioned within five working days of receipt</w:t>
            </w:r>
          </w:p>
        </w:tc>
        <w:tc>
          <w:tcPr>
            <w:tcW w:w="907" w:type="dxa"/>
            <w:tcBorders>
              <w:top w:val="nil"/>
              <w:left w:val="nil"/>
              <w:bottom w:val="nil"/>
              <w:right w:val="nil"/>
            </w:tcBorders>
            <w:shd w:val="clear" w:color="000000" w:fill="FFFFFF"/>
            <w:hideMark/>
          </w:tcPr>
          <w:p w:rsidR="00B958B1" w:rsidRPr="00B068A0" w:rsidRDefault="00B958B1" w:rsidP="009F3B54">
            <w:pPr>
              <w:pStyle w:val="OGUoM"/>
              <w:keepNext/>
              <w:rPr>
                <w:lang w:eastAsia="en-AU"/>
              </w:rPr>
            </w:pPr>
            <w:r>
              <w:rPr>
                <w:lang w:eastAsia="en-AU"/>
              </w:rPr>
              <w:t>per cent</w:t>
            </w:r>
          </w:p>
        </w:tc>
        <w:tc>
          <w:tcPr>
            <w:tcW w:w="907" w:type="dxa"/>
            <w:tcBorders>
              <w:top w:val="nil"/>
              <w:left w:val="nil"/>
              <w:bottom w:val="nil"/>
              <w:right w:val="nil"/>
            </w:tcBorders>
            <w:shd w:val="clear" w:color="auto" w:fill="D9D9D9"/>
            <w:hideMark/>
          </w:tcPr>
          <w:p w:rsidR="00B958B1" w:rsidRPr="00B068A0" w:rsidRDefault="00B958B1" w:rsidP="009F3B54">
            <w:pPr>
              <w:pStyle w:val="OGTableofFigures"/>
              <w:keepNext/>
              <w:rPr>
                <w:lang w:eastAsia="en-AU"/>
              </w:rPr>
            </w:pPr>
            <w:r w:rsidRPr="00B068A0">
              <w:rPr>
                <w:lang w:eastAsia="en-AU"/>
              </w:rPr>
              <w:t>na</w:t>
            </w:r>
          </w:p>
        </w:tc>
        <w:tc>
          <w:tcPr>
            <w:tcW w:w="994" w:type="dxa"/>
            <w:tcBorders>
              <w:top w:val="nil"/>
              <w:left w:val="nil"/>
              <w:bottom w:val="nil"/>
              <w:right w:val="nil"/>
            </w:tcBorders>
            <w:shd w:val="clear" w:color="000000" w:fill="FFFFFF"/>
            <w:hideMark/>
          </w:tcPr>
          <w:p w:rsidR="00B958B1" w:rsidRPr="00B068A0" w:rsidRDefault="00B958B1" w:rsidP="009F3B54">
            <w:pPr>
              <w:pStyle w:val="OGTableofFigures"/>
              <w:keepNext/>
              <w:rPr>
                <w:lang w:eastAsia="en-AU"/>
              </w:rPr>
            </w:pPr>
            <w:r w:rsidRPr="00B068A0">
              <w:rPr>
                <w:lang w:eastAsia="en-AU"/>
              </w:rPr>
              <w:t>92</w:t>
            </w:r>
          </w:p>
        </w:tc>
        <w:tc>
          <w:tcPr>
            <w:tcW w:w="907" w:type="dxa"/>
            <w:tcBorders>
              <w:top w:val="nil"/>
              <w:left w:val="nil"/>
              <w:bottom w:val="nil"/>
              <w:right w:val="nil"/>
            </w:tcBorders>
            <w:shd w:val="clear" w:color="000000" w:fill="FFFFFF"/>
            <w:hideMark/>
          </w:tcPr>
          <w:p w:rsidR="00B958B1" w:rsidRPr="00B068A0" w:rsidRDefault="00B958B1" w:rsidP="009F3B54">
            <w:pPr>
              <w:pStyle w:val="OGTableofFigures"/>
              <w:keepNext/>
              <w:rPr>
                <w:lang w:eastAsia="en-AU"/>
              </w:rPr>
            </w:pPr>
            <w:r w:rsidRPr="00B068A0">
              <w:rPr>
                <w:lang w:eastAsia="en-AU"/>
              </w:rPr>
              <w:t>100</w:t>
            </w:r>
          </w:p>
        </w:tc>
        <w:tc>
          <w:tcPr>
            <w:tcW w:w="907" w:type="dxa"/>
            <w:tcBorders>
              <w:top w:val="nil"/>
              <w:left w:val="nil"/>
              <w:bottom w:val="nil"/>
              <w:right w:val="nil"/>
            </w:tcBorders>
            <w:shd w:val="clear" w:color="000000" w:fill="FFFFFF"/>
            <w:hideMark/>
          </w:tcPr>
          <w:p w:rsidR="00B958B1" w:rsidRPr="00B068A0" w:rsidRDefault="00B958B1" w:rsidP="009F3B54">
            <w:pPr>
              <w:pStyle w:val="OGTableofFigures"/>
              <w:keepNext/>
              <w:rPr>
                <w:lang w:eastAsia="en-AU"/>
              </w:rPr>
            </w:pPr>
            <w:r w:rsidRPr="00B068A0">
              <w:rPr>
                <w:lang w:eastAsia="en-AU"/>
              </w:rPr>
              <w:t>100</w:t>
            </w:r>
          </w:p>
        </w:tc>
      </w:tr>
      <w:tr w:rsidR="00B958B1" w:rsidRPr="00B068A0" w:rsidTr="009F3B54">
        <w:trPr>
          <w:cantSplit/>
        </w:trPr>
        <w:tc>
          <w:tcPr>
            <w:tcW w:w="7776" w:type="dxa"/>
            <w:gridSpan w:val="6"/>
            <w:tcBorders>
              <w:top w:val="nil"/>
              <w:left w:val="nil"/>
              <w:bottom w:val="single" w:sz="6" w:space="0" w:color="auto"/>
              <w:right w:val="nil"/>
            </w:tcBorders>
            <w:shd w:val="clear" w:color="auto" w:fill="auto"/>
            <w:vAlign w:val="bottom"/>
            <w:hideMark/>
          </w:tcPr>
          <w:p w:rsidR="00B958B1" w:rsidRDefault="00B958B1" w:rsidP="009F3B54">
            <w:pPr>
              <w:pStyle w:val="OGNotes"/>
            </w:pPr>
            <w:r w:rsidRPr="00B068A0">
              <w:t>This performance measure is proposed to be discontinued as previous budgets did not allocate funding for this program beyond 30 June 2013.</w:t>
            </w:r>
          </w:p>
          <w:p w:rsidR="00B958B1" w:rsidRPr="00B068A0" w:rsidRDefault="00B958B1" w:rsidP="009F3B54">
            <w:pPr>
              <w:pStyle w:val="OGNotes"/>
            </w:pPr>
            <w:r w:rsidRPr="00B068A0">
              <w:t>The 2012</w:t>
            </w:r>
            <w:r w:rsidR="009F0F49">
              <w:noBreakHyphen/>
            </w:r>
            <w:r w:rsidRPr="00B068A0">
              <w:t>13 Expected Outcome is lower than 2012</w:t>
            </w:r>
            <w:r w:rsidR="009F0F49">
              <w:noBreakHyphen/>
            </w:r>
            <w:r w:rsidRPr="00B068A0">
              <w:t>13 Target due to a 130</w:t>
            </w:r>
            <w:r>
              <w:t> per cent</w:t>
            </w:r>
            <w:r w:rsidRPr="00B068A0">
              <w:t xml:space="preserve"> increase in complaints due to the 2012 council election period.</w:t>
            </w:r>
          </w:p>
        </w:tc>
      </w:tr>
      <w:tr w:rsidR="00B958B1" w:rsidRPr="00B068A0" w:rsidTr="009F3B54">
        <w:trPr>
          <w:cantSplit/>
        </w:trPr>
        <w:tc>
          <w:tcPr>
            <w:tcW w:w="7776" w:type="dxa"/>
            <w:gridSpan w:val="6"/>
            <w:tcBorders>
              <w:top w:val="single" w:sz="6" w:space="0" w:color="auto"/>
              <w:left w:val="nil"/>
              <w:bottom w:val="nil"/>
              <w:right w:val="nil"/>
            </w:tcBorders>
            <w:shd w:val="clear" w:color="auto" w:fill="auto"/>
            <w:vAlign w:val="bottom"/>
            <w:hideMark/>
          </w:tcPr>
          <w:p w:rsidR="00B958B1" w:rsidRPr="00B068A0" w:rsidRDefault="00B958B1" w:rsidP="009F3B54">
            <w:pPr>
              <w:pStyle w:val="OGHeading2"/>
              <w:pageBreakBefore/>
              <w:rPr>
                <w:lang w:eastAsia="en-AU"/>
              </w:rPr>
            </w:pPr>
            <w:r w:rsidRPr="00B068A0">
              <w:rPr>
                <w:lang w:eastAsia="en-AU"/>
              </w:rPr>
              <w:t>Sport and Recreation</w:t>
            </w:r>
          </w:p>
        </w:tc>
      </w:tr>
      <w:tr w:rsidR="00B958B1" w:rsidRPr="00B068A0" w:rsidTr="009F3B54">
        <w:trPr>
          <w:cantSplit/>
        </w:trPr>
        <w:tc>
          <w:tcPr>
            <w:tcW w:w="3154" w:type="dxa"/>
            <w:tcBorders>
              <w:top w:val="single" w:sz="6" w:space="0" w:color="auto"/>
              <w:left w:val="nil"/>
              <w:bottom w:val="nil"/>
              <w:right w:val="nil"/>
            </w:tcBorders>
            <w:shd w:val="clear" w:color="auto" w:fill="auto"/>
            <w:vAlign w:val="bottom"/>
            <w:hideMark/>
          </w:tcPr>
          <w:p w:rsidR="00B958B1" w:rsidRPr="00B068A0" w:rsidRDefault="00B958B1" w:rsidP="009F3B54">
            <w:pPr>
              <w:pStyle w:val="OGTabHead"/>
              <w:rPr>
                <w:lang w:eastAsia="en-AU"/>
              </w:rPr>
            </w:pPr>
            <w:r w:rsidRPr="00B068A0">
              <w:rPr>
                <w:lang w:eastAsia="en-AU"/>
              </w:rPr>
              <w:t>Quantity</w:t>
            </w: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UoM"/>
              <w:rPr>
                <w:lang w:eastAsia="en-AU"/>
              </w:rPr>
            </w:pPr>
          </w:p>
        </w:tc>
        <w:tc>
          <w:tcPr>
            <w:tcW w:w="907" w:type="dxa"/>
            <w:tcBorders>
              <w:top w:val="single" w:sz="6" w:space="0" w:color="auto"/>
              <w:left w:val="nil"/>
              <w:bottom w:val="nil"/>
              <w:right w:val="nil"/>
            </w:tcBorders>
            <w:shd w:val="clear" w:color="auto" w:fill="D9D9D9"/>
            <w:noWrap/>
            <w:hideMark/>
          </w:tcPr>
          <w:p w:rsidR="00B958B1" w:rsidRPr="00B068A0" w:rsidRDefault="00B958B1" w:rsidP="009F3B54">
            <w:pPr>
              <w:pStyle w:val="OGTableofFigures"/>
              <w:rPr>
                <w:lang w:eastAsia="en-AU"/>
              </w:rPr>
            </w:pPr>
          </w:p>
        </w:tc>
        <w:tc>
          <w:tcPr>
            <w:tcW w:w="994"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c>
          <w:tcPr>
            <w:tcW w:w="907" w:type="dxa"/>
            <w:tcBorders>
              <w:top w:val="single" w:sz="6" w:space="0" w:color="auto"/>
              <w:left w:val="nil"/>
              <w:bottom w:val="nil"/>
              <w:right w:val="nil"/>
            </w:tcBorders>
            <w:shd w:val="clear" w:color="auto" w:fill="auto"/>
            <w:noWrap/>
            <w:hideMark/>
          </w:tcPr>
          <w:p w:rsidR="00B958B1" w:rsidRPr="00B068A0" w:rsidRDefault="00B958B1" w:rsidP="009F3B54">
            <w:pPr>
              <w:pStyle w:val="OGTableofFigures"/>
              <w:rPr>
                <w:lang w:eastAsia="en-AU"/>
              </w:rPr>
            </w:pPr>
          </w:p>
        </w:tc>
      </w:tr>
      <w:tr w:rsidR="00B958B1" w:rsidRPr="00B068A0" w:rsidTr="009F3B54">
        <w:trPr>
          <w:cantSplit/>
        </w:trPr>
        <w:tc>
          <w:tcPr>
            <w:tcW w:w="3154" w:type="dxa"/>
            <w:tcBorders>
              <w:top w:val="nil"/>
              <w:left w:val="nil"/>
              <w:right w:val="nil"/>
            </w:tcBorders>
            <w:shd w:val="clear" w:color="000000" w:fill="FFFFFF"/>
            <w:hideMark/>
          </w:tcPr>
          <w:p w:rsidR="00B958B1" w:rsidRPr="00B068A0" w:rsidRDefault="00B958B1" w:rsidP="009F3B54">
            <w:pPr>
              <w:pStyle w:val="OGTabText"/>
              <w:rPr>
                <w:lang w:eastAsia="en-AU"/>
              </w:rPr>
            </w:pPr>
            <w:r w:rsidRPr="00B068A0">
              <w:rPr>
                <w:lang w:eastAsia="en-AU"/>
              </w:rPr>
              <w:t>Athletes on Victorian Institute of Sport (VIS) scholarships</w:t>
            </w:r>
          </w:p>
        </w:tc>
        <w:tc>
          <w:tcPr>
            <w:tcW w:w="907" w:type="dxa"/>
            <w:tcBorders>
              <w:top w:val="nil"/>
              <w:left w:val="nil"/>
              <w:right w:val="nil"/>
            </w:tcBorders>
            <w:shd w:val="clear" w:color="000000" w:fill="FFFFFF"/>
            <w:hideMark/>
          </w:tcPr>
          <w:p w:rsidR="00B958B1" w:rsidRPr="00B068A0" w:rsidRDefault="00B958B1" w:rsidP="009F3B54">
            <w:pPr>
              <w:pStyle w:val="OGUoM"/>
              <w:rPr>
                <w:lang w:eastAsia="en-AU"/>
              </w:rPr>
            </w:pPr>
            <w:r w:rsidRPr="00B068A0">
              <w:rPr>
                <w:lang w:eastAsia="en-AU"/>
              </w:rPr>
              <w:t>number</w:t>
            </w:r>
          </w:p>
        </w:tc>
        <w:tc>
          <w:tcPr>
            <w:tcW w:w="907" w:type="dxa"/>
            <w:tcBorders>
              <w:top w:val="nil"/>
              <w:left w:val="nil"/>
              <w:right w:val="nil"/>
            </w:tcBorders>
            <w:shd w:val="clear" w:color="auto" w:fill="D9D9D9"/>
            <w:hideMark/>
          </w:tcPr>
          <w:p w:rsidR="00B958B1" w:rsidRPr="00B068A0" w:rsidRDefault="00B958B1" w:rsidP="009F3B54">
            <w:pPr>
              <w:pStyle w:val="OGTableofFigures"/>
              <w:rPr>
                <w:lang w:eastAsia="en-AU"/>
              </w:rPr>
            </w:pPr>
            <w:r w:rsidRPr="00B068A0">
              <w:rPr>
                <w:lang w:eastAsia="en-AU"/>
              </w:rPr>
              <w:t>&gt;300</w:t>
            </w:r>
          </w:p>
        </w:tc>
        <w:tc>
          <w:tcPr>
            <w:tcW w:w="994" w:type="dxa"/>
            <w:tcBorders>
              <w:top w:val="nil"/>
              <w:left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308</w:t>
            </w:r>
          </w:p>
        </w:tc>
        <w:tc>
          <w:tcPr>
            <w:tcW w:w="907" w:type="dxa"/>
            <w:tcBorders>
              <w:top w:val="nil"/>
              <w:left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&gt;330</w:t>
            </w:r>
          </w:p>
        </w:tc>
        <w:tc>
          <w:tcPr>
            <w:tcW w:w="907" w:type="dxa"/>
            <w:tcBorders>
              <w:top w:val="nil"/>
              <w:left w:val="nil"/>
              <w:right w:val="nil"/>
            </w:tcBorders>
            <w:shd w:val="clear" w:color="000000" w:fill="FFFFFF"/>
            <w:hideMark/>
          </w:tcPr>
          <w:p w:rsidR="00B958B1" w:rsidRPr="00B068A0" w:rsidRDefault="00B958B1" w:rsidP="009F3B54">
            <w:pPr>
              <w:pStyle w:val="OGTableofFigures"/>
              <w:rPr>
                <w:lang w:eastAsia="en-AU"/>
              </w:rPr>
            </w:pPr>
            <w:r w:rsidRPr="00B068A0">
              <w:rPr>
                <w:lang w:eastAsia="en-AU"/>
              </w:rPr>
              <w:t>341</w:t>
            </w:r>
          </w:p>
        </w:tc>
      </w:tr>
      <w:tr w:rsidR="00B958B1" w:rsidRPr="00B068A0" w:rsidTr="009F3B54">
        <w:trPr>
          <w:cantSplit/>
        </w:trPr>
        <w:tc>
          <w:tcPr>
            <w:tcW w:w="7776" w:type="dxa"/>
            <w:gridSpan w:val="6"/>
            <w:tcBorders>
              <w:top w:val="nil"/>
              <w:left w:val="nil"/>
              <w:bottom w:val="single" w:sz="12" w:space="0" w:color="auto"/>
              <w:right w:val="nil"/>
            </w:tcBorders>
            <w:shd w:val="clear" w:color="auto" w:fill="auto"/>
            <w:vAlign w:val="bottom"/>
            <w:hideMark/>
          </w:tcPr>
          <w:p w:rsidR="00B958B1" w:rsidRDefault="00B958B1" w:rsidP="009F3B54">
            <w:pPr>
              <w:pStyle w:val="OGNotes"/>
            </w:pPr>
            <w:r w:rsidRPr="00B068A0">
              <w:t>This performance measure is proposed to be discontinued and replaced by the 2013</w:t>
            </w:r>
            <w:r w:rsidR="009F0F49">
              <w:noBreakHyphen/>
            </w:r>
            <w:r w:rsidRPr="00B068A0">
              <w:t xml:space="preserve">14 performance measure </w:t>
            </w:r>
            <w:r>
              <w:t>‘</w:t>
            </w:r>
            <w:r w:rsidRPr="00B068A0">
              <w:t>Number of sports with athletes on Victorian Institute of Sport (VIS) scholarships</w:t>
            </w:r>
            <w:r>
              <w:t>’</w:t>
            </w:r>
            <w:r w:rsidRPr="00B068A0">
              <w:t>. The new measure relates to the same activity as the 2012</w:t>
            </w:r>
            <w:r w:rsidR="009F0F49">
              <w:noBreakHyphen/>
            </w:r>
            <w:r w:rsidRPr="00B068A0">
              <w:t>13 measure but will provide a better indication of the breadth and extent of services provided by VIS across a range of sports.</w:t>
            </w:r>
          </w:p>
          <w:p w:rsidR="00B958B1" w:rsidRDefault="00B958B1" w:rsidP="009F3B54">
            <w:pPr>
              <w:pStyle w:val="OGNotes"/>
            </w:pPr>
            <w:r w:rsidRPr="00B068A0">
              <w:t>The 2012</w:t>
            </w:r>
            <w:r w:rsidR="009F0F49">
              <w:noBreakHyphen/>
            </w:r>
            <w:r w:rsidRPr="00B068A0">
              <w:t>13 Expected Outcome is lower than the 2012</w:t>
            </w:r>
            <w:r w:rsidR="009F0F49">
              <w:noBreakHyphen/>
            </w:r>
            <w:r>
              <w:t>13 Target due to fewer ath</w:t>
            </w:r>
            <w:r w:rsidRPr="00B068A0">
              <w:t>letes being on scholarships in 2012</w:t>
            </w:r>
            <w:r w:rsidR="009F0F49">
              <w:noBreakHyphen/>
            </w:r>
            <w:r w:rsidRPr="00B068A0">
              <w:t>13 following a number of retirements and athletes taking time out following the Olympics and Paralympics.</w:t>
            </w:r>
          </w:p>
          <w:p w:rsidR="00B958B1" w:rsidRPr="00B068A0" w:rsidRDefault="00B958B1" w:rsidP="009F3B54">
            <w:pPr>
              <w:pStyle w:val="OGNotes"/>
            </w:pPr>
            <w:r>
              <w:t>The 2013</w:t>
            </w:r>
            <w:r w:rsidR="009F0F49">
              <w:noBreakHyphen/>
            </w:r>
            <w:r>
              <w:t>14 Target is lower than the 2012</w:t>
            </w:r>
            <w:r w:rsidR="009F0F49">
              <w:noBreakHyphen/>
            </w:r>
            <w:r>
              <w:t>13 Target because scholarships will be provided to fewer athletes focussing on those assessed as being more likely to achieve international success, in keeping with the Commonwealth’s new approach to funding elite sport.</w:t>
            </w:r>
          </w:p>
        </w:tc>
      </w:tr>
    </w:tbl>
    <w:p w:rsidR="00B958B1" w:rsidRDefault="00B958B1" w:rsidP="009F3B54">
      <w:pPr>
        <w:pStyle w:val="Source"/>
      </w:pPr>
      <w:r>
        <w:t xml:space="preserve">Source: </w:t>
      </w:r>
      <w:r w:rsidRPr="00700DF5">
        <w:t>Department of Transport Planning and Local Infrastructure</w:t>
      </w:r>
      <w:r>
        <w:fldChar w:fldCharType="begin"/>
      </w:r>
      <w:r>
        <w:instrText xml:space="preserve"> XE "</w:instrText>
      </w:r>
      <w:r w:rsidRPr="007A4D98">
        <w:instrText>Department of Transport</w:instrText>
      </w:r>
      <w:r>
        <w:instrText>,</w:instrText>
      </w:r>
      <w:r w:rsidRPr="007A4D98">
        <w:instrText xml:space="preserve"> Planning and Local Infrastructure:</w:instrText>
      </w:r>
      <w:r w:rsidRPr="00C60B08">
        <w:instrText xml:space="preserve"> </w:instrText>
      </w:r>
      <w:r w:rsidRPr="003E7F43">
        <w:instrText>Output performance measures for review</w:instrText>
      </w:r>
      <w:r>
        <w:instrText xml:space="preserve">" \r "BP3AppADTPLI" </w:instrText>
      </w:r>
      <w:r>
        <w:fldChar w:fldCharType="end"/>
      </w:r>
    </w:p>
    <w:bookmarkEnd w:id="171"/>
    <w:p w:rsidR="00B958B1" w:rsidRDefault="00B958B1" w:rsidP="009F3B54">
      <w:pPr>
        <w:pStyle w:val="Heading1"/>
      </w:pPr>
      <w:r>
        <w:br w:type="page"/>
      </w:r>
      <w:bookmarkStart w:id="172" w:name="_Toc355362298"/>
      <w:bookmarkStart w:id="173" w:name="BP3AppADTF"/>
      <w:r>
        <w:t>Department of Treasury and Finance</w:t>
      </w:r>
      <w:bookmarkEnd w:id="172"/>
    </w:p>
    <w:tbl>
      <w:tblPr>
        <w:tblW w:w="7786" w:type="dxa"/>
        <w:tblInd w:w="25" w:type="dxa"/>
        <w:tblLayout w:type="fixed"/>
        <w:tblCellMar>
          <w:left w:w="43" w:type="dxa"/>
          <w:right w:w="43" w:type="dxa"/>
        </w:tblCellMar>
        <w:tblLook w:val="04A0" w:firstRow="1" w:lastRow="0" w:firstColumn="1" w:lastColumn="0" w:noHBand="0" w:noVBand="1"/>
      </w:tblPr>
      <w:tblGrid>
        <w:gridCol w:w="3107"/>
        <w:gridCol w:w="46"/>
        <w:gridCol w:w="909"/>
        <w:gridCol w:w="43"/>
        <w:gridCol w:w="868"/>
        <w:gridCol w:w="43"/>
        <w:gridCol w:w="952"/>
        <w:gridCol w:w="30"/>
        <w:gridCol w:w="862"/>
        <w:gridCol w:w="12"/>
        <w:gridCol w:w="18"/>
        <w:gridCol w:w="886"/>
        <w:gridCol w:w="10"/>
      </w:tblGrid>
      <w:tr w:rsidR="00B958B1" w:rsidRPr="000A2A12" w:rsidTr="009F3B54">
        <w:trPr>
          <w:gridAfter w:val="1"/>
          <w:wAfter w:w="10" w:type="dxa"/>
          <w:cantSplit/>
          <w:tblHeader/>
        </w:trPr>
        <w:tc>
          <w:tcPr>
            <w:tcW w:w="3153" w:type="dxa"/>
            <w:gridSpan w:val="2"/>
            <w:tcBorders>
              <w:top w:val="single" w:sz="4" w:space="0" w:color="auto"/>
              <w:left w:val="single" w:sz="4" w:space="0" w:color="auto"/>
              <w:right w:val="nil"/>
            </w:tcBorders>
            <w:shd w:val="clear" w:color="auto" w:fill="000000"/>
            <w:vAlign w:val="bottom"/>
          </w:tcPr>
          <w:p w:rsidR="00B958B1" w:rsidRPr="000A2A12" w:rsidRDefault="00B958B1" w:rsidP="009F3B54">
            <w:pPr>
              <w:pStyle w:val="OGTabColLeft"/>
              <w:rPr>
                <w:i/>
              </w:rPr>
            </w:pPr>
            <w:r w:rsidRPr="000A2A12">
              <w:t>Major Outputs/Deliverables</w:t>
            </w:r>
            <w:r w:rsidRPr="000A2A12">
              <w:br/>
            </w:r>
            <w:r w:rsidRPr="000A2A12">
              <w:rPr>
                <w:b w:val="0"/>
                <w:i/>
              </w:rPr>
              <w:t>Performance measures</w:t>
            </w:r>
          </w:p>
        </w:tc>
        <w:tc>
          <w:tcPr>
            <w:tcW w:w="909" w:type="dxa"/>
            <w:tcBorders>
              <w:top w:val="single" w:sz="4" w:space="0" w:color="auto"/>
              <w:left w:val="nil"/>
              <w:right w:val="nil"/>
            </w:tcBorders>
            <w:shd w:val="clear" w:color="auto" w:fill="000000"/>
            <w:noWrap/>
            <w:vAlign w:val="bottom"/>
            <w:hideMark/>
          </w:tcPr>
          <w:p w:rsidR="00B958B1" w:rsidRPr="000A2A12" w:rsidRDefault="00B958B1" w:rsidP="009F3B54">
            <w:pPr>
              <w:pStyle w:val="OGTabColCentred"/>
            </w:pPr>
            <w:r w:rsidRPr="000A2A12">
              <w:t xml:space="preserve">Unit of </w:t>
            </w:r>
            <w:r w:rsidRPr="000A2A12">
              <w:br/>
              <w:t>Measure</w:t>
            </w:r>
          </w:p>
        </w:tc>
        <w:tc>
          <w:tcPr>
            <w:tcW w:w="911" w:type="dxa"/>
            <w:gridSpan w:val="2"/>
            <w:tcBorders>
              <w:top w:val="single" w:sz="4" w:space="0" w:color="auto"/>
              <w:left w:val="nil"/>
              <w:right w:val="nil"/>
            </w:tcBorders>
            <w:shd w:val="clear" w:color="auto" w:fill="000000"/>
            <w:noWrap/>
            <w:vAlign w:val="bottom"/>
            <w:hideMark/>
          </w:tcPr>
          <w:p w:rsidR="00B958B1" w:rsidRPr="000A2A12" w:rsidRDefault="00B958B1" w:rsidP="009F3B54">
            <w:pPr>
              <w:pStyle w:val="OGTabColRight"/>
            </w:pPr>
            <w:r w:rsidRPr="000A2A12">
              <w:t>2013</w:t>
            </w:r>
            <w:r w:rsidR="009F0F49">
              <w:noBreakHyphen/>
            </w:r>
            <w:r w:rsidRPr="000A2A12">
              <w:t>14 Target</w:t>
            </w:r>
          </w:p>
        </w:tc>
        <w:tc>
          <w:tcPr>
            <w:tcW w:w="995" w:type="dxa"/>
            <w:gridSpan w:val="2"/>
            <w:tcBorders>
              <w:top w:val="single" w:sz="4" w:space="0" w:color="auto"/>
              <w:left w:val="nil"/>
              <w:right w:val="nil"/>
            </w:tcBorders>
            <w:shd w:val="clear" w:color="auto" w:fill="000000"/>
            <w:noWrap/>
            <w:vAlign w:val="bottom"/>
            <w:hideMark/>
          </w:tcPr>
          <w:p w:rsidR="00B958B1" w:rsidRPr="000A2A12" w:rsidRDefault="00B958B1" w:rsidP="009F3B54">
            <w:pPr>
              <w:pStyle w:val="OGTabColRight"/>
            </w:pPr>
            <w:r w:rsidRPr="000A2A12">
              <w:t>2012</w:t>
            </w:r>
            <w:r w:rsidR="009F0F49">
              <w:noBreakHyphen/>
            </w:r>
            <w:r w:rsidRPr="000A2A12">
              <w:t>13 Expected Outcome</w:t>
            </w:r>
          </w:p>
        </w:tc>
        <w:tc>
          <w:tcPr>
            <w:tcW w:w="904" w:type="dxa"/>
            <w:gridSpan w:val="3"/>
            <w:tcBorders>
              <w:top w:val="single" w:sz="4" w:space="0" w:color="auto"/>
              <w:left w:val="nil"/>
              <w:right w:val="nil"/>
            </w:tcBorders>
            <w:shd w:val="clear" w:color="auto" w:fill="000000"/>
            <w:noWrap/>
            <w:vAlign w:val="bottom"/>
            <w:hideMark/>
          </w:tcPr>
          <w:p w:rsidR="00B958B1" w:rsidRPr="000A2A12" w:rsidRDefault="00B958B1" w:rsidP="009F3B54">
            <w:pPr>
              <w:pStyle w:val="OGTabColRight"/>
            </w:pPr>
            <w:r w:rsidRPr="000A2A12">
              <w:t>2012</w:t>
            </w:r>
            <w:r w:rsidR="009F0F49">
              <w:noBreakHyphen/>
            </w:r>
            <w:r w:rsidRPr="000A2A12">
              <w:t>13 Target</w:t>
            </w:r>
          </w:p>
        </w:tc>
        <w:tc>
          <w:tcPr>
            <w:tcW w:w="904" w:type="dxa"/>
            <w:gridSpan w:val="2"/>
            <w:tcBorders>
              <w:top w:val="single" w:sz="4" w:space="0" w:color="auto"/>
              <w:left w:val="nil"/>
              <w:right w:val="single" w:sz="4" w:space="0" w:color="auto"/>
            </w:tcBorders>
            <w:shd w:val="clear" w:color="auto" w:fill="000000"/>
            <w:noWrap/>
            <w:vAlign w:val="bottom"/>
            <w:hideMark/>
          </w:tcPr>
          <w:p w:rsidR="00B958B1" w:rsidRPr="000A2A12" w:rsidRDefault="00B958B1" w:rsidP="009F3B54">
            <w:pPr>
              <w:pStyle w:val="OGTabColRight"/>
            </w:pPr>
            <w:r w:rsidRPr="000A2A12">
              <w:t>2011</w:t>
            </w:r>
            <w:r w:rsidR="009F0F49">
              <w:noBreakHyphen/>
            </w:r>
            <w:r w:rsidRPr="000A2A12">
              <w:t>12 Actual</w:t>
            </w:r>
          </w:p>
        </w:tc>
      </w:tr>
      <w:tr w:rsidR="00B958B1" w:rsidRPr="000A2A12" w:rsidTr="009F3B54">
        <w:trPr>
          <w:gridAfter w:val="1"/>
          <w:wAfter w:w="10" w:type="dxa"/>
          <w:cantSplit/>
        </w:trPr>
        <w:tc>
          <w:tcPr>
            <w:tcW w:w="7776" w:type="dxa"/>
            <w:gridSpan w:val="12"/>
            <w:tcBorders>
              <w:top w:val="single" w:sz="6" w:space="0" w:color="auto"/>
              <w:left w:val="nil"/>
              <w:bottom w:val="nil"/>
              <w:right w:val="nil"/>
            </w:tcBorders>
            <w:shd w:val="clear" w:color="auto" w:fill="auto"/>
            <w:vAlign w:val="bottom"/>
          </w:tcPr>
          <w:p w:rsidR="00B958B1" w:rsidRPr="000A2A12" w:rsidRDefault="00B958B1" w:rsidP="009F3B54">
            <w:pPr>
              <w:pStyle w:val="OGHeading2"/>
              <w:rPr>
                <w:sz w:val="20"/>
              </w:rPr>
            </w:pPr>
            <w:r w:rsidRPr="000A2A12">
              <w:t>Financial and Resource Management Frameworks</w:t>
            </w:r>
          </w:p>
        </w:tc>
      </w:tr>
      <w:tr w:rsidR="00B958B1" w:rsidRPr="000A2A12" w:rsidTr="009F3B54">
        <w:trPr>
          <w:gridAfter w:val="1"/>
          <w:wAfter w:w="10" w:type="dxa"/>
          <w:cantSplit/>
        </w:trPr>
        <w:tc>
          <w:tcPr>
            <w:tcW w:w="3153" w:type="dxa"/>
            <w:gridSpan w:val="2"/>
            <w:tcBorders>
              <w:top w:val="single" w:sz="6" w:space="0" w:color="auto"/>
              <w:left w:val="nil"/>
              <w:bottom w:val="nil"/>
              <w:right w:val="nil"/>
            </w:tcBorders>
            <w:shd w:val="clear" w:color="auto" w:fill="auto"/>
            <w:vAlign w:val="bottom"/>
          </w:tcPr>
          <w:p w:rsidR="00B958B1" w:rsidRPr="000A2A12" w:rsidRDefault="00B958B1" w:rsidP="009F3B54">
            <w:pPr>
              <w:pStyle w:val="OGTabHead"/>
            </w:pPr>
            <w:r w:rsidRPr="000A2A12">
              <w:t>Quality</w:t>
            </w:r>
          </w:p>
        </w:tc>
        <w:tc>
          <w:tcPr>
            <w:tcW w:w="952" w:type="dxa"/>
            <w:gridSpan w:val="2"/>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911" w:type="dxa"/>
            <w:gridSpan w:val="2"/>
            <w:tcBorders>
              <w:top w:val="single" w:sz="6" w:space="0" w:color="auto"/>
              <w:left w:val="nil"/>
              <w:bottom w:val="nil"/>
              <w:right w:val="nil"/>
            </w:tcBorders>
            <w:shd w:val="clear" w:color="auto" w:fill="D9D9D9"/>
            <w:noWrap/>
            <w:vAlign w:val="bottom"/>
          </w:tcPr>
          <w:p w:rsidR="00B958B1" w:rsidRPr="000A2A12" w:rsidRDefault="00B958B1" w:rsidP="009F3B54">
            <w:pPr>
              <w:pStyle w:val="OGTabText"/>
            </w:pPr>
          </w:p>
        </w:tc>
        <w:tc>
          <w:tcPr>
            <w:tcW w:w="982" w:type="dxa"/>
            <w:gridSpan w:val="2"/>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892" w:type="dxa"/>
            <w:gridSpan w:val="3"/>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886" w:type="dxa"/>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r>
      <w:tr w:rsidR="00B958B1" w:rsidRPr="000A2A12" w:rsidTr="009F3B54">
        <w:trPr>
          <w:gridAfter w:val="1"/>
          <w:wAfter w:w="10" w:type="dxa"/>
          <w:cantSplit/>
        </w:trPr>
        <w:tc>
          <w:tcPr>
            <w:tcW w:w="3153" w:type="dxa"/>
            <w:gridSpan w:val="2"/>
            <w:tcBorders>
              <w:top w:val="nil"/>
              <w:left w:val="nil"/>
              <w:right w:val="nil"/>
            </w:tcBorders>
            <w:shd w:val="clear" w:color="auto" w:fill="auto"/>
          </w:tcPr>
          <w:p w:rsidR="00B958B1" w:rsidRPr="000A2A12" w:rsidRDefault="00B958B1" w:rsidP="009F3B54">
            <w:pPr>
              <w:pStyle w:val="OGTabText"/>
            </w:pPr>
            <w:r w:rsidRPr="000A2A12">
              <w:t>Service Provision Rating</w:t>
            </w:r>
          </w:p>
        </w:tc>
        <w:tc>
          <w:tcPr>
            <w:tcW w:w="952" w:type="dxa"/>
            <w:gridSpan w:val="2"/>
            <w:tcBorders>
              <w:top w:val="nil"/>
              <w:left w:val="nil"/>
              <w:right w:val="nil"/>
            </w:tcBorders>
            <w:shd w:val="clear" w:color="auto" w:fill="auto"/>
            <w:noWrap/>
          </w:tcPr>
          <w:p w:rsidR="00B958B1" w:rsidRPr="000A2A12" w:rsidRDefault="00B958B1" w:rsidP="009F3B54">
            <w:pPr>
              <w:pStyle w:val="OGUoM"/>
            </w:pPr>
            <w:r w:rsidRPr="000A2A12">
              <w:t>number</w:t>
            </w:r>
          </w:p>
        </w:tc>
        <w:tc>
          <w:tcPr>
            <w:tcW w:w="911" w:type="dxa"/>
            <w:gridSpan w:val="2"/>
            <w:tcBorders>
              <w:top w:val="nil"/>
              <w:left w:val="nil"/>
              <w:right w:val="nil"/>
            </w:tcBorders>
            <w:shd w:val="clear" w:color="auto" w:fill="D9D9D9"/>
            <w:noWrap/>
          </w:tcPr>
          <w:p w:rsidR="00B958B1" w:rsidRPr="000A2A12" w:rsidRDefault="00B958B1" w:rsidP="009F3B54">
            <w:pPr>
              <w:pStyle w:val="OGTableofFigures"/>
            </w:pPr>
            <w:r w:rsidRPr="000A2A12">
              <w:t>na</w:t>
            </w:r>
          </w:p>
        </w:tc>
        <w:tc>
          <w:tcPr>
            <w:tcW w:w="982" w:type="dxa"/>
            <w:gridSpan w:val="2"/>
            <w:tcBorders>
              <w:top w:val="nil"/>
              <w:left w:val="nil"/>
              <w:right w:val="nil"/>
            </w:tcBorders>
            <w:shd w:val="clear" w:color="auto" w:fill="auto"/>
            <w:noWrap/>
          </w:tcPr>
          <w:p w:rsidR="00B958B1" w:rsidRPr="000A2A12" w:rsidRDefault="00B958B1" w:rsidP="009F3B54">
            <w:pPr>
              <w:pStyle w:val="OGTableofFigures"/>
            </w:pPr>
            <w:r w:rsidRPr="000A2A12">
              <w:t>80</w:t>
            </w:r>
          </w:p>
        </w:tc>
        <w:tc>
          <w:tcPr>
            <w:tcW w:w="892" w:type="dxa"/>
            <w:gridSpan w:val="3"/>
            <w:tcBorders>
              <w:top w:val="nil"/>
              <w:left w:val="nil"/>
              <w:right w:val="nil"/>
            </w:tcBorders>
            <w:shd w:val="clear" w:color="auto" w:fill="auto"/>
            <w:noWrap/>
          </w:tcPr>
          <w:p w:rsidR="00B958B1" w:rsidRPr="000A2A12" w:rsidRDefault="00B958B1" w:rsidP="009F3B54">
            <w:pPr>
              <w:pStyle w:val="OGTableofFigures"/>
            </w:pPr>
            <w:r w:rsidRPr="000A2A12">
              <w:t>80</w:t>
            </w:r>
          </w:p>
        </w:tc>
        <w:tc>
          <w:tcPr>
            <w:tcW w:w="886" w:type="dxa"/>
            <w:tcBorders>
              <w:top w:val="nil"/>
              <w:left w:val="nil"/>
              <w:right w:val="nil"/>
            </w:tcBorders>
            <w:shd w:val="clear" w:color="auto" w:fill="auto"/>
            <w:noWrap/>
          </w:tcPr>
          <w:p w:rsidR="00B958B1" w:rsidRPr="000A2A12" w:rsidRDefault="00B958B1" w:rsidP="009F3B54">
            <w:pPr>
              <w:pStyle w:val="OGTableofFigures"/>
            </w:pPr>
            <w:r w:rsidRPr="000A2A12">
              <w:t>80</w:t>
            </w:r>
          </w:p>
        </w:tc>
      </w:tr>
      <w:tr w:rsidR="00B958B1" w:rsidRPr="000A2A12" w:rsidTr="009F3B54">
        <w:trPr>
          <w:gridAfter w:val="1"/>
          <w:wAfter w:w="10" w:type="dxa"/>
          <w:cantSplit/>
        </w:trPr>
        <w:tc>
          <w:tcPr>
            <w:tcW w:w="7776" w:type="dxa"/>
            <w:gridSpan w:val="12"/>
            <w:tcBorders>
              <w:top w:val="nil"/>
              <w:left w:val="nil"/>
              <w:bottom w:val="single" w:sz="6" w:space="0" w:color="auto"/>
              <w:right w:val="nil"/>
            </w:tcBorders>
            <w:shd w:val="clear" w:color="auto" w:fill="auto"/>
          </w:tcPr>
          <w:p w:rsidR="00B958B1" w:rsidRPr="000A2A12" w:rsidRDefault="00B958B1" w:rsidP="009F3B54">
            <w:pPr>
              <w:pStyle w:val="OGNotes"/>
            </w:pPr>
            <w:r w:rsidRPr="000A2A12">
              <w:t>This performance measure is proposed to be discontinued as it is more appropriately measured by a standardised measure of quality. It is replaced by the current measure ‘Maintain ISO 9001 (Quality Management Systems) certification.’</w:t>
            </w:r>
          </w:p>
        </w:tc>
      </w:tr>
      <w:tr w:rsidR="00B958B1" w:rsidRPr="000A2A12" w:rsidTr="009F3B54">
        <w:trPr>
          <w:gridAfter w:val="1"/>
          <w:wAfter w:w="10" w:type="dxa"/>
          <w:cantSplit/>
        </w:trPr>
        <w:tc>
          <w:tcPr>
            <w:tcW w:w="7776" w:type="dxa"/>
            <w:gridSpan w:val="12"/>
            <w:tcBorders>
              <w:top w:val="single" w:sz="6" w:space="0" w:color="auto"/>
              <w:left w:val="nil"/>
              <w:bottom w:val="nil"/>
              <w:right w:val="nil"/>
            </w:tcBorders>
            <w:shd w:val="clear" w:color="auto" w:fill="auto"/>
            <w:vAlign w:val="bottom"/>
          </w:tcPr>
          <w:p w:rsidR="00B958B1" w:rsidRPr="000A2A12" w:rsidRDefault="00B958B1" w:rsidP="009F3B54">
            <w:pPr>
              <w:pStyle w:val="OGHeading2"/>
              <w:rPr>
                <w:sz w:val="20"/>
              </w:rPr>
            </w:pPr>
            <w:r w:rsidRPr="000A2A12">
              <w:t>Budget and Financial Policy Advice</w:t>
            </w:r>
          </w:p>
        </w:tc>
      </w:tr>
      <w:tr w:rsidR="00B958B1" w:rsidRPr="000A2A12" w:rsidTr="009F3B54">
        <w:trPr>
          <w:gridAfter w:val="1"/>
          <w:wAfter w:w="10" w:type="dxa"/>
          <w:cantSplit/>
        </w:trPr>
        <w:tc>
          <w:tcPr>
            <w:tcW w:w="3153" w:type="dxa"/>
            <w:gridSpan w:val="2"/>
            <w:tcBorders>
              <w:top w:val="single" w:sz="6" w:space="0" w:color="auto"/>
              <w:left w:val="nil"/>
              <w:bottom w:val="nil"/>
              <w:right w:val="nil"/>
            </w:tcBorders>
            <w:shd w:val="clear" w:color="auto" w:fill="auto"/>
            <w:vAlign w:val="bottom"/>
          </w:tcPr>
          <w:p w:rsidR="00B958B1" w:rsidRPr="000A2A12" w:rsidRDefault="00B958B1" w:rsidP="009F3B54">
            <w:pPr>
              <w:pStyle w:val="OGTabHead"/>
            </w:pPr>
            <w:r w:rsidRPr="000A2A12">
              <w:t>Quality</w:t>
            </w:r>
          </w:p>
        </w:tc>
        <w:tc>
          <w:tcPr>
            <w:tcW w:w="952" w:type="dxa"/>
            <w:gridSpan w:val="2"/>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911" w:type="dxa"/>
            <w:gridSpan w:val="2"/>
            <w:tcBorders>
              <w:top w:val="single" w:sz="6" w:space="0" w:color="auto"/>
              <w:left w:val="nil"/>
              <w:bottom w:val="nil"/>
              <w:right w:val="nil"/>
            </w:tcBorders>
            <w:shd w:val="clear" w:color="auto" w:fill="D9D9D9"/>
            <w:noWrap/>
            <w:vAlign w:val="bottom"/>
          </w:tcPr>
          <w:p w:rsidR="00B958B1" w:rsidRPr="000A2A12" w:rsidRDefault="00B958B1" w:rsidP="009F3B54">
            <w:pPr>
              <w:pStyle w:val="OGTabText"/>
            </w:pPr>
          </w:p>
        </w:tc>
        <w:tc>
          <w:tcPr>
            <w:tcW w:w="982" w:type="dxa"/>
            <w:gridSpan w:val="2"/>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892" w:type="dxa"/>
            <w:gridSpan w:val="3"/>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886" w:type="dxa"/>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r>
      <w:tr w:rsidR="00B958B1" w:rsidRPr="000A2A12" w:rsidTr="009F3B54">
        <w:trPr>
          <w:gridAfter w:val="1"/>
          <w:wAfter w:w="10" w:type="dxa"/>
          <w:cantSplit/>
        </w:trPr>
        <w:tc>
          <w:tcPr>
            <w:tcW w:w="3153" w:type="dxa"/>
            <w:gridSpan w:val="2"/>
            <w:tcBorders>
              <w:top w:val="nil"/>
              <w:left w:val="nil"/>
              <w:right w:val="nil"/>
            </w:tcBorders>
            <w:shd w:val="clear" w:color="auto" w:fill="auto"/>
          </w:tcPr>
          <w:p w:rsidR="00B958B1" w:rsidRPr="000A2A12" w:rsidRDefault="00B958B1" w:rsidP="009F3B54">
            <w:pPr>
              <w:pStyle w:val="OGTabText"/>
            </w:pPr>
            <w:r w:rsidRPr="000A2A12">
              <w:t>Service Provision Rating</w:t>
            </w:r>
          </w:p>
        </w:tc>
        <w:tc>
          <w:tcPr>
            <w:tcW w:w="952" w:type="dxa"/>
            <w:gridSpan w:val="2"/>
            <w:tcBorders>
              <w:top w:val="nil"/>
              <w:left w:val="nil"/>
              <w:right w:val="nil"/>
            </w:tcBorders>
            <w:shd w:val="clear" w:color="auto" w:fill="auto"/>
            <w:noWrap/>
          </w:tcPr>
          <w:p w:rsidR="00B958B1" w:rsidRPr="000A2A12" w:rsidRDefault="00B958B1" w:rsidP="009F3B54">
            <w:pPr>
              <w:pStyle w:val="OGUoM"/>
            </w:pPr>
            <w:r w:rsidRPr="000A2A12">
              <w:t>number</w:t>
            </w:r>
          </w:p>
        </w:tc>
        <w:tc>
          <w:tcPr>
            <w:tcW w:w="911" w:type="dxa"/>
            <w:gridSpan w:val="2"/>
            <w:tcBorders>
              <w:top w:val="nil"/>
              <w:left w:val="nil"/>
              <w:right w:val="nil"/>
            </w:tcBorders>
            <w:shd w:val="clear" w:color="auto" w:fill="D9D9D9"/>
            <w:noWrap/>
          </w:tcPr>
          <w:p w:rsidR="00B958B1" w:rsidRPr="000A2A12" w:rsidRDefault="00B958B1" w:rsidP="009F3B54">
            <w:pPr>
              <w:pStyle w:val="OGTableofFigures"/>
            </w:pPr>
            <w:r w:rsidRPr="000A2A12">
              <w:t>80</w:t>
            </w:r>
          </w:p>
        </w:tc>
        <w:tc>
          <w:tcPr>
            <w:tcW w:w="982" w:type="dxa"/>
            <w:gridSpan w:val="2"/>
            <w:tcBorders>
              <w:top w:val="nil"/>
              <w:left w:val="nil"/>
              <w:right w:val="nil"/>
            </w:tcBorders>
            <w:shd w:val="clear" w:color="auto" w:fill="auto"/>
            <w:noWrap/>
          </w:tcPr>
          <w:p w:rsidR="00B958B1" w:rsidRPr="000A2A12" w:rsidRDefault="00B958B1" w:rsidP="009F3B54">
            <w:pPr>
              <w:pStyle w:val="OGTableofFigures"/>
            </w:pPr>
            <w:r w:rsidRPr="000A2A12">
              <w:t>80</w:t>
            </w:r>
          </w:p>
        </w:tc>
        <w:tc>
          <w:tcPr>
            <w:tcW w:w="892" w:type="dxa"/>
            <w:gridSpan w:val="3"/>
            <w:tcBorders>
              <w:top w:val="nil"/>
              <w:left w:val="nil"/>
              <w:right w:val="nil"/>
            </w:tcBorders>
            <w:shd w:val="clear" w:color="auto" w:fill="auto"/>
            <w:noWrap/>
          </w:tcPr>
          <w:p w:rsidR="00B958B1" w:rsidRPr="000A2A12" w:rsidRDefault="00B958B1" w:rsidP="009F3B54">
            <w:pPr>
              <w:pStyle w:val="OGTableofFigures"/>
            </w:pPr>
            <w:r w:rsidRPr="000A2A12">
              <w:t>80</w:t>
            </w:r>
          </w:p>
        </w:tc>
        <w:tc>
          <w:tcPr>
            <w:tcW w:w="886" w:type="dxa"/>
            <w:tcBorders>
              <w:top w:val="nil"/>
              <w:left w:val="nil"/>
              <w:right w:val="nil"/>
            </w:tcBorders>
            <w:shd w:val="clear" w:color="auto" w:fill="auto"/>
            <w:noWrap/>
          </w:tcPr>
          <w:p w:rsidR="00B958B1" w:rsidRPr="000A2A12" w:rsidRDefault="00B958B1" w:rsidP="009F3B54">
            <w:pPr>
              <w:pStyle w:val="OGTableofFigures"/>
            </w:pPr>
            <w:r w:rsidRPr="000A2A12">
              <w:t>82</w:t>
            </w:r>
          </w:p>
        </w:tc>
      </w:tr>
      <w:tr w:rsidR="00B958B1" w:rsidRPr="000A2A12" w:rsidTr="009F3B54">
        <w:trPr>
          <w:gridAfter w:val="1"/>
          <w:wAfter w:w="10" w:type="dxa"/>
          <w:cantSplit/>
        </w:trPr>
        <w:tc>
          <w:tcPr>
            <w:tcW w:w="7776" w:type="dxa"/>
            <w:gridSpan w:val="12"/>
            <w:tcBorders>
              <w:top w:val="nil"/>
              <w:left w:val="nil"/>
              <w:bottom w:val="single" w:sz="6" w:space="0" w:color="auto"/>
              <w:right w:val="nil"/>
            </w:tcBorders>
            <w:shd w:val="clear" w:color="auto" w:fill="auto"/>
          </w:tcPr>
          <w:p w:rsidR="00B958B1" w:rsidRPr="000A2A12" w:rsidRDefault="00B958B1" w:rsidP="009F3B54">
            <w:pPr>
              <w:pStyle w:val="OGNotes"/>
            </w:pPr>
            <w:r w:rsidRPr="000A2A12">
              <w:t>This performance measure is proposed to be discontinued as it is more appropriately measured by a standardised measure of quality. It is replaced by the current measure ‘Maintain ISO 9001 (Quality Management Systems) certification.’</w:t>
            </w:r>
          </w:p>
        </w:tc>
      </w:tr>
      <w:tr w:rsidR="00B958B1" w:rsidRPr="000A2A12" w:rsidTr="009F3B54">
        <w:trPr>
          <w:gridAfter w:val="1"/>
          <w:wAfter w:w="10" w:type="dxa"/>
          <w:cantSplit/>
        </w:trPr>
        <w:tc>
          <w:tcPr>
            <w:tcW w:w="7776" w:type="dxa"/>
            <w:gridSpan w:val="12"/>
            <w:tcBorders>
              <w:top w:val="single" w:sz="6" w:space="0" w:color="auto"/>
              <w:left w:val="nil"/>
              <w:bottom w:val="nil"/>
              <w:right w:val="nil"/>
            </w:tcBorders>
            <w:shd w:val="clear" w:color="auto" w:fill="auto"/>
            <w:vAlign w:val="bottom"/>
          </w:tcPr>
          <w:p w:rsidR="00B958B1" w:rsidRPr="000A2A12" w:rsidRDefault="00B958B1" w:rsidP="009F3B54">
            <w:pPr>
              <w:pStyle w:val="OGHeading2"/>
              <w:rPr>
                <w:sz w:val="20"/>
              </w:rPr>
            </w:pPr>
            <w:r w:rsidRPr="000A2A12">
              <w:t>Economic and Financial Policy</w:t>
            </w:r>
          </w:p>
        </w:tc>
      </w:tr>
      <w:tr w:rsidR="00B958B1" w:rsidRPr="000A2A12" w:rsidTr="009F3B54">
        <w:trPr>
          <w:gridAfter w:val="1"/>
          <w:wAfter w:w="10" w:type="dxa"/>
          <w:cantSplit/>
        </w:trPr>
        <w:tc>
          <w:tcPr>
            <w:tcW w:w="3153" w:type="dxa"/>
            <w:gridSpan w:val="2"/>
            <w:tcBorders>
              <w:top w:val="single" w:sz="6" w:space="0" w:color="auto"/>
              <w:left w:val="nil"/>
              <w:bottom w:val="nil"/>
              <w:right w:val="nil"/>
            </w:tcBorders>
            <w:shd w:val="clear" w:color="auto" w:fill="auto"/>
            <w:vAlign w:val="bottom"/>
          </w:tcPr>
          <w:p w:rsidR="00B958B1" w:rsidRPr="000A2A12" w:rsidRDefault="00B958B1" w:rsidP="009F3B54">
            <w:pPr>
              <w:pStyle w:val="OGTabHead"/>
            </w:pPr>
            <w:r w:rsidRPr="000A2A12">
              <w:t>Quality</w:t>
            </w:r>
          </w:p>
        </w:tc>
        <w:tc>
          <w:tcPr>
            <w:tcW w:w="952" w:type="dxa"/>
            <w:gridSpan w:val="2"/>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911" w:type="dxa"/>
            <w:gridSpan w:val="2"/>
            <w:tcBorders>
              <w:top w:val="single" w:sz="6" w:space="0" w:color="auto"/>
              <w:left w:val="nil"/>
              <w:bottom w:val="nil"/>
              <w:right w:val="nil"/>
            </w:tcBorders>
            <w:shd w:val="clear" w:color="auto" w:fill="D9D9D9"/>
            <w:noWrap/>
            <w:vAlign w:val="bottom"/>
          </w:tcPr>
          <w:p w:rsidR="00B958B1" w:rsidRPr="000A2A12" w:rsidRDefault="00B958B1" w:rsidP="009F3B54">
            <w:pPr>
              <w:pStyle w:val="OGTabText"/>
            </w:pPr>
          </w:p>
        </w:tc>
        <w:tc>
          <w:tcPr>
            <w:tcW w:w="982" w:type="dxa"/>
            <w:gridSpan w:val="2"/>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892" w:type="dxa"/>
            <w:gridSpan w:val="3"/>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886" w:type="dxa"/>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r>
      <w:tr w:rsidR="00B958B1" w:rsidRPr="000A2A12" w:rsidTr="009F3B54">
        <w:trPr>
          <w:gridAfter w:val="1"/>
          <w:wAfter w:w="10" w:type="dxa"/>
          <w:cantSplit/>
        </w:trPr>
        <w:tc>
          <w:tcPr>
            <w:tcW w:w="3153" w:type="dxa"/>
            <w:gridSpan w:val="2"/>
            <w:tcBorders>
              <w:top w:val="nil"/>
              <w:left w:val="nil"/>
              <w:right w:val="nil"/>
            </w:tcBorders>
            <w:shd w:val="clear" w:color="auto" w:fill="auto"/>
          </w:tcPr>
          <w:p w:rsidR="00B958B1" w:rsidRPr="000A2A12" w:rsidRDefault="00B958B1" w:rsidP="009F3B54">
            <w:pPr>
              <w:pStyle w:val="OGTabText"/>
            </w:pPr>
            <w:r w:rsidRPr="000A2A12">
              <w:t>Service Provision Rating</w:t>
            </w:r>
          </w:p>
        </w:tc>
        <w:tc>
          <w:tcPr>
            <w:tcW w:w="952" w:type="dxa"/>
            <w:gridSpan w:val="2"/>
            <w:tcBorders>
              <w:top w:val="nil"/>
              <w:left w:val="nil"/>
              <w:right w:val="nil"/>
            </w:tcBorders>
            <w:shd w:val="clear" w:color="auto" w:fill="auto"/>
            <w:noWrap/>
          </w:tcPr>
          <w:p w:rsidR="00B958B1" w:rsidRPr="000A2A12" w:rsidRDefault="00B958B1" w:rsidP="009F3B54">
            <w:pPr>
              <w:pStyle w:val="OGUoM"/>
            </w:pPr>
            <w:r w:rsidRPr="000A2A12">
              <w:t>number</w:t>
            </w:r>
          </w:p>
        </w:tc>
        <w:tc>
          <w:tcPr>
            <w:tcW w:w="911" w:type="dxa"/>
            <w:gridSpan w:val="2"/>
            <w:tcBorders>
              <w:top w:val="nil"/>
              <w:left w:val="nil"/>
              <w:right w:val="nil"/>
            </w:tcBorders>
            <w:shd w:val="clear" w:color="auto" w:fill="D9D9D9"/>
            <w:noWrap/>
          </w:tcPr>
          <w:p w:rsidR="00B958B1" w:rsidRPr="000A2A12" w:rsidRDefault="00B958B1" w:rsidP="009F3B54">
            <w:pPr>
              <w:pStyle w:val="OGTableofFigures"/>
            </w:pPr>
            <w:r w:rsidRPr="000A2A12">
              <w:t>na</w:t>
            </w:r>
          </w:p>
        </w:tc>
        <w:tc>
          <w:tcPr>
            <w:tcW w:w="982" w:type="dxa"/>
            <w:gridSpan w:val="2"/>
            <w:tcBorders>
              <w:top w:val="nil"/>
              <w:left w:val="nil"/>
              <w:right w:val="nil"/>
            </w:tcBorders>
            <w:shd w:val="clear" w:color="auto" w:fill="auto"/>
            <w:noWrap/>
          </w:tcPr>
          <w:p w:rsidR="00B958B1" w:rsidRPr="000A2A12" w:rsidRDefault="00B958B1" w:rsidP="009F3B54">
            <w:pPr>
              <w:pStyle w:val="OGTableofFigures"/>
            </w:pPr>
            <w:r w:rsidRPr="000A2A12">
              <w:t>80</w:t>
            </w:r>
          </w:p>
        </w:tc>
        <w:tc>
          <w:tcPr>
            <w:tcW w:w="892" w:type="dxa"/>
            <w:gridSpan w:val="3"/>
            <w:tcBorders>
              <w:top w:val="nil"/>
              <w:left w:val="nil"/>
              <w:right w:val="nil"/>
            </w:tcBorders>
            <w:shd w:val="clear" w:color="auto" w:fill="auto"/>
            <w:noWrap/>
          </w:tcPr>
          <w:p w:rsidR="00B958B1" w:rsidRPr="000A2A12" w:rsidRDefault="00B958B1" w:rsidP="009F3B54">
            <w:pPr>
              <w:pStyle w:val="OGTableofFigures"/>
            </w:pPr>
            <w:r w:rsidRPr="000A2A12">
              <w:t>80</w:t>
            </w:r>
          </w:p>
        </w:tc>
        <w:tc>
          <w:tcPr>
            <w:tcW w:w="886" w:type="dxa"/>
            <w:tcBorders>
              <w:top w:val="nil"/>
              <w:left w:val="nil"/>
              <w:right w:val="nil"/>
            </w:tcBorders>
            <w:shd w:val="clear" w:color="auto" w:fill="auto"/>
            <w:noWrap/>
          </w:tcPr>
          <w:p w:rsidR="00B958B1" w:rsidRPr="000A2A12" w:rsidRDefault="00B958B1" w:rsidP="009F3B54">
            <w:pPr>
              <w:pStyle w:val="OGTableofFigures"/>
            </w:pPr>
            <w:r w:rsidRPr="000A2A12">
              <w:t>82</w:t>
            </w:r>
          </w:p>
        </w:tc>
      </w:tr>
      <w:tr w:rsidR="00B958B1" w:rsidRPr="000A2A12" w:rsidTr="009F3B54">
        <w:trPr>
          <w:gridAfter w:val="1"/>
          <w:wAfter w:w="10" w:type="dxa"/>
          <w:cantSplit/>
        </w:trPr>
        <w:tc>
          <w:tcPr>
            <w:tcW w:w="7776" w:type="dxa"/>
            <w:gridSpan w:val="12"/>
            <w:tcBorders>
              <w:top w:val="nil"/>
              <w:left w:val="nil"/>
              <w:bottom w:val="single" w:sz="6" w:space="0" w:color="auto"/>
              <w:right w:val="nil"/>
            </w:tcBorders>
            <w:shd w:val="clear" w:color="auto" w:fill="auto"/>
          </w:tcPr>
          <w:p w:rsidR="00B958B1" w:rsidRPr="000A2A12" w:rsidRDefault="00B958B1" w:rsidP="009F3B54">
            <w:pPr>
              <w:pStyle w:val="OGNotes"/>
            </w:pPr>
            <w:r w:rsidRPr="000A2A12">
              <w:t>This performance measure is proposed to be discontinued as it is more appropriately measured by a standardised measure of quality. It is replaced by the current measure ‘Maintain ISO 9001 (Quality Management Systems) certification.’</w:t>
            </w:r>
          </w:p>
        </w:tc>
      </w:tr>
      <w:tr w:rsidR="00B958B1" w:rsidRPr="000A2A12" w:rsidTr="009F3B54">
        <w:trPr>
          <w:gridAfter w:val="1"/>
          <w:wAfter w:w="10" w:type="dxa"/>
          <w:cantSplit/>
        </w:trPr>
        <w:tc>
          <w:tcPr>
            <w:tcW w:w="7776" w:type="dxa"/>
            <w:gridSpan w:val="12"/>
            <w:tcBorders>
              <w:top w:val="single" w:sz="6" w:space="0" w:color="auto"/>
              <w:left w:val="nil"/>
              <w:bottom w:val="nil"/>
              <w:right w:val="nil"/>
            </w:tcBorders>
            <w:shd w:val="clear" w:color="auto" w:fill="auto"/>
            <w:vAlign w:val="bottom"/>
          </w:tcPr>
          <w:p w:rsidR="00B958B1" w:rsidRPr="000A2A12" w:rsidRDefault="00B958B1" w:rsidP="009F3B54">
            <w:pPr>
              <w:pStyle w:val="OGHeading2"/>
              <w:rPr>
                <w:sz w:val="20"/>
              </w:rPr>
            </w:pPr>
            <w:r w:rsidRPr="000A2A12">
              <w:t>Financial Reporting</w:t>
            </w:r>
          </w:p>
        </w:tc>
      </w:tr>
      <w:tr w:rsidR="00B958B1" w:rsidRPr="000A2A12" w:rsidTr="009F3B54">
        <w:trPr>
          <w:gridAfter w:val="1"/>
          <w:wAfter w:w="10" w:type="dxa"/>
          <w:cantSplit/>
        </w:trPr>
        <w:tc>
          <w:tcPr>
            <w:tcW w:w="3153" w:type="dxa"/>
            <w:gridSpan w:val="2"/>
            <w:tcBorders>
              <w:top w:val="single" w:sz="6" w:space="0" w:color="auto"/>
              <w:left w:val="nil"/>
              <w:bottom w:val="nil"/>
              <w:right w:val="nil"/>
            </w:tcBorders>
            <w:shd w:val="clear" w:color="auto" w:fill="auto"/>
            <w:vAlign w:val="bottom"/>
          </w:tcPr>
          <w:p w:rsidR="00B958B1" w:rsidRPr="000A2A12" w:rsidRDefault="00B958B1" w:rsidP="009F3B54">
            <w:pPr>
              <w:pStyle w:val="OGTabHead"/>
            </w:pPr>
            <w:r w:rsidRPr="000A2A12">
              <w:t>Quality</w:t>
            </w:r>
          </w:p>
        </w:tc>
        <w:tc>
          <w:tcPr>
            <w:tcW w:w="952" w:type="dxa"/>
            <w:gridSpan w:val="2"/>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911" w:type="dxa"/>
            <w:gridSpan w:val="2"/>
            <w:tcBorders>
              <w:top w:val="single" w:sz="6" w:space="0" w:color="auto"/>
              <w:left w:val="nil"/>
              <w:bottom w:val="nil"/>
              <w:right w:val="nil"/>
            </w:tcBorders>
            <w:shd w:val="clear" w:color="auto" w:fill="D9D9D9"/>
            <w:noWrap/>
            <w:vAlign w:val="bottom"/>
          </w:tcPr>
          <w:p w:rsidR="00B958B1" w:rsidRPr="000A2A12" w:rsidRDefault="00B958B1" w:rsidP="009F3B54">
            <w:pPr>
              <w:pStyle w:val="OGTabText"/>
            </w:pPr>
          </w:p>
        </w:tc>
        <w:tc>
          <w:tcPr>
            <w:tcW w:w="982" w:type="dxa"/>
            <w:gridSpan w:val="2"/>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892" w:type="dxa"/>
            <w:gridSpan w:val="3"/>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886" w:type="dxa"/>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r>
      <w:tr w:rsidR="00B958B1" w:rsidRPr="000A2A12" w:rsidTr="009F3B54">
        <w:trPr>
          <w:gridAfter w:val="1"/>
          <w:wAfter w:w="10" w:type="dxa"/>
          <w:cantSplit/>
        </w:trPr>
        <w:tc>
          <w:tcPr>
            <w:tcW w:w="3153" w:type="dxa"/>
            <w:gridSpan w:val="2"/>
            <w:tcBorders>
              <w:top w:val="nil"/>
              <w:left w:val="nil"/>
              <w:right w:val="nil"/>
            </w:tcBorders>
            <w:shd w:val="clear" w:color="auto" w:fill="auto"/>
          </w:tcPr>
          <w:p w:rsidR="00B958B1" w:rsidRPr="000A2A12" w:rsidRDefault="00B958B1" w:rsidP="009F3B54">
            <w:pPr>
              <w:pStyle w:val="OGTabText"/>
            </w:pPr>
            <w:r w:rsidRPr="000A2A12">
              <w:t>Acceptable (no material weaknesses in financial systems and reporting) Financial Report for the State of Victoria and Estimated Financial Statements audit opinions by the Auditor</w:t>
            </w:r>
            <w:r w:rsidR="009F0F49">
              <w:noBreakHyphen/>
            </w:r>
            <w:r w:rsidRPr="000A2A12">
              <w:t>General</w:t>
            </w:r>
          </w:p>
        </w:tc>
        <w:tc>
          <w:tcPr>
            <w:tcW w:w="952" w:type="dxa"/>
            <w:gridSpan w:val="2"/>
            <w:tcBorders>
              <w:top w:val="nil"/>
              <w:left w:val="nil"/>
              <w:right w:val="nil"/>
            </w:tcBorders>
            <w:shd w:val="clear" w:color="auto" w:fill="auto"/>
            <w:noWrap/>
          </w:tcPr>
          <w:p w:rsidR="00B958B1" w:rsidRPr="000A2A12" w:rsidRDefault="00B958B1" w:rsidP="009F3B54">
            <w:pPr>
              <w:pStyle w:val="OGUoM"/>
            </w:pPr>
            <w:r w:rsidRPr="000A2A12">
              <w:t>per cent</w:t>
            </w:r>
          </w:p>
        </w:tc>
        <w:tc>
          <w:tcPr>
            <w:tcW w:w="911" w:type="dxa"/>
            <w:gridSpan w:val="2"/>
            <w:tcBorders>
              <w:top w:val="nil"/>
              <w:left w:val="nil"/>
              <w:right w:val="nil"/>
            </w:tcBorders>
            <w:shd w:val="clear" w:color="auto" w:fill="D9D9D9"/>
            <w:noWrap/>
          </w:tcPr>
          <w:p w:rsidR="00B958B1" w:rsidRPr="000A2A12" w:rsidRDefault="00B958B1" w:rsidP="009F3B54">
            <w:pPr>
              <w:pStyle w:val="OGTableofFigures"/>
            </w:pPr>
            <w:r w:rsidRPr="000A2A12">
              <w:t>na</w:t>
            </w:r>
          </w:p>
        </w:tc>
        <w:tc>
          <w:tcPr>
            <w:tcW w:w="982" w:type="dxa"/>
            <w:gridSpan w:val="2"/>
            <w:tcBorders>
              <w:top w:val="nil"/>
              <w:left w:val="nil"/>
              <w:right w:val="nil"/>
            </w:tcBorders>
            <w:shd w:val="clear" w:color="auto" w:fill="auto"/>
            <w:noWrap/>
          </w:tcPr>
          <w:p w:rsidR="00B958B1" w:rsidRPr="000A2A12" w:rsidRDefault="00B958B1" w:rsidP="009F3B54">
            <w:pPr>
              <w:pStyle w:val="OGTableofFigures"/>
            </w:pPr>
            <w:r w:rsidRPr="000A2A12">
              <w:t>100</w:t>
            </w:r>
          </w:p>
        </w:tc>
        <w:tc>
          <w:tcPr>
            <w:tcW w:w="892" w:type="dxa"/>
            <w:gridSpan w:val="3"/>
            <w:tcBorders>
              <w:top w:val="nil"/>
              <w:left w:val="nil"/>
              <w:right w:val="nil"/>
            </w:tcBorders>
            <w:shd w:val="clear" w:color="auto" w:fill="auto"/>
            <w:noWrap/>
          </w:tcPr>
          <w:p w:rsidR="00B958B1" w:rsidRPr="000A2A12" w:rsidRDefault="00B958B1" w:rsidP="009F3B54">
            <w:pPr>
              <w:pStyle w:val="OGTableofFigures"/>
            </w:pPr>
            <w:r w:rsidRPr="000A2A12">
              <w:t>nm</w:t>
            </w:r>
          </w:p>
        </w:tc>
        <w:tc>
          <w:tcPr>
            <w:tcW w:w="886" w:type="dxa"/>
            <w:tcBorders>
              <w:top w:val="nil"/>
              <w:left w:val="nil"/>
              <w:right w:val="nil"/>
            </w:tcBorders>
            <w:shd w:val="clear" w:color="auto" w:fill="auto"/>
            <w:noWrap/>
          </w:tcPr>
          <w:p w:rsidR="00B958B1" w:rsidRPr="000A2A12" w:rsidRDefault="00B958B1" w:rsidP="009F3B54">
            <w:pPr>
              <w:pStyle w:val="OGTableofFigures"/>
            </w:pPr>
            <w:r w:rsidRPr="000A2A12">
              <w:t>nm</w:t>
            </w:r>
          </w:p>
        </w:tc>
      </w:tr>
      <w:tr w:rsidR="00B958B1" w:rsidRPr="000A2A12" w:rsidTr="009F3B54">
        <w:trPr>
          <w:gridAfter w:val="1"/>
          <w:wAfter w:w="10" w:type="dxa"/>
          <w:cantSplit/>
        </w:trPr>
        <w:tc>
          <w:tcPr>
            <w:tcW w:w="7776" w:type="dxa"/>
            <w:gridSpan w:val="12"/>
            <w:tcBorders>
              <w:top w:val="nil"/>
              <w:left w:val="nil"/>
              <w:bottom w:val="single" w:sz="6" w:space="0" w:color="auto"/>
              <w:right w:val="nil"/>
            </w:tcBorders>
            <w:shd w:val="clear" w:color="auto" w:fill="auto"/>
          </w:tcPr>
          <w:p w:rsidR="00B958B1" w:rsidRPr="000A2A12" w:rsidRDefault="00B958B1" w:rsidP="009F3B54">
            <w:pPr>
              <w:pStyle w:val="OGNotes"/>
            </w:pPr>
            <w:r w:rsidRPr="000A2A12">
              <w:t>This performance measure is proposed to be discontinued as it is more appropriately measured by a quantity measure to reflect a more rigorous approach by setting a nil tolerance for Auditor</w:t>
            </w:r>
            <w:r w:rsidR="009F0F49">
              <w:noBreakHyphen/>
            </w:r>
            <w:r w:rsidRPr="000A2A12">
              <w:t>General qualifications.</w:t>
            </w:r>
          </w:p>
        </w:tc>
      </w:tr>
      <w:tr w:rsidR="00B958B1" w:rsidRPr="000A2A12" w:rsidTr="009F3B54">
        <w:trPr>
          <w:gridAfter w:val="1"/>
          <w:wAfter w:w="10" w:type="dxa"/>
          <w:cantSplit/>
        </w:trPr>
        <w:tc>
          <w:tcPr>
            <w:tcW w:w="3153" w:type="dxa"/>
            <w:gridSpan w:val="2"/>
            <w:tcBorders>
              <w:top w:val="single" w:sz="6" w:space="0" w:color="auto"/>
              <w:left w:val="nil"/>
              <w:bottom w:val="nil"/>
              <w:right w:val="nil"/>
            </w:tcBorders>
            <w:shd w:val="clear" w:color="auto" w:fill="auto"/>
            <w:vAlign w:val="bottom"/>
          </w:tcPr>
          <w:p w:rsidR="00B958B1" w:rsidRPr="000A2A12" w:rsidRDefault="00B958B1" w:rsidP="009F3B54">
            <w:pPr>
              <w:pStyle w:val="OGTabHead"/>
            </w:pPr>
            <w:r w:rsidRPr="000A2A12">
              <w:t>Quality</w:t>
            </w:r>
          </w:p>
        </w:tc>
        <w:tc>
          <w:tcPr>
            <w:tcW w:w="952" w:type="dxa"/>
            <w:gridSpan w:val="2"/>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911" w:type="dxa"/>
            <w:gridSpan w:val="2"/>
            <w:tcBorders>
              <w:top w:val="single" w:sz="6" w:space="0" w:color="auto"/>
              <w:left w:val="nil"/>
              <w:bottom w:val="nil"/>
              <w:right w:val="nil"/>
            </w:tcBorders>
            <w:shd w:val="clear" w:color="auto" w:fill="D9D9D9"/>
            <w:noWrap/>
            <w:vAlign w:val="bottom"/>
          </w:tcPr>
          <w:p w:rsidR="00B958B1" w:rsidRPr="000A2A12" w:rsidRDefault="00B958B1" w:rsidP="009F3B54">
            <w:pPr>
              <w:pStyle w:val="OGTabText"/>
            </w:pPr>
          </w:p>
        </w:tc>
        <w:tc>
          <w:tcPr>
            <w:tcW w:w="982" w:type="dxa"/>
            <w:gridSpan w:val="2"/>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892" w:type="dxa"/>
            <w:gridSpan w:val="3"/>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886" w:type="dxa"/>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r>
      <w:tr w:rsidR="00B958B1" w:rsidRPr="000A2A12" w:rsidTr="009F3B54">
        <w:trPr>
          <w:gridAfter w:val="1"/>
          <w:wAfter w:w="10" w:type="dxa"/>
          <w:cantSplit/>
        </w:trPr>
        <w:tc>
          <w:tcPr>
            <w:tcW w:w="3153" w:type="dxa"/>
            <w:gridSpan w:val="2"/>
            <w:tcBorders>
              <w:top w:val="nil"/>
              <w:left w:val="nil"/>
              <w:right w:val="nil"/>
            </w:tcBorders>
            <w:shd w:val="clear" w:color="auto" w:fill="auto"/>
          </w:tcPr>
          <w:p w:rsidR="00B958B1" w:rsidRPr="000A2A12" w:rsidRDefault="00B958B1" w:rsidP="009F3B54">
            <w:pPr>
              <w:pStyle w:val="OGTabText"/>
            </w:pPr>
            <w:r w:rsidRPr="000A2A12">
              <w:t>Service Provision Rating</w:t>
            </w:r>
          </w:p>
        </w:tc>
        <w:tc>
          <w:tcPr>
            <w:tcW w:w="952" w:type="dxa"/>
            <w:gridSpan w:val="2"/>
            <w:tcBorders>
              <w:top w:val="nil"/>
              <w:left w:val="nil"/>
              <w:right w:val="nil"/>
            </w:tcBorders>
            <w:shd w:val="clear" w:color="auto" w:fill="auto"/>
            <w:noWrap/>
          </w:tcPr>
          <w:p w:rsidR="00B958B1" w:rsidRPr="000A2A12" w:rsidRDefault="00B958B1" w:rsidP="009F3B54">
            <w:pPr>
              <w:pStyle w:val="OGUoM"/>
            </w:pPr>
            <w:r w:rsidRPr="000A2A12">
              <w:t>number</w:t>
            </w:r>
          </w:p>
        </w:tc>
        <w:tc>
          <w:tcPr>
            <w:tcW w:w="911" w:type="dxa"/>
            <w:gridSpan w:val="2"/>
            <w:tcBorders>
              <w:top w:val="nil"/>
              <w:left w:val="nil"/>
              <w:right w:val="nil"/>
            </w:tcBorders>
            <w:shd w:val="clear" w:color="auto" w:fill="D9D9D9"/>
            <w:noWrap/>
          </w:tcPr>
          <w:p w:rsidR="00B958B1" w:rsidRPr="000A2A12" w:rsidRDefault="00B958B1" w:rsidP="009F3B54">
            <w:pPr>
              <w:pStyle w:val="OGTableofFigures"/>
            </w:pPr>
            <w:r w:rsidRPr="000A2A12">
              <w:t>na</w:t>
            </w:r>
          </w:p>
        </w:tc>
        <w:tc>
          <w:tcPr>
            <w:tcW w:w="982" w:type="dxa"/>
            <w:gridSpan w:val="2"/>
            <w:tcBorders>
              <w:top w:val="nil"/>
              <w:left w:val="nil"/>
              <w:right w:val="nil"/>
            </w:tcBorders>
            <w:shd w:val="clear" w:color="auto" w:fill="auto"/>
            <w:noWrap/>
          </w:tcPr>
          <w:p w:rsidR="00B958B1" w:rsidRPr="000A2A12" w:rsidRDefault="00B958B1" w:rsidP="009F3B54">
            <w:pPr>
              <w:pStyle w:val="OGTableofFigures"/>
            </w:pPr>
            <w:r w:rsidRPr="000A2A12">
              <w:t>80</w:t>
            </w:r>
          </w:p>
        </w:tc>
        <w:tc>
          <w:tcPr>
            <w:tcW w:w="892" w:type="dxa"/>
            <w:gridSpan w:val="3"/>
            <w:tcBorders>
              <w:top w:val="nil"/>
              <w:left w:val="nil"/>
              <w:right w:val="nil"/>
            </w:tcBorders>
            <w:shd w:val="clear" w:color="auto" w:fill="auto"/>
            <w:noWrap/>
          </w:tcPr>
          <w:p w:rsidR="00B958B1" w:rsidRPr="000A2A12" w:rsidRDefault="00B958B1" w:rsidP="009F3B54">
            <w:pPr>
              <w:pStyle w:val="OGTableofFigures"/>
            </w:pPr>
            <w:r w:rsidRPr="000A2A12">
              <w:t>80</w:t>
            </w:r>
          </w:p>
        </w:tc>
        <w:tc>
          <w:tcPr>
            <w:tcW w:w="886" w:type="dxa"/>
            <w:tcBorders>
              <w:top w:val="nil"/>
              <w:left w:val="nil"/>
              <w:right w:val="nil"/>
            </w:tcBorders>
            <w:shd w:val="clear" w:color="auto" w:fill="auto"/>
            <w:noWrap/>
          </w:tcPr>
          <w:p w:rsidR="00B958B1" w:rsidRPr="000A2A12" w:rsidRDefault="00B958B1" w:rsidP="009F3B54">
            <w:pPr>
              <w:pStyle w:val="OGTableofFigures"/>
            </w:pPr>
            <w:r w:rsidRPr="000A2A12">
              <w:t>85</w:t>
            </w:r>
          </w:p>
        </w:tc>
      </w:tr>
      <w:tr w:rsidR="00B958B1" w:rsidRPr="000A2A12" w:rsidTr="009F3B54">
        <w:trPr>
          <w:gridAfter w:val="1"/>
          <w:wAfter w:w="10" w:type="dxa"/>
          <w:cantSplit/>
        </w:trPr>
        <w:tc>
          <w:tcPr>
            <w:tcW w:w="7776" w:type="dxa"/>
            <w:gridSpan w:val="12"/>
            <w:tcBorders>
              <w:top w:val="nil"/>
              <w:left w:val="nil"/>
              <w:bottom w:val="single" w:sz="6" w:space="0" w:color="auto"/>
              <w:right w:val="nil"/>
            </w:tcBorders>
            <w:shd w:val="clear" w:color="auto" w:fill="auto"/>
          </w:tcPr>
          <w:p w:rsidR="00B958B1" w:rsidRPr="000A2A12" w:rsidRDefault="00B958B1" w:rsidP="009F3B54">
            <w:pPr>
              <w:pStyle w:val="OGNotes"/>
            </w:pPr>
            <w:r w:rsidRPr="000A2A12">
              <w:t>This performance measure is proposed to be discontinued as it is more appropriately measured by a standardised measure of quality. It is replaced by the current measure ‘Maintain ISO 9001 (Quality Management Systems) certification.’</w:t>
            </w:r>
          </w:p>
        </w:tc>
      </w:tr>
      <w:tr w:rsidR="00B958B1" w:rsidRPr="000A2A12" w:rsidTr="009F3B54">
        <w:trPr>
          <w:gridAfter w:val="1"/>
          <w:wAfter w:w="10" w:type="dxa"/>
          <w:cantSplit/>
        </w:trPr>
        <w:tc>
          <w:tcPr>
            <w:tcW w:w="7776" w:type="dxa"/>
            <w:gridSpan w:val="12"/>
            <w:tcBorders>
              <w:top w:val="single" w:sz="6" w:space="0" w:color="auto"/>
              <w:left w:val="nil"/>
              <w:bottom w:val="nil"/>
              <w:right w:val="nil"/>
            </w:tcBorders>
            <w:shd w:val="clear" w:color="auto" w:fill="auto"/>
            <w:vAlign w:val="bottom"/>
          </w:tcPr>
          <w:p w:rsidR="00B958B1" w:rsidRPr="000A2A12" w:rsidRDefault="00B958B1" w:rsidP="009F3B54">
            <w:pPr>
              <w:pStyle w:val="OGHeading2"/>
              <w:rPr>
                <w:sz w:val="20"/>
              </w:rPr>
            </w:pPr>
            <w:r w:rsidRPr="000A2A12">
              <w:t>GBE Performance Monitoring and Financial Risk Management</w:t>
            </w:r>
          </w:p>
        </w:tc>
      </w:tr>
      <w:tr w:rsidR="00B958B1" w:rsidRPr="000A2A12" w:rsidTr="009F3B54">
        <w:trPr>
          <w:gridAfter w:val="1"/>
          <w:wAfter w:w="10" w:type="dxa"/>
          <w:cantSplit/>
        </w:trPr>
        <w:tc>
          <w:tcPr>
            <w:tcW w:w="3153" w:type="dxa"/>
            <w:gridSpan w:val="2"/>
            <w:tcBorders>
              <w:top w:val="single" w:sz="6" w:space="0" w:color="auto"/>
              <w:left w:val="nil"/>
              <w:bottom w:val="nil"/>
              <w:right w:val="nil"/>
            </w:tcBorders>
            <w:shd w:val="clear" w:color="auto" w:fill="auto"/>
            <w:vAlign w:val="bottom"/>
          </w:tcPr>
          <w:p w:rsidR="00B958B1" w:rsidRPr="000A2A12" w:rsidRDefault="00B958B1" w:rsidP="009F3B54">
            <w:pPr>
              <w:pStyle w:val="OGTabHead"/>
            </w:pPr>
            <w:r w:rsidRPr="000A2A12">
              <w:t>Quality</w:t>
            </w:r>
          </w:p>
        </w:tc>
        <w:tc>
          <w:tcPr>
            <w:tcW w:w="952" w:type="dxa"/>
            <w:gridSpan w:val="2"/>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911" w:type="dxa"/>
            <w:gridSpan w:val="2"/>
            <w:tcBorders>
              <w:top w:val="single" w:sz="6" w:space="0" w:color="auto"/>
              <w:left w:val="nil"/>
              <w:bottom w:val="nil"/>
              <w:right w:val="nil"/>
            </w:tcBorders>
            <w:shd w:val="clear" w:color="auto" w:fill="D9D9D9"/>
            <w:noWrap/>
            <w:vAlign w:val="bottom"/>
          </w:tcPr>
          <w:p w:rsidR="00B958B1" w:rsidRPr="000A2A12" w:rsidRDefault="00B958B1" w:rsidP="009F3B54">
            <w:pPr>
              <w:pStyle w:val="OGTabText"/>
            </w:pPr>
          </w:p>
        </w:tc>
        <w:tc>
          <w:tcPr>
            <w:tcW w:w="982" w:type="dxa"/>
            <w:gridSpan w:val="2"/>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892" w:type="dxa"/>
            <w:gridSpan w:val="3"/>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886" w:type="dxa"/>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r>
      <w:tr w:rsidR="00B958B1" w:rsidRPr="000A2A12" w:rsidTr="009F3B54">
        <w:trPr>
          <w:gridAfter w:val="1"/>
          <w:wAfter w:w="10" w:type="dxa"/>
          <w:cantSplit/>
        </w:trPr>
        <w:tc>
          <w:tcPr>
            <w:tcW w:w="3153" w:type="dxa"/>
            <w:gridSpan w:val="2"/>
            <w:tcBorders>
              <w:top w:val="nil"/>
              <w:left w:val="nil"/>
              <w:right w:val="nil"/>
            </w:tcBorders>
            <w:shd w:val="clear" w:color="auto" w:fill="auto"/>
          </w:tcPr>
          <w:p w:rsidR="00B958B1" w:rsidRPr="000A2A12" w:rsidRDefault="00B958B1" w:rsidP="009F3B54">
            <w:pPr>
              <w:pStyle w:val="OGTabText"/>
            </w:pPr>
            <w:r w:rsidRPr="000A2A12">
              <w:t>Service Provision Rating</w:t>
            </w:r>
          </w:p>
        </w:tc>
        <w:tc>
          <w:tcPr>
            <w:tcW w:w="952" w:type="dxa"/>
            <w:gridSpan w:val="2"/>
            <w:tcBorders>
              <w:top w:val="nil"/>
              <w:left w:val="nil"/>
              <w:right w:val="nil"/>
            </w:tcBorders>
            <w:shd w:val="clear" w:color="auto" w:fill="auto"/>
            <w:noWrap/>
          </w:tcPr>
          <w:p w:rsidR="00B958B1" w:rsidRPr="000A2A12" w:rsidRDefault="00B958B1" w:rsidP="009F3B54">
            <w:pPr>
              <w:pStyle w:val="OGUoM"/>
            </w:pPr>
            <w:r w:rsidRPr="000A2A12">
              <w:t>number</w:t>
            </w:r>
          </w:p>
        </w:tc>
        <w:tc>
          <w:tcPr>
            <w:tcW w:w="911" w:type="dxa"/>
            <w:gridSpan w:val="2"/>
            <w:tcBorders>
              <w:top w:val="nil"/>
              <w:left w:val="nil"/>
              <w:right w:val="nil"/>
            </w:tcBorders>
            <w:shd w:val="clear" w:color="auto" w:fill="D9D9D9"/>
            <w:noWrap/>
          </w:tcPr>
          <w:p w:rsidR="00B958B1" w:rsidRPr="000A2A12" w:rsidRDefault="00B958B1" w:rsidP="009F3B54">
            <w:pPr>
              <w:pStyle w:val="OGTableofFigures"/>
            </w:pPr>
            <w:r w:rsidRPr="000A2A12">
              <w:t>na</w:t>
            </w:r>
          </w:p>
        </w:tc>
        <w:tc>
          <w:tcPr>
            <w:tcW w:w="982" w:type="dxa"/>
            <w:gridSpan w:val="2"/>
            <w:tcBorders>
              <w:top w:val="nil"/>
              <w:left w:val="nil"/>
              <w:right w:val="nil"/>
            </w:tcBorders>
            <w:shd w:val="clear" w:color="auto" w:fill="auto"/>
            <w:noWrap/>
          </w:tcPr>
          <w:p w:rsidR="00B958B1" w:rsidRPr="000A2A12" w:rsidRDefault="00B958B1" w:rsidP="009F3B54">
            <w:pPr>
              <w:pStyle w:val="OGTableofFigures"/>
            </w:pPr>
            <w:r w:rsidRPr="000A2A12">
              <w:t>80</w:t>
            </w:r>
          </w:p>
        </w:tc>
        <w:tc>
          <w:tcPr>
            <w:tcW w:w="892" w:type="dxa"/>
            <w:gridSpan w:val="3"/>
            <w:tcBorders>
              <w:top w:val="nil"/>
              <w:left w:val="nil"/>
              <w:right w:val="nil"/>
            </w:tcBorders>
            <w:shd w:val="clear" w:color="auto" w:fill="auto"/>
            <w:noWrap/>
          </w:tcPr>
          <w:p w:rsidR="00B958B1" w:rsidRPr="000A2A12" w:rsidRDefault="00B958B1" w:rsidP="009F3B54">
            <w:pPr>
              <w:pStyle w:val="OGTableofFigures"/>
            </w:pPr>
            <w:r w:rsidRPr="000A2A12">
              <w:t>80</w:t>
            </w:r>
          </w:p>
        </w:tc>
        <w:tc>
          <w:tcPr>
            <w:tcW w:w="886" w:type="dxa"/>
            <w:tcBorders>
              <w:top w:val="nil"/>
              <w:left w:val="nil"/>
              <w:right w:val="nil"/>
            </w:tcBorders>
            <w:shd w:val="clear" w:color="auto" w:fill="auto"/>
            <w:noWrap/>
          </w:tcPr>
          <w:p w:rsidR="00B958B1" w:rsidRPr="000A2A12" w:rsidRDefault="00B958B1" w:rsidP="009F3B54">
            <w:pPr>
              <w:pStyle w:val="OGTableofFigures"/>
            </w:pPr>
            <w:r w:rsidRPr="000A2A12">
              <w:t>80</w:t>
            </w:r>
          </w:p>
        </w:tc>
      </w:tr>
      <w:tr w:rsidR="00B958B1" w:rsidRPr="000A2A12" w:rsidTr="009F3B54">
        <w:trPr>
          <w:gridAfter w:val="1"/>
          <w:wAfter w:w="10" w:type="dxa"/>
          <w:cantSplit/>
        </w:trPr>
        <w:tc>
          <w:tcPr>
            <w:tcW w:w="7776" w:type="dxa"/>
            <w:gridSpan w:val="12"/>
            <w:tcBorders>
              <w:top w:val="nil"/>
              <w:left w:val="nil"/>
              <w:bottom w:val="single" w:sz="6" w:space="0" w:color="auto"/>
              <w:right w:val="nil"/>
            </w:tcBorders>
            <w:shd w:val="clear" w:color="auto" w:fill="auto"/>
          </w:tcPr>
          <w:p w:rsidR="00B958B1" w:rsidRPr="000A2A12" w:rsidRDefault="00B958B1" w:rsidP="009F3B54">
            <w:pPr>
              <w:pStyle w:val="OGNotes"/>
            </w:pPr>
            <w:r w:rsidRPr="000A2A12">
              <w:t>This performance measure is proposed to be discontinued as it is more appropriately measured by a standardised measure of quality. It is replaced by the current measure ‘Maintain ISO 9001 (Quality Management Systems) certification.’</w:t>
            </w:r>
          </w:p>
        </w:tc>
      </w:tr>
      <w:tr w:rsidR="00B958B1" w:rsidRPr="000A2A12" w:rsidTr="009F3B54">
        <w:trPr>
          <w:gridAfter w:val="1"/>
          <w:wAfter w:w="10" w:type="dxa"/>
          <w:cantSplit/>
        </w:trPr>
        <w:tc>
          <w:tcPr>
            <w:tcW w:w="7776" w:type="dxa"/>
            <w:gridSpan w:val="12"/>
            <w:tcBorders>
              <w:top w:val="single" w:sz="6" w:space="0" w:color="auto"/>
              <w:left w:val="nil"/>
              <w:bottom w:val="nil"/>
              <w:right w:val="nil"/>
            </w:tcBorders>
            <w:shd w:val="clear" w:color="auto" w:fill="auto"/>
            <w:vAlign w:val="bottom"/>
          </w:tcPr>
          <w:p w:rsidR="00B958B1" w:rsidRPr="000A2A12" w:rsidRDefault="00B958B1" w:rsidP="009F3B54">
            <w:pPr>
              <w:pStyle w:val="OGHeading2"/>
              <w:rPr>
                <w:sz w:val="20"/>
              </w:rPr>
            </w:pPr>
            <w:r w:rsidRPr="000A2A12">
              <w:t xml:space="preserve">Land and Infrastructure Investment Management </w:t>
            </w:r>
          </w:p>
        </w:tc>
      </w:tr>
      <w:tr w:rsidR="00B958B1" w:rsidRPr="000A2A12" w:rsidTr="009F3B54">
        <w:trPr>
          <w:gridAfter w:val="1"/>
          <w:wAfter w:w="10" w:type="dxa"/>
          <w:cantSplit/>
        </w:trPr>
        <w:tc>
          <w:tcPr>
            <w:tcW w:w="3153" w:type="dxa"/>
            <w:gridSpan w:val="2"/>
            <w:tcBorders>
              <w:top w:val="single" w:sz="6" w:space="0" w:color="auto"/>
              <w:left w:val="nil"/>
              <w:bottom w:val="nil"/>
              <w:right w:val="nil"/>
            </w:tcBorders>
            <w:shd w:val="clear" w:color="auto" w:fill="auto"/>
            <w:vAlign w:val="bottom"/>
          </w:tcPr>
          <w:p w:rsidR="00B958B1" w:rsidRPr="000A2A12" w:rsidRDefault="00B958B1" w:rsidP="009F3B54">
            <w:pPr>
              <w:pStyle w:val="OGTabHead"/>
            </w:pPr>
            <w:r w:rsidRPr="000A2A12">
              <w:t>Quality</w:t>
            </w:r>
          </w:p>
        </w:tc>
        <w:tc>
          <w:tcPr>
            <w:tcW w:w="952" w:type="dxa"/>
            <w:gridSpan w:val="2"/>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911" w:type="dxa"/>
            <w:gridSpan w:val="2"/>
            <w:tcBorders>
              <w:top w:val="single" w:sz="6" w:space="0" w:color="auto"/>
              <w:left w:val="nil"/>
              <w:bottom w:val="nil"/>
              <w:right w:val="nil"/>
            </w:tcBorders>
            <w:shd w:val="clear" w:color="auto" w:fill="D9D9D9"/>
            <w:noWrap/>
            <w:vAlign w:val="bottom"/>
          </w:tcPr>
          <w:p w:rsidR="00B958B1" w:rsidRPr="000A2A12" w:rsidRDefault="00B958B1" w:rsidP="009F3B54">
            <w:pPr>
              <w:pStyle w:val="OGTabText"/>
            </w:pPr>
          </w:p>
        </w:tc>
        <w:tc>
          <w:tcPr>
            <w:tcW w:w="982" w:type="dxa"/>
            <w:gridSpan w:val="2"/>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892" w:type="dxa"/>
            <w:gridSpan w:val="3"/>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886" w:type="dxa"/>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r>
      <w:tr w:rsidR="00B958B1" w:rsidRPr="000A2A12" w:rsidTr="009F3B54">
        <w:trPr>
          <w:gridAfter w:val="1"/>
          <w:wAfter w:w="10" w:type="dxa"/>
          <w:cantSplit/>
        </w:trPr>
        <w:tc>
          <w:tcPr>
            <w:tcW w:w="3153" w:type="dxa"/>
            <w:gridSpan w:val="2"/>
            <w:tcBorders>
              <w:top w:val="nil"/>
              <w:left w:val="nil"/>
              <w:right w:val="nil"/>
            </w:tcBorders>
            <w:shd w:val="clear" w:color="auto" w:fill="auto"/>
          </w:tcPr>
          <w:p w:rsidR="00B958B1" w:rsidRPr="000A2A12" w:rsidRDefault="00B958B1" w:rsidP="009F3B54">
            <w:pPr>
              <w:pStyle w:val="OGTabText"/>
            </w:pPr>
            <w:r w:rsidRPr="000A2A12">
              <w:t>Service Provision Rating</w:t>
            </w:r>
          </w:p>
        </w:tc>
        <w:tc>
          <w:tcPr>
            <w:tcW w:w="952" w:type="dxa"/>
            <w:gridSpan w:val="2"/>
            <w:tcBorders>
              <w:top w:val="nil"/>
              <w:left w:val="nil"/>
              <w:right w:val="nil"/>
            </w:tcBorders>
            <w:shd w:val="clear" w:color="auto" w:fill="auto"/>
            <w:noWrap/>
          </w:tcPr>
          <w:p w:rsidR="00B958B1" w:rsidRPr="000A2A12" w:rsidRDefault="00B958B1" w:rsidP="009F3B54">
            <w:pPr>
              <w:pStyle w:val="OGUoM"/>
            </w:pPr>
            <w:r w:rsidRPr="000A2A12">
              <w:t>number</w:t>
            </w:r>
          </w:p>
        </w:tc>
        <w:tc>
          <w:tcPr>
            <w:tcW w:w="911" w:type="dxa"/>
            <w:gridSpan w:val="2"/>
            <w:tcBorders>
              <w:top w:val="nil"/>
              <w:left w:val="nil"/>
              <w:right w:val="nil"/>
            </w:tcBorders>
            <w:shd w:val="clear" w:color="auto" w:fill="D9D9D9"/>
            <w:noWrap/>
          </w:tcPr>
          <w:p w:rsidR="00B958B1" w:rsidRPr="000A2A12" w:rsidRDefault="00B958B1" w:rsidP="009F3B54">
            <w:pPr>
              <w:pStyle w:val="OGTableofFigures"/>
            </w:pPr>
            <w:r w:rsidRPr="000A2A12">
              <w:t>na</w:t>
            </w:r>
          </w:p>
        </w:tc>
        <w:tc>
          <w:tcPr>
            <w:tcW w:w="982" w:type="dxa"/>
            <w:gridSpan w:val="2"/>
            <w:tcBorders>
              <w:top w:val="nil"/>
              <w:left w:val="nil"/>
              <w:right w:val="nil"/>
            </w:tcBorders>
            <w:shd w:val="clear" w:color="auto" w:fill="auto"/>
            <w:noWrap/>
          </w:tcPr>
          <w:p w:rsidR="00B958B1" w:rsidRPr="000A2A12" w:rsidRDefault="00B958B1" w:rsidP="009F3B54">
            <w:pPr>
              <w:pStyle w:val="OGTableofFigures"/>
            </w:pPr>
            <w:r w:rsidRPr="000A2A12">
              <w:t>80</w:t>
            </w:r>
          </w:p>
        </w:tc>
        <w:tc>
          <w:tcPr>
            <w:tcW w:w="892" w:type="dxa"/>
            <w:gridSpan w:val="3"/>
            <w:tcBorders>
              <w:top w:val="nil"/>
              <w:left w:val="nil"/>
              <w:right w:val="nil"/>
            </w:tcBorders>
            <w:shd w:val="clear" w:color="auto" w:fill="auto"/>
            <w:noWrap/>
          </w:tcPr>
          <w:p w:rsidR="00B958B1" w:rsidRPr="000A2A12" w:rsidRDefault="00B958B1" w:rsidP="009F3B54">
            <w:pPr>
              <w:pStyle w:val="OGTableofFigures"/>
            </w:pPr>
            <w:r w:rsidRPr="000A2A12">
              <w:t>80</w:t>
            </w:r>
          </w:p>
        </w:tc>
        <w:tc>
          <w:tcPr>
            <w:tcW w:w="886" w:type="dxa"/>
            <w:tcBorders>
              <w:top w:val="nil"/>
              <w:left w:val="nil"/>
              <w:right w:val="nil"/>
            </w:tcBorders>
            <w:shd w:val="clear" w:color="auto" w:fill="auto"/>
            <w:noWrap/>
          </w:tcPr>
          <w:p w:rsidR="00B958B1" w:rsidRPr="000A2A12" w:rsidRDefault="00B958B1" w:rsidP="009F3B54">
            <w:pPr>
              <w:pStyle w:val="OGTableofFigures"/>
            </w:pPr>
            <w:r w:rsidRPr="000A2A12">
              <w:t>80</w:t>
            </w:r>
          </w:p>
        </w:tc>
      </w:tr>
      <w:tr w:rsidR="00B958B1" w:rsidRPr="000A2A12" w:rsidTr="009F3B54">
        <w:trPr>
          <w:gridAfter w:val="1"/>
          <w:wAfter w:w="10" w:type="dxa"/>
          <w:cantSplit/>
        </w:trPr>
        <w:tc>
          <w:tcPr>
            <w:tcW w:w="7776" w:type="dxa"/>
            <w:gridSpan w:val="12"/>
            <w:tcBorders>
              <w:top w:val="nil"/>
              <w:left w:val="nil"/>
              <w:bottom w:val="single" w:sz="6" w:space="0" w:color="auto"/>
              <w:right w:val="nil"/>
            </w:tcBorders>
            <w:shd w:val="clear" w:color="auto" w:fill="auto"/>
          </w:tcPr>
          <w:p w:rsidR="00B958B1" w:rsidRPr="000A2A12" w:rsidRDefault="00B958B1" w:rsidP="009F3B54">
            <w:pPr>
              <w:pStyle w:val="OGNotes"/>
            </w:pPr>
            <w:r w:rsidRPr="000A2A12">
              <w:t>This performance measure is proposed to be discontinued as it is more appropriately measured by a standardised measure of quality. It is replaced by the current measure ‘Maintain ISO 9001 (Quality Management Systems) certification.’</w:t>
            </w:r>
          </w:p>
        </w:tc>
      </w:tr>
      <w:tr w:rsidR="00B958B1" w:rsidRPr="000A2A12" w:rsidTr="009F3B54">
        <w:trPr>
          <w:cantSplit/>
        </w:trPr>
        <w:tc>
          <w:tcPr>
            <w:tcW w:w="7786" w:type="dxa"/>
            <w:gridSpan w:val="13"/>
            <w:tcBorders>
              <w:top w:val="nil"/>
              <w:left w:val="nil"/>
              <w:bottom w:val="nil"/>
              <w:right w:val="nil"/>
            </w:tcBorders>
            <w:shd w:val="clear" w:color="auto" w:fill="auto"/>
            <w:vAlign w:val="bottom"/>
          </w:tcPr>
          <w:p w:rsidR="00B958B1" w:rsidRPr="000A2A12" w:rsidRDefault="00B958B1" w:rsidP="009F3B54">
            <w:pPr>
              <w:pStyle w:val="OGHeading2"/>
              <w:rPr>
                <w:sz w:val="20"/>
              </w:rPr>
            </w:pPr>
            <w:r w:rsidRPr="000A2A12">
              <w:t>Government Services</w:t>
            </w:r>
          </w:p>
        </w:tc>
      </w:tr>
      <w:tr w:rsidR="00B958B1" w:rsidRPr="000A2A12" w:rsidTr="009F3B54">
        <w:trPr>
          <w:cantSplit/>
        </w:trPr>
        <w:tc>
          <w:tcPr>
            <w:tcW w:w="3107" w:type="dxa"/>
            <w:tcBorders>
              <w:top w:val="single" w:sz="6" w:space="0" w:color="auto"/>
              <w:left w:val="nil"/>
              <w:bottom w:val="nil"/>
              <w:right w:val="nil"/>
            </w:tcBorders>
            <w:shd w:val="clear" w:color="auto" w:fill="auto"/>
            <w:vAlign w:val="bottom"/>
          </w:tcPr>
          <w:p w:rsidR="00B958B1" w:rsidRPr="000A2A12" w:rsidRDefault="00B958B1" w:rsidP="009F3B54">
            <w:pPr>
              <w:pStyle w:val="OGTabHead"/>
            </w:pPr>
            <w:r w:rsidRPr="000A2A12">
              <w:t>Quantity</w:t>
            </w:r>
          </w:p>
        </w:tc>
        <w:tc>
          <w:tcPr>
            <w:tcW w:w="955" w:type="dxa"/>
            <w:gridSpan w:val="2"/>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911" w:type="dxa"/>
            <w:gridSpan w:val="2"/>
            <w:tcBorders>
              <w:top w:val="single" w:sz="6" w:space="0" w:color="auto"/>
              <w:left w:val="nil"/>
              <w:bottom w:val="nil"/>
              <w:right w:val="nil"/>
            </w:tcBorders>
            <w:shd w:val="clear" w:color="auto" w:fill="D9D9D9"/>
            <w:noWrap/>
            <w:vAlign w:val="bottom"/>
          </w:tcPr>
          <w:p w:rsidR="00B958B1" w:rsidRPr="000A2A12" w:rsidRDefault="00B958B1" w:rsidP="009F3B54">
            <w:pPr>
              <w:pStyle w:val="OGTabText"/>
            </w:pPr>
          </w:p>
        </w:tc>
        <w:tc>
          <w:tcPr>
            <w:tcW w:w="995" w:type="dxa"/>
            <w:gridSpan w:val="2"/>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892" w:type="dxa"/>
            <w:gridSpan w:val="2"/>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926" w:type="dxa"/>
            <w:gridSpan w:val="4"/>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r>
      <w:tr w:rsidR="00B958B1" w:rsidRPr="000A2A12" w:rsidTr="009F3B54">
        <w:trPr>
          <w:cantSplit/>
        </w:trPr>
        <w:tc>
          <w:tcPr>
            <w:tcW w:w="3107" w:type="dxa"/>
            <w:tcBorders>
              <w:top w:val="nil"/>
              <w:left w:val="nil"/>
              <w:right w:val="nil"/>
            </w:tcBorders>
            <w:shd w:val="clear" w:color="auto" w:fill="auto"/>
          </w:tcPr>
          <w:p w:rsidR="00B958B1" w:rsidRPr="000A2A12" w:rsidRDefault="00B958B1" w:rsidP="009F3B54">
            <w:pPr>
              <w:pStyle w:val="OGTabText"/>
            </w:pPr>
            <w:r w:rsidRPr="000A2A12">
              <w:t>Deliver or renew whole of government service related policies</w:t>
            </w:r>
          </w:p>
        </w:tc>
        <w:tc>
          <w:tcPr>
            <w:tcW w:w="955" w:type="dxa"/>
            <w:gridSpan w:val="2"/>
            <w:tcBorders>
              <w:top w:val="nil"/>
              <w:left w:val="nil"/>
              <w:right w:val="nil"/>
            </w:tcBorders>
            <w:shd w:val="clear" w:color="auto" w:fill="auto"/>
            <w:noWrap/>
          </w:tcPr>
          <w:p w:rsidR="00B958B1" w:rsidRPr="000A2A12" w:rsidRDefault="00B958B1" w:rsidP="009F3B54">
            <w:pPr>
              <w:pStyle w:val="OGUoM"/>
            </w:pPr>
            <w:r w:rsidRPr="000A2A12">
              <w:t>number</w:t>
            </w:r>
          </w:p>
        </w:tc>
        <w:tc>
          <w:tcPr>
            <w:tcW w:w="911" w:type="dxa"/>
            <w:gridSpan w:val="2"/>
            <w:tcBorders>
              <w:top w:val="nil"/>
              <w:left w:val="nil"/>
              <w:right w:val="nil"/>
            </w:tcBorders>
            <w:shd w:val="clear" w:color="auto" w:fill="D9D9D9"/>
            <w:noWrap/>
          </w:tcPr>
          <w:p w:rsidR="00B958B1" w:rsidRPr="000A2A12" w:rsidRDefault="00B958B1" w:rsidP="009F3B54">
            <w:pPr>
              <w:pStyle w:val="OGTableofFigures"/>
            </w:pPr>
            <w:r w:rsidRPr="000A2A12">
              <w:t>na</w:t>
            </w:r>
          </w:p>
        </w:tc>
        <w:tc>
          <w:tcPr>
            <w:tcW w:w="995" w:type="dxa"/>
            <w:gridSpan w:val="2"/>
            <w:tcBorders>
              <w:top w:val="nil"/>
              <w:left w:val="nil"/>
              <w:right w:val="nil"/>
            </w:tcBorders>
            <w:shd w:val="clear" w:color="auto" w:fill="auto"/>
            <w:noWrap/>
          </w:tcPr>
          <w:p w:rsidR="00B958B1" w:rsidRPr="000A2A12" w:rsidRDefault="00B958B1" w:rsidP="009F3B54">
            <w:pPr>
              <w:pStyle w:val="OGTableofFigures"/>
            </w:pPr>
            <w:r w:rsidRPr="000A2A12">
              <w:t>14</w:t>
            </w:r>
          </w:p>
        </w:tc>
        <w:tc>
          <w:tcPr>
            <w:tcW w:w="892" w:type="dxa"/>
            <w:gridSpan w:val="2"/>
            <w:tcBorders>
              <w:top w:val="nil"/>
              <w:left w:val="nil"/>
              <w:right w:val="nil"/>
            </w:tcBorders>
            <w:shd w:val="clear" w:color="auto" w:fill="auto"/>
            <w:noWrap/>
          </w:tcPr>
          <w:p w:rsidR="00B958B1" w:rsidRPr="000A2A12" w:rsidRDefault="00B958B1" w:rsidP="009F3B54">
            <w:pPr>
              <w:pStyle w:val="OGTableofFigures"/>
            </w:pPr>
            <w:r w:rsidRPr="000A2A12">
              <w:t>13</w:t>
            </w:r>
          </w:p>
        </w:tc>
        <w:tc>
          <w:tcPr>
            <w:tcW w:w="926" w:type="dxa"/>
            <w:gridSpan w:val="4"/>
            <w:tcBorders>
              <w:top w:val="nil"/>
              <w:left w:val="nil"/>
              <w:right w:val="nil"/>
            </w:tcBorders>
            <w:shd w:val="clear" w:color="auto" w:fill="auto"/>
            <w:noWrap/>
          </w:tcPr>
          <w:p w:rsidR="00B958B1" w:rsidRPr="000A2A12" w:rsidRDefault="00B958B1" w:rsidP="009F3B54">
            <w:pPr>
              <w:pStyle w:val="OGTableofFigures"/>
            </w:pPr>
            <w:r w:rsidRPr="000A2A12">
              <w:t>19</w:t>
            </w:r>
          </w:p>
        </w:tc>
      </w:tr>
      <w:tr w:rsidR="00B958B1" w:rsidRPr="000A2A12" w:rsidTr="009F3B54">
        <w:trPr>
          <w:cantSplit/>
        </w:trPr>
        <w:tc>
          <w:tcPr>
            <w:tcW w:w="7786" w:type="dxa"/>
            <w:gridSpan w:val="13"/>
            <w:tcBorders>
              <w:top w:val="nil"/>
              <w:left w:val="nil"/>
              <w:bottom w:val="nil"/>
              <w:right w:val="nil"/>
            </w:tcBorders>
            <w:shd w:val="clear" w:color="auto" w:fill="auto"/>
          </w:tcPr>
          <w:p w:rsidR="00B958B1" w:rsidRPr="000A2A12" w:rsidRDefault="00B958B1" w:rsidP="009F3B54">
            <w:pPr>
              <w:pStyle w:val="OGNotes"/>
            </w:pPr>
            <w:r w:rsidRPr="000A2A12">
              <w:t>This performance measure has been transferred from the Department of Treasury and Finance to the Department of State Development, Business and Innovation as a result of machinery of government changes.</w:t>
            </w:r>
          </w:p>
        </w:tc>
      </w:tr>
      <w:tr w:rsidR="00B958B1" w:rsidRPr="000A2A12" w:rsidTr="009F3B54">
        <w:trPr>
          <w:cantSplit/>
        </w:trPr>
        <w:tc>
          <w:tcPr>
            <w:tcW w:w="3107" w:type="dxa"/>
            <w:tcBorders>
              <w:top w:val="single" w:sz="6" w:space="0" w:color="auto"/>
              <w:left w:val="nil"/>
              <w:bottom w:val="nil"/>
              <w:right w:val="nil"/>
            </w:tcBorders>
            <w:shd w:val="clear" w:color="auto" w:fill="auto"/>
            <w:vAlign w:val="bottom"/>
          </w:tcPr>
          <w:p w:rsidR="00B958B1" w:rsidRPr="000A2A12" w:rsidRDefault="00B958B1" w:rsidP="009F3B54">
            <w:pPr>
              <w:pStyle w:val="OGTabHead"/>
            </w:pPr>
            <w:r w:rsidRPr="000A2A12">
              <w:t>Timeliness</w:t>
            </w:r>
          </w:p>
        </w:tc>
        <w:tc>
          <w:tcPr>
            <w:tcW w:w="955" w:type="dxa"/>
            <w:gridSpan w:val="2"/>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911" w:type="dxa"/>
            <w:gridSpan w:val="2"/>
            <w:tcBorders>
              <w:top w:val="single" w:sz="6" w:space="0" w:color="auto"/>
              <w:left w:val="nil"/>
              <w:bottom w:val="nil"/>
              <w:right w:val="nil"/>
            </w:tcBorders>
            <w:shd w:val="clear" w:color="auto" w:fill="D9D9D9"/>
            <w:noWrap/>
            <w:vAlign w:val="bottom"/>
          </w:tcPr>
          <w:p w:rsidR="00B958B1" w:rsidRPr="000A2A12" w:rsidRDefault="00B958B1" w:rsidP="009F3B54">
            <w:pPr>
              <w:pStyle w:val="OGTabText"/>
            </w:pPr>
          </w:p>
        </w:tc>
        <w:tc>
          <w:tcPr>
            <w:tcW w:w="995" w:type="dxa"/>
            <w:gridSpan w:val="2"/>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892" w:type="dxa"/>
            <w:gridSpan w:val="2"/>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926" w:type="dxa"/>
            <w:gridSpan w:val="4"/>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r>
      <w:tr w:rsidR="00B958B1" w:rsidRPr="000A2A12" w:rsidTr="009F3B54">
        <w:trPr>
          <w:cantSplit/>
        </w:trPr>
        <w:tc>
          <w:tcPr>
            <w:tcW w:w="3107" w:type="dxa"/>
            <w:tcBorders>
              <w:top w:val="nil"/>
              <w:left w:val="nil"/>
              <w:right w:val="nil"/>
            </w:tcBorders>
            <w:shd w:val="clear" w:color="auto" w:fill="auto"/>
          </w:tcPr>
          <w:p w:rsidR="00B958B1" w:rsidRPr="000A2A12" w:rsidRDefault="00B958B1" w:rsidP="009F3B54">
            <w:pPr>
              <w:pStyle w:val="OGTabText"/>
            </w:pPr>
            <w:r w:rsidRPr="000A2A12">
              <w:t>Whole of government contracts renewed within agreed timelines</w:t>
            </w:r>
          </w:p>
        </w:tc>
        <w:tc>
          <w:tcPr>
            <w:tcW w:w="955" w:type="dxa"/>
            <w:gridSpan w:val="2"/>
            <w:tcBorders>
              <w:top w:val="nil"/>
              <w:left w:val="nil"/>
              <w:right w:val="nil"/>
            </w:tcBorders>
            <w:shd w:val="clear" w:color="auto" w:fill="auto"/>
            <w:noWrap/>
          </w:tcPr>
          <w:p w:rsidR="00B958B1" w:rsidRPr="000A2A12" w:rsidRDefault="00B958B1" w:rsidP="009F3B54">
            <w:pPr>
              <w:pStyle w:val="OGUoM"/>
            </w:pPr>
            <w:r w:rsidRPr="000A2A12">
              <w:t>per cent</w:t>
            </w:r>
          </w:p>
        </w:tc>
        <w:tc>
          <w:tcPr>
            <w:tcW w:w="911" w:type="dxa"/>
            <w:gridSpan w:val="2"/>
            <w:tcBorders>
              <w:top w:val="nil"/>
              <w:left w:val="nil"/>
              <w:right w:val="nil"/>
            </w:tcBorders>
            <w:shd w:val="clear" w:color="auto" w:fill="D9D9D9"/>
            <w:noWrap/>
          </w:tcPr>
          <w:p w:rsidR="00B958B1" w:rsidRPr="000A2A12" w:rsidRDefault="00B958B1" w:rsidP="009F3B54">
            <w:pPr>
              <w:pStyle w:val="OGTableofFigures"/>
            </w:pPr>
            <w:r w:rsidRPr="000A2A12">
              <w:t>na</w:t>
            </w:r>
          </w:p>
        </w:tc>
        <w:tc>
          <w:tcPr>
            <w:tcW w:w="995" w:type="dxa"/>
            <w:gridSpan w:val="2"/>
            <w:tcBorders>
              <w:top w:val="nil"/>
              <w:left w:val="nil"/>
              <w:right w:val="nil"/>
            </w:tcBorders>
            <w:shd w:val="clear" w:color="auto" w:fill="auto"/>
            <w:noWrap/>
          </w:tcPr>
          <w:p w:rsidR="00B958B1" w:rsidRPr="000A2A12" w:rsidRDefault="00B958B1" w:rsidP="009F3B54">
            <w:pPr>
              <w:pStyle w:val="OGTableofFigures"/>
            </w:pPr>
            <w:r w:rsidRPr="000A2A12">
              <w:t>100</w:t>
            </w:r>
          </w:p>
        </w:tc>
        <w:tc>
          <w:tcPr>
            <w:tcW w:w="892" w:type="dxa"/>
            <w:gridSpan w:val="2"/>
            <w:tcBorders>
              <w:top w:val="nil"/>
              <w:left w:val="nil"/>
              <w:right w:val="nil"/>
            </w:tcBorders>
            <w:shd w:val="clear" w:color="auto" w:fill="auto"/>
            <w:noWrap/>
          </w:tcPr>
          <w:p w:rsidR="00B958B1" w:rsidRPr="000A2A12" w:rsidRDefault="00B958B1" w:rsidP="009F3B54">
            <w:pPr>
              <w:pStyle w:val="OGTableofFigures"/>
            </w:pPr>
            <w:r w:rsidRPr="000A2A12">
              <w:t>95</w:t>
            </w:r>
          </w:p>
        </w:tc>
        <w:tc>
          <w:tcPr>
            <w:tcW w:w="926" w:type="dxa"/>
            <w:gridSpan w:val="4"/>
            <w:tcBorders>
              <w:top w:val="nil"/>
              <w:left w:val="nil"/>
              <w:right w:val="nil"/>
            </w:tcBorders>
            <w:shd w:val="clear" w:color="auto" w:fill="auto"/>
            <w:noWrap/>
          </w:tcPr>
          <w:p w:rsidR="00B958B1" w:rsidRPr="000A2A12" w:rsidRDefault="00B958B1" w:rsidP="009F3B54">
            <w:pPr>
              <w:pStyle w:val="OGTableofFigures"/>
            </w:pPr>
            <w:r w:rsidRPr="000A2A12">
              <w:t>100</w:t>
            </w:r>
          </w:p>
        </w:tc>
      </w:tr>
      <w:tr w:rsidR="00B958B1" w:rsidRPr="000A2A12" w:rsidTr="009F3B54">
        <w:trPr>
          <w:cantSplit/>
        </w:trPr>
        <w:tc>
          <w:tcPr>
            <w:tcW w:w="7786" w:type="dxa"/>
            <w:gridSpan w:val="13"/>
            <w:tcBorders>
              <w:top w:val="nil"/>
              <w:left w:val="nil"/>
              <w:bottom w:val="single" w:sz="6" w:space="0" w:color="auto"/>
              <w:right w:val="nil"/>
            </w:tcBorders>
            <w:shd w:val="clear" w:color="auto" w:fill="auto"/>
          </w:tcPr>
          <w:p w:rsidR="00B958B1" w:rsidRPr="000A2A12" w:rsidRDefault="00B958B1" w:rsidP="009F3B54">
            <w:pPr>
              <w:pStyle w:val="OGNotes"/>
            </w:pPr>
            <w:r w:rsidRPr="000A2A12">
              <w:t>This performance measure is proposed to be discontinued as it is more appropriately merged with a new measure ‘Evaluation and decision on existing or potential whole of Victorian government contracts within agreed timelines’.</w:t>
            </w:r>
          </w:p>
        </w:tc>
      </w:tr>
      <w:tr w:rsidR="00B958B1" w:rsidRPr="000A2A12" w:rsidTr="009F3B54">
        <w:trPr>
          <w:cantSplit/>
        </w:trPr>
        <w:tc>
          <w:tcPr>
            <w:tcW w:w="3107" w:type="dxa"/>
            <w:tcBorders>
              <w:top w:val="single" w:sz="6" w:space="0" w:color="auto"/>
              <w:left w:val="nil"/>
              <w:bottom w:val="nil"/>
              <w:right w:val="nil"/>
            </w:tcBorders>
            <w:shd w:val="clear" w:color="auto" w:fill="auto"/>
            <w:vAlign w:val="bottom"/>
          </w:tcPr>
          <w:p w:rsidR="00B958B1" w:rsidRPr="000A2A12" w:rsidRDefault="00B958B1" w:rsidP="009F3B54">
            <w:pPr>
              <w:pStyle w:val="OGTabHead"/>
            </w:pPr>
            <w:r w:rsidRPr="000A2A12">
              <w:t>Quality</w:t>
            </w:r>
          </w:p>
        </w:tc>
        <w:tc>
          <w:tcPr>
            <w:tcW w:w="955" w:type="dxa"/>
            <w:gridSpan w:val="2"/>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911" w:type="dxa"/>
            <w:gridSpan w:val="2"/>
            <w:tcBorders>
              <w:top w:val="single" w:sz="6" w:space="0" w:color="auto"/>
              <w:left w:val="nil"/>
              <w:bottom w:val="nil"/>
              <w:right w:val="nil"/>
            </w:tcBorders>
            <w:shd w:val="clear" w:color="auto" w:fill="D9D9D9"/>
            <w:noWrap/>
            <w:vAlign w:val="bottom"/>
          </w:tcPr>
          <w:p w:rsidR="00B958B1" w:rsidRPr="000A2A12" w:rsidRDefault="00B958B1" w:rsidP="009F3B54">
            <w:pPr>
              <w:pStyle w:val="OGTabText"/>
            </w:pPr>
          </w:p>
        </w:tc>
        <w:tc>
          <w:tcPr>
            <w:tcW w:w="995" w:type="dxa"/>
            <w:gridSpan w:val="2"/>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892" w:type="dxa"/>
            <w:gridSpan w:val="2"/>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c>
          <w:tcPr>
            <w:tcW w:w="926" w:type="dxa"/>
            <w:gridSpan w:val="4"/>
            <w:tcBorders>
              <w:top w:val="single" w:sz="6" w:space="0" w:color="auto"/>
              <w:left w:val="nil"/>
              <w:bottom w:val="nil"/>
              <w:right w:val="nil"/>
            </w:tcBorders>
            <w:shd w:val="clear" w:color="auto" w:fill="auto"/>
            <w:noWrap/>
            <w:vAlign w:val="bottom"/>
          </w:tcPr>
          <w:p w:rsidR="00B958B1" w:rsidRPr="000A2A12" w:rsidRDefault="00B958B1" w:rsidP="009F3B54">
            <w:pPr>
              <w:pStyle w:val="OGTabText"/>
            </w:pPr>
          </w:p>
        </w:tc>
      </w:tr>
      <w:tr w:rsidR="00B958B1" w:rsidRPr="000A2A12" w:rsidTr="009F3B54">
        <w:trPr>
          <w:cantSplit/>
        </w:trPr>
        <w:tc>
          <w:tcPr>
            <w:tcW w:w="3107" w:type="dxa"/>
            <w:tcBorders>
              <w:top w:val="nil"/>
              <w:left w:val="nil"/>
              <w:right w:val="nil"/>
            </w:tcBorders>
            <w:shd w:val="clear" w:color="auto" w:fill="auto"/>
          </w:tcPr>
          <w:p w:rsidR="00B958B1" w:rsidRPr="000A2A12" w:rsidRDefault="00B958B1" w:rsidP="009F3B54">
            <w:pPr>
              <w:pStyle w:val="OGTabText"/>
            </w:pPr>
            <w:r w:rsidRPr="000A2A12">
              <w:t>Service Provision Rating</w:t>
            </w:r>
          </w:p>
        </w:tc>
        <w:tc>
          <w:tcPr>
            <w:tcW w:w="955" w:type="dxa"/>
            <w:gridSpan w:val="2"/>
            <w:tcBorders>
              <w:top w:val="nil"/>
              <w:left w:val="nil"/>
              <w:right w:val="nil"/>
            </w:tcBorders>
            <w:shd w:val="clear" w:color="auto" w:fill="auto"/>
            <w:noWrap/>
          </w:tcPr>
          <w:p w:rsidR="00B958B1" w:rsidRPr="000A2A12" w:rsidRDefault="00B958B1" w:rsidP="009F3B54">
            <w:pPr>
              <w:pStyle w:val="OGUoM"/>
            </w:pPr>
            <w:r w:rsidRPr="000A2A12">
              <w:t>per cent</w:t>
            </w:r>
          </w:p>
        </w:tc>
        <w:tc>
          <w:tcPr>
            <w:tcW w:w="911" w:type="dxa"/>
            <w:gridSpan w:val="2"/>
            <w:tcBorders>
              <w:top w:val="nil"/>
              <w:left w:val="nil"/>
              <w:right w:val="nil"/>
            </w:tcBorders>
            <w:shd w:val="clear" w:color="auto" w:fill="D9D9D9"/>
            <w:noWrap/>
          </w:tcPr>
          <w:p w:rsidR="00B958B1" w:rsidRPr="000A2A12" w:rsidRDefault="00B958B1" w:rsidP="009F3B54">
            <w:pPr>
              <w:pStyle w:val="OGTableofFigures"/>
            </w:pPr>
            <w:r w:rsidRPr="000A2A12">
              <w:t>na</w:t>
            </w:r>
          </w:p>
        </w:tc>
        <w:tc>
          <w:tcPr>
            <w:tcW w:w="995" w:type="dxa"/>
            <w:gridSpan w:val="2"/>
            <w:tcBorders>
              <w:top w:val="nil"/>
              <w:left w:val="nil"/>
              <w:right w:val="nil"/>
            </w:tcBorders>
            <w:shd w:val="clear" w:color="auto" w:fill="auto"/>
            <w:noWrap/>
          </w:tcPr>
          <w:p w:rsidR="00B958B1" w:rsidRPr="000A2A12" w:rsidRDefault="00B958B1" w:rsidP="009F3B54">
            <w:pPr>
              <w:pStyle w:val="OGTableofFigures"/>
            </w:pPr>
            <w:r w:rsidRPr="000A2A12">
              <w:t>80</w:t>
            </w:r>
          </w:p>
        </w:tc>
        <w:tc>
          <w:tcPr>
            <w:tcW w:w="892" w:type="dxa"/>
            <w:gridSpan w:val="2"/>
            <w:tcBorders>
              <w:top w:val="nil"/>
              <w:left w:val="nil"/>
              <w:right w:val="nil"/>
            </w:tcBorders>
            <w:shd w:val="clear" w:color="auto" w:fill="auto"/>
            <w:noWrap/>
          </w:tcPr>
          <w:p w:rsidR="00B958B1" w:rsidRPr="000A2A12" w:rsidRDefault="00B958B1" w:rsidP="009F3B54">
            <w:pPr>
              <w:pStyle w:val="OGTableofFigures"/>
            </w:pPr>
            <w:r w:rsidRPr="000A2A12">
              <w:t>80</w:t>
            </w:r>
          </w:p>
        </w:tc>
        <w:tc>
          <w:tcPr>
            <w:tcW w:w="926" w:type="dxa"/>
            <w:gridSpan w:val="4"/>
            <w:tcBorders>
              <w:top w:val="nil"/>
              <w:left w:val="nil"/>
              <w:right w:val="nil"/>
            </w:tcBorders>
            <w:shd w:val="clear" w:color="auto" w:fill="auto"/>
            <w:noWrap/>
          </w:tcPr>
          <w:p w:rsidR="00B958B1" w:rsidRPr="000A2A12" w:rsidRDefault="00B958B1" w:rsidP="009F3B54">
            <w:pPr>
              <w:pStyle w:val="OGTableofFigures"/>
            </w:pPr>
            <w:r w:rsidRPr="000A2A12">
              <w:t>80</w:t>
            </w:r>
          </w:p>
        </w:tc>
      </w:tr>
      <w:tr w:rsidR="00B958B1" w:rsidRPr="00807665" w:rsidTr="009F3B54">
        <w:trPr>
          <w:cantSplit/>
        </w:trPr>
        <w:tc>
          <w:tcPr>
            <w:tcW w:w="7786" w:type="dxa"/>
            <w:gridSpan w:val="13"/>
            <w:tcBorders>
              <w:top w:val="nil"/>
              <w:left w:val="nil"/>
              <w:bottom w:val="single" w:sz="12" w:space="0" w:color="auto"/>
              <w:right w:val="nil"/>
            </w:tcBorders>
            <w:shd w:val="clear" w:color="auto" w:fill="auto"/>
          </w:tcPr>
          <w:p w:rsidR="00B958B1" w:rsidRDefault="00B958B1" w:rsidP="009F3B54">
            <w:pPr>
              <w:pStyle w:val="OGNotes"/>
            </w:pPr>
            <w:r w:rsidRPr="000A2A12">
              <w:t>This performance measure is proposed to be discontinued as it is more appropriately measured by a standardised measure of quality. It is replaced by the current measure ‘Maintain ISO 9001 (Quality Management Systems) certification.’</w:t>
            </w:r>
          </w:p>
        </w:tc>
      </w:tr>
    </w:tbl>
    <w:p w:rsidR="00B958B1" w:rsidRDefault="00B958B1" w:rsidP="009F3B54">
      <w:r>
        <w:fldChar w:fldCharType="begin"/>
      </w:r>
      <w:r>
        <w:instrText xml:space="preserve"> XE "</w:instrText>
      </w:r>
      <w:r w:rsidRPr="001438AE">
        <w:instrText>Department of Treasury and Finance:</w:instrText>
      </w:r>
      <w:r w:rsidRPr="00C60B08">
        <w:instrText xml:space="preserve"> </w:instrText>
      </w:r>
      <w:r w:rsidRPr="003E7F43">
        <w:instrText>Output performance measures for review</w:instrText>
      </w:r>
      <w:r>
        <w:instrText xml:space="preserve">" \r "BP3AppADTF" </w:instrText>
      </w:r>
      <w:r>
        <w:fldChar w:fldCharType="end"/>
      </w:r>
      <w:bookmarkEnd w:id="173"/>
    </w:p>
    <w:p w:rsidR="00B958B1" w:rsidRDefault="00B958B1" w:rsidP="009F3B54"/>
    <w:p w:rsidR="00B958B1" w:rsidRDefault="00B958B1" w:rsidP="009F3B54"/>
    <w:p w:rsidR="00B958B1" w:rsidRDefault="00B958B1">
      <w:pPr>
        <w:spacing w:after="0"/>
      </w:pPr>
      <w:r>
        <w:br w:type="page"/>
      </w:r>
    </w:p>
    <w:p w:rsidR="00B958B1" w:rsidRDefault="00B958B1" w:rsidP="00497606"/>
    <w:p w:rsidR="00B958B1" w:rsidRDefault="00B958B1" w:rsidP="00C45CC5">
      <w:pPr>
        <w:sectPr w:rsidR="00B958B1" w:rsidSect="004B42A1">
          <w:footerReference w:type="even" r:id="rId42"/>
          <w:footerReference w:type="default" r:id="rId43"/>
          <w:type w:val="oddPage"/>
          <w:pgSz w:w="9979" w:h="14181" w:code="138"/>
          <w:pgMar w:top="1138" w:right="1138" w:bottom="1138" w:left="1138" w:header="720" w:footer="720" w:gutter="0"/>
          <w:cols w:space="708"/>
          <w:docGrid w:linePitch="360"/>
        </w:sectPr>
      </w:pPr>
    </w:p>
    <w:p w:rsidR="00B958B1" w:rsidRDefault="00B958B1" w:rsidP="009F3B54">
      <w:pPr>
        <w:pStyle w:val="ChapterHeading"/>
      </w:pPr>
      <w:bookmarkStart w:id="174" w:name="_Toc355362299"/>
      <w:r>
        <w:t xml:space="preserve">Appendix B – </w:t>
      </w:r>
      <w:r w:rsidRPr="005A0881">
        <w:t>Local</w:t>
      </w:r>
      <w:r>
        <w:t xml:space="preserve"> government financial relations</w:t>
      </w:r>
      <w:bookmarkEnd w:id="174"/>
    </w:p>
    <w:p w:rsidR="00B958B1" w:rsidRPr="00C037C1" w:rsidRDefault="00B958B1" w:rsidP="009F3B54">
      <w:bookmarkStart w:id="175" w:name="BP3AppBLocalGovt"/>
      <w:r w:rsidRPr="00C037C1">
        <w:t xml:space="preserve">This appendix provides an overview of the local government sector in Victoria and highlights the </w:t>
      </w:r>
      <w:r w:rsidRPr="006641D8">
        <w:rPr>
          <w:i/>
        </w:rPr>
        <w:t>2013</w:t>
      </w:r>
      <w:r w:rsidR="009F0F49">
        <w:rPr>
          <w:i/>
        </w:rPr>
        <w:noBreakHyphen/>
      </w:r>
      <w:r>
        <w:rPr>
          <w:i/>
        </w:rPr>
        <w:t>14 </w:t>
      </w:r>
      <w:r w:rsidRPr="006641D8">
        <w:rPr>
          <w:i/>
        </w:rPr>
        <w:t>Budget</w:t>
      </w:r>
      <w:r w:rsidRPr="00C037C1">
        <w:t xml:space="preserve"> initiatives that impact on councils. </w:t>
      </w:r>
    </w:p>
    <w:p w:rsidR="00B958B1" w:rsidRDefault="00B958B1" w:rsidP="009F3B54">
      <w:r w:rsidRPr="00C037C1">
        <w:t>Local government is a distinct and essential tier of government in Australia, enshrined in Victoria</w:t>
      </w:r>
      <w:r>
        <w:t>’</w:t>
      </w:r>
      <w:r w:rsidRPr="00C037C1">
        <w:t>s Constitution. Victoria has 79 councils providing a wide range of services. Many government programs are either delivered by, or in partnership with, local government. In many cases the programs operate in a specific local government area with in kind support from</w:t>
      </w:r>
      <w:r>
        <w:t>,</w:t>
      </w:r>
      <w:r w:rsidRPr="00C037C1">
        <w:t xml:space="preserve"> and collaboration with</w:t>
      </w:r>
      <w:r>
        <w:t>,</w:t>
      </w:r>
      <w:r w:rsidRPr="00C037C1">
        <w:t xml:space="preserve"> local government.</w:t>
      </w:r>
    </w:p>
    <w:p w:rsidR="00B958B1" w:rsidRDefault="00B958B1" w:rsidP="00376BA6">
      <w:pPr>
        <w:pStyle w:val="Heading1"/>
      </w:pPr>
      <w:bookmarkStart w:id="176" w:name="_Toc355362300"/>
      <w:r w:rsidRPr="00376BA6">
        <w:t>Improving</w:t>
      </w:r>
      <w:r>
        <w:t xml:space="preserve"> service delivery to local communities</w:t>
      </w:r>
      <w:bookmarkEnd w:id="176"/>
    </w:p>
    <w:p w:rsidR="00B958B1" w:rsidRDefault="00B958B1" w:rsidP="009F3B54">
      <w:r>
        <w:fldChar w:fldCharType="begin"/>
      </w:r>
      <w:r>
        <w:instrText xml:space="preserve"> XE "</w:instrText>
      </w:r>
      <w:r w:rsidRPr="00451516">
        <w:instrText>Communities</w:instrText>
      </w:r>
      <w:r>
        <w:instrText xml:space="preserve">" </w:instrText>
      </w:r>
      <w:r>
        <w:fldChar w:fldCharType="end"/>
      </w:r>
      <w:r w:rsidRPr="000305B8">
        <w:t>The Government sees local government as a key partner in delivering responsive and tailored services. This partnership is being enhanced by opening up better communication channels between the two levels of government</w:t>
      </w:r>
      <w:r>
        <w:t>,</w:t>
      </w:r>
      <w:r w:rsidRPr="000305B8">
        <w:t xml:space="preserve"> and </w:t>
      </w:r>
      <w:r>
        <w:t>improving</w:t>
      </w:r>
      <w:r w:rsidRPr="000305B8">
        <w:t xml:space="preserve"> clarity regarding </w:t>
      </w:r>
      <w:r>
        <w:t xml:space="preserve">their </w:t>
      </w:r>
      <w:r w:rsidRPr="000305B8">
        <w:t xml:space="preserve">respective roles. This in turn will deliver services to communities in a more coordinated and efficient manner. </w:t>
      </w:r>
    </w:p>
    <w:p w:rsidR="00B958B1" w:rsidRPr="00DA3F58" w:rsidRDefault="00B958B1" w:rsidP="009F3B54">
      <w:r>
        <w:t>In 2011 a</w:t>
      </w:r>
      <w:r w:rsidRPr="00DA3F58">
        <w:t xml:space="preserve"> </w:t>
      </w:r>
      <w:r>
        <w:t>l</w:t>
      </w:r>
      <w:r w:rsidRPr="00DA3F58">
        <w:t xml:space="preserve">ocal </w:t>
      </w:r>
      <w:r>
        <w:t>g</w:t>
      </w:r>
      <w:r w:rsidRPr="00DA3F58">
        <w:t>overnment Ministerial</w:t>
      </w:r>
      <w:r w:rsidR="009F0F49">
        <w:noBreakHyphen/>
      </w:r>
      <w:r w:rsidRPr="00DA3F58">
        <w:t xml:space="preserve">Mayors Advisory Panel </w:t>
      </w:r>
      <w:r>
        <w:t>was</w:t>
      </w:r>
      <w:r w:rsidRPr="00DA3F58">
        <w:t xml:space="preserve"> established to consult with local governments and provide high level advice on the impact of state government decisions and legislation to ensure that responsibilities are not imposed on councils without consultation</w:t>
      </w:r>
      <w:r>
        <w:t>. Three meetings have been conducted in 2012</w:t>
      </w:r>
      <w:r w:rsidR="009F0F49">
        <w:noBreakHyphen/>
      </w:r>
      <w:r>
        <w:t>13 and the Panel will continue to be a key forum of engagement between the two levels of government in 2013</w:t>
      </w:r>
      <w:r w:rsidR="009F0F49">
        <w:noBreakHyphen/>
      </w:r>
      <w:r>
        <w:t>14; with five meetings scheduled. The renegotiation of the Victorian State Local Government Agreement continues with a discussion paper to be released in mid</w:t>
      </w:r>
      <w:r w:rsidR="009F0F49">
        <w:noBreakHyphen/>
      </w:r>
      <w:r>
        <w:t xml:space="preserve">2013. </w:t>
      </w:r>
    </w:p>
    <w:p w:rsidR="00B958B1" w:rsidRPr="00D478F1" w:rsidRDefault="00B958B1" w:rsidP="009F3B54">
      <w:r w:rsidRPr="00D478F1">
        <w:t>The local government Performance Reporting Framework (LGPRF) will be implemented in 2013</w:t>
      </w:r>
      <w:r w:rsidR="009F0F49">
        <w:noBreakHyphen/>
      </w:r>
      <w:r w:rsidRPr="00D478F1">
        <w:t xml:space="preserve">14. An initial set of performance indicators will be developed and trialled by councils on a voluntary basis </w:t>
      </w:r>
      <w:r>
        <w:t>in</w:t>
      </w:r>
      <w:r w:rsidRPr="00D478F1">
        <w:t xml:space="preserve"> 2013</w:t>
      </w:r>
      <w:r w:rsidR="009F0F49">
        <w:noBreakHyphen/>
      </w:r>
      <w:r w:rsidRPr="00D478F1">
        <w:t>14</w:t>
      </w:r>
      <w:r>
        <w:t xml:space="preserve">. </w:t>
      </w:r>
      <w:r w:rsidRPr="00D478F1">
        <w:t xml:space="preserve">Input </w:t>
      </w:r>
      <w:r>
        <w:t xml:space="preserve">on opportunities to refine and develop the framework </w:t>
      </w:r>
      <w:r w:rsidRPr="00D478F1">
        <w:t>can be provided up until the legislative changes are enacted</w:t>
      </w:r>
      <w:r>
        <w:t>, at which point the framework will become</w:t>
      </w:r>
      <w:r w:rsidRPr="00D478F1">
        <w:t xml:space="preserve"> compulsory for councils.</w:t>
      </w:r>
    </w:p>
    <w:p w:rsidR="00B958B1" w:rsidRDefault="00B958B1" w:rsidP="009F3B54">
      <w:r>
        <w:t xml:space="preserve">In addition, further work will continue in reforming business practices in asset and financial management, and working with councils in more sustainable and collaborative procurement practices. </w:t>
      </w:r>
    </w:p>
    <w:p w:rsidR="00B958B1" w:rsidRPr="00DA3F58" w:rsidRDefault="00B958B1" w:rsidP="009F3B54">
      <w:r w:rsidRPr="00DA3F58">
        <w:t xml:space="preserve">Local governments </w:t>
      </w:r>
      <w:r>
        <w:t xml:space="preserve">continue to </w:t>
      </w:r>
      <w:r w:rsidRPr="00DA3F58">
        <w:t>face challenges in managing infrastructure</w:t>
      </w:r>
      <w:r>
        <w:fldChar w:fldCharType="begin"/>
      </w:r>
      <w:r>
        <w:instrText xml:space="preserve"> XE "</w:instrText>
      </w:r>
      <w:r w:rsidRPr="00451516">
        <w:instrText>Infrastructure</w:instrText>
      </w:r>
      <w:r>
        <w:instrText xml:space="preserve">" </w:instrText>
      </w:r>
      <w:r>
        <w:fldChar w:fldCharType="end"/>
      </w:r>
      <w:r w:rsidRPr="00DA3F58">
        <w:t xml:space="preserve"> such as roads, bridges, drains and community buildings</w:t>
      </w:r>
      <w:r>
        <w:t xml:space="preserve">. </w:t>
      </w:r>
      <w:r w:rsidRPr="00DA3F58">
        <w:t>A number of programs have been established to address this issue</w:t>
      </w:r>
      <w:r>
        <w:t xml:space="preserve">. </w:t>
      </w:r>
      <w:r w:rsidRPr="00DA3F58">
        <w:t xml:space="preserve">They include the Regional Growth Fund </w:t>
      </w:r>
      <w:r>
        <w:t xml:space="preserve">which includes a </w:t>
      </w:r>
      <w:r w:rsidRPr="00DA3F58">
        <w:t>$100</w:t>
      </w:r>
      <w:r>
        <w:t> million</w:t>
      </w:r>
      <w:r w:rsidRPr="00DA3F58">
        <w:t xml:space="preserve"> Local Government Infrastructure </w:t>
      </w:r>
      <w:r>
        <w:t>program</w:t>
      </w:r>
      <w:r w:rsidRPr="00DA3F58">
        <w:t xml:space="preserve"> to support a range of council initiatives </w:t>
      </w:r>
      <w:r>
        <w:t>and</w:t>
      </w:r>
      <w:r w:rsidRPr="00DA3F58">
        <w:t xml:space="preserve"> </w:t>
      </w:r>
      <w:r w:rsidRPr="000305B8">
        <w:t>community assets.</w:t>
      </w:r>
      <w:r>
        <w:t xml:space="preserve"> So far in 2012</w:t>
      </w:r>
      <w:r w:rsidR="009F0F49">
        <w:noBreakHyphen/>
      </w:r>
      <w:r>
        <w:t xml:space="preserve">13, </w:t>
      </w:r>
      <w:r w:rsidRPr="000305B8">
        <w:t>$</w:t>
      </w:r>
      <w:r>
        <w:t>28.4 million</w:t>
      </w:r>
      <w:r w:rsidRPr="000305B8">
        <w:t xml:space="preserve"> </w:t>
      </w:r>
      <w:r>
        <w:t>has been</w:t>
      </w:r>
      <w:r w:rsidRPr="000305B8">
        <w:t xml:space="preserve"> dispersed directly to councils from the Fund. Forty rural councils</w:t>
      </w:r>
      <w:r w:rsidRPr="00DA3F58">
        <w:t xml:space="preserve"> </w:t>
      </w:r>
      <w:r>
        <w:t>have sought</w:t>
      </w:r>
      <w:r w:rsidRPr="00DA3F58">
        <w:t xml:space="preserve"> a share of $160</w:t>
      </w:r>
      <w:r>
        <w:t> million</w:t>
      </w:r>
      <w:r w:rsidRPr="00DA3F58">
        <w:t xml:space="preserve"> of funding </w:t>
      </w:r>
      <w:r>
        <w:t>under</w:t>
      </w:r>
      <w:r w:rsidRPr="00DA3F58">
        <w:t xml:space="preserve"> </w:t>
      </w:r>
      <w:r>
        <w:t xml:space="preserve">the </w:t>
      </w:r>
      <w:r w:rsidRPr="00DA3F58">
        <w:t>Country Roads</w:t>
      </w:r>
      <w:r>
        <w:fldChar w:fldCharType="begin"/>
      </w:r>
      <w:r>
        <w:instrText xml:space="preserve"> XE "</w:instrText>
      </w:r>
      <w:r w:rsidRPr="00451516">
        <w:instrText>Roads</w:instrText>
      </w:r>
      <w:r>
        <w:instrText xml:space="preserve">" </w:instrText>
      </w:r>
      <w:r>
        <w:fldChar w:fldCharType="end"/>
      </w:r>
      <w:r w:rsidRPr="00DA3F58">
        <w:t xml:space="preserve"> and Bridges </w:t>
      </w:r>
      <w:r>
        <w:t xml:space="preserve">initiative which was established </w:t>
      </w:r>
      <w:r w:rsidRPr="00DA3F58">
        <w:t>to ensure regional roads and bridges are renewed and maintained.</w:t>
      </w:r>
      <w:r>
        <w:t xml:space="preserve"> In 2012</w:t>
      </w:r>
      <w:r w:rsidR="009F0F49">
        <w:noBreakHyphen/>
      </w:r>
      <w:r>
        <w:t>13, $40 million is budgeted for allocation from this fund.</w:t>
      </w:r>
    </w:p>
    <w:p w:rsidR="00B958B1" w:rsidRDefault="00B958B1" w:rsidP="009F3B54">
      <w:r w:rsidRPr="005B532C">
        <w:t xml:space="preserve">The Government </w:t>
      </w:r>
      <w:r>
        <w:t>intends</w:t>
      </w:r>
      <w:r w:rsidRPr="005B532C">
        <w:t xml:space="preserve"> to introduce legislation in 2013</w:t>
      </w:r>
      <w:r w:rsidR="009F0F49">
        <w:noBreakHyphen/>
      </w:r>
      <w:r w:rsidRPr="005B532C">
        <w:t>14 to address emerging issues surrounding the councillor conduct and governance system</w:t>
      </w:r>
      <w:r>
        <w:t xml:space="preserve">. </w:t>
      </w:r>
      <w:r w:rsidRPr="005B532C">
        <w:t>A public consultation period and engagement with councils will follow the issuance of a discussion paper that sets out potential improvements to the current system.</w:t>
      </w:r>
    </w:p>
    <w:p w:rsidR="00B958B1" w:rsidRDefault="00B958B1" w:rsidP="00376BA6">
      <w:pPr>
        <w:pStyle w:val="Heading1"/>
      </w:pPr>
      <w:bookmarkStart w:id="177" w:name="_Toc355362301"/>
      <w:r w:rsidRPr="00376BA6">
        <w:t>Creating</w:t>
      </w:r>
      <w:r w:rsidRPr="00A422BA">
        <w:t xml:space="preserve"> liveable communities</w:t>
      </w:r>
      <w:bookmarkEnd w:id="177"/>
    </w:p>
    <w:p w:rsidR="00B958B1" w:rsidRPr="00DA3F58" w:rsidRDefault="00B958B1" w:rsidP="009F3B54">
      <w:r w:rsidRPr="004A55AE">
        <w:t>The Public Libraries Funding program provides recurrent funding to assist councils and regional library corporations with the provision of library services</w:t>
      </w:r>
      <w:r>
        <w:t>,</w:t>
      </w:r>
      <w:r w:rsidRPr="004A55AE">
        <w:t xml:space="preserve"> and is used to provide a free library service to Victorian residents. </w:t>
      </w:r>
    </w:p>
    <w:p w:rsidR="00B958B1" w:rsidRDefault="00B958B1" w:rsidP="009F3B54">
      <w:pPr>
        <w:rPr>
          <w:highlight w:val="yellow"/>
        </w:rPr>
      </w:pPr>
      <w:r w:rsidRPr="004A55AE">
        <w:t>The Ministerial Advisory Council on Public Libraries is undertaking a comprehensive review of the role of Victorian public libraries, including services and funding arrangements</w:t>
      </w:r>
      <w:r>
        <w:t xml:space="preserve">. </w:t>
      </w:r>
      <w:r w:rsidRPr="004A55AE">
        <w:t>The review is being conducted over a two year period and will be completed in 2013</w:t>
      </w:r>
      <w:r w:rsidR="009F0F49">
        <w:noBreakHyphen/>
      </w:r>
      <w:r w:rsidRPr="004A55AE">
        <w:t xml:space="preserve">14. The first stage of </w:t>
      </w:r>
      <w:r>
        <w:t>the review commenced in January </w:t>
      </w:r>
      <w:r w:rsidRPr="004A55AE">
        <w:t>2012 and concluded in December 2012 wit</w:t>
      </w:r>
      <w:r>
        <w:t>h</w:t>
      </w:r>
      <w:r w:rsidRPr="004A55AE">
        <w:t xml:space="preserve"> the release of the Review of Victorian Public Libraries Stage 1 Report. The second stage of </w:t>
      </w:r>
      <w:r>
        <w:t>the review commenced in January </w:t>
      </w:r>
      <w:r w:rsidRPr="004A55AE">
        <w:t>2013 and will include extensive consultation with councils, regional library corporations and key stakeholders.</w:t>
      </w:r>
    </w:p>
    <w:p w:rsidR="00B958B1" w:rsidRDefault="00B958B1" w:rsidP="009F3B54">
      <w:r w:rsidRPr="00B27132">
        <w:t>Local government is also a key partner in the implementation of the State</w:t>
      </w:r>
      <w:r>
        <w:t>’</w:t>
      </w:r>
      <w:r w:rsidRPr="00B27132">
        <w:t>s planning</w:t>
      </w:r>
      <w:r>
        <w:fldChar w:fldCharType="begin"/>
      </w:r>
      <w:r>
        <w:instrText xml:space="preserve"> XE "</w:instrText>
      </w:r>
      <w:r w:rsidRPr="00BB30A4">
        <w:instrText>Planning and local infrastructure:Planning</w:instrText>
      </w:r>
      <w:r>
        <w:instrText xml:space="preserve">" </w:instrText>
      </w:r>
      <w:r>
        <w:fldChar w:fldCharType="end"/>
      </w:r>
      <w:r w:rsidRPr="00B27132">
        <w:t xml:space="preserve"> policies which shape the future growth of Melbourne and Victoria</w:t>
      </w:r>
      <w:r>
        <w:t>’</w:t>
      </w:r>
      <w:r w:rsidRPr="00B27132">
        <w:t>s regional cities. The new metropolitan planning strategy is being led by a Ministerial Advisory Committee with the input of local governments to provide greater certainty and focus development in appropriate locations and at an appropriate scale.</w:t>
      </w:r>
      <w:r>
        <w:t xml:space="preserve"> </w:t>
      </w:r>
      <w:r w:rsidRPr="00B27132">
        <w:t>Regional Growth Plans</w:t>
      </w:r>
      <w:r>
        <w:fldChar w:fldCharType="begin"/>
      </w:r>
      <w:r>
        <w:instrText xml:space="preserve"> XE "</w:instrText>
      </w:r>
      <w:r w:rsidRPr="00451516">
        <w:instrText>Regional and Rural Victoria</w:instrText>
      </w:r>
      <w:r>
        <w:instrText xml:space="preserve">" </w:instrText>
      </w:r>
      <w:r>
        <w:fldChar w:fldCharType="end"/>
      </w:r>
      <w:r w:rsidRPr="00B27132">
        <w:t xml:space="preserve"> </w:t>
      </w:r>
      <w:r>
        <w:t xml:space="preserve">are </w:t>
      </w:r>
      <w:r w:rsidRPr="00B27132">
        <w:t>also being developed to assist regional councils in planning for population and economic growth and enable long term land supply</w:t>
      </w:r>
      <w:r>
        <w:t>,</w:t>
      </w:r>
      <w:r w:rsidRPr="00B27132">
        <w:t xml:space="preserve"> help guide growth and change across rural and regional Victoria. </w:t>
      </w:r>
    </w:p>
    <w:p w:rsidR="00B958B1" w:rsidRDefault="00B958B1" w:rsidP="00376BA6">
      <w:pPr>
        <w:pStyle w:val="Heading1"/>
      </w:pPr>
      <w:bookmarkStart w:id="178" w:name="_Toc355362302"/>
      <w:r w:rsidRPr="00376BA6">
        <w:t>Funding</w:t>
      </w:r>
      <w:r w:rsidRPr="00A422BA">
        <w:t xml:space="preserve"> sources to local government in victoria</w:t>
      </w:r>
      <w:bookmarkEnd w:id="178"/>
    </w:p>
    <w:p w:rsidR="00B958B1" w:rsidRDefault="00B958B1" w:rsidP="009F3B54">
      <w:r>
        <w:t>Victorian local governments spend around $7.15 billion a year.</w:t>
      </w:r>
      <w:r>
        <w:rPr>
          <w:rStyle w:val="FootnoteReference"/>
        </w:rPr>
        <w:footnoteReference w:id="3"/>
      </w:r>
      <w:r>
        <w:t xml:space="preserve"> Councils fulfil vital responsibilities which include community services, local roads, waste management, recreation and cultural activities. </w:t>
      </w:r>
    </w:p>
    <w:p w:rsidR="00B958B1" w:rsidRDefault="00B958B1" w:rsidP="009F3B54">
      <w:r>
        <w:t>In 2011</w:t>
      </w:r>
      <w:r w:rsidR="009F0F49">
        <w:noBreakHyphen/>
      </w:r>
      <w:r>
        <w:t>12 around 62 per cent of local government recurrent revenue was obtained from rates and charges levied by councils. Around 22 per cent of council recurrent revenue was provided by grants which include Commonwealth financial assistance grants which include general purpose grants and local roads grants. The remaining 16 per cent of ongoing revenue comes from Maternal Child Health</w:t>
      </w:r>
      <w:r>
        <w:fldChar w:fldCharType="begin"/>
      </w:r>
      <w:r>
        <w:instrText xml:space="preserve"> XE "</w:instrText>
      </w:r>
      <w:r w:rsidRPr="00451516">
        <w:instrText>Health</w:instrText>
      </w:r>
      <w:r>
        <w:instrText xml:space="preserve">" </w:instrText>
      </w:r>
      <w:r>
        <w:fldChar w:fldCharType="end"/>
      </w:r>
      <w:r>
        <w:t xml:space="preserve"> (MCH) and Home and Community Care</w:t>
      </w:r>
      <w:r>
        <w:fldChar w:fldCharType="begin"/>
      </w:r>
      <w:r>
        <w:instrText xml:space="preserve"> XE "Home and </w:instrText>
      </w:r>
      <w:r w:rsidRPr="00451516">
        <w:instrText>Community Care</w:instrText>
      </w:r>
      <w:r>
        <w:instrText xml:space="preserve">" </w:instrText>
      </w:r>
      <w:r>
        <w:fldChar w:fldCharType="end"/>
      </w:r>
      <w:r>
        <w:t xml:space="preserve"> (HACC) program payments as well as revenues from interest on bank deposits and rental income from assets owned by local government.</w:t>
      </w:r>
    </w:p>
    <w:p w:rsidR="00B958B1" w:rsidRDefault="00B958B1" w:rsidP="009F3B54">
      <w:r w:rsidRPr="00E02EC5">
        <w:t>The Victorian State Government provides land and payroll tax exemptions to local government</w:t>
      </w:r>
      <w:r>
        <w:t xml:space="preserve">. It is estimated that these exemptions will </w:t>
      </w:r>
      <w:r w:rsidRPr="00E02EC5">
        <w:t xml:space="preserve">benefit Victorian councils by </w:t>
      </w:r>
      <w:r>
        <w:t>more than</w:t>
      </w:r>
      <w:r w:rsidRPr="00E02EC5">
        <w:t xml:space="preserve"> $250</w:t>
      </w:r>
      <w:r>
        <w:t> million</w:t>
      </w:r>
      <w:r w:rsidRPr="00E02EC5">
        <w:t xml:space="preserve"> </w:t>
      </w:r>
      <w:r>
        <w:t>in 2013</w:t>
      </w:r>
      <w:r w:rsidR="009F0F49">
        <w:noBreakHyphen/>
      </w:r>
      <w:r>
        <w:t>14</w:t>
      </w:r>
      <w:r w:rsidRPr="00E02EC5">
        <w:t xml:space="preserve"> (refer to Tables 5.2 and 5.4 in Budget </w:t>
      </w:r>
      <w:r w:rsidRPr="00495124">
        <w:t>Paper No. 5).</w:t>
      </w:r>
      <w:r w:rsidRPr="00C67100">
        <w:t xml:space="preserve"> </w:t>
      </w:r>
    </w:p>
    <w:p w:rsidR="00B958B1" w:rsidRDefault="00B958B1" w:rsidP="009F3B54">
      <w:pPr>
        <w:pStyle w:val="Tableheading"/>
      </w:pPr>
      <w:r>
        <w:t>Table </w:t>
      </w:r>
      <w:r w:rsidRPr="002D76B3">
        <w:t>B.1:</w:t>
      </w:r>
      <w:r w:rsidRPr="002D76B3">
        <w:tab/>
        <w:t>Grants and</w:t>
      </w:r>
      <w:r>
        <w:t xml:space="preserve"> transfers to local government</w:t>
      </w:r>
    </w:p>
    <w:p w:rsidR="00B958B1" w:rsidRPr="00C02BC1" w:rsidRDefault="00B958B1" w:rsidP="009F3B54">
      <w:pPr>
        <w:pStyle w:val="million"/>
      </w:pPr>
      <w:r>
        <w:fldChar w:fldCharType="begin"/>
      </w:r>
      <w:r>
        <w:instrText xml:space="preserve"> XE "</w:instrText>
      </w:r>
      <w:r w:rsidRPr="001B61B2">
        <w:instrText>Local government:Grants and transfers</w:instrText>
      </w:r>
      <w:r>
        <w:instrText xml:space="preserve">" </w:instrText>
      </w:r>
      <w:r>
        <w:fldChar w:fldCharType="end"/>
      </w:r>
      <w:r>
        <w:t>($ thousand)</w:t>
      </w:r>
    </w:p>
    <w:tbl>
      <w:tblPr>
        <w:tblW w:w="7811" w:type="dxa"/>
        <w:tblInd w:w="29" w:type="dxa"/>
        <w:tblLayout w:type="fixed"/>
        <w:tblCellMar>
          <w:left w:w="43" w:type="dxa"/>
          <w:right w:w="43" w:type="dxa"/>
        </w:tblCellMar>
        <w:tblLook w:val="0000" w:firstRow="0" w:lastRow="0" w:firstColumn="0" w:lastColumn="0" w:noHBand="0" w:noVBand="0"/>
      </w:tblPr>
      <w:tblGrid>
        <w:gridCol w:w="4591"/>
        <w:gridCol w:w="7"/>
        <w:gridCol w:w="1068"/>
        <w:gridCol w:w="1077"/>
        <w:gridCol w:w="1068"/>
      </w:tblGrid>
      <w:tr w:rsidR="00B958B1" w:rsidRPr="00C02BC1" w:rsidTr="009F3B54">
        <w:tc>
          <w:tcPr>
            <w:tcW w:w="4595" w:type="dxa"/>
            <w:tcBorders>
              <w:top w:val="single" w:sz="4" w:space="0" w:color="auto"/>
              <w:left w:val="single" w:sz="4" w:space="0" w:color="auto"/>
              <w:bottom w:val="single" w:sz="6" w:space="0" w:color="auto"/>
              <w:right w:val="nil"/>
            </w:tcBorders>
            <w:shd w:val="clear" w:color="auto" w:fill="000000"/>
          </w:tcPr>
          <w:p w:rsidR="00B958B1" w:rsidRPr="00C02BC1" w:rsidRDefault="00B958B1" w:rsidP="009F3B54">
            <w:pPr>
              <w:pStyle w:val="Tabletext"/>
              <w:rPr>
                <w:lang w:eastAsia="en-AU"/>
              </w:rPr>
            </w:pPr>
          </w:p>
        </w:tc>
        <w:tc>
          <w:tcPr>
            <w:tcW w:w="1071" w:type="dxa"/>
            <w:gridSpan w:val="2"/>
            <w:tcBorders>
              <w:top w:val="single" w:sz="4" w:space="0" w:color="auto"/>
              <w:left w:val="nil"/>
              <w:bottom w:val="single" w:sz="6" w:space="0" w:color="auto"/>
              <w:right w:val="nil"/>
            </w:tcBorders>
            <w:shd w:val="clear" w:color="auto" w:fill="000000"/>
          </w:tcPr>
          <w:p w:rsidR="00B958B1" w:rsidRPr="00C02BC1" w:rsidRDefault="00B958B1" w:rsidP="009F3B54">
            <w:pPr>
              <w:pStyle w:val="Tabletextheading"/>
              <w:rPr>
                <w:lang w:eastAsia="en-AU"/>
              </w:rPr>
            </w:pPr>
            <w:r w:rsidRPr="00C02BC1">
              <w:rPr>
                <w:lang w:eastAsia="en-AU"/>
              </w:rPr>
              <w:t>2012</w:t>
            </w:r>
            <w:r w:rsidR="009F0F49">
              <w:rPr>
                <w:lang w:eastAsia="en-AU"/>
              </w:rPr>
              <w:noBreakHyphen/>
            </w:r>
            <w:r w:rsidRPr="00C02BC1">
              <w:rPr>
                <w:lang w:eastAsia="en-AU"/>
              </w:rPr>
              <w:t>13 Budget</w:t>
            </w:r>
          </w:p>
        </w:tc>
        <w:tc>
          <w:tcPr>
            <w:tcW w:w="1077" w:type="dxa"/>
            <w:tcBorders>
              <w:top w:val="single" w:sz="4" w:space="0" w:color="auto"/>
              <w:left w:val="nil"/>
              <w:bottom w:val="single" w:sz="6" w:space="0" w:color="auto"/>
              <w:right w:val="nil"/>
            </w:tcBorders>
            <w:shd w:val="clear" w:color="auto" w:fill="000000"/>
          </w:tcPr>
          <w:p w:rsidR="00B958B1" w:rsidRPr="00C02BC1" w:rsidRDefault="00B958B1" w:rsidP="009F3B54">
            <w:pPr>
              <w:pStyle w:val="Tabletextheading"/>
              <w:rPr>
                <w:lang w:eastAsia="en-AU"/>
              </w:rPr>
            </w:pPr>
            <w:r w:rsidRPr="00C02BC1">
              <w:rPr>
                <w:lang w:eastAsia="en-AU"/>
              </w:rPr>
              <w:t>2012</w:t>
            </w:r>
            <w:r w:rsidR="009F0F49">
              <w:rPr>
                <w:lang w:eastAsia="en-AU"/>
              </w:rPr>
              <w:noBreakHyphen/>
            </w:r>
            <w:r w:rsidRPr="00C02BC1">
              <w:rPr>
                <w:lang w:eastAsia="en-AU"/>
              </w:rPr>
              <w:t>13 Revised</w:t>
            </w:r>
          </w:p>
        </w:tc>
        <w:tc>
          <w:tcPr>
            <w:tcW w:w="1068" w:type="dxa"/>
            <w:tcBorders>
              <w:top w:val="single" w:sz="4" w:space="0" w:color="auto"/>
              <w:left w:val="nil"/>
              <w:bottom w:val="single" w:sz="6" w:space="0" w:color="auto"/>
              <w:right w:val="single" w:sz="4" w:space="0" w:color="auto"/>
            </w:tcBorders>
            <w:shd w:val="clear" w:color="auto" w:fill="000000"/>
          </w:tcPr>
          <w:p w:rsidR="00B958B1" w:rsidRPr="00C02BC1" w:rsidRDefault="00B958B1" w:rsidP="009F3B54">
            <w:pPr>
              <w:pStyle w:val="Tabletextheading"/>
              <w:rPr>
                <w:rFonts w:cs="Calibri"/>
                <w:iCs/>
                <w:color w:val="000000"/>
                <w:vertAlign w:val="superscript"/>
                <w:lang w:eastAsia="en-AU"/>
              </w:rPr>
            </w:pPr>
            <w:r w:rsidRPr="00C02BC1">
              <w:rPr>
                <w:lang w:eastAsia="en-AU"/>
              </w:rPr>
              <w:t>2013</w:t>
            </w:r>
            <w:r w:rsidR="009F0F49">
              <w:rPr>
                <w:lang w:eastAsia="en-AU"/>
              </w:rPr>
              <w:noBreakHyphen/>
            </w:r>
            <w:r w:rsidRPr="00C02BC1">
              <w:rPr>
                <w:lang w:eastAsia="en-AU"/>
              </w:rPr>
              <w:t>14 Bu</w:t>
            </w:r>
            <w:r w:rsidRPr="00C02BC1">
              <w:rPr>
                <w:color w:val="FFFFFF" w:themeColor="background1"/>
                <w:lang w:eastAsia="en-AU"/>
              </w:rPr>
              <w:t xml:space="preserve">dget </w:t>
            </w:r>
            <w:r w:rsidRPr="00C02BC1">
              <w:rPr>
                <w:rFonts w:cs="Calibri"/>
                <w:iCs/>
                <w:color w:val="FFFFFF" w:themeColor="background1"/>
                <w:vertAlign w:val="superscript"/>
                <w:lang w:eastAsia="en-AU"/>
              </w:rPr>
              <w:t>(c)</w:t>
            </w:r>
          </w:p>
        </w:tc>
      </w:tr>
      <w:tr w:rsidR="00B958B1" w:rsidRPr="00C02BC1" w:rsidTr="009F3B54">
        <w:tc>
          <w:tcPr>
            <w:tcW w:w="4595" w:type="dxa"/>
            <w:tcBorders>
              <w:top w:val="single" w:sz="6" w:space="0" w:color="auto"/>
            </w:tcBorders>
            <w:shd w:val="clear" w:color="auto" w:fill="auto"/>
          </w:tcPr>
          <w:p w:rsidR="00B958B1" w:rsidRPr="00C02BC1" w:rsidRDefault="00B958B1" w:rsidP="009F3B54">
            <w:pPr>
              <w:pStyle w:val="Tabletext"/>
              <w:rPr>
                <w:lang w:eastAsia="en-AU"/>
              </w:rPr>
            </w:pPr>
            <w:r w:rsidRPr="00C02BC1">
              <w:rPr>
                <w:lang w:eastAsia="en-AU"/>
              </w:rPr>
              <w:t>Department of Business and Innovation</w:t>
            </w:r>
          </w:p>
        </w:tc>
        <w:tc>
          <w:tcPr>
            <w:tcW w:w="1071" w:type="dxa"/>
            <w:gridSpan w:val="2"/>
            <w:tcBorders>
              <w:top w:val="single" w:sz="6" w:space="0" w:color="auto"/>
            </w:tcBorders>
            <w:shd w:val="clear" w:color="auto" w:fill="auto"/>
          </w:tcPr>
          <w:p w:rsidR="00B958B1" w:rsidRPr="00C02BC1" w:rsidRDefault="00B958B1" w:rsidP="009F3B54">
            <w:pPr>
              <w:pStyle w:val="Tabletextheading"/>
              <w:rPr>
                <w:i w:val="0"/>
                <w:lang w:eastAsia="en-AU"/>
              </w:rPr>
            </w:pPr>
            <w:r w:rsidRPr="00C02BC1">
              <w:rPr>
                <w:i w:val="0"/>
                <w:lang w:eastAsia="en-AU"/>
              </w:rPr>
              <w:t>3 987.9</w:t>
            </w:r>
          </w:p>
        </w:tc>
        <w:tc>
          <w:tcPr>
            <w:tcW w:w="1077" w:type="dxa"/>
            <w:tcBorders>
              <w:top w:val="single" w:sz="6" w:space="0" w:color="auto"/>
            </w:tcBorders>
            <w:shd w:val="clear" w:color="auto" w:fill="auto"/>
          </w:tcPr>
          <w:p w:rsidR="00B958B1" w:rsidRPr="00C02BC1" w:rsidRDefault="00B958B1" w:rsidP="009F3B54">
            <w:pPr>
              <w:pStyle w:val="Tabletextheading"/>
              <w:rPr>
                <w:i w:val="0"/>
                <w:lang w:eastAsia="en-AU"/>
              </w:rPr>
            </w:pPr>
            <w:r w:rsidRPr="00C02BC1">
              <w:rPr>
                <w:i w:val="0"/>
                <w:lang w:eastAsia="en-AU"/>
              </w:rPr>
              <w:t>9 936.9</w:t>
            </w:r>
          </w:p>
        </w:tc>
        <w:tc>
          <w:tcPr>
            <w:tcW w:w="1068" w:type="dxa"/>
            <w:tcBorders>
              <w:top w:val="single" w:sz="6" w:space="0" w:color="auto"/>
            </w:tcBorders>
            <w:shd w:val="clear" w:color="auto" w:fill="auto"/>
          </w:tcPr>
          <w:p w:rsidR="00B958B1" w:rsidRPr="00C02BC1" w:rsidRDefault="00B958B1" w:rsidP="009F3B54">
            <w:pPr>
              <w:pStyle w:val="Tabletextheading"/>
              <w:rPr>
                <w:i w:val="0"/>
                <w:lang w:eastAsia="en-AU"/>
              </w:rPr>
            </w:pPr>
            <w:r w:rsidRPr="00C02BC1">
              <w:rPr>
                <w:i w:val="0"/>
                <w:lang w:eastAsia="en-AU"/>
              </w:rPr>
              <w:t>na</w:t>
            </w:r>
          </w:p>
        </w:tc>
      </w:tr>
      <w:tr w:rsidR="00B958B1" w:rsidRPr="00C02BC1" w:rsidTr="009F3B54">
        <w:tc>
          <w:tcPr>
            <w:tcW w:w="4602" w:type="dxa"/>
            <w:gridSpan w:val="2"/>
            <w:shd w:val="solid" w:color="FFFFFF" w:fill="auto"/>
          </w:tcPr>
          <w:p w:rsidR="00B958B1" w:rsidRPr="00C02BC1" w:rsidRDefault="00B958B1" w:rsidP="009F3B54">
            <w:pPr>
              <w:pStyle w:val="Tabletext"/>
              <w:rPr>
                <w:lang w:eastAsia="en-AU"/>
              </w:rPr>
            </w:pPr>
            <w:r w:rsidRPr="00C02BC1">
              <w:rPr>
                <w:lang w:eastAsia="en-AU"/>
              </w:rPr>
              <w:t xml:space="preserve">Department of Education and Early Childhood Development </w:t>
            </w:r>
            <w:r w:rsidRPr="00C02BC1">
              <w:rPr>
                <w:vertAlign w:val="superscript"/>
                <w:lang w:eastAsia="en-AU"/>
              </w:rPr>
              <w:t>(a)</w:t>
            </w:r>
          </w:p>
        </w:tc>
        <w:tc>
          <w:tcPr>
            <w:tcW w:w="1068" w:type="dxa"/>
            <w:shd w:val="solid" w:color="FFFFFF" w:fill="auto"/>
          </w:tcPr>
          <w:p w:rsidR="00B958B1" w:rsidRPr="00C02BC1" w:rsidRDefault="00B958B1" w:rsidP="009F3B54">
            <w:pPr>
              <w:pStyle w:val="TableofFigures"/>
              <w:rPr>
                <w:lang w:eastAsia="en-AU"/>
              </w:rPr>
            </w:pPr>
            <w:r w:rsidRPr="00C02BC1">
              <w:rPr>
                <w:lang w:eastAsia="en-AU"/>
              </w:rPr>
              <w:t xml:space="preserve"> 503.0</w:t>
            </w:r>
          </w:p>
        </w:tc>
        <w:tc>
          <w:tcPr>
            <w:tcW w:w="1073" w:type="dxa"/>
            <w:shd w:val="solid" w:color="FFFFFF" w:fill="auto"/>
          </w:tcPr>
          <w:p w:rsidR="00B958B1" w:rsidRPr="00C02BC1" w:rsidRDefault="00B958B1" w:rsidP="009F3B54">
            <w:pPr>
              <w:pStyle w:val="TableofFigures"/>
              <w:rPr>
                <w:lang w:eastAsia="en-AU"/>
              </w:rPr>
            </w:pPr>
            <w:r w:rsidRPr="00C02BC1">
              <w:rPr>
                <w:lang w:eastAsia="en-AU"/>
              </w:rPr>
              <w:t xml:space="preserve"> 503.0</w:t>
            </w:r>
          </w:p>
        </w:tc>
        <w:tc>
          <w:tcPr>
            <w:tcW w:w="1068" w:type="dxa"/>
            <w:shd w:val="clear" w:color="auto" w:fill="auto"/>
          </w:tcPr>
          <w:p w:rsidR="00B958B1" w:rsidRPr="00C02BC1" w:rsidRDefault="00B958B1" w:rsidP="009F3B54">
            <w:pPr>
              <w:pStyle w:val="TableofFigures"/>
              <w:rPr>
                <w:lang w:eastAsia="en-AU"/>
              </w:rPr>
            </w:pPr>
            <w:r w:rsidRPr="00C02BC1">
              <w:rPr>
                <w:lang w:eastAsia="en-AU"/>
              </w:rPr>
              <w:t>7 529.2</w:t>
            </w:r>
          </w:p>
        </w:tc>
      </w:tr>
      <w:tr w:rsidR="00B958B1" w:rsidRPr="00C02BC1" w:rsidTr="009F3B54">
        <w:tc>
          <w:tcPr>
            <w:tcW w:w="4595" w:type="dxa"/>
            <w:shd w:val="solid" w:color="FFFFFF" w:fill="auto"/>
          </w:tcPr>
          <w:p w:rsidR="00B958B1" w:rsidRPr="00C02BC1" w:rsidRDefault="00B958B1" w:rsidP="009F3B54">
            <w:pPr>
              <w:pStyle w:val="Tabletext"/>
              <w:rPr>
                <w:rFonts w:cs="Calibri"/>
                <w:color w:val="000000"/>
                <w:lang w:eastAsia="en-AU"/>
              </w:rPr>
            </w:pPr>
            <w:r w:rsidRPr="00C02BC1">
              <w:rPr>
                <w:lang w:eastAsia="en-AU"/>
              </w:rPr>
              <w:t xml:space="preserve">Department of Environment and Primary </w:t>
            </w:r>
            <w:r w:rsidRPr="00C02BC1">
              <w:rPr>
                <w:rFonts w:cs="Calibri"/>
                <w:color w:val="000000"/>
                <w:lang w:eastAsia="en-AU"/>
              </w:rPr>
              <w:t>Industries</w:t>
            </w:r>
          </w:p>
        </w:tc>
        <w:tc>
          <w:tcPr>
            <w:tcW w:w="1071" w:type="dxa"/>
            <w:gridSpan w:val="2"/>
            <w:shd w:val="solid" w:color="FFFFFF" w:fill="auto"/>
          </w:tcPr>
          <w:p w:rsidR="00B958B1" w:rsidRPr="00C02BC1" w:rsidRDefault="00B958B1" w:rsidP="009F3B54">
            <w:pPr>
              <w:pStyle w:val="TableofFigures"/>
              <w:rPr>
                <w:lang w:eastAsia="en-AU"/>
              </w:rPr>
            </w:pPr>
            <w:r w:rsidRPr="00C02BC1">
              <w:rPr>
                <w:lang w:eastAsia="en-AU"/>
              </w:rPr>
              <w:t>na</w:t>
            </w:r>
          </w:p>
        </w:tc>
        <w:tc>
          <w:tcPr>
            <w:tcW w:w="1077" w:type="dxa"/>
            <w:shd w:val="solid" w:color="FFFFFF" w:fill="auto"/>
          </w:tcPr>
          <w:p w:rsidR="00B958B1" w:rsidRPr="00C02BC1" w:rsidRDefault="00B958B1" w:rsidP="009F3B54">
            <w:pPr>
              <w:pStyle w:val="TableofFigures"/>
              <w:rPr>
                <w:lang w:eastAsia="en-AU"/>
              </w:rPr>
            </w:pPr>
            <w:r w:rsidRPr="00C02BC1">
              <w:rPr>
                <w:lang w:eastAsia="en-AU"/>
              </w:rPr>
              <w:t>na</w:t>
            </w:r>
          </w:p>
        </w:tc>
        <w:tc>
          <w:tcPr>
            <w:tcW w:w="1068" w:type="dxa"/>
            <w:shd w:val="clear" w:color="auto" w:fill="auto"/>
          </w:tcPr>
          <w:p w:rsidR="00B958B1" w:rsidRPr="00C02BC1" w:rsidRDefault="00B958B1" w:rsidP="009F3B54">
            <w:pPr>
              <w:pStyle w:val="TableofFigures"/>
              <w:rPr>
                <w:rFonts w:cs="Calibri"/>
                <w:color w:val="000000"/>
                <w:lang w:eastAsia="en-AU"/>
              </w:rPr>
            </w:pPr>
            <w:r w:rsidRPr="00C02BC1">
              <w:rPr>
                <w:lang w:eastAsia="en-AU"/>
              </w:rPr>
              <w:t>21 790.7</w:t>
            </w:r>
          </w:p>
        </w:tc>
      </w:tr>
      <w:tr w:rsidR="00B958B1" w:rsidRPr="00C02BC1" w:rsidTr="009F3B54">
        <w:tc>
          <w:tcPr>
            <w:tcW w:w="4595" w:type="dxa"/>
            <w:shd w:val="solid" w:color="FFFFFF" w:fill="auto"/>
          </w:tcPr>
          <w:p w:rsidR="00B958B1" w:rsidRPr="00C02BC1" w:rsidRDefault="00B958B1" w:rsidP="009F3B54">
            <w:pPr>
              <w:pStyle w:val="Tabletext"/>
              <w:rPr>
                <w:lang w:eastAsia="en-AU"/>
              </w:rPr>
            </w:pPr>
            <w:r w:rsidRPr="00C02BC1">
              <w:rPr>
                <w:lang w:eastAsia="en-AU"/>
              </w:rPr>
              <w:t xml:space="preserve">   Parks Victoria</w:t>
            </w:r>
          </w:p>
        </w:tc>
        <w:tc>
          <w:tcPr>
            <w:tcW w:w="1071" w:type="dxa"/>
            <w:gridSpan w:val="2"/>
            <w:shd w:val="solid" w:color="FFFFFF" w:fill="auto"/>
          </w:tcPr>
          <w:p w:rsidR="00B958B1" w:rsidRPr="00C02BC1" w:rsidRDefault="00B958B1" w:rsidP="009F3B54">
            <w:pPr>
              <w:pStyle w:val="TableofFigures"/>
              <w:rPr>
                <w:lang w:eastAsia="en-AU"/>
              </w:rPr>
            </w:pPr>
            <w:r w:rsidRPr="00C02BC1">
              <w:rPr>
                <w:lang w:eastAsia="en-AU"/>
              </w:rPr>
              <w:t>1 110.2</w:t>
            </w:r>
          </w:p>
        </w:tc>
        <w:tc>
          <w:tcPr>
            <w:tcW w:w="1077" w:type="dxa"/>
            <w:shd w:val="solid" w:color="FFFFFF" w:fill="auto"/>
          </w:tcPr>
          <w:p w:rsidR="00B958B1" w:rsidRPr="00C02BC1" w:rsidRDefault="00B958B1" w:rsidP="009F3B54">
            <w:pPr>
              <w:pStyle w:val="TableofFigures"/>
              <w:rPr>
                <w:lang w:eastAsia="en-AU"/>
              </w:rPr>
            </w:pPr>
            <w:r w:rsidRPr="00C02BC1">
              <w:rPr>
                <w:lang w:eastAsia="en-AU"/>
              </w:rPr>
              <w:t xml:space="preserve"> 62.5</w:t>
            </w:r>
          </w:p>
        </w:tc>
        <w:tc>
          <w:tcPr>
            <w:tcW w:w="1068" w:type="dxa"/>
            <w:shd w:val="clear" w:color="auto" w:fill="auto"/>
          </w:tcPr>
          <w:p w:rsidR="00B958B1" w:rsidRPr="00C02BC1" w:rsidRDefault="00B958B1" w:rsidP="009F3B54">
            <w:pPr>
              <w:pStyle w:val="TableofFigures"/>
              <w:rPr>
                <w:lang w:eastAsia="en-AU"/>
              </w:rPr>
            </w:pPr>
            <w:r w:rsidRPr="00C02BC1">
              <w:rPr>
                <w:lang w:eastAsia="en-AU"/>
              </w:rPr>
              <w:t xml:space="preserve"> 62.5</w:t>
            </w:r>
          </w:p>
        </w:tc>
      </w:tr>
      <w:tr w:rsidR="00B958B1" w:rsidRPr="00C02BC1" w:rsidTr="009F3B54">
        <w:tc>
          <w:tcPr>
            <w:tcW w:w="4595" w:type="dxa"/>
            <w:shd w:val="solid" w:color="FFFFFF" w:fill="auto"/>
          </w:tcPr>
          <w:p w:rsidR="00B958B1" w:rsidRPr="00C02BC1" w:rsidRDefault="00B958B1" w:rsidP="009F3B54">
            <w:pPr>
              <w:pStyle w:val="Tabletext"/>
              <w:rPr>
                <w:rFonts w:cs="Calibri"/>
                <w:color w:val="000000"/>
                <w:lang w:eastAsia="en-AU"/>
              </w:rPr>
            </w:pPr>
            <w:r w:rsidRPr="00C02BC1">
              <w:rPr>
                <w:lang w:eastAsia="en-AU"/>
              </w:rPr>
              <w:t xml:space="preserve">   Catchment Management Authorities</w:t>
            </w:r>
          </w:p>
        </w:tc>
        <w:tc>
          <w:tcPr>
            <w:tcW w:w="1071" w:type="dxa"/>
            <w:gridSpan w:val="2"/>
            <w:shd w:val="solid" w:color="FFFFFF" w:fill="auto"/>
          </w:tcPr>
          <w:p w:rsidR="00B958B1" w:rsidRPr="00C02BC1" w:rsidRDefault="00B958B1" w:rsidP="009F3B54">
            <w:pPr>
              <w:pStyle w:val="TableofFigures"/>
              <w:rPr>
                <w:lang w:eastAsia="en-AU"/>
              </w:rPr>
            </w:pPr>
            <w:r w:rsidRPr="00C02BC1">
              <w:rPr>
                <w:lang w:eastAsia="en-AU"/>
              </w:rPr>
              <w:t xml:space="preserve"> 765.0</w:t>
            </w:r>
          </w:p>
        </w:tc>
        <w:tc>
          <w:tcPr>
            <w:tcW w:w="1077" w:type="dxa"/>
            <w:shd w:val="solid" w:color="FFFFFF" w:fill="auto"/>
          </w:tcPr>
          <w:p w:rsidR="00B958B1" w:rsidRPr="00C02BC1" w:rsidRDefault="00B958B1" w:rsidP="009F3B54">
            <w:pPr>
              <w:pStyle w:val="TableofFigures"/>
              <w:rPr>
                <w:lang w:eastAsia="en-AU"/>
              </w:rPr>
            </w:pPr>
            <w:r w:rsidRPr="00C02BC1">
              <w:rPr>
                <w:lang w:eastAsia="en-AU"/>
              </w:rPr>
              <w:t xml:space="preserve"> 765.0</w:t>
            </w:r>
          </w:p>
        </w:tc>
        <w:tc>
          <w:tcPr>
            <w:tcW w:w="1068" w:type="dxa"/>
            <w:shd w:val="clear" w:color="auto" w:fill="auto"/>
          </w:tcPr>
          <w:p w:rsidR="00B958B1" w:rsidRPr="00C02BC1" w:rsidRDefault="00B958B1" w:rsidP="009F3B54">
            <w:pPr>
              <w:pStyle w:val="TableofFigures"/>
              <w:rPr>
                <w:lang w:eastAsia="en-AU"/>
              </w:rPr>
            </w:pPr>
            <w:r w:rsidRPr="00C02BC1">
              <w:rPr>
                <w:lang w:eastAsia="en-AU"/>
              </w:rPr>
              <w:t xml:space="preserve"> 765.0</w:t>
            </w:r>
          </w:p>
        </w:tc>
      </w:tr>
      <w:tr w:rsidR="00B958B1" w:rsidRPr="00C02BC1" w:rsidTr="009F3B54">
        <w:tc>
          <w:tcPr>
            <w:tcW w:w="4595" w:type="dxa"/>
            <w:shd w:val="solid" w:color="FFFFFF" w:fill="auto"/>
          </w:tcPr>
          <w:p w:rsidR="00B958B1" w:rsidRPr="00C02BC1" w:rsidRDefault="00B958B1" w:rsidP="009F3B54">
            <w:pPr>
              <w:pStyle w:val="Tabletext"/>
              <w:rPr>
                <w:rFonts w:cs="Calibri"/>
                <w:color w:val="000000"/>
                <w:vertAlign w:val="superscript"/>
                <w:lang w:eastAsia="en-AU"/>
              </w:rPr>
            </w:pPr>
            <w:r w:rsidRPr="00C02BC1">
              <w:rPr>
                <w:lang w:eastAsia="en-AU"/>
              </w:rPr>
              <w:t xml:space="preserve">Department of Health </w:t>
            </w:r>
            <w:r w:rsidRPr="00C02BC1">
              <w:rPr>
                <w:vertAlign w:val="superscript"/>
                <w:lang w:eastAsia="en-AU"/>
              </w:rPr>
              <w:t>(</w:t>
            </w:r>
            <w:r w:rsidRPr="00C02BC1">
              <w:rPr>
                <w:rFonts w:cs="Calibri"/>
                <w:color w:val="000000"/>
                <w:vertAlign w:val="superscript"/>
                <w:lang w:eastAsia="en-AU"/>
              </w:rPr>
              <w:t>b)</w:t>
            </w:r>
          </w:p>
        </w:tc>
        <w:tc>
          <w:tcPr>
            <w:tcW w:w="1071" w:type="dxa"/>
            <w:gridSpan w:val="2"/>
            <w:shd w:val="solid" w:color="FFFFFF" w:fill="auto"/>
          </w:tcPr>
          <w:p w:rsidR="00B958B1" w:rsidRPr="00C02BC1" w:rsidRDefault="00B958B1" w:rsidP="009F3B54">
            <w:pPr>
              <w:pStyle w:val="TableofFigures"/>
              <w:rPr>
                <w:lang w:eastAsia="en-AU"/>
              </w:rPr>
            </w:pPr>
            <w:r w:rsidRPr="00C02BC1">
              <w:rPr>
                <w:lang w:eastAsia="en-AU"/>
              </w:rPr>
              <w:t>..</w:t>
            </w:r>
          </w:p>
        </w:tc>
        <w:tc>
          <w:tcPr>
            <w:tcW w:w="1077" w:type="dxa"/>
            <w:shd w:val="solid" w:color="FFFFFF" w:fill="auto"/>
          </w:tcPr>
          <w:p w:rsidR="00B958B1" w:rsidRPr="00C02BC1" w:rsidRDefault="00B958B1" w:rsidP="009F3B54">
            <w:pPr>
              <w:pStyle w:val="TableofFigures"/>
              <w:rPr>
                <w:lang w:eastAsia="en-AU"/>
              </w:rPr>
            </w:pPr>
            <w:r w:rsidRPr="00C02BC1">
              <w:rPr>
                <w:lang w:eastAsia="en-AU"/>
              </w:rPr>
              <w:t>..</w:t>
            </w:r>
          </w:p>
        </w:tc>
        <w:tc>
          <w:tcPr>
            <w:tcW w:w="1068" w:type="dxa"/>
            <w:shd w:val="clear" w:color="auto" w:fill="auto"/>
          </w:tcPr>
          <w:p w:rsidR="00B958B1" w:rsidRPr="00C02BC1" w:rsidRDefault="00B958B1" w:rsidP="009F3B54">
            <w:pPr>
              <w:pStyle w:val="TableofFigures"/>
              <w:rPr>
                <w:lang w:eastAsia="en-AU"/>
              </w:rPr>
            </w:pPr>
            <w:r w:rsidRPr="00C02BC1">
              <w:rPr>
                <w:lang w:eastAsia="en-AU"/>
              </w:rPr>
              <w:t>..</w:t>
            </w:r>
          </w:p>
        </w:tc>
      </w:tr>
      <w:tr w:rsidR="00B958B1" w:rsidRPr="00C02BC1" w:rsidTr="009F3B54">
        <w:tc>
          <w:tcPr>
            <w:tcW w:w="4595" w:type="dxa"/>
            <w:shd w:val="solid" w:color="FFFFFF" w:fill="auto"/>
          </w:tcPr>
          <w:p w:rsidR="00B958B1" w:rsidRPr="00C02BC1" w:rsidRDefault="00B958B1" w:rsidP="009F3B54">
            <w:pPr>
              <w:pStyle w:val="Tabletext"/>
              <w:rPr>
                <w:lang w:eastAsia="en-AU"/>
              </w:rPr>
            </w:pPr>
            <w:r w:rsidRPr="00C02BC1">
              <w:rPr>
                <w:lang w:eastAsia="en-AU"/>
              </w:rPr>
              <w:t>Department of Human Services</w:t>
            </w:r>
          </w:p>
        </w:tc>
        <w:tc>
          <w:tcPr>
            <w:tcW w:w="1071" w:type="dxa"/>
            <w:gridSpan w:val="2"/>
            <w:shd w:val="solid" w:color="FFFFFF" w:fill="auto"/>
          </w:tcPr>
          <w:p w:rsidR="00B958B1" w:rsidRPr="00C02BC1" w:rsidRDefault="00B958B1" w:rsidP="009F3B54">
            <w:pPr>
              <w:pStyle w:val="TableofFigures"/>
              <w:rPr>
                <w:lang w:eastAsia="en-AU"/>
              </w:rPr>
            </w:pPr>
            <w:r w:rsidRPr="00C02BC1">
              <w:rPr>
                <w:lang w:eastAsia="en-AU"/>
              </w:rPr>
              <w:t>3 908.3</w:t>
            </w:r>
          </w:p>
        </w:tc>
        <w:tc>
          <w:tcPr>
            <w:tcW w:w="1077" w:type="dxa"/>
            <w:shd w:val="solid" w:color="FFFFFF" w:fill="auto"/>
          </w:tcPr>
          <w:p w:rsidR="00B958B1" w:rsidRPr="00C02BC1" w:rsidRDefault="00B958B1" w:rsidP="009F3B54">
            <w:pPr>
              <w:pStyle w:val="TableofFigures"/>
              <w:rPr>
                <w:lang w:eastAsia="en-AU"/>
              </w:rPr>
            </w:pPr>
            <w:r w:rsidRPr="00C02BC1">
              <w:rPr>
                <w:lang w:eastAsia="en-AU"/>
              </w:rPr>
              <w:t>3 908.3</w:t>
            </w:r>
          </w:p>
        </w:tc>
        <w:tc>
          <w:tcPr>
            <w:tcW w:w="1068" w:type="dxa"/>
            <w:shd w:val="clear" w:color="auto" w:fill="auto"/>
          </w:tcPr>
          <w:p w:rsidR="00B958B1" w:rsidRPr="00C02BC1" w:rsidRDefault="00B958B1" w:rsidP="009F3B54">
            <w:pPr>
              <w:pStyle w:val="TableofFigures"/>
              <w:rPr>
                <w:lang w:eastAsia="en-AU"/>
              </w:rPr>
            </w:pPr>
            <w:r w:rsidRPr="00C02BC1">
              <w:rPr>
                <w:lang w:eastAsia="en-AU"/>
              </w:rPr>
              <w:t>4 006.0</w:t>
            </w:r>
          </w:p>
        </w:tc>
      </w:tr>
      <w:tr w:rsidR="00B958B1" w:rsidRPr="00C02BC1" w:rsidTr="009F3B54">
        <w:tc>
          <w:tcPr>
            <w:tcW w:w="4595" w:type="dxa"/>
            <w:shd w:val="solid" w:color="FFFFFF" w:fill="auto"/>
          </w:tcPr>
          <w:p w:rsidR="00B958B1" w:rsidRPr="00C02BC1" w:rsidRDefault="00B958B1" w:rsidP="009F3B54">
            <w:pPr>
              <w:pStyle w:val="Tabletext"/>
              <w:rPr>
                <w:lang w:eastAsia="en-AU"/>
              </w:rPr>
            </w:pPr>
            <w:r w:rsidRPr="00C02BC1">
              <w:rPr>
                <w:lang w:eastAsia="en-AU"/>
              </w:rPr>
              <w:t>Department of Justice</w:t>
            </w:r>
          </w:p>
        </w:tc>
        <w:tc>
          <w:tcPr>
            <w:tcW w:w="1071" w:type="dxa"/>
            <w:gridSpan w:val="2"/>
            <w:shd w:val="solid" w:color="FFFFFF" w:fill="auto"/>
          </w:tcPr>
          <w:p w:rsidR="00B958B1" w:rsidRPr="00C02BC1" w:rsidRDefault="00B958B1" w:rsidP="009F3B54">
            <w:pPr>
              <w:pStyle w:val="TableofFigures"/>
              <w:rPr>
                <w:lang w:eastAsia="en-AU"/>
              </w:rPr>
            </w:pPr>
            <w:r w:rsidRPr="00C02BC1">
              <w:rPr>
                <w:lang w:eastAsia="en-AU"/>
              </w:rPr>
              <w:t>8 226.4</w:t>
            </w:r>
          </w:p>
        </w:tc>
        <w:tc>
          <w:tcPr>
            <w:tcW w:w="1077" w:type="dxa"/>
            <w:shd w:val="solid" w:color="FFFFFF" w:fill="auto"/>
          </w:tcPr>
          <w:p w:rsidR="00B958B1" w:rsidRPr="00C02BC1" w:rsidRDefault="00B958B1" w:rsidP="009F3B54">
            <w:pPr>
              <w:pStyle w:val="TableofFigures"/>
              <w:rPr>
                <w:lang w:eastAsia="en-AU"/>
              </w:rPr>
            </w:pPr>
            <w:r w:rsidRPr="00C02BC1">
              <w:rPr>
                <w:lang w:eastAsia="en-AU"/>
              </w:rPr>
              <w:t>5 064.4</w:t>
            </w:r>
          </w:p>
        </w:tc>
        <w:tc>
          <w:tcPr>
            <w:tcW w:w="1068" w:type="dxa"/>
            <w:shd w:val="clear" w:color="auto" w:fill="auto"/>
          </w:tcPr>
          <w:p w:rsidR="00B958B1" w:rsidRPr="00C02BC1" w:rsidRDefault="00B958B1" w:rsidP="009F3B54">
            <w:pPr>
              <w:pStyle w:val="TableofFigures"/>
              <w:rPr>
                <w:lang w:eastAsia="en-AU"/>
              </w:rPr>
            </w:pPr>
            <w:r w:rsidRPr="00C02BC1">
              <w:rPr>
                <w:lang w:eastAsia="en-AU"/>
              </w:rPr>
              <w:t>6 164.4</w:t>
            </w:r>
          </w:p>
        </w:tc>
      </w:tr>
      <w:tr w:rsidR="00B958B1" w:rsidRPr="00C02BC1" w:rsidTr="009F3B54">
        <w:tc>
          <w:tcPr>
            <w:tcW w:w="4595" w:type="dxa"/>
            <w:shd w:val="solid" w:color="FFFFFF" w:fill="auto"/>
          </w:tcPr>
          <w:p w:rsidR="00B958B1" w:rsidRPr="00C02BC1" w:rsidRDefault="00B958B1" w:rsidP="009F3B54">
            <w:pPr>
              <w:pStyle w:val="Tabletext"/>
              <w:rPr>
                <w:lang w:eastAsia="en-AU"/>
              </w:rPr>
            </w:pPr>
            <w:r w:rsidRPr="00C02BC1">
              <w:rPr>
                <w:lang w:eastAsia="en-AU"/>
              </w:rPr>
              <w:t xml:space="preserve">   Country Fire Authority</w:t>
            </w:r>
          </w:p>
        </w:tc>
        <w:tc>
          <w:tcPr>
            <w:tcW w:w="1071" w:type="dxa"/>
            <w:gridSpan w:val="2"/>
            <w:shd w:val="solid" w:color="FFFFFF" w:fill="auto"/>
          </w:tcPr>
          <w:p w:rsidR="00B958B1" w:rsidRPr="00C02BC1" w:rsidRDefault="00B958B1" w:rsidP="009F3B54">
            <w:pPr>
              <w:pStyle w:val="TableofFigures"/>
              <w:rPr>
                <w:lang w:eastAsia="en-AU"/>
              </w:rPr>
            </w:pPr>
            <w:r w:rsidRPr="00C02BC1">
              <w:rPr>
                <w:lang w:eastAsia="en-AU"/>
              </w:rPr>
              <w:t xml:space="preserve"> 882.6</w:t>
            </w:r>
          </w:p>
        </w:tc>
        <w:tc>
          <w:tcPr>
            <w:tcW w:w="1077" w:type="dxa"/>
            <w:shd w:val="solid" w:color="FFFFFF" w:fill="auto"/>
          </w:tcPr>
          <w:p w:rsidR="00B958B1" w:rsidRPr="00C02BC1" w:rsidRDefault="00B958B1" w:rsidP="009F3B54">
            <w:pPr>
              <w:pStyle w:val="TableofFigures"/>
              <w:rPr>
                <w:lang w:eastAsia="en-AU"/>
              </w:rPr>
            </w:pPr>
            <w:r w:rsidRPr="00C02BC1">
              <w:rPr>
                <w:lang w:eastAsia="en-AU"/>
              </w:rPr>
              <w:t xml:space="preserve"> 882.6</w:t>
            </w:r>
          </w:p>
        </w:tc>
        <w:tc>
          <w:tcPr>
            <w:tcW w:w="1068" w:type="dxa"/>
            <w:shd w:val="clear" w:color="auto" w:fill="auto"/>
          </w:tcPr>
          <w:p w:rsidR="00B958B1" w:rsidRPr="00C02BC1" w:rsidRDefault="00B958B1" w:rsidP="009F3B54">
            <w:pPr>
              <w:pStyle w:val="TableofFigures"/>
              <w:rPr>
                <w:lang w:eastAsia="en-AU"/>
              </w:rPr>
            </w:pPr>
            <w:r w:rsidRPr="00C02BC1">
              <w:rPr>
                <w:lang w:eastAsia="en-AU"/>
              </w:rPr>
              <w:t xml:space="preserve"> 926.7</w:t>
            </w:r>
          </w:p>
        </w:tc>
      </w:tr>
      <w:tr w:rsidR="00B958B1" w:rsidRPr="00C02BC1" w:rsidTr="009F3B54">
        <w:tc>
          <w:tcPr>
            <w:tcW w:w="4595" w:type="dxa"/>
            <w:shd w:val="solid" w:color="FFFFFF" w:fill="auto"/>
          </w:tcPr>
          <w:p w:rsidR="00B958B1" w:rsidRPr="00C02BC1" w:rsidRDefault="00B958B1" w:rsidP="009F3B54">
            <w:pPr>
              <w:pStyle w:val="Tabletext"/>
              <w:rPr>
                <w:rFonts w:cs="Calibri"/>
                <w:color w:val="000000"/>
                <w:lang w:eastAsia="en-AU"/>
              </w:rPr>
            </w:pPr>
            <w:r w:rsidRPr="00C02BC1">
              <w:rPr>
                <w:lang w:eastAsia="en-AU"/>
              </w:rPr>
              <w:t xml:space="preserve">Department of Planning and Community </w:t>
            </w:r>
            <w:r w:rsidRPr="00C02BC1">
              <w:rPr>
                <w:rFonts w:cs="Calibri"/>
                <w:color w:val="000000"/>
                <w:lang w:eastAsia="en-AU"/>
              </w:rPr>
              <w:t xml:space="preserve">Development </w:t>
            </w:r>
          </w:p>
        </w:tc>
        <w:tc>
          <w:tcPr>
            <w:tcW w:w="1071" w:type="dxa"/>
            <w:gridSpan w:val="2"/>
            <w:shd w:val="solid" w:color="FFFFFF" w:fill="auto"/>
          </w:tcPr>
          <w:p w:rsidR="00B958B1" w:rsidRPr="00C02BC1" w:rsidRDefault="00B958B1" w:rsidP="009F3B54">
            <w:pPr>
              <w:pStyle w:val="TableofFigures"/>
              <w:rPr>
                <w:lang w:eastAsia="en-AU"/>
              </w:rPr>
            </w:pPr>
            <w:r w:rsidRPr="00C02BC1">
              <w:rPr>
                <w:lang w:eastAsia="en-AU"/>
              </w:rPr>
              <w:t>687 544.3</w:t>
            </w:r>
          </w:p>
        </w:tc>
        <w:tc>
          <w:tcPr>
            <w:tcW w:w="1077" w:type="dxa"/>
            <w:shd w:val="solid" w:color="FFFFFF" w:fill="auto"/>
          </w:tcPr>
          <w:p w:rsidR="00B958B1" w:rsidRPr="00C02BC1" w:rsidRDefault="00B958B1" w:rsidP="009F3B54">
            <w:pPr>
              <w:pStyle w:val="TableofFigures"/>
              <w:rPr>
                <w:lang w:eastAsia="en-AU"/>
              </w:rPr>
            </w:pPr>
            <w:r w:rsidRPr="00C02BC1">
              <w:rPr>
                <w:lang w:eastAsia="en-AU"/>
              </w:rPr>
              <w:t>447 147.1</w:t>
            </w:r>
          </w:p>
        </w:tc>
        <w:tc>
          <w:tcPr>
            <w:tcW w:w="1068" w:type="dxa"/>
            <w:shd w:val="clear" w:color="auto" w:fill="auto"/>
          </w:tcPr>
          <w:p w:rsidR="00B958B1" w:rsidRPr="00C02BC1" w:rsidRDefault="00B958B1" w:rsidP="009F3B54">
            <w:pPr>
              <w:pStyle w:val="TableofFigures"/>
              <w:rPr>
                <w:lang w:eastAsia="en-AU"/>
              </w:rPr>
            </w:pPr>
            <w:r w:rsidRPr="00C02BC1">
              <w:rPr>
                <w:lang w:eastAsia="en-AU"/>
              </w:rPr>
              <w:t>na</w:t>
            </w:r>
          </w:p>
        </w:tc>
      </w:tr>
      <w:tr w:rsidR="00B958B1" w:rsidRPr="00C02BC1" w:rsidTr="009F3B54">
        <w:tc>
          <w:tcPr>
            <w:tcW w:w="4595" w:type="dxa"/>
            <w:shd w:val="solid" w:color="FFFFFF" w:fill="auto"/>
          </w:tcPr>
          <w:p w:rsidR="00B958B1" w:rsidRPr="00C02BC1" w:rsidRDefault="00B958B1" w:rsidP="009F3B54">
            <w:pPr>
              <w:pStyle w:val="Tabletext"/>
              <w:rPr>
                <w:rFonts w:cs="Calibri"/>
                <w:color w:val="000000"/>
                <w:lang w:eastAsia="en-AU"/>
              </w:rPr>
            </w:pPr>
            <w:r w:rsidRPr="00C02BC1">
              <w:rPr>
                <w:lang w:eastAsia="en-AU"/>
              </w:rPr>
              <w:t>Department of Premier</w:t>
            </w:r>
            <w:r w:rsidRPr="00C02BC1">
              <w:rPr>
                <w:rFonts w:cs="Calibri"/>
                <w:color w:val="000000"/>
                <w:lang w:eastAsia="en-AU"/>
              </w:rPr>
              <w:t xml:space="preserve"> and Cabinet</w:t>
            </w:r>
          </w:p>
        </w:tc>
        <w:tc>
          <w:tcPr>
            <w:tcW w:w="1071" w:type="dxa"/>
            <w:gridSpan w:val="2"/>
            <w:shd w:val="solid" w:color="FFFFFF" w:fill="auto"/>
          </w:tcPr>
          <w:p w:rsidR="00B958B1" w:rsidRPr="00C02BC1" w:rsidRDefault="00B958B1" w:rsidP="009F3B54">
            <w:pPr>
              <w:pStyle w:val="TableofFigures"/>
              <w:rPr>
                <w:lang w:eastAsia="en-AU"/>
              </w:rPr>
            </w:pPr>
            <w:r w:rsidRPr="00C02BC1">
              <w:rPr>
                <w:lang w:eastAsia="en-AU"/>
              </w:rPr>
              <w:t>8 046.5</w:t>
            </w:r>
          </w:p>
        </w:tc>
        <w:tc>
          <w:tcPr>
            <w:tcW w:w="1077" w:type="dxa"/>
            <w:shd w:val="solid" w:color="FFFFFF" w:fill="auto"/>
          </w:tcPr>
          <w:p w:rsidR="00B958B1" w:rsidRPr="00C02BC1" w:rsidRDefault="00B958B1" w:rsidP="009F3B54">
            <w:pPr>
              <w:pStyle w:val="TableofFigures"/>
              <w:rPr>
                <w:rFonts w:cs="Calibri"/>
                <w:color w:val="000000"/>
                <w:lang w:eastAsia="en-AU"/>
              </w:rPr>
            </w:pPr>
            <w:r w:rsidRPr="00C02BC1">
              <w:rPr>
                <w:lang w:eastAsia="en-AU"/>
              </w:rPr>
              <w:t>5 046.5</w:t>
            </w:r>
          </w:p>
        </w:tc>
        <w:tc>
          <w:tcPr>
            <w:tcW w:w="1068" w:type="dxa"/>
            <w:shd w:val="clear" w:color="auto" w:fill="auto"/>
          </w:tcPr>
          <w:p w:rsidR="00B958B1" w:rsidRPr="00C02BC1" w:rsidRDefault="00B958B1" w:rsidP="009F3B54">
            <w:pPr>
              <w:pStyle w:val="TableofFigures"/>
              <w:rPr>
                <w:lang w:eastAsia="en-AU"/>
              </w:rPr>
            </w:pPr>
            <w:r w:rsidRPr="00C02BC1">
              <w:rPr>
                <w:lang w:eastAsia="en-AU"/>
              </w:rPr>
              <w:t>10 495.6</w:t>
            </w:r>
          </w:p>
        </w:tc>
      </w:tr>
      <w:tr w:rsidR="00B958B1" w:rsidRPr="00C02BC1" w:rsidTr="009F3B54">
        <w:tc>
          <w:tcPr>
            <w:tcW w:w="4595" w:type="dxa"/>
            <w:shd w:val="solid" w:color="FFFFFF" w:fill="auto"/>
          </w:tcPr>
          <w:p w:rsidR="00B958B1" w:rsidRPr="00C02BC1" w:rsidRDefault="00B958B1" w:rsidP="009F3B54">
            <w:pPr>
              <w:pStyle w:val="Tabletext"/>
              <w:rPr>
                <w:rFonts w:cs="Calibri"/>
                <w:color w:val="000000"/>
                <w:lang w:eastAsia="en-AU"/>
              </w:rPr>
            </w:pPr>
            <w:r w:rsidRPr="00C02BC1">
              <w:rPr>
                <w:lang w:eastAsia="en-AU"/>
              </w:rPr>
              <w:t>Department of Primary Industries</w:t>
            </w:r>
          </w:p>
        </w:tc>
        <w:tc>
          <w:tcPr>
            <w:tcW w:w="1071" w:type="dxa"/>
            <w:gridSpan w:val="2"/>
            <w:shd w:val="solid" w:color="FFFFFF" w:fill="auto"/>
          </w:tcPr>
          <w:p w:rsidR="00B958B1" w:rsidRPr="00C02BC1" w:rsidRDefault="00B958B1" w:rsidP="009F3B54">
            <w:pPr>
              <w:pStyle w:val="TableofFigures"/>
              <w:rPr>
                <w:rFonts w:cs="Calibri"/>
                <w:color w:val="000000"/>
                <w:lang w:eastAsia="en-AU"/>
              </w:rPr>
            </w:pPr>
            <w:r w:rsidRPr="00C02BC1">
              <w:rPr>
                <w:lang w:eastAsia="en-AU"/>
              </w:rPr>
              <w:t>5 611.0</w:t>
            </w:r>
          </w:p>
        </w:tc>
        <w:tc>
          <w:tcPr>
            <w:tcW w:w="1077" w:type="dxa"/>
            <w:shd w:val="solid" w:color="FFFFFF" w:fill="auto"/>
          </w:tcPr>
          <w:p w:rsidR="00B958B1" w:rsidRPr="00C02BC1" w:rsidRDefault="00B958B1" w:rsidP="009F3B54">
            <w:pPr>
              <w:pStyle w:val="TableofFigures"/>
              <w:rPr>
                <w:lang w:eastAsia="en-AU"/>
              </w:rPr>
            </w:pPr>
            <w:r w:rsidRPr="00C02BC1">
              <w:rPr>
                <w:lang w:eastAsia="en-AU"/>
              </w:rPr>
              <w:t xml:space="preserve"> 232.0</w:t>
            </w:r>
          </w:p>
        </w:tc>
        <w:tc>
          <w:tcPr>
            <w:tcW w:w="1068" w:type="dxa"/>
            <w:shd w:val="clear" w:color="auto" w:fill="auto"/>
          </w:tcPr>
          <w:p w:rsidR="00B958B1" w:rsidRPr="00C02BC1" w:rsidRDefault="00B958B1" w:rsidP="009F3B54">
            <w:pPr>
              <w:pStyle w:val="TableofFigures"/>
              <w:rPr>
                <w:lang w:eastAsia="en-AU"/>
              </w:rPr>
            </w:pPr>
            <w:r w:rsidRPr="00C02BC1">
              <w:rPr>
                <w:lang w:eastAsia="en-AU"/>
              </w:rPr>
              <w:t>na</w:t>
            </w:r>
          </w:p>
        </w:tc>
      </w:tr>
      <w:tr w:rsidR="00B958B1" w:rsidRPr="00C02BC1" w:rsidTr="009F3B54">
        <w:tc>
          <w:tcPr>
            <w:tcW w:w="4595" w:type="dxa"/>
            <w:shd w:val="solid" w:color="FFFFFF" w:fill="auto"/>
          </w:tcPr>
          <w:p w:rsidR="00B958B1" w:rsidRPr="00C02BC1" w:rsidRDefault="00B958B1" w:rsidP="009F3B54">
            <w:pPr>
              <w:pStyle w:val="Tabletext"/>
              <w:rPr>
                <w:rFonts w:cs="Calibri"/>
                <w:color w:val="000000"/>
                <w:lang w:eastAsia="en-AU"/>
              </w:rPr>
            </w:pPr>
            <w:r w:rsidRPr="00C02BC1">
              <w:rPr>
                <w:lang w:eastAsia="en-AU"/>
              </w:rPr>
              <w:t xml:space="preserve">Department of State </w:t>
            </w:r>
            <w:r w:rsidRPr="00C02BC1">
              <w:rPr>
                <w:rFonts w:cs="Calibri"/>
                <w:color w:val="000000"/>
                <w:lang w:eastAsia="en-AU"/>
              </w:rPr>
              <w:t>Development, Business and Innovation</w:t>
            </w:r>
          </w:p>
        </w:tc>
        <w:tc>
          <w:tcPr>
            <w:tcW w:w="1071" w:type="dxa"/>
            <w:gridSpan w:val="2"/>
            <w:shd w:val="solid" w:color="FFFFFF" w:fill="auto"/>
          </w:tcPr>
          <w:p w:rsidR="00B958B1" w:rsidRPr="00C02BC1" w:rsidRDefault="00B958B1" w:rsidP="009F3B54">
            <w:pPr>
              <w:pStyle w:val="TableofFigures"/>
              <w:rPr>
                <w:lang w:eastAsia="en-AU"/>
              </w:rPr>
            </w:pPr>
            <w:r w:rsidRPr="00C02BC1">
              <w:rPr>
                <w:lang w:eastAsia="en-AU"/>
              </w:rPr>
              <w:t>na</w:t>
            </w:r>
          </w:p>
        </w:tc>
        <w:tc>
          <w:tcPr>
            <w:tcW w:w="1077" w:type="dxa"/>
            <w:shd w:val="solid" w:color="FFFFFF" w:fill="auto"/>
          </w:tcPr>
          <w:p w:rsidR="00B958B1" w:rsidRPr="00C02BC1" w:rsidRDefault="00B958B1" w:rsidP="009F3B54">
            <w:pPr>
              <w:pStyle w:val="TableofFigures"/>
              <w:rPr>
                <w:lang w:eastAsia="en-AU"/>
              </w:rPr>
            </w:pPr>
            <w:r w:rsidRPr="00C02BC1">
              <w:rPr>
                <w:lang w:eastAsia="en-AU"/>
              </w:rPr>
              <w:t>na</w:t>
            </w:r>
          </w:p>
        </w:tc>
        <w:tc>
          <w:tcPr>
            <w:tcW w:w="1068" w:type="dxa"/>
            <w:shd w:val="clear" w:color="auto" w:fill="auto"/>
          </w:tcPr>
          <w:p w:rsidR="00B958B1" w:rsidRPr="00C02BC1" w:rsidRDefault="00B958B1" w:rsidP="009F3B54">
            <w:pPr>
              <w:pStyle w:val="TableofFigures"/>
              <w:rPr>
                <w:lang w:eastAsia="en-AU"/>
              </w:rPr>
            </w:pPr>
            <w:r w:rsidRPr="00C02BC1">
              <w:rPr>
                <w:lang w:eastAsia="en-AU"/>
              </w:rPr>
              <w:t>69 312.9</w:t>
            </w:r>
          </w:p>
        </w:tc>
      </w:tr>
      <w:tr w:rsidR="00B958B1" w:rsidRPr="00C02BC1" w:rsidTr="009F3B54">
        <w:tc>
          <w:tcPr>
            <w:tcW w:w="4595" w:type="dxa"/>
            <w:shd w:val="solid" w:color="FFFFFF" w:fill="auto"/>
          </w:tcPr>
          <w:p w:rsidR="00B958B1" w:rsidRPr="00C02BC1" w:rsidRDefault="00B958B1" w:rsidP="009F3B54">
            <w:pPr>
              <w:pStyle w:val="Tabletext"/>
              <w:rPr>
                <w:lang w:eastAsia="en-AU"/>
              </w:rPr>
            </w:pPr>
            <w:r w:rsidRPr="00C02BC1">
              <w:rPr>
                <w:lang w:eastAsia="en-AU"/>
              </w:rPr>
              <w:t>Department of Sustainability and Environment</w:t>
            </w:r>
          </w:p>
        </w:tc>
        <w:tc>
          <w:tcPr>
            <w:tcW w:w="1071" w:type="dxa"/>
            <w:gridSpan w:val="2"/>
            <w:shd w:val="solid" w:color="FFFFFF" w:fill="auto"/>
          </w:tcPr>
          <w:p w:rsidR="00B958B1" w:rsidRPr="00C02BC1" w:rsidRDefault="00B958B1" w:rsidP="009F3B54">
            <w:pPr>
              <w:pStyle w:val="TableofFigures"/>
              <w:rPr>
                <w:lang w:eastAsia="en-AU"/>
              </w:rPr>
            </w:pPr>
            <w:r w:rsidRPr="00C02BC1">
              <w:rPr>
                <w:lang w:eastAsia="en-AU"/>
              </w:rPr>
              <w:t>6 865.0</w:t>
            </w:r>
          </w:p>
        </w:tc>
        <w:tc>
          <w:tcPr>
            <w:tcW w:w="1077" w:type="dxa"/>
            <w:shd w:val="solid" w:color="FFFFFF" w:fill="auto"/>
          </w:tcPr>
          <w:p w:rsidR="00B958B1" w:rsidRPr="00C02BC1" w:rsidRDefault="00B958B1" w:rsidP="009F3B54">
            <w:pPr>
              <w:pStyle w:val="TableofFigures"/>
              <w:rPr>
                <w:lang w:eastAsia="en-AU"/>
              </w:rPr>
            </w:pPr>
            <w:r w:rsidRPr="00C02BC1">
              <w:rPr>
                <w:lang w:eastAsia="en-AU"/>
              </w:rPr>
              <w:t>15 554.3</w:t>
            </w:r>
          </w:p>
        </w:tc>
        <w:tc>
          <w:tcPr>
            <w:tcW w:w="1068" w:type="dxa"/>
            <w:shd w:val="clear" w:color="auto" w:fill="auto"/>
          </w:tcPr>
          <w:p w:rsidR="00B958B1" w:rsidRPr="00C02BC1" w:rsidRDefault="00B958B1" w:rsidP="009F3B54">
            <w:pPr>
              <w:pStyle w:val="TableofFigures"/>
              <w:rPr>
                <w:lang w:eastAsia="en-AU"/>
              </w:rPr>
            </w:pPr>
            <w:r w:rsidRPr="00C02BC1">
              <w:rPr>
                <w:lang w:eastAsia="en-AU"/>
              </w:rPr>
              <w:t>na</w:t>
            </w:r>
          </w:p>
        </w:tc>
      </w:tr>
      <w:tr w:rsidR="00B958B1" w:rsidRPr="00C02BC1" w:rsidTr="009F3B54">
        <w:tc>
          <w:tcPr>
            <w:tcW w:w="4595" w:type="dxa"/>
            <w:shd w:val="solid" w:color="FFFFFF" w:fill="auto"/>
          </w:tcPr>
          <w:p w:rsidR="00B958B1" w:rsidRPr="00C02BC1" w:rsidRDefault="00B958B1" w:rsidP="009F3B54">
            <w:pPr>
              <w:pStyle w:val="Tabletext"/>
              <w:rPr>
                <w:lang w:eastAsia="en-AU"/>
              </w:rPr>
            </w:pPr>
            <w:r w:rsidRPr="00C02BC1">
              <w:rPr>
                <w:lang w:eastAsia="en-AU"/>
              </w:rPr>
              <w:t>Department of Transport</w:t>
            </w:r>
          </w:p>
        </w:tc>
        <w:tc>
          <w:tcPr>
            <w:tcW w:w="1071" w:type="dxa"/>
            <w:gridSpan w:val="2"/>
            <w:shd w:val="solid" w:color="FFFFFF" w:fill="auto"/>
          </w:tcPr>
          <w:p w:rsidR="00B958B1" w:rsidRPr="00C02BC1" w:rsidRDefault="00B958B1" w:rsidP="009F3B54">
            <w:pPr>
              <w:pStyle w:val="TableofFigures"/>
              <w:rPr>
                <w:lang w:eastAsia="en-AU"/>
              </w:rPr>
            </w:pPr>
            <w:r w:rsidRPr="00C02BC1">
              <w:rPr>
                <w:lang w:eastAsia="en-AU"/>
              </w:rPr>
              <w:t>72 447.0</w:t>
            </w:r>
          </w:p>
        </w:tc>
        <w:tc>
          <w:tcPr>
            <w:tcW w:w="1077" w:type="dxa"/>
            <w:shd w:val="solid" w:color="FFFFFF" w:fill="auto"/>
          </w:tcPr>
          <w:p w:rsidR="00B958B1" w:rsidRPr="00C02BC1" w:rsidRDefault="00B958B1" w:rsidP="009F3B54">
            <w:pPr>
              <w:pStyle w:val="TableofFigures"/>
              <w:rPr>
                <w:lang w:eastAsia="en-AU"/>
              </w:rPr>
            </w:pPr>
            <w:r w:rsidRPr="00C02BC1">
              <w:rPr>
                <w:lang w:eastAsia="en-AU"/>
              </w:rPr>
              <w:t>89 771.0</w:t>
            </w:r>
          </w:p>
        </w:tc>
        <w:tc>
          <w:tcPr>
            <w:tcW w:w="1068" w:type="dxa"/>
            <w:shd w:val="clear" w:color="auto" w:fill="auto"/>
          </w:tcPr>
          <w:p w:rsidR="00B958B1" w:rsidRPr="00C02BC1" w:rsidRDefault="00B958B1" w:rsidP="009F3B54">
            <w:pPr>
              <w:pStyle w:val="TableofFigures"/>
              <w:rPr>
                <w:lang w:eastAsia="en-AU"/>
              </w:rPr>
            </w:pPr>
            <w:r w:rsidRPr="00C02BC1">
              <w:rPr>
                <w:lang w:eastAsia="en-AU"/>
              </w:rPr>
              <w:t>na</w:t>
            </w:r>
          </w:p>
        </w:tc>
      </w:tr>
      <w:tr w:rsidR="00B958B1" w:rsidRPr="00C02BC1" w:rsidTr="009F3B54">
        <w:tblPrEx>
          <w:tblCellMar>
            <w:left w:w="108" w:type="dxa"/>
            <w:right w:w="108" w:type="dxa"/>
          </w:tblCellMar>
        </w:tblPrEx>
        <w:trPr>
          <w:trHeight w:val="492"/>
        </w:trPr>
        <w:tc>
          <w:tcPr>
            <w:tcW w:w="4602" w:type="dxa"/>
            <w:gridSpan w:val="2"/>
            <w:shd w:val="clear" w:color="auto" w:fill="auto"/>
          </w:tcPr>
          <w:p w:rsidR="00B958B1" w:rsidRPr="00C02BC1" w:rsidRDefault="00B958B1" w:rsidP="009F3B54">
            <w:pPr>
              <w:pStyle w:val="Tabletext"/>
              <w:ind w:hanging="246"/>
              <w:rPr>
                <w:lang w:eastAsia="en-AU"/>
              </w:rPr>
            </w:pPr>
            <w:r w:rsidRPr="00C02BC1">
              <w:rPr>
                <w:lang w:eastAsia="en-AU"/>
              </w:rPr>
              <w:t>Department of Transport, Planning and Local Infrastructure</w:t>
            </w:r>
          </w:p>
        </w:tc>
        <w:tc>
          <w:tcPr>
            <w:tcW w:w="1064" w:type="dxa"/>
            <w:shd w:val="clear" w:color="auto" w:fill="auto"/>
          </w:tcPr>
          <w:p w:rsidR="00B958B1" w:rsidRPr="00C02BC1" w:rsidRDefault="00B958B1" w:rsidP="00175147">
            <w:pPr>
              <w:pStyle w:val="Tabletext"/>
              <w:ind w:right="-70"/>
              <w:jc w:val="right"/>
              <w:rPr>
                <w:lang w:eastAsia="en-AU"/>
              </w:rPr>
            </w:pPr>
            <w:r w:rsidRPr="00C02BC1">
              <w:rPr>
                <w:lang w:eastAsia="en-AU"/>
              </w:rPr>
              <w:t>na</w:t>
            </w:r>
          </w:p>
        </w:tc>
        <w:tc>
          <w:tcPr>
            <w:tcW w:w="1077" w:type="dxa"/>
            <w:shd w:val="clear" w:color="auto" w:fill="auto"/>
          </w:tcPr>
          <w:p w:rsidR="00B958B1" w:rsidRPr="00C02BC1" w:rsidRDefault="00B958B1" w:rsidP="00175147">
            <w:pPr>
              <w:pStyle w:val="Tabletext"/>
              <w:ind w:right="-70"/>
              <w:jc w:val="right"/>
              <w:rPr>
                <w:lang w:eastAsia="en-AU"/>
              </w:rPr>
            </w:pPr>
            <w:r w:rsidRPr="00C02BC1">
              <w:rPr>
                <w:lang w:eastAsia="en-AU"/>
              </w:rPr>
              <w:t>na</w:t>
            </w:r>
          </w:p>
        </w:tc>
        <w:tc>
          <w:tcPr>
            <w:tcW w:w="1068" w:type="dxa"/>
            <w:shd w:val="clear" w:color="auto" w:fill="auto"/>
          </w:tcPr>
          <w:p w:rsidR="00B958B1" w:rsidRPr="00C02BC1" w:rsidRDefault="00B958B1" w:rsidP="009F3B54">
            <w:pPr>
              <w:pStyle w:val="TableofFigures"/>
              <w:ind w:right="-66"/>
              <w:rPr>
                <w:lang w:eastAsia="en-AU"/>
              </w:rPr>
            </w:pPr>
            <w:r w:rsidRPr="00C02BC1">
              <w:rPr>
                <w:lang w:eastAsia="en-AU"/>
              </w:rPr>
              <w:t>723 778.2</w:t>
            </w:r>
          </w:p>
        </w:tc>
      </w:tr>
      <w:tr w:rsidR="00B958B1" w:rsidRPr="00C02BC1" w:rsidTr="009F3B54">
        <w:tblPrEx>
          <w:tblCellMar>
            <w:left w:w="108" w:type="dxa"/>
            <w:right w:w="108" w:type="dxa"/>
          </w:tblCellMar>
        </w:tblPrEx>
        <w:trPr>
          <w:trHeight w:val="262"/>
        </w:trPr>
        <w:tc>
          <w:tcPr>
            <w:tcW w:w="4602" w:type="dxa"/>
            <w:gridSpan w:val="2"/>
            <w:tcBorders>
              <w:bottom w:val="single" w:sz="6" w:space="0" w:color="auto"/>
            </w:tcBorders>
            <w:shd w:val="solid" w:color="FFFFFF" w:fill="auto"/>
          </w:tcPr>
          <w:p w:rsidR="00B958B1" w:rsidRPr="00C02BC1" w:rsidRDefault="00B958B1" w:rsidP="009F3B54">
            <w:pPr>
              <w:pStyle w:val="Tabletext"/>
              <w:ind w:hanging="246"/>
              <w:rPr>
                <w:lang w:eastAsia="en-AU"/>
              </w:rPr>
            </w:pPr>
            <w:r w:rsidRPr="00C02BC1">
              <w:rPr>
                <w:lang w:eastAsia="en-AU"/>
              </w:rPr>
              <w:t>Department of Treasury and Finance</w:t>
            </w:r>
          </w:p>
        </w:tc>
        <w:tc>
          <w:tcPr>
            <w:tcW w:w="1064" w:type="dxa"/>
            <w:tcBorders>
              <w:bottom w:val="single" w:sz="6" w:space="0" w:color="auto"/>
            </w:tcBorders>
            <w:shd w:val="solid" w:color="FFFFFF" w:fill="auto"/>
          </w:tcPr>
          <w:p w:rsidR="00B958B1" w:rsidRPr="00C02BC1" w:rsidRDefault="00B958B1" w:rsidP="009F3B54">
            <w:pPr>
              <w:pStyle w:val="Tabletext"/>
              <w:ind w:right="-70"/>
              <w:rPr>
                <w:lang w:eastAsia="en-AU"/>
              </w:rPr>
            </w:pPr>
            <w:r w:rsidRPr="00C02BC1">
              <w:rPr>
                <w:lang w:eastAsia="en-AU"/>
              </w:rPr>
              <w:t>175 932.0</w:t>
            </w:r>
          </w:p>
        </w:tc>
        <w:tc>
          <w:tcPr>
            <w:tcW w:w="1077" w:type="dxa"/>
            <w:tcBorders>
              <w:bottom w:val="single" w:sz="6" w:space="0" w:color="auto"/>
            </w:tcBorders>
            <w:shd w:val="solid" w:color="FFFFFF" w:fill="auto"/>
          </w:tcPr>
          <w:p w:rsidR="00B958B1" w:rsidRPr="00C02BC1" w:rsidRDefault="00B958B1" w:rsidP="009F3B54">
            <w:pPr>
              <w:pStyle w:val="Tabletext"/>
              <w:ind w:right="-70"/>
              <w:rPr>
                <w:lang w:eastAsia="en-AU"/>
              </w:rPr>
            </w:pPr>
            <w:r w:rsidRPr="00C02BC1">
              <w:rPr>
                <w:lang w:eastAsia="en-AU"/>
              </w:rPr>
              <w:t>280 019.0</w:t>
            </w:r>
          </w:p>
        </w:tc>
        <w:tc>
          <w:tcPr>
            <w:tcW w:w="1068" w:type="dxa"/>
            <w:tcBorders>
              <w:bottom w:val="single" w:sz="6" w:space="0" w:color="auto"/>
            </w:tcBorders>
            <w:shd w:val="clear" w:color="auto" w:fill="auto"/>
          </w:tcPr>
          <w:p w:rsidR="00B958B1" w:rsidRPr="00C02BC1" w:rsidRDefault="00B958B1" w:rsidP="009F3B54">
            <w:pPr>
              <w:pStyle w:val="TableofFigures"/>
              <w:ind w:right="-52"/>
              <w:rPr>
                <w:lang w:eastAsia="en-AU"/>
              </w:rPr>
            </w:pPr>
            <w:r w:rsidRPr="00C02BC1">
              <w:rPr>
                <w:lang w:eastAsia="en-AU"/>
              </w:rPr>
              <w:t>14 704.0</w:t>
            </w:r>
          </w:p>
        </w:tc>
      </w:tr>
      <w:tr w:rsidR="00B958B1" w:rsidRPr="00C02BC1" w:rsidTr="009F3B54">
        <w:tblPrEx>
          <w:tblCellMar>
            <w:left w:w="108" w:type="dxa"/>
            <w:right w:w="108" w:type="dxa"/>
          </w:tblCellMar>
        </w:tblPrEx>
        <w:trPr>
          <w:trHeight w:val="262"/>
        </w:trPr>
        <w:tc>
          <w:tcPr>
            <w:tcW w:w="4602" w:type="dxa"/>
            <w:gridSpan w:val="2"/>
            <w:tcBorders>
              <w:top w:val="single" w:sz="6" w:space="0" w:color="auto"/>
              <w:left w:val="nil"/>
              <w:bottom w:val="single" w:sz="12" w:space="0" w:color="auto"/>
              <w:right w:val="nil"/>
            </w:tcBorders>
            <w:shd w:val="solid" w:color="FFFFFF" w:fill="auto"/>
          </w:tcPr>
          <w:p w:rsidR="00B958B1" w:rsidRPr="00C02BC1" w:rsidRDefault="00B958B1" w:rsidP="009F3B54">
            <w:pPr>
              <w:autoSpaceDE w:val="0"/>
              <w:autoSpaceDN w:val="0"/>
              <w:adjustRightInd w:val="0"/>
              <w:spacing w:after="0"/>
              <w:rPr>
                <w:rFonts w:ascii="Calibri" w:hAnsi="Calibri" w:cs="Calibri"/>
                <w:b/>
                <w:bCs/>
                <w:color w:val="000000"/>
                <w:sz w:val="20"/>
                <w:lang w:eastAsia="en-AU"/>
              </w:rPr>
            </w:pPr>
            <w:r w:rsidRPr="00C02BC1">
              <w:rPr>
                <w:rFonts w:ascii="Calibri" w:hAnsi="Calibri" w:cs="Calibri"/>
                <w:b/>
                <w:bCs/>
                <w:color w:val="000000"/>
                <w:sz w:val="20"/>
                <w:lang w:eastAsia="en-AU"/>
              </w:rPr>
              <w:t>Total grants</w:t>
            </w:r>
          </w:p>
        </w:tc>
        <w:tc>
          <w:tcPr>
            <w:tcW w:w="1064" w:type="dxa"/>
            <w:tcBorders>
              <w:top w:val="single" w:sz="6" w:space="0" w:color="auto"/>
              <w:left w:val="nil"/>
              <w:bottom w:val="single" w:sz="12" w:space="0" w:color="auto"/>
              <w:right w:val="nil"/>
            </w:tcBorders>
            <w:shd w:val="solid" w:color="FFFFFF" w:fill="auto"/>
          </w:tcPr>
          <w:p w:rsidR="00B958B1" w:rsidRPr="00C02BC1" w:rsidRDefault="00B958B1" w:rsidP="009F3B54">
            <w:pPr>
              <w:autoSpaceDE w:val="0"/>
              <w:autoSpaceDN w:val="0"/>
              <w:adjustRightInd w:val="0"/>
              <w:spacing w:after="0"/>
              <w:ind w:right="-70"/>
              <w:jc w:val="right"/>
              <w:rPr>
                <w:rFonts w:ascii="Calibri" w:hAnsi="Calibri" w:cs="Calibri"/>
                <w:b/>
                <w:bCs/>
                <w:color w:val="000000"/>
                <w:sz w:val="20"/>
                <w:lang w:eastAsia="en-AU"/>
              </w:rPr>
            </w:pPr>
            <w:r w:rsidRPr="00C02BC1">
              <w:rPr>
                <w:rFonts w:ascii="Calibri" w:hAnsi="Calibri" w:cs="Calibri"/>
                <w:b/>
                <w:bCs/>
                <w:color w:val="000000"/>
                <w:sz w:val="20"/>
                <w:lang w:eastAsia="en-AU"/>
              </w:rPr>
              <w:t>975 829.2</w:t>
            </w:r>
          </w:p>
        </w:tc>
        <w:tc>
          <w:tcPr>
            <w:tcW w:w="1077" w:type="dxa"/>
            <w:tcBorders>
              <w:top w:val="single" w:sz="6" w:space="0" w:color="auto"/>
              <w:left w:val="nil"/>
              <w:bottom w:val="single" w:sz="12" w:space="0" w:color="auto"/>
              <w:right w:val="nil"/>
            </w:tcBorders>
            <w:shd w:val="solid" w:color="FFFFFF" w:fill="auto"/>
          </w:tcPr>
          <w:p w:rsidR="00B958B1" w:rsidRPr="00C02BC1" w:rsidRDefault="00B958B1" w:rsidP="009F3B54">
            <w:pPr>
              <w:autoSpaceDE w:val="0"/>
              <w:autoSpaceDN w:val="0"/>
              <w:adjustRightInd w:val="0"/>
              <w:spacing w:after="0"/>
              <w:ind w:right="-70"/>
              <w:jc w:val="right"/>
              <w:rPr>
                <w:rFonts w:ascii="Calibri" w:hAnsi="Calibri" w:cs="Calibri"/>
                <w:b/>
                <w:bCs/>
                <w:color w:val="000000"/>
                <w:sz w:val="20"/>
                <w:lang w:eastAsia="en-AU"/>
              </w:rPr>
            </w:pPr>
            <w:r w:rsidRPr="00C02BC1">
              <w:rPr>
                <w:rFonts w:ascii="Calibri" w:hAnsi="Calibri" w:cs="Calibri"/>
                <w:b/>
                <w:bCs/>
                <w:color w:val="000000"/>
                <w:sz w:val="20"/>
                <w:lang w:eastAsia="en-AU"/>
              </w:rPr>
              <w:t>858 892.6</w:t>
            </w:r>
          </w:p>
        </w:tc>
        <w:tc>
          <w:tcPr>
            <w:tcW w:w="1068" w:type="dxa"/>
            <w:tcBorders>
              <w:top w:val="single" w:sz="6" w:space="0" w:color="auto"/>
              <w:left w:val="nil"/>
              <w:bottom w:val="single" w:sz="12" w:space="0" w:color="auto"/>
              <w:right w:val="nil"/>
            </w:tcBorders>
            <w:shd w:val="clear" w:color="auto" w:fill="auto"/>
          </w:tcPr>
          <w:p w:rsidR="00B958B1" w:rsidRPr="00C02BC1" w:rsidRDefault="00B958B1" w:rsidP="009F3B54">
            <w:pPr>
              <w:pStyle w:val="TableofFigures"/>
              <w:ind w:right="-52"/>
              <w:rPr>
                <w:b/>
                <w:lang w:eastAsia="en-AU"/>
              </w:rPr>
            </w:pPr>
            <w:r w:rsidRPr="00C02BC1">
              <w:rPr>
                <w:b/>
                <w:lang w:eastAsia="en-AU"/>
              </w:rPr>
              <w:t>859 535.1</w:t>
            </w:r>
          </w:p>
        </w:tc>
      </w:tr>
    </w:tbl>
    <w:p w:rsidR="00B958B1" w:rsidRDefault="00B958B1" w:rsidP="009F3B54">
      <w:pPr>
        <w:pStyle w:val="Source"/>
      </w:pPr>
      <w:r>
        <w:t>Source: Department of Treasury and Finance</w:t>
      </w:r>
    </w:p>
    <w:p w:rsidR="00B958B1" w:rsidRDefault="00B958B1" w:rsidP="009F3B54">
      <w:pPr>
        <w:pStyle w:val="Notes"/>
      </w:pPr>
      <w:r w:rsidRPr="00856EB9">
        <w:t>Notes</w:t>
      </w:r>
      <w:r>
        <w:t>:</w:t>
      </w:r>
    </w:p>
    <w:p w:rsidR="00B958B1" w:rsidRDefault="00B958B1" w:rsidP="009F3B54">
      <w:pPr>
        <w:pStyle w:val="Notes"/>
      </w:pPr>
      <w:r>
        <w:t>(a)</w:t>
      </w:r>
      <w:r>
        <w:tab/>
        <w:t>Excludes funds provided to local government from the Maternal Child and Health</w:t>
      </w:r>
      <w:r>
        <w:fldChar w:fldCharType="begin"/>
      </w:r>
      <w:r>
        <w:instrText xml:space="preserve"> XE "</w:instrText>
      </w:r>
      <w:r w:rsidRPr="00451516">
        <w:instrText>Health</w:instrText>
      </w:r>
      <w:r>
        <w:instrText xml:space="preserve">" </w:instrText>
      </w:r>
      <w:r>
        <w:fldChar w:fldCharType="end"/>
      </w:r>
      <w:r>
        <w:t xml:space="preserve"> care program and Early Learning programs as these are for service delivery rather than provided as a grant.</w:t>
      </w:r>
    </w:p>
    <w:p w:rsidR="00B958B1" w:rsidRDefault="00B958B1" w:rsidP="009F3B54">
      <w:pPr>
        <w:pStyle w:val="Notes"/>
      </w:pPr>
      <w:r>
        <w:t>(b)</w:t>
      </w:r>
      <w:r>
        <w:tab/>
        <w:t xml:space="preserve">Excludes </w:t>
      </w:r>
      <w:r w:rsidRPr="00856EB9">
        <w:t>funds</w:t>
      </w:r>
      <w:r>
        <w:t xml:space="preserve"> provided to local government from the Home and Community Care</w:t>
      </w:r>
      <w:r>
        <w:fldChar w:fldCharType="begin"/>
      </w:r>
      <w:r>
        <w:instrText xml:space="preserve"> XE "</w:instrText>
      </w:r>
      <w:r w:rsidRPr="00451516">
        <w:instrText>Home and Community Care</w:instrText>
      </w:r>
      <w:r>
        <w:instrText xml:space="preserve">" </w:instrText>
      </w:r>
      <w:r>
        <w:fldChar w:fldCharType="end"/>
      </w:r>
      <w:r>
        <w:t xml:space="preserve"> program as this is for service delivery rather than provided as a grant.</w:t>
      </w:r>
    </w:p>
    <w:p w:rsidR="00B958B1" w:rsidRDefault="00B958B1" w:rsidP="009F3B54">
      <w:pPr>
        <w:pStyle w:val="Notes"/>
      </w:pPr>
      <w:r>
        <w:t>(c)</w:t>
      </w:r>
      <w:r>
        <w:tab/>
        <w:t xml:space="preserve">The </w:t>
      </w:r>
      <w:r w:rsidRPr="0096167D">
        <w:rPr>
          <w:i w:val="0"/>
        </w:rPr>
        <w:t>2013</w:t>
      </w:r>
      <w:r w:rsidR="009F0F49">
        <w:rPr>
          <w:i w:val="0"/>
        </w:rPr>
        <w:noBreakHyphen/>
      </w:r>
      <w:r w:rsidRPr="0096167D">
        <w:rPr>
          <w:i w:val="0"/>
        </w:rPr>
        <w:t>14 Budget</w:t>
      </w:r>
      <w:r>
        <w:t xml:space="preserve"> includes the impact of machinery of government changes. </w:t>
      </w:r>
    </w:p>
    <w:p w:rsidR="00B958B1" w:rsidRDefault="00B958B1" w:rsidP="009F3B54">
      <w:pPr>
        <w:pStyle w:val="Notes"/>
      </w:pPr>
    </w:p>
    <w:p w:rsidR="00B958B1" w:rsidRDefault="00B958B1" w:rsidP="009F3B54">
      <w:r>
        <w:br w:type="page"/>
        <w:t xml:space="preserve">Local Government Victoria, within the </w:t>
      </w:r>
      <w:r w:rsidRPr="0079486E">
        <w:t xml:space="preserve">Department of Transport, Planning and Local Infrastructure </w:t>
      </w:r>
      <w:r>
        <w:t xml:space="preserve">(formally within the Department of Planning and Community Development), </w:t>
      </w:r>
      <w:r w:rsidRPr="0079486E">
        <w:t>provides</w:t>
      </w:r>
      <w:r w:rsidRPr="002F0D75">
        <w:t xml:space="preserve"> the majority of funds to local government. For 2013</w:t>
      </w:r>
      <w:r w:rsidR="009F0F49">
        <w:noBreakHyphen/>
      </w:r>
      <w:r w:rsidRPr="002F0D75">
        <w:t xml:space="preserve">14 it is estimated that around </w:t>
      </w:r>
      <w:r>
        <w:t>$548.0 million (</w:t>
      </w:r>
      <w:r w:rsidRPr="003207FE">
        <w:t>76</w:t>
      </w:r>
      <w:r>
        <w:t> per cent) of these grants</w:t>
      </w:r>
      <w:r w:rsidRPr="002F0D75">
        <w:t xml:space="preserve"> will be Commonwealth financial assistance grants, including road and general purpose grants that are passed on to local government</w:t>
      </w:r>
      <w:r>
        <w:t xml:space="preserve"> in their entirety</w:t>
      </w:r>
      <w:r w:rsidRPr="002F0D75">
        <w:t xml:space="preserve">. </w:t>
      </w:r>
      <w:r>
        <w:t xml:space="preserve">All administrative costs are borne by the Department. </w:t>
      </w:r>
    </w:p>
    <w:p w:rsidR="00B958B1" w:rsidRDefault="00B958B1" w:rsidP="009F3B54">
      <w:r w:rsidRPr="00514F7F">
        <w:t xml:space="preserve">As shown in </w:t>
      </w:r>
      <w:r>
        <w:t>Table </w:t>
      </w:r>
      <w:r w:rsidRPr="00514F7F">
        <w:t>B.1, grants and transfers</w:t>
      </w:r>
      <w:r>
        <w:fldChar w:fldCharType="begin"/>
      </w:r>
      <w:r>
        <w:instrText xml:space="preserve"> XE "</w:instrText>
      </w:r>
      <w:r w:rsidRPr="00C649E2">
        <w:instrText>Local government:Grants and transfers</w:instrText>
      </w:r>
      <w:r>
        <w:instrText xml:space="preserve">" </w:instrText>
      </w:r>
      <w:r>
        <w:fldChar w:fldCharType="end"/>
      </w:r>
      <w:r w:rsidRPr="00514F7F">
        <w:t xml:space="preserve"> to local governments are expected to </w:t>
      </w:r>
      <w:r>
        <w:t xml:space="preserve">be </w:t>
      </w:r>
      <w:r w:rsidRPr="00514F7F">
        <w:t>$8</w:t>
      </w:r>
      <w:r>
        <w:t>58</w:t>
      </w:r>
      <w:r w:rsidRPr="00514F7F">
        <w:t>.9</w:t>
      </w:r>
      <w:r>
        <w:t> million</w:t>
      </w:r>
      <w:r w:rsidRPr="00514F7F">
        <w:t xml:space="preserve"> </w:t>
      </w:r>
      <w:r>
        <w:t>in 2012</w:t>
      </w:r>
      <w:r w:rsidR="009F0F49">
        <w:noBreakHyphen/>
      </w:r>
      <w:r>
        <w:t xml:space="preserve">13. This is a </w:t>
      </w:r>
      <w:r w:rsidRPr="00514F7F">
        <w:t>decrease from</w:t>
      </w:r>
      <w:r>
        <w:t xml:space="preserve"> the original estimate of</w:t>
      </w:r>
      <w:r w:rsidRPr="00514F7F">
        <w:t xml:space="preserve"> $975.8</w:t>
      </w:r>
      <w:r>
        <w:t> million</w:t>
      </w:r>
      <w:r w:rsidRPr="00514F7F">
        <w:t xml:space="preserve"> in the </w:t>
      </w:r>
      <w:r w:rsidRPr="00514F7F">
        <w:rPr>
          <w:i/>
        </w:rPr>
        <w:t>2012</w:t>
      </w:r>
      <w:r w:rsidR="009F0F49">
        <w:rPr>
          <w:i/>
        </w:rPr>
        <w:noBreakHyphen/>
      </w:r>
      <w:r w:rsidRPr="00514F7F">
        <w:rPr>
          <w:i/>
        </w:rPr>
        <w:t>13 Budget</w:t>
      </w:r>
      <w:r w:rsidRPr="00514F7F">
        <w:t>.</w:t>
      </w:r>
      <w:r>
        <w:t xml:space="preserve"> The key drivers of this variance in 2012</w:t>
      </w:r>
      <w:r w:rsidR="009F0F49">
        <w:noBreakHyphen/>
      </w:r>
      <w:r>
        <w:t>13 are:</w:t>
      </w:r>
    </w:p>
    <w:p w:rsidR="00B958B1" w:rsidRPr="00FB1DCC" w:rsidRDefault="00B958B1" w:rsidP="009F3B54">
      <w:pPr>
        <w:pStyle w:val="BulletText"/>
      </w:pPr>
      <w:r>
        <w:t>Department of Business and Innovation –</w:t>
      </w:r>
      <w:r w:rsidRPr="00931DF3">
        <w:t>Regi</w:t>
      </w:r>
      <w:r>
        <w:t>onal Aviation Funding was carried over from 2011</w:t>
      </w:r>
      <w:r w:rsidR="009F0F49">
        <w:noBreakHyphen/>
      </w:r>
      <w:r w:rsidRPr="00931DF3">
        <w:t>12 to 2012</w:t>
      </w:r>
      <w:r w:rsidR="009F0F49">
        <w:noBreakHyphen/>
      </w:r>
      <w:r w:rsidRPr="00931DF3">
        <w:t xml:space="preserve">13 and </w:t>
      </w:r>
      <w:r>
        <w:t xml:space="preserve">additional </w:t>
      </w:r>
      <w:r w:rsidRPr="00931DF3">
        <w:t xml:space="preserve">funding </w:t>
      </w:r>
      <w:r>
        <w:t xml:space="preserve">was provided </w:t>
      </w:r>
      <w:r w:rsidRPr="00931DF3">
        <w:t xml:space="preserve">for the Melbourne </w:t>
      </w:r>
      <w:r w:rsidRPr="00FB1DCC">
        <w:t xml:space="preserve">Markets </w:t>
      </w:r>
      <w:r>
        <w:t xml:space="preserve">(Epping) </w:t>
      </w:r>
      <w:r w:rsidRPr="00FB1DCC">
        <w:t>Stormwater Harvesting Project in 2012</w:t>
      </w:r>
      <w:r w:rsidR="009F0F49">
        <w:noBreakHyphen/>
      </w:r>
      <w:r w:rsidRPr="00FB1DCC">
        <w:t>13.</w:t>
      </w:r>
    </w:p>
    <w:p w:rsidR="00B958B1" w:rsidRPr="00FB1DCC" w:rsidRDefault="00B958B1" w:rsidP="009F3B54">
      <w:pPr>
        <w:pStyle w:val="BulletText"/>
      </w:pPr>
      <w:r w:rsidRPr="00FB1DCC">
        <w:t>Department of Justice – a once</w:t>
      </w:r>
      <w:r w:rsidR="009F0F49">
        <w:noBreakHyphen/>
      </w:r>
      <w:r w:rsidRPr="00FB1DCC">
        <w:t>off reallocation as a result of greater than anticipated crime prevention</w:t>
      </w:r>
      <w:r>
        <w:fldChar w:fldCharType="begin"/>
      </w:r>
      <w:r>
        <w:instrText xml:space="preserve"> XE "Law and O</w:instrText>
      </w:r>
      <w:r w:rsidRPr="001762D3">
        <w:instrText>rder:Crime prevention</w:instrText>
      </w:r>
      <w:r>
        <w:instrText xml:space="preserve">" </w:instrText>
      </w:r>
      <w:r>
        <w:fldChar w:fldCharType="end"/>
      </w:r>
      <w:r w:rsidRPr="00FB1DCC">
        <w:t xml:space="preserve"> grants to community organisations rather than local councils. </w:t>
      </w:r>
    </w:p>
    <w:p w:rsidR="00B958B1" w:rsidRDefault="00B958B1" w:rsidP="009F3B54">
      <w:pPr>
        <w:pStyle w:val="BulletText"/>
      </w:pPr>
      <w:r>
        <w:t xml:space="preserve">Department of Planning and Community Development – </w:t>
      </w:r>
      <w:r w:rsidRPr="00B33891">
        <w:t>the</w:t>
      </w:r>
      <w:r>
        <w:t xml:space="preserve"> </w:t>
      </w:r>
      <w:r w:rsidRPr="00B33891">
        <w:t xml:space="preserve">Commonwealth </w:t>
      </w:r>
      <w:r>
        <w:t xml:space="preserve">brought forward some </w:t>
      </w:r>
      <w:r w:rsidRPr="00B33891">
        <w:t xml:space="preserve">Local Government National Partnership payments </w:t>
      </w:r>
      <w:r>
        <w:t>for</w:t>
      </w:r>
      <w:r w:rsidRPr="00B33891">
        <w:t xml:space="preserve"> 2012</w:t>
      </w:r>
      <w:r w:rsidR="009F0F49">
        <w:noBreakHyphen/>
      </w:r>
      <w:r w:rsidRPr="00B33891">
        <w:t xml:space="preserve">13 </w:t>
      </w:r>
      <w:r>
        <w:t>into the</w:t>
      </w:r>
      <w:r w:rsidRPr="00B33891">
        <w:t xml:space="preserve"> 2011</w:t>
      </w:r>
      <w:r w:rsidR="009F0F49">
        <w:noBreakHyphen/>
      </w:r>
      <w:r w:rsidRPr="00B33891">
        <w:t>12</w:t>
      </w:r>
      <w:r>
        <w:t xml:space="preserve"> year</w:t>
      </w:r>
      <w:r w:rsidRPr="00B33891">
        <w:t>.</w:t>
      </w:r>
    </w:p>
    <w:p w:rsidR="00B958B1" w:rsidRDefault="00B958B1" w:rsidP="009F3B54">
      <w:pPr>
        <w:pStyle w:val="BulletText"/>
      </w:pPr>
      <w:r>
        <w:t xml:space="preserve">Department of Premier and Cabinet – </w:t>
      </w:r>
      <w:r w:rsidRPr="004255A1">
        <w:t xml:space="preserve">delays </w:t>
      </w:r>
      <w:r>
        <w:t>in</w:t>
      </w:r>
      <w:r w:rsidRPr="004255A1">
        <w:t xml:space="preserve"> Mul</w:t>
      </w:r>
      <w:r>
        <w:t>ticultural and Arts</w:t>
      </w:r>
      <w:r>
        <w:fldChar w:fldCharType="begin"/>
      </w:r>
      <w:r>
        <w:instrText xml:space="preserve"> XE "</w:instrText>
      </w:r>
      <w:r w:rsidRPr="00451516">
        <w:instrText>Arts</w:instrText>
      </w:r>
      <w:r>
        <w:instrText xml:space="preserve">" </w:instrText>
      </w:r>
      <w:r>
        <w:fldChar w:fldCharType="end"/>
      </w:r>
      <w:r>
        <w:t xml:space="preserve"> initiatives will see funding for these initiatives carried over in to 2013</w:t>
      </w:r>
      <w:r w:rsidR="009F0F49">
        <w:noBreakHyphen/>
      </w:r>
      <w:r>
        <w:t>14.</w:t>
      </w:r>
    </w:p>
    <w:p w:rsidR="00B958B1" w:rsidRPr="00A46B45" w:rsidRDefault="00B958B1" w:rsidP="009F3B54">
      <w:pPr>
        <w:pStyle w:val="BulletText"/>
      </w:pPr>
      <w:r>
        <w:t xml:space="preserve">Department of Primary Industries – </w:t>
      </w:r>
      <w:r w:rsidRPr="009D11DE">
        <w:t xml:space="preserve">expenditure has been delayed due to complexities associated with the work program </w:t>
      </w:r>
      <w:r>
        <w:t>of the Powerline Bushfire</w:t>
      </w:r>
      <w:r>
        <w:fldChar w:fldCharType="begin"/>
      </w:r>
      <w:r>
        <w:instrText xml:space="preserve"> XE "</w:instrText>
      </w:r>
      <w:r w:rsidRPr="00451516">
        <w:instrText>Bushfire</w:instrText>
      </w:r>
      <w:r>
        <w:instrText xml:space="preserve">" </w:instrText>
      </w:r>
      <w:r>
        <w:fldChar w:fldCharType="end"/>
      </w:r>
      <w:r>
        <w:t xml:space="preserve"> Safety Taskforce initiative </w:t>
      </w:r>
      <w:r w:rsidRPr="009D11DE">
        <w:t>and research and development of new technologies</w:t>
      </w:r>
      <w:r>
        <w:t>.</w:t>
      </w:r>
    </w:p>
    <w:p w:rsidR="00B958B1" w:rsidRDefault="00B958B1" w:rsidP="009F3B54">
      <w:pPr>
        <w:pStyle w:val="BulletText"/>
      </w:pPr>
      <w:r w:rsidRPr="00A46B45">
        <w:t>Department of Sustainability and Environment – the variations are due to a</w:t>
      </w:r>
      <w:r>
        <w:t xml:space="preserve"> number of </w:t>
      </w:r>
      <w:r w:rsidRPr="00D4127E">
        <w:t>contestable grants program</w:t>
      </w:r>
      <w:r>
        <w:t xml:space="preserve">s. </w:t>
      </w:r>
      <w:r w:rsidRPr="00D4127E">
        <w:t xml:space="preserve">It is only once the successful applicants are determined that an accurate split of grants to local government versus other entities can be determined. </w:t>
      </w:r>
    </w:p>
    <w:p w:rsidR="00B958B1" w:rsidRDefault="00B958B1" w:rsidP="009F3B54">
      <w:pPr>
        <w:pStyle w:val="BulletText"/>
      </w:pPr>
      <w:r>
        <w:t>Department of Transport – the variations relate to a re</w:t>
      </w:r>
      <w:r w:rsidR="009F0F49">
        <w:noBreakHyphen/>
      </w:r>
      <w:r>
        <w:t>classification of costs, including costs for the federal accident blackspots program.</w:t>
      </w:r>
    </w:p>
    <w:p w:rsidR="00B958B1" w:rsidRDefault="00B958B1" w:rsidP="009F3B54">
      <w:pPr>
        <w:pStyle w:val="BulletText"/>
      </w:pPr>
      <w:r>
        <w:t xml:space="preserve">Department of Treasury and Finance – </w:t>
      </w:r>
      <w:r w:rsidRPr="009E0028">
        <w:t>additional grants</w:t>
      </w:r>
      <w:r>
        <w:t xml:space="preserve"> were</w:t>
      </w:r>
      <w:r w:rsidRPr="009E0028">
        <w:t xml:space="preserve"> provided to local councils for asset restoration works following natural disaster ev</w:t>
      </w:r>
      <w:r>
        <w:t>ents including the 2010</w:t>
      </w:r>
      <w:r w:rsidR="009F0F49">
        <w:noBreakHyphen/>
      </w:r>
      <w:r>
        <w:t>11</w:t>
      </w:r>
      <w:r w:rsidRPr="009E0028">
        <w:t>, March</w:t>
      </w:r>
      <w:r>
        <w:t> 2012 and June </w:t>
      </w:r>
      <w:r w:rsidRPr="009E0028">
        <w:t xml:space="preserve">2012 </w:t>
      </w:r>
      <w:r>
        <w:t>f</w:t>
      </w:r>
      <w:r w:rsidRPr="009E0028">
        <w:t>loods.</w:t>
      </w:r>
    </w:p>
    <w:p w:rsidR="00B958B1" w:rsidRDefault="00B958B1" w:rsidP="009F3B54">
      <w:pPr>
        <w:pStyle w:val="BulletText"/>
        <w:numPr>
          <w:ilvl w:val="0"/>
          <w:numId w:val="0"/>
        </w:numPr>
      </w:pPr>
      <w:r>
        <w:t xml:space="preserve">The </w:t>
      </w:r>
      <w:r w:rsidRPr="00C46254">
        <w:rPr>
          <w:i/>
        </w:rPr>
        <w:t>20</w:t>
      </w:r>
      <w:r w:rsidRPr="002F0D75">
        <w:rPr>
          <w:i/>
        </w:rPr>
        <w:t>13</w:t>
      </w:r>
      <w:r w:rsidR="009F0F49">
        <w:rPr>
          <w:i/>
        </w:rPr>
        <w:noBreakHyphen/>
      </w:r>
      <w:r w:rsidRPr="002F0D75">
        <w:rPr>
          <w:i/>
        </w:rPr>
        <w:t>14 Budget</w:t>
      </w:r>
      <w:r>
        <w:rPr>
          <w:i/>
        </w:rPr>
        <w:t xml:space="preserve"> </w:t>
      </w:r>
      <w:r>
        <w:t>provides an est</w:t>
      </w:r>
      <w:r w:rsidRPr="00C46254">
        <w:t>imated</w:t>
      </w:r>
      <w:r>
        <w:rPr>
          <w:i/>
        </w:rPr>
        <w:t xml:space="preserve"> </w:t>
      </w:r>
      <w:r w:rsidRPr="00C46254">
        <w:t>$</w:t>
      </w:r>
      <w:r w:rsidRPr="002F0D75">
        <w:t>85</w:t>
      </w:r>
      <w:r>
        <w:t>9</w:t>
      </w:r>
      <w:r w:rsidRPr="002F0D75">
        <w:t>.5</w:t>
      </w:r>
      <w:r>
        <w:t> million in grants and transfers</w:t>
      </w:r>
      <w:r>
        <w:fldChar w:fldCharType="begin"/>
      </w:r>
      <w:r>
        <w:instrText xml:space="preserve"> XE "</w:instrText>
      </w:r>
      <w:r w:rsidRPr="00C649E2">
        <w:instrText>Local government:Grants and transfers</w:instrText>
      </w:r>
      <w:r>
        <w:instrText xml:space="preserve">" </w:instrText>
      </w:r>
      <w:r>
        <w:fldChar w:fldCharType="end"/>
      </w:r>
      <w:r>
        <w:t xml:space="preserve"> to local government. This represents a decrease of $116.3 million from the amount estimated in the</w:t>
      </w:r>
      <w:r w:rsidRPr="002F0D75">
        <w:t xml:space="preserve"> </w:t>
      </w:r>
      <w:r w:rsidRPr="002F0D75">
        <w:rPr>
          <w:i/>
        </w:rPr>
        <w:t>2012</w:t>
      </w:r>
      <w:r w:rsidR="009F0F49">
        <w:rPr>
          <w:i/>
        </w:rPr>
        <w:noBreakHyphen/>
      </w:r>
      <w:r w:rsidRPr="002F0D75">
        <w:rPr>
          <w:i/>
        </w:rPr>
        <w:t>13 Budget</w:t>
      </w:r>
      <w:r w:rsidRPr="002F0D75">
        <w:t xml:space="preserve">. The key driver of this </w:t>
      </w:r>
      <w:r>
        <w:t xml:space="preserve">difference is the </w:t>
      </w:r>
      <w:r w:rsidRPr="002F0D75">
        <w:t xml:space="preserve">expected </w:t>
      </w:r>
      <w:r>
        <w:t xml:space="preserve">completion of </w:t>
      </w:r>
      <w:r w:rsidRPr="002F0D75">
        <w:t xml:space="preserve">asset restoration works </w:t>
      </w:r>
      <w:r>
        <w:t>following</w:t>
      </w:r>
      <w:r w:rsidRPr="002F0D75">
        <w:t xml:space="preserve"> the 20</w:t>
      </w:r>
      <w:r>
        <w:t>10</w:t>
      </w:r>
      <w:r w:rsidR="009F0F49">
        <w:noBreakHyphen/>
      </w:r>
      <w:r w:rsidRPr="002F0D75">
        <w:t xml:space="preserve">11 </w:t>
      </w:r>
      <w:r>
        <w:t>f</w:t>
      </w:r>
      <w:r w:rsidRPr="002F0D75">
        <w:t xml:space="preserve">loods </w:t>
      </w:r>
      <w:r>
        <w:t xml:space="preserve">within </w:t>
      </w:r>
      <w:r w:rsidRPr="002F0D75">
        <w:t>2012</w:t>
      </w:r>
      <w:r w:rsidR="009F0F49">
        <w:noBreakHyphen/>
      </w:r>
      <w:r w:rsidRPr="002F0D75">
        <w:t>13. As a result,</w:t>
      </w:r>
      <w:r>
        <w:t xml:space="preserve"> </w:t>
      </w:r>
      <w:r w:rsidRPr="002F0D75">
        <w:t>grants and transfers made by the Department of Treasury and Finance will decrease by an estimated $16</w:t>
      </w:r>
      <w:r>
        <w:t>1</w:t>
      </w:r>
      <w:r w:rsidRPr="002F0D75">
        <w:t>.2</w:t>
      </w:r>
      <w:r>
        <w:t> million</w:t>
      </w:r>
      <w:r w:rsidRPr="002F0D75">
        <w:t xml:space="preserve">. </w:t>
      </w:r>
      <w:r>
        <w:t>The</w:t>
      </w:r>
      <w:r w:rsidRPr="002F0D75">
        <w:t xml:space="preserve"> value of grants and transfers made to local government by a number of departments</w:t>
      </w:r>
      <w:r>
        <w:t xml:space="preserve"> is expected to increase due to the funding of new budget initiatives listed later in this appendix. </w:t>
      </w:r>
    </w:p>
    <w:p w:rsidR="00B958B1" w:rsidRDefault="00B958B1" w:rsidP="009F3B54">
      <w:pPr>
        <w:pStyle w:val="Heading2"/>
      </w:pPr>
      <w:bookmarkStart w:id="179" w:name="BP3AppBCommSuppFund"/>
      <w:r>
        <w:t>Community Support Fund</w:t>
      </w:r>
    </w:p>
    <w:p w:rsidR="00B958B1" w:rsidRDefault="00B958B1" w:rsidP="009F3B54">
      <w:r>
        <w:t>The Government funds a range of initiatives through the Community Support Fund</w:t>
      </w:r>
      <w:r>
        <w:fldChar w:fldCharType="begin"/>
      </w:r>
      <w:r>
        <w:instrText xml:space="preserve"> XE "</w:instrText>
      </w:r>
      <w:r w:rsidRPr="00451516">
        <w:instrText>Community Support Fund</w:instrText>
      </w:r>
      <w:r>
        <w:instrText xml:space="preserve">" </w:instrText>
      </w:r>
      <w:r>
        <w:fldChar w:fldCharType="end"/>
      </w:r>
      <w:r>
        <w:t xml:space="preserve"> (CSF), many of which are delivered by local government. These funds are in addition to those specified in Table B.1 (grants and transfers to local government), noting that funding to local government can not always be estimated until grant programs are complete. </w:t>
      </w:r>
    </w:p>
    <w:p w:rsidR="00B958B1" w:rsidRDefault="00B958B1" w:rsidP="009F3B54">
      <w:r>
        <w:t>During 2012</w:t>
      </w:r>
      <w:r w:rsidR="009F0F49">
        <w:noBreakHyphen/>
      </w:r>
      <w:r>
        <w:t xml:space="preserve">13, local governments received funding from a number of government programs which were funded from CSF. This </w:t>
      </w:r>
      <w:r w:rsidRPr="00BE3E7E">
        <w:t>included the Victorian Community Support Grants and Community Facility Funding Program which were administered by the Department of Planning and Community Development in 2012</w:t>
      </w:r>
      <w:r w:rsidR="009F0F49">
        <w:noBreakHyphen/>
      </w:r>
      <w:r w:rsidRPr="00BE3E7E">
        <w:t>13, and</w:t>
      </w:r>
      <w:r>
        <w:t xml:space="preserve"> provide a variety of grants towards community infrastructure</w:t>
      </w:r>
      <w:r>
        <w:fldChar w:fldCharType="begin"/>
      </w:r>
      <w:r>
        <w:instrText xml:space="preserve"> XE "</w:instrText>
      </w:r>
      <w:r w:rsidRPr="00451516">
        <w:instrText>Infrastructure</w:instrText>
      </w:r>
      <w:r>
        <w:instrText xml:space="preserve">" </w:instrText>
      </w:r>
      <w:r>
        <w:fldChar w:fldCharType="end"/>
      </w:r>
      <w:r>
        <w:t xml:space="preserve"> and community and sporting participation activities. Some examples of funded projects delivered by local government include:</w:t>
      </w:r>
    </w:p>
    <w:p w:rsidR="00B958B1" w:rsidRDefault="00B958B1" w:rsidP="009F3B54">
      <w:pPr>
        <w:pStyle w:val="BulletText"/>
      </w:pPr>
      <w:r>
        <w:t xml:space="preserve">funding of $68 123 to Bass Coast Shire Council as part of a $102 000 project to extend the existing trail from Anderson to the Woolamai Recreation Reserve. The additional 6 kilometres </w:t>
      </w:r>
      <w:r w:rsidRPr="000214D5">
        <w:t>will</w:t>
      </w:r>
      <w:r>
        <w:t xml:space="preserve"> extend the Bass Coast Rail Trail to a distance of 20 kilometres which will enhance the active participation use of the trail by residents and visitors; </w:t>
      </w:r>
    </w:p>
    <w:p w:rsidR="00B958B1" w:rsidRDefault="00B958B1" w:rsidP="009F3B54">
      <w:pPr>
        <w:pStyle w:val="BulletText"/>
      </w:pPr>
      <w:r>
        <w:t>funding of $100 000 to Wyndham City Council</w:t>
      </w:r>
      <w:r>
        <w:fldChar w:fldCharType="begin"/>
      </w:r>
      <w:r>
        <w:instrText xml:space="preserve"> XE "</w:instrText>
      </w:r>
      <w:r w:rsidRPr="00451516">
        <w:instrText>Wyndham City Council</w:instrText>
      </w:r>
      <w:r>
        <w:instrText xml:space="preserve">" </w:instrText>
      </w:r>
      <w:r>
        <w:fldChar w:fldCharType="end"/>
      </w:r>
      <w:r>
        <w:t xml:space="preserve"> as part of a $170 000 project to develop a new park</w:t>
      </w:r>
      <w:r>
        <w:fldChar w:fldCharType="begin"/>
      </w:r>
      <w:r>
        <w:instrText xml:space="preserve"> XE "</w:instrText>
      </w:r>
      <w:r w:rsidRPr="0004481F">
        <w:instrText>Environment:Parks</w:instrText>
      </w:r>
      <w:r>
        <w:instrText xml:space="preserve">" </w:instrText>
      </w:r>
      <w:r>
        <w:fldChar w:fldCharType="end"/>
      </w:r>
      <w:r>
        <w:t xml:space="preserve"> with a high</w:t>
      </w:r>
      <w:r w:rsidR="009F0F49">
        <w:noBreakHyphen/>
      </w:r>
      <w:r>
        <w:t>quality playground and associated facilities, designed to engage children</w:t>
      </w:r>
      <w:r>
        <w:fldChar w:fldCharType="begin"/>
      </w:r>
      <w:r>
        <w:instrText xml:space="preserve"> XE "</w:instrText>
      </w:r>
      <w:r w:rsidRPr="00451516">
        <w:instrText>Children</w:instrText>
      </w:r>
      <w:r>
        <w:instrText xml:space="preserve">" </w:instrText>
      </w:r>
      <w:r>
        <w:fldChar w:fldCharType="end"/>
      </w:r>
      <w:r>
        <w:t xml:space="preserve"> between the ages of 0</w:t>
      </w:r>
      <w:r w:rsidR="009F0F49">
        <w:noBreakHyphen/>
      </w:r>
      <w:r>
        <w:t>14 to interact in a group setting while improving their physical fitness;</w:t>
      </w:r>
    </w:p>
    <w:p w:rsidR="00B958B1" w:rsidRDefault="00B958B1" w:rsidP="009F3B54">
      <w:pPr>
        <w:pStyle w:val="BulletText"/>
      </w:pPr>
      <w:r>
        <w:t>funding of $650 000 to Colac Otway Shire Council as part of a $5.67 million project to redevelop the Colac Bluewater Fitness Centre Stadium to include a new show court with spectator seating, new player, officials and spectator amenities, dry program rooms, gymnasium extension, meeting space, offices areas and storage; and</w:t>
      </w:r>
    </w:p>
    <w:p w:rsidR="00B958B1" w:rsidRDefault="00B958B1" w:rsidP="009F3B54">
      <w:pPr>
        <w:pStyle w:val="BulletText"/>
      </w:pPr>
      <w:r>
        <w:t>funding of $3 million to Maroondah City Council as part of a $46.9 million project to undertake a total redevelopment of the Ringwood Aquatic Centre. The project will demolish the ageing indoor aquatic facility and provide a multi</w:t>
      </w:r>
      <w:r w:rsidR="009F0F49">
        <w:noBreakHyphen/>
      </w:r>
      <w:r>
        <w:t>use aquatic, health</w:t>
      </w:r>
      <w:r>
        <w:fldChar w:fldCharType="begin"/>
      </w:r>
      <w:r>
        <w:instrText xml:space="preserve"> XE "</w:instrText>
      </w:r>
      <w:r w:rsidRPr="00451516">
        <w:instrText>Health</w:instrText>
      </w:r>
      <w:r>
        <w:instrText xml:space="preserve">" </w:instrText>
      </w:r>
      <w:r>
        <w:fldChar w:fldCharType="end"/>
      </w:r>
      <w:r>
        <w:t>, fitness, leisure and wellness facility. The facility will cater for the training</w:t>
      </w:r>
      <w:r>
        <w:fldChar w:fldCharType="begin"/>
      </w:r>
      <w:r>
        <w:instrText xml:space="preserve"> XE "</w:instrText>
      </w:r>
      <w:r w:rsidRPr="00451516">
        <w:instrText>Training</w:instrText>
      </w:r>
      <w:r>
        <w:instrText xml:space="preserve">" </w:instrText>
      </w:r>
      <w:r>
        <w:fldChar w:fldCharType="end"/>
      </w:r>
      <w:r>
        <w:t xml:space="preserve"> and competition needs of swimming, diving, water polo, synchronised swimming and underwater hockey whilst also incorporating the first purpose built dry diving area in Victoria.</w:t>
      </w:r>
      <w:r>
        <w:fldChar w:fldCharType="begin"/>
      </w:r>
      <w:r>
        <w:instrText xml:space="preserve"> XE "</w:instrText>
      </w:r>
      <w:r w:rsidRPr="00451516">
        <w:instrText>Community Support Fund</w:instrText>
      </w:r>
      <w:r>
        <w:instrText xml:space="preserve">" \r "BP3AppBCommSuppFund" </w:instrText>
      </w:r>
      <w:r>
        <w:fldChar w:fldCharType="end"/>
      </w:r>
    </w:p>
    <w:bookmarkEnd w:id="179"/>
    <w:p w:rsidR="00B958B1" w:rsidRDefault="00B958B1" w:rsidP="009F3B54">
      <w:pPr>
        <w:pStyle w:val="Heading2"/>
      </w:pPr>
      <w:r w:rsidRPr="00A422BA">
        <w:t>Flood and natural disaster response</w:t>
      </w:r>
    </w:p>
    <w:bookmarkStart w:id="180" w:name="_Toc323403831"/>
    <w:p w:rsidR="00B958B1" w:rsidRPr="00A1663B" w:rsidRDefault="00B958B1" w:rsidP="009F3B54">
      <w:r>
        <w:fldChar w:fldCharType="begin"/>
      </w:r>
      <w:r>
        <w:instrText xml:space="preserve"> XE "</w:instrText>
      </w:r>
      <w:r w:rsidRPr="00451516">
        <w:instrText>Floods</w:instrText>
      </w:r>
      <w:r>
        <w:instrText xml:space="preserve">" </w:instrText>
      </w:r>
      <w:r>
        <w:fldChar w:fldCharType="end"/>
      </w:r>
      <w:r>
        <w:fldChar w:fldCharType="begin"/>
      </w:r>
      <w:r>
        <w:instrText xml:space="preserve"> XE "</w:instrText>
      </w:r>
      <w:r w:rsidRPr="00451516">
        <w:instrText>Natural disaster</w:instrText>
      </w:r>
      <w:r>
        <w:instrText xml:space="preserve">" </w:instrText>
      </w:r>
      <w:r>
        <w:fldChar w:fldCharType="end"/>
      </w:r>
      <w:r w:rsidRPr="00A1663B">
        <w:t>The Department of Treasury and Finance</w:t>
      </w:r>
      <w:r>
        <w:fldChar w:fldCharType="begin"/>
      </w:r>
      <w:r>
        <w:instrText xml:space="preserve"> XE "</w:instrText>
      </w:r>
      <w:r w:rsidRPr="00502A6A">
        <w:instrText>Department of Treasury and Finance:Natural disaster</w:instrText>
      </w:r>
      <w:r>
        <w:instrText xml:space="preserve"> response" </w:instrText>
      </w:r>
      <w:r>
        <w:fldChar w:fldCharType="end"/>
      </w:r>
      <w:r w:rsidRPr="00A1663B">
        <w:t xml:space="preserve"> administers the Natural Disaster Relief and Recovery Arrangements (NDRRA), which provide financial assistance to councils affected by natural disasters, such as bushfires</w:t>
      </w:r>
      <w:r>
        <w:fldChar w:fldCharType="begin"/>
      </w:r>
      <w:r>
        <w:instrText xml:space="preserve"> XE "</w:instrText>
      </w:r>
      <w:r w:rsidRPr="00451516">
        <w:instrText>Bushfire</w:instrText>
      </w:r>
      <w:r>
        <w:instrText xml:space="preserve">" </w:instrText>
      </w:r>
      <w:r>
        <w:fldChar w:fldCharType="end"/>
      </w:r>
      <w:r w:rsidRPr="00A1663B">
        <w:t>, floods and severe storms. This funding is largely used to reimburse costs incurred by local councils in counter disaster and asset restoration works, providing clean up and recovery grants to small business, primary producers and not</w:t>
      </w:r>
      <w:r w:rsidR="009F0F49">
        <w:noBreakHyphen/>
      </w:r>
      <w:r w:rsidRPr="00A1663B">
        <w:t>for</w:t>
      </w:r>
      <w:r w:rsidR="009F0F49">
        <w:noBreakHyphen/>
      </w:r>
      <w:r w:rsidRPr="00A1663B">
        <w:t xml:space="preserve">profit organisations and personal hardship and distress grants to individuals and households. </w:t>
      </w:r>
    </w:p>
    <w:p w:rsidR="00B958B1" w:rsidRDefault="00B958B1">
      <w:pPr>
        <w:spacing w:after="0"/>
      </w:pPr>
      <w:r>
        <w:br w:type="page"/>
      </w:r>
    </w:p>
    <w:p w:rsidR="00B958B1" w:rsidRPr="001B414A" w:rsidRDefault="00B958B1" w:rsidP="009F3B54">
      <w:r w:rsidRPr="00A1663B">
        <w:t>Actual expenditure fluctuates each year depending on the number and magnitude of natural disasters that have occurred and the funding needs of councils.</w:t>
      </w:r>
    </w:p>
    <w:p w:rsidR="00B958B1" w:rsidRPr="001B414A" w:rsidRDefault="00B958B1" w:rsidP="009F3B54">
      <w:r w:rsidRPr="00A1663B">
        <w:t>In recognition of the unprecedented severity of the 2010</w:t>
      </w:r>
      <w:r w:rsidR="009F0F49">
        <w:noBreakHyphen/>
      </w:r>
      <w:r w:rsidRPr="00A1663B">
        <w:t xml:space="preserve">11 </w:t>
      </w:r>
      <w:r>
        <w:t>and 2012 </w:t>
      </w:r>
      <w:r w:rsidRPr="00A1663B">
        <w:t>f</w:t>
      </w:r>
      <w:r>
        <w:t>lood events as well as the 2013 </w:t>
      </w:r>
      <w:r w:rsidRPr="00A1663B">
        <w:t>bushfires and tornado events, in 201</w:t>
      </w:r>
      <w:r>
        <w:t>3</w:t>
      </w:r>
      <w:r w:rsidR="009F0F49">
        <w:noBreakHyphen/>
      </w:r>
      <w:r w:rsidRPr="00A1663B">
        <w:t>1</w:t>
      </w:r>
      <w:r>
        <w:t>4</w:t>
      </w:r>
      <w:r w:rsidRPr="00A1663B">
        <w:t xml:space="preserve"> local councils will continue to receive financial assistance for the standard relief and recovery measures under the Natural Disaster Relief and Recovery Arrangements.</w:t>
      </w:r>
    </w:p>
    <w:p w:rsidR="00B958B1" w:rsidRPr="00CB5A27" w:rsidRDefault="00B958B1" w:rsidP="009F3B54">
      <w:pPr>
        <w:pStyle w:val="Heading1"/>
      </w:pPr>
      <w:bookmarkStart w:id="181" w:name="_Toc355362303"/>
      <w:r w:rsidRPr="006641D8">
        <w:rPr>
          <w:i/>
        </w:rPr>
        <w:t>2013</w:t>
      </w:r>
      <w:r w:rsidR="009F0F49">
        <w:rPr>
          <w:i/>
        </w:rPr>
        <w:noBreakHyphen/>
      </w:r>
      <w:r w:rsidRPr="006641D8">
        <w:rPr>
          <w:i/>
        </w:rPr>
        <w:t>14 Budget</w:t>
      </w:r>
      <w:r>
        <w:t xml:space="preserve"> initiatives</w:t>
      </w:r>
      <w:bookmarkEnd w:id="180"/>
      <w:bookmarkEnd w:id="181"/>
    </w:p>
    <w:p w:rsidR="00B958B1" w:rsidRDefault="00B958B1" w:rsidP="009F3B54">
      <w:r>
        <w:t xml:space="preserve">This section outlines the key </w:t>
      </w:r>
      <w:r w:rsidRPr="006641D8">
        <w:rPr>
          <w:i/>
        </w:rPr>
        <w:t>2013</w:t>
      </w:r>
      <w:r w:rsidR="009F0F49">
        <w:rPr>
          <w:i/>
        </w:rPr>
        <w:noBreakHyphen/>
      </w:r>
      <w:r>
        <w:rPr>
          <w:i/>
        </w:rPr>
        <w:t>14 </w:t>
      </w:r>
      <w:r w:rsidRPr="006641D8">
        <w:rPr>
          <w:i/>
        </w:rPr>
        <w:t>Budget</w:t>
      </w:r>
      <w:r>
        <w:t xml:space="preserve"> initiatives by department that will be undertaken in partnership with local government. This section includes initiatives where local government is the recipient of grants and transfers</w:t>
      </w:r>
      <w:r>
        <w:fldChar w:fldCharType="begin"/>
      </w:r>
      <w:r>
        <w:instrText xml:space="preserve"> XE "</w:instrText>
      </w:r>
      <w:r w:rsidRPr="00032DDB">
        <w:instrText>Local government:Grants and transfers</w:instrText>
      </w:r>
      <w:r>
        <w:instrText xml:space="preserve">" </w:instrText>
      </w:r>
      <w:r>
        <w:fldChar w:fldCharType="end"/>
      </w:r>
      <w:r>
        <w:t xml:space="preserve"> and other initiatives that broadly impact on local government. Funding details for each of these initiatives are provided in </w:t>
      </w:r>
      <w:r w:rsidRPr="00D8624C">
        <w:t>Chapter 1 of this budget</w:t>
      </w:r>
      <w:r>
        <w:t xml:space="preserve"> paper.</w:t>
      </w:r>
    </w:p>
    <w:p w:rsidR="00B958B1" w:rsidRDefault="00B958B1" w:rsidP="009F3B54">
      <w:pPr>
        <w:pStyle w:val="Heading2"/>
      </w:pPr>
      <w:r>
        <w:t>Department of Education and Early Childhood Development</w:t>
      </w:r>
    </w:p>
    <w:p w:rsidR="00B958B1" w:rsidRDefault="00B958B1" w:rsidP="009F3B54">
      <w:r>
        <w:t>Local governments enter into joint use agreements with schools</w:t>
      </w:r>
      <w:r>
        <w:fldChar w:fldCharType="begin"/>
      </w:r>
      <w:r>
        <w:instrText xml:space="preserve"> XE "</w:instrText>
      </w:r>
      <w:r w:rsidRPr="00451516">
        <w:instrText>Schools</w:instrText>
      </w:r>
      <w:r>
        <w:instrText xml:space="preserve">" </w:instrText>
      </w:r>
      <w:r>
        <w:fldChar w:fldCharType="end"/>
      </w:r>
      <w:r>
        <w:t xml:space="preserve"> to enable broader use of the facilities by the community. In addition, many local governments plan, provide or facilitate kindergarten</w:t>
      </w:r>
      <w:r>
        <w:fldChar w:fldCharType="begin"/>
      </w:r>
      <w:r>
        <w:instrText xml:space="preserve"> XE "</w:instrText>
      </w:r>
      <w:r w:rsidRPr="00451516">
        <w:instrText>Kindergarten</w:instrText>
      </w:r>
      <w:r>
        <w:instrText xml:space="preserve">" </w:instrText>
      </w:r>
      <w:r>
        <w:fldChar w:fldCharType="end"/>
      </w:r>
      <w:r>
        <w:t xml:space="preserve"> and child care services. The Department of Education and Early Childhood Development</w:t>
      </w:r>
      <w:r>
        <w:fldChar w:fldCharType="begin"/>
      </w:r>
      <w:r>
        <w:instrText xml:space="preserve"> XE "</w:instrText>
      </w:r>
      <w:r w:rsidRPr="00451516">
        <w:instrText>Department of Education and Early Childhood Development</w:instrText>
      </w:r>
      <w:r>
        <w:instrText xml:space="preserve">" </w:instrText>
      </w:r>
      <w:r>
        <w:fldChar w:fldCharType="end"/>
      </w:r>
      <w:r>
        <w:t xml:space="preserve">’s key </w:t>
      </w:r>
      <w:r w:rsidRPr="00285E1F">
        <w:rPr>
          <w:i/>
        </w:rPr>
        <w:t>2013</w:t>
      </w:r>
      <w:r w:rsidR="009F0F49">
        <w:rPr>
          <w:i/>
        </w:rPr>
        <w:noBreakHyphen/>
      </w:r>
      <w:r w:rsidRPr="00285E1F">
        <w:rPr>
          <w:i/>
        </w:rPr>
        <w:t>14 Budget</w:t>
      </w:r>
      <w:r>
        <w:t xml:space="preserve"> initiative that affects local government is the Children’</w:t>
      </w:r>
      <w:r w:rsidRPr="00C02BC1">
        <w:t>s</w:t>
      </w:r>
      <w:r>
        <w:t xml:space="preserve"> facilities capital program. Further initiatives that affect local government are:</w:t>
      </w:r>
    </w:p>
    <w:p w:rsidR="00B958B1" w:rsidRDefault="00B958B1" w:rsidP="009F3B54">
      <w:pPr>
        <w:pStyle w:val="BulletText"/>
      </w:pPr>
      <w:r>
        <w:t>Access to quality early childhood education</w:t>
      </w:r>
      <w:r>
        <w:fldChar w:fldCharType="begin"/>
      </w:r>
      <w:r>
        <w:instrText xml:space="preserve"> XE "</w:instrText>
      </w:r>
      <w:r w:rsidRPr="00451516">
        <w:instrText>Education</w:instrText>
      </w:r>
      <w:r>
        <w:instrText xml:space="preserve">" </w:instrText>
      </w:r>
      <w:r>
        <w:fldChar w:fldCharType="end"/>
      </w:r>
      <w:r>
        <w:t xml:space="preserve"> and care; and</w:t>
      </w:r>
    </w:p>
    <w:p w:rsidR="00B958B1" w:rsidRDefault="00B958B1" w:rsidP="009F3B54">
      <w:pPr>
        <w:pStyle w:val="BulletText"/>
      </w:pPr>
      <w:r>
        <w:t>Strong foundations – better and earlier support for children with a disability</w:t>
      </w:r>
      <w:r>
        <w:fldChar w:fldCharType="begin"/>
      </w:r>
      <w:r>
        <w:instrText xml:space="preserve"> XE "</w:instrText>
      </w:r>
      <w:r w:rsidRPr="00451516">
        <w:instrText>Disability</w:instrText>
      </w:r>
      <w:r>
        <w:instrText xml:space="preserve">" </w:instrText>
      </w:r>
      <w:r>
        <w:fldChar w:fldCharType="end"/>
      </w:r>
      <w:r>
        <w:t xml:space="preserve"> or developmental delay.</w:t>
      </w:r>
    </w:p>
    <w:p w:rsidR="00B958B1" w:rsidRPr="00285E1F" w:rsidRDefault="00B958B1" w:rsidP="009F3B54">
      <w:pPr>
        <w:rPr>
          <w:rFonts w:ascii="Calibri" w:hAnsi="Calibri"/>
          <w:b/>
          <w:kern w:val="28"/>
          <w:sz w:val="26"/>
          <w:szCs w:val="22"/>
        </w:rPr>
      </w:pPr>
      <w:r w:rsidRPr="00285E1F">
        <w:rPr>
          <w:rFonts w:ascii="Calibri" w:hAnsi="Calibri"/>
          <w:b/>
          <w:kern w:val="28"/>
          <w:sz w:val="26"/>
          <w:szCs w:val="22"/>
        </w:rPr>
        <w:t>Department of Environment and Primary Industries</w:t>
      </w:r>
    </w:p>
    <w:p w:rsidR="00B958B1" w:rsidRDefault="00B958B1" w:rsidP="009F3B54">
      <w:r>
        <w:t>Many of the Department of Environment and Primary Industries’</w:t>
      </w:r>
      <w:r>
        <w:fldChar w:fldCharType="begin"/>
      </w:r>
      <w:r>
        <w:instrText xml:space="preserve"> XE "</w:instrText>
      </w:r>
      <w:r w:rsidRPr="00451516">
        <w:instrText>Department of Environment and Primary Industry</w:instrText>
      </w:r>
      <w:r>
        <w:instrText xml:space="preserve">" </w:instrText>
      </w:r>
      <w:r>
        <w:fldChar w:fldCharType="end"/>
      </w:r>
      <w:r>
        <w:t xml:space="preserve"> programs are jointly managed and delivered by local government. In addition, the Department provides a range of materials and information to assist local government in undertaking its responsibilities, for example, building environmental sustainability through Victoria’s Environmental Sustainability Framework. The Department also supports local government in areas such as emergency response, biosecurity</w:t>
      </w:r>
      <w:r>
        <w:fldChar w:fldCharType="begin"/>
      </w:r>
      <w:r>
        <w:instrText xml:space="preserve"> XE "</w:instrText>
      </w:r>
      <w:r w:rsidRPr="00451516">
        <w:instrText>Biosecurity</w:instrText>
      </w:r>
      <w:r>
        <w:instrText xml:space="preserve">" </w:instrText>
      </w:r>
      <w:r>
        <w:fldChar w:fldCharType="end"/>
      </w:r>
      <w:r>
        <w:t xml:space="preserve"> response and recreational fishing. The Department of Environment and Primary Industries’ </w:t>
      </w:r>
      <w:r w:rsidRPr="006155A5">
        <w:rPr>
          <w:i/>
        </w:rPr>
        <w:t>201</w:t>
      </w:r>
      <w:r>
        <w:rPr>
          <w:i/>
        </w:rPr>
        <w:t>3</w:t>
      </w:r>
      <w:r w:rsidR="009F0F49">
        <w:rPr>
          <w:i/>
        </w:rPr>
        <w:noBreakHyphen/>
      </w:r>
      <w:r w:rsidRPr="006155A5">
        <w:rPr>
          <w:i/>
        </w:rPr>
        <w:t>1</w:t>
      </w:r>
      <w:r>
        <w:rPr>
          <w:i/>
        </w:rPr>
        <w:t>4 </w:t>
      </w:r>
      <w:r w:rsidRPr="006155A5">
        <w:rPr>
          <w:i/>
        </w:rPr>
        <w:t>Budget</w:t>
      </w:r>
      <w:r>
        <w:t xml:space="preserve"> initiatives that affect local government are:</w:t>
      </w:r>
    </w:p>
    <w:p w:rsidR="00B958B1" w:rsidRDefault="00B958B1" w:rsidP="009F3B54">
      <w:pPr>
        <w:pStyle w:val="BulletText"/>
      </w:pPr>
      <w:r w:rsidRPr="003636B6">
        <w:t>Foot</w:t>
      </w:r>
      <w:r w:rsidR="009F0F49">
        <w:noBreakHyphen/>
      </w:r>
      <w:r w:rsidRPr="003636B6">
        <w:t>and</w:t>
      </w:r>
      <w:r w:rsidR="009F0F49">
        <w:noBreakHyphen/>
      </w:r>
      <w:r w:rsidRPr="003636B6">
        <w:t>mouth disease preparedness</w:t>
      </w:r>
      <w:r>
        <w:t>;</w:t>
      </w:r>
    </w:p>
    <w:p w:rsidR="00B958B1" w:rsidRDefault="00B958B1" w:rsidP="009F3B54">
      <w:pPr>
        <w:pStyle w:val="BulletText"/>
      </w:pPr>
      <w:r w:rsidRPr="003636B6">
        <w:t>Rural Financial Counselling Service</w:t>
      </w:r>
      <w:r>
        <w:t>;</w:t>
      </w:r>
    </w:p>
    <w:p w:rsidR="00B958B1" w:rsidRDefault="00B958B1" w:rsidP="009F3B54">
      <w:pPr>
        <w:pStyle w:val="BulletText"/>
      </w:pPr>
      <w:r>
        <w:t>Implementation of the Victorian Waste and Resource Recovery Policy;</w:t>
      </w:r>
    </w:p>
    <w:p w:rsidR="00B958B1" w:rsidRDefault="00B958B1" w:rsidP="009F3B54">
      <w:pPr>
        <w:pStyle w:val="BulletText"/>
      </w:pPr>
      <w:r>
        <w:t>Kananook Creek dredging; and</w:t>
      </w:r>
    </w:p>
    <w:p w:rsidR="00B958B1" w:rsidRDefault="00B958B1" w:rsidP="009F3B54">
      <w:pPr>
        <w:pStyle w:val="BulletText"/>
      </w:pPr>
      <w:r>
        <w:t>A Cleaner Yarra River and Port Phillip Bay.</w:t>
      </w:r>
    </w:p>
    <w:p w:rsidR="00B958B1" w:rsidRDefault="00B958B1" w:rsidP="009F3B54">
      <w:pPr>
        <w:pStyle w:val="Heading2"/>
      </w:pPr>
      <w:r>
        <w:br w:type="page"/>
        <w:t>Department of Health</w:t>
      </w:r>
    </w:p>
    <w:p w:rsidR="00B958B1" w:rsidRDefault="00B958B1" w:rsidP="009F3B54">
      <w:r>
        <w:t>The Department of Health</w:t>
      </w:r>
      <w:r>
        <w:fldChar w:fldCharType="begin"/>
      </w:r>
      <w:r>
        <w:instrText xml:space="preserve"> XE "</w:instrText>
      </w:r>
      <w:r w:rsidRPr="00451516">
        <w:instrText>Department of Health</w:instrText>
      </w:r>
      <w:r>
        <w:instrText xml:space="preserve">" </w:instrText>
      </w:r>
      <w:r>
        <w:fldChar w:fldCharType="end"/>
      </w:r>
      <w:r>
        <w:t xml:space="preserve"> partners with local government in delivering Home and Community Care</w:t>
      </w:r>
      <w:r>
        <w:fldChar w:fldCharType="begin"/>
      </w:r>
      <w:r>
        <w:instrText xml:space="preserve"> XE "</w:instrText>
      </w:r>
      <w:r w:rsidRPr="00451516">
        <w:instrText>Home and Community Care</w:instrText>
      </w:r>
      <w:r>
        <w:instrText xml:space="preserve">" </w:instrText>
      </w:r>
      <w:r>
        <w:fldChar w:fldCharType="end"/>
      </w:r>
      <w:r>
        <w:t xml:space="preserve"> services and assists in delivering public health</w:t>
      </w:r>
      <w:r>
        <w:fldChar w:fldCharType="begin"/>
      </w:r>
      <w:r>
        <w:instrText xml:space="preserve"> XE "</w:instrText>
      </w:r>
      <w:r w:rsidRPr="004C0CAB">
        <w:instrText xml:space="preserve">Health:Public </w:instrText>
      </w:r>
      <w:r>
        <w:instrText>H</w:instrText>
      </w:r>
      <w:r w:rsidRPr="004C0CAB">
        <w:instrText>ealth</w:instrText>
      </w:r>
      <w:r>
        <w:instrText xml:space="preserve">" </w:instrText>
      </w:r>
      <w:r>
        <w:fldChar w:fldCharType="end"/>
      </w:r>
      <w:r>
        <w:t xml:space="preserve"> services including immunisation and health education programs. The Department of Health’s </w:t>
      </w:r>
      <w:r w:rsidRPr="00D8624C">
        <w:rPr>
          <w:i/>
        </w:rPr>
        <w:t>2013</w:t>
      </w:r>
      <w:r w:rsidR="009F0F49">
        <w:rPr>
          <w:i/>
        </w:rPr>
        <w:noBreakHyphen/>
      </w:r>
      <w:r>
        <w:rPr>
          <w:i/>
        </w:rPr>
        <w:t>14 </w:t>
      </w:r>
      <w:r w:rsidRPr="00D8624C">
        <w:rPr>
          <w:i/>
        </w:rPr>
        <w:t>Budget</w:t>
      </w:r>
      <w:r>
        <w:t xml:space="preserve"> initiatives that affect local government are:</w:t>
      </w:r>
    </w:p>
    <w:p w:rsidR="00B958B1" w:rsidRDefault="00B958B1" w:rsidP="009F3B54">
      <w:pPr>
        <w:pStyle w:val="BulletText"/>
      </w:pPr>
      <w:r>
        <w:t>Home and C</w:t>
      </w:r>
      <w:r w:rsidRPr="00CF202A">
        <w:t>ommunity</w:t>
      </w:r>
      <w:r>
        <w:t xml:space="preserve"> Care; and</w:t>
      </w:r>
    </w:p>
    <w:p w:rsidR="00B958B1" w:rsidRPr="003636B6" w:rsidRDefault="00B958B1" w:rsidP="009F3B54">
      <w:pPr>
        <w:pStyle w:val="BulletText"/>
      </w:pPr>
      <w:r w:rsidRPr="003636B6">
        <w:t>Skin cancer prevention — shade in public places.</w:t>
      </w:r>
    </w:p>
    <w:p w:rsidR="00B958B1" w:rsidRDefault="00B958B1" w:rsidP="009F3B54">
      <w:pPr>
        <w:pStyle w:val="Heading2"/>
      </w:pPr>
      <w:r>
        <w:t>Department of Human Services</w:t>
      </w:r>
    </w:p>
    <w:p w:rsidR="00B958B1" w:rsidRDefault="00B958B1" w:rsidP="009F3B54">
      <w:r>
        <w:t>The Department of Human Services</w:t>
      </w:r>
      <w:r>
        <w:fldChar w:fldCharType="begin"/>
      </w:r>
      <w:r>
        <w:instrText xml:space="preserve"> XE "</w:instrText>
      </w:r>
      <w:r w:rsidRPr="00451516">
        <w:instrText>Department of Human Services</w:instrText>
      </w:r>
      <w:r>
        <w:instrText xml:space="preserve">" </w:instrText>
      </w:r>
      <w:r>
        <w:fldChar w:fldCharType="end"/>
      </w:r>
      <w:r>
        <w:t xml:space="preserve"> works in partnership with community and local government providers to ensure that vulnerable people, including children</w:t>
      </w:r>
      <w:r>
        <w:fldChar w:fldCharType="begin"/>
      </w:r>
      <w:r>
        <w:instrText xml:space="preserve"> XE "</w:instrText>
      </w:r>
      <w:r w:rsidRPr="00451516">
        <w:instrText>Children</w:instrText>
      </w:r>
      <w:r>
        <w:instrText xml:space="preserve">" </w:instrText>
      </w:r>
      <w:r>
        <w:fldChar w:fldCharType="end"/>
      </w:r>
      <w:r>
        <w:t xml:space="preserve"> and young people, access the range of supports required to meet their needs. Local government is amongst the key providers of community strengthening and participation programs such as youth services, community renewal and neighbourhood programs funded by the Department. The Department of Human Services’ </w:t>
      </w:r>
      <w:r w:rsidRPr="00D8624C">
        <w:rPr>
          <w:i/>
        </w:rPr>
        <w:t>2013</w:t>
      </w:r>
      <w:r w:rsidR="009F0F49">
        <w:rPr>
          <w:i/>
        </w:rPr>
        <w:noBreakHyphen/>
      </w:r>
      <w:r>
        <w:rPr>
          <w:i/>
        </w:rPr>
        <w:t>14 </w:t>
      </w:r>
      <w:r w:rsidRPr="00D8624C">
        <w:rPr>
          <w:i/>
        </w:rPr>
        <w:t>Budget</w:t>
      </w:r>
      <w:r>
        <w:t xml:space="preserve"> initiative that affects local government is: </w:t>
      </w:r>
    </w:p>
    <w:p w:rsidR="00B958B1" w:rsidRPr="003636B6" w:rsidRDefault="00B958B1" w:rsidP="009F3B54">
      <w:pPr>
        <w:pStyle w:val="BulletText"/>
      </w:pPr>
      <w:r w:rsidRPr="003636B6">
        <w:t>Driving youth enterprise.</w:t>
      </w:r>
    </w:p>
    <w:p w:rsidR="00B958B1" w:rsidRDefault="00B958B1" w:rsidP="009F3B54">
      <w:pPr>
        <w:pStyle w:val="Heading2"/>
      </w:pPr>
      <w:r w:rsidRPr="00B42CE8">
        <w:t xml:space="preserve">Department of </w:t>
      </w:r>
      <w:r>
        <w:t xml:space="preserve">State </w:t>
      </w:r>
      <w:r w:rsidRPr="00B21724">
        <w:t>Development</w:t>
      </w:r>
      <w:r>
        <w:t xml:space="preserve">, </w:t>
      </w:r>
      <w:r w:rsidRPr="00B42CE8">
        <w:t>Business and Innovation</w:t>
      </w:r>
    </w:p>
    <w:p w:rsidR="00B958B1" w:rsidRDefault="00B958B1" w:rsidP="009F3B54">
      <w:pPr>
        <w:rPr>
          <w:b/>
        </w:rPr>
      </w:pPr>
      <w:r w:rsidRPr="00EF030E">
        <w:t>The Department of State Development, Business and Innovation</w:t>
      </w:r>
      <w:r>
        <w:fldChar w:fldCharType="begin"/>
      </w:r>
      <w:r>
        <w:instrText xml:space="preserve"> XE "</w:instrText>
      </w:r>
      <w:r w:rsidRPr="00451516">
        <w:instrText>Department of State Development, Business and Innovation</w:instrText>
      </w:r>
      <w:r>
        <w:instrText xml:space="preserve">" </w:instrText>
      </w:r>
      <w:r>
        <w:fldChar w:fldCharType="end"/>
      </w:r>
      <w:r w:rsidRPr="00EF030E">
        <w:t xml:space="preserve"> works in partnership with community and local government providers to ensure that projects are delivered to meet the community</w:t>
      </w:r>
      <w:r>
        <w:t>’</w:t>
      </w:r>
      <w:r w:rsidRPr="00EF030E">
        <w:t xml:space="preserve">s needs. </w:t>
      </w:r>
      <w:r>
        <w:t xml:space="preserve">One of the </w:t>
      </w:r>
      <w:r w:rsidRPr="00EF030E">
        <w:t>Department of State Development, Business and Innovation</w:t>
      </w:r>
      <w:r>
        <w:t>’</w:t>
      </w:r>
      <w:r w:rsidRPr="00EF030E">
        <w:t xml:space="preserve">s </w:t>
      </w:r>
      <w:r>
        <w:t xml:space="preserve">key </w:t>
      </w:r>
      <w:r w:rsidRPr="00EF030E">
        <w:t>initiative</w:t>
      </w:r>
      <w:r>
        <w:t>s</w:t>
      </w:r>
      <w:r w:rsidRPr="00EF030E">
        <w:t xml:space="preserve"> in the </w:t>
      </w:r>
      <w:r w:rsidRPr="00EF030E">
        <w:rPr>
          <w:i/>
        </w:rPr>
        <w:t>2013</w:t>
      </w:r>
      <w:r w:rsidR="009F0F49">
        <w:rPr>
          <w:i/>
        </w:rPr>
        <w:noBreakHyphen/>
      </w:r>
      <w:r>
        <w:rPr>
          <w:i/>
        </w:rPr>
        <w:t>14 </w:t>
      </w:r>
      <w:r w:rsidRPr="00EF030E">
        <w:rPr>
          <w:i/>
        </w:rPr>
        <w:t>Budget</w:t>
      </w:r>
      <w:r w:rsidRPr="00EF030E">
        <w:t xml:space="preserve"> that affects local government is</w:t>
      </w:r>
      <w:r>
        <w:t>:</w:t>
      </w:r>
    </w:p>
    <w:p w:rsidR="00B958B1" w:rsidRPr="00EF030E" w:rsidRDefault="00B958B1" w:rsidP="009F3B54">
      <w:pPr>
        <w:pStyle w:val="BulletText"/>
      </w:pPr>
      <w:r>
        <w:t>Supporting the aviation industry.</w:t>
      </w:r>
    </w:p>
    <w:p w:rsidR="00B958B1" w:rsidRPr="0024415C" w:rsidRDefault="00B958B1" w:rsidP="009F3B54">
      <w:pPr>
        <w:rPr>
          <w:rFonts w:ascii="Calibri" w:hAnsi="Calibri"/>
          <w:b/>
          <w:kern w:val="28"/>
          <w:sz w:val="26"/>
          <w:szCs w:val="22"/>
        </w:rPr>
      </w:pPr>
      <w:r>
        <w:rPr>
          <w:rFonts w:ascii="Calibri" w:hAnsi="Calibri"/>
          <w:b/>
          <w:kern w:val="28"/>
          <w:sz w:val="26"/>
          <w:szCs w:val="22"/>
        </w:rPr>
        <w:t>Department of Transport, Planning and Local Infrastructure</w:t>
      </w:r>
    </w:p>
    <w:p w:rsidR="00B958B1" w:rsidRDefault="00B958B1" w:rsidP="009F3B54">
      <w:r>
        <w:t>The Department of Transport, Planning and Local Infrastructure</w:t>
      </w:r>
      <w:r>
        <w:fldChar w:fldCharType="begin"/>
      </w:r>
      <w:r>
        <w:instrText xml:space="preserve"> XE "</w:instrText>
      </w:r>
      <w:r w:rsidRPr="00451516">
        <w:instrText>Department of Transport, Planning and Local Infrastructure</w:instrText>
      </w:r>
      <w:r>
        <w:instrText xml:space="preserve">" </w:instrText>
      </w:r>
      <w:r>
        <w:fldChar w:fldCharType="end"/>
      </w:r>
      <w:r>
        <w:t xml:space="preserve"> </w:t>
      </w:r>
      <w:r w:rsidRPr="0024415C">
        <w:t>works closely with local government to deliver a broad range of initiatives</w:t>
      </w:r>
      <w:r>
        <w:t xml:space="preserve"> including local transport infrastructure</w:t>
      </w:r>
      <w:r>
        <w:fldChar w:fldCharType="begin"/>
      </w:r>
      <w:r>
        <w:instrText xml:space="preserve"> XE "</w:instrText>
      </w:r>
      <w:r w:rsidRPr="00451516">
        <w:instrText>Infrastructure</w:instrText>
      </w:r>
      <w:r>
        <w:instrText xml:space="preserve">" </w:instrText>
      </w:r>
      <w:r>
        <w:fldChar w:fldCharType="end"/>
      </w:r>
      <w:r>
        <w:t>, to</w:t>
      </w:r>
      <w:r w:rsidRPr="0024415C">
        <w:t xml:space="preserve"> benefit Victorian communities</w:t>
      </w:r>
      <w:r>
        <w:fldChar w:fldCharType="begin"/>
      </w:r>
      <w:r>
        <w:instrText xml:space="preserve"> XE "</w:instrText>
      </w:r>
      <w:r w:rsidRPr="00451516">
        <w:instrText>Communities</w:instrText>
      </w:r>
      <w:r>
        <w:instrText xml:space="preserve">" </w:instrText>
      </w:r>
      <w:r>
        <w:fldChar w:fldCharType="end"/>
      </w:r>
      <w:r w:rsidRPr="0024415C">
        <w:t>.</w:t>
      </w:r>
      <w:r>
        <w:t xml:space="preserve"> The Department delivers programs across Victoria and provides financial and in kind support to local government including grants for libraries, sporting, community assets and roads. The Department also provides policy direction to local government with regard to planning</w:t>
      </w:r>
      <w:r>
        <w:fldChar w:fldCharType="begin"/>
      </w:r>
      <w:r>
        <w:instrText xml:space="preserve"> XE "Planning and local infrastructure</w:instrText>
      </w:r>
      <w:r w:rsidRPr="007B6235">
        <w:instrText>:Planning</w:instrText>
      </w:r>
      <w:r>
        <w:instrText xml:space="preserve">" </w:instrText>
      </w:r>
      <w:r>
        <w:fldChar w:fldCharType="end"/>
      </w:r>
      <w:r>
        <w:t xml:space="preserve">. </w:t>
      </w:r>
    </w:p>
    <w:p w:rsidR="00B958B1" w:rsidRPr="0024415C" w:rsidRDefault="00B958B1" w:rsidP="009F3B54">
      <w:r w:rsidRPr="0024415C">
        <w:t>The Department of Transport</w:t>
      </w:r>
      <w:r>
        <w:t>, Planning and Local Infrastructure’</w:t>
      </w:r>
      <w:r w:rsidRPr="0024415C">
        <w:t xml:space="preserve">s </w:t>
      </w:r>
      <w:r w:rsidRPr="0024415C">
        <w:rPr>
          <w:i/>
        </w:rPr>
        <w:t>2013</w:t>
      </w:r>
      <w:r w:rsidR="009F0F49">
        <w:rPr>
          <w:i/>
        </w:rPr>
        <w:noBreakHyphen/>
      </w:r>
      <w:r>
        <w:rPr>
          <w:i/>
        </w:rPr>
        <w:t>14 </w:t>
      </w:r>
      <w:r w:rsidRPr="0024415C">
        <w:rPr>
          <w:i/>
        </w:rPr>
        <w:t>Budget</w:t>
      </w:r>
      <w:r w:rsidRPr="0024415C">
        <w:t xml:space="preserve"> initiative</w:t>
      </w:r>
      <w:r>
        <w:t>s</w:t>
      </w:r>
      <w:r w:rsidRPr="0024415C">
        <w:t xml:space="preserve"> that affect local government </w:t>
      </w:r>
      <w:r>
        <w:t>are</w:t>
      </w:r>
      <w:r w:rsidRPr="0024415C">
        <w:t>:</w:t>
      </w:r>
    </w:p>
    <w:p w:rsidR="00B958B1" w:rsidRDefault="00B958B1" w:rsidP="009F3B54">
      <w:pPr>
        <w:pStyle w:val="BulletText"/>
      </w:pPr>
      <w:r>
        <w:t>East Werribee Employment Precinct</w:t>
      </w:r>
      <w:r>
        <w:fldChar w:fldCharType="begin"/>
      </w:r>
      <w:r>
        <w:instrText xml:space="preserve"> XE "</w:instrText>
      </w:r>
      <w:r w:rsidRPr="00451516">
        <w:instrText>East Werribee Employment Precinct</w:instrText>
      </w:r>
      <w:r>
        <w:instrText xml:space="preserve">" </w:instrText>
      </w:r>
      <w:r>
        <w:fldChar w:fldCharType="end"/>
      </w:r>
      <w:r>
        <w:t xml:space="preserve"> preliminary infrastructure;</w:t>
      </w:r>
    </w:p>
    <w:p w:rsidR="00B958B1" w:rsidRDefault="00B958B1" w:rsidP="009F3B54">
      <w:pPr>
        <w:pStyle w:val="BulletText"/>
      </w:pPr>
      <w:r>
        <w:t xml:space="preserve">Frankston transit interchange improvement project; </w:t>
      </w:r>
    </w:p>
    <w:p w:rsidR="00B958B1" w:rsidRDefault="00B958B1" w:rsidP="009F3B54">
      <w:pPr>
        <w:pStyle w:val="BulletText"/>
      </w:pPr>
      <w:r>
        <w:t>Transport Solutions; and</w:t>
      </w:r>
    </w:p>
    <w:p w:rsidR="00B958B1" w:rsidRDefault="00B958B1" w:rsidP="009F3B54">
      <w:pPr>
        <w:pStyle w:val="BulletText"/>
      </w:pPr>
      <w:r>
        <w:t>Victoria’s Road Safety Strategy 2013</w:t>
      </w:r>
      <w:r w:rsidR="009F0F49">
        <w:noBreakHyphen/>
      </w:r>
      <w:r>
        <w:t>2022.</w:t>
      </w:r>
      <w:r>
        <w:fldChar w:fldCharType="begin"/>
      </w:r>
      <w:r>
        <w:instrText xml:space="preserve"> XE "</w:instrText>
      </w:r>
      <w:r w:rsidRPr="00451516">
        <w:instrText>Local government</w:instrText>
      </w:r>
      <w:r>
        <w:instrText xml:space="preserve">" \r "BP3AppBLocalGovt" </w:instrText>
      </w:r>
      <w:r>
        <w:fldChar w:fldCharType="end"/>
      </w:r>
    </w:p>
    <w:bookmarkEnd w:id="175"/>
    <w:p w:rsidR="00B958B1" w:rsidRPr="00A422BA" w:rsidRDefault="00B958B1" w:rsidP="009F3B54">
      <w:r>
        <w:br w:type="page"/>
      </w:r>
    </w:p>
    <w:p w:rsidR="00B958B1" w:rsidRDefault="00B958B1" w:rsidP="00C45CC5"/>
    <w:p w:rsidR="00B958B1" w:rsidRDefault="00B958B1" w:rsidP="00C45CC5">
      <w:pPr>
        <w:sectPr w:rsidR="00B958B1" w:rsidSect="004B42A1">
          <w:footerReference w:type="even" r:id="rId44"/>
          <w:footerReference w:type="default" r:id="rId45"/>
          <w:type w:val="oddPage"/>
          <w:pgSz w:w="9979" w:h="14181" w:code="138"/>
          <w:pgMar w:top="1138" w:right="1138" w:bottom="1138" w:left="1138" w:header="720" w:footer="720" w:gutter="0"/>
          <w:cols w:space="708"/>
          <w:docGrid w:linePitch="360"/>
        </w:sectPr>
      </w:pPr>
    </w:p>
    <w:p w:rsidR="00B958B1" w:rsidRPr="0036353D" w:rsidRDefault="00B958B1" w:rsidP="009F3B54">
      <w:pPr>
        <w:pStyle w:val="ChapterHeading"/>
        <w:rPr>
          <w:rFonts w:asciiTheme="minorHAnsi" w:hAnsiTheme="minorHAnsi" w:cstheme="minorHAnsi"/>
        </w:rPr>
      </w:pPr>
      <w:bookmarkStart w:id="182" w:name="_Toc355362304"/>
      <w:r w:rsidRPr="0036353D">
        <w:rPr>
          <w:rFonts w:asciiTheme="minorHAnsi" w:hAnsiTheme="minorHAnsi" w:cstheme="minorHAnsi"/>
        </w:rPr>
        <w:t>Abbreviations and acronyms</w:t>
      </w:r>
      <w:bookmarkEnd w:id="182"/>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 xml:space="preserve">AAV </w:t>
      </w:r>
      <w:r w:rsidRPr="0036353D">
        <w:rPr>
          <w:rFonts w:asciiTheme="minorHAnsi" w:hAnsiTheme="minorHAnsi" w:cstheme="minorHAnsi"/>
          <w:sz w:val="20"/>
        </w:rPr>
        <w:tab/>
        <w:t xml:space="preserve">Aboriginal Affairs Victoria </w:t>
      </w:r>
    </w:p>
    <w:p w:rsidR="00B958B1" w:rsidRPr="00287A6F" w:rsidRDefault="00B958B1" w:rsidP="009F3B54">
      <w:pPr>
        <w:tabs>
          <w:tab w:val="left" w:pos="1440"/>
        </w:tabs>
        <w:spacing w:after="60"/>
        <w:rPr>
          <w:rFonts w:ascii="Calibri" w:hAnsi="Calibri" w:cs="Calibri"/>
          <w:sz w:val="20"/>
        </w:rPr>
      </w:pPr>
      <w:r w:rsidRPr="00287A6F">
        <w:rPr>
          <w:rFonts w:ascii="Calibri" w:hAnsi="Calibri" w:cs="Calibri"/>
          <w:sz w:val="20"/>
        </w:rPr>
        <w:t>AAS</w:t>
      </w:r>
      <w:r w:rsidRPr="00287A6F">
        <w:rPr>
          <w:rFonts w:ascii="Calibri" w:hAnsi="Calibri" w:cs="Calibri"/>
          <w:sz w:val="20"/>
        </w:rPr>
        <w:tab/>
        <w:t xml:space="preserve">Australian Accounting Standards </w:t>
      </w:r>
    </w:p>
    <w:p w:rsidR="00B958B1" w:rsidRPr="00287A6F" w:rsidRDefault="00B958B1" w:rsidP="009F3B54">
      <w:pPr>
        <w:tabs>
          <w:tab w:val="left" w:pos="1440"/>
        </w:tabs>
        <w:spacing w:after="60"/>
        <w:rPr>
          <w:rFonts w:ascii="Calibri" w:hAnsi="Calibri" w:cs="Calibri"/>
          <w:sz w:val="20"/>
        </w:rPr>
      </w:pPr>
      <w:r w:rsidRPr="00287A6F">
        <w:rPr>
          <w:rFonts w:ascii="Calibri" w:hAnsi="Calibri" w:cs="Calibri"/>
          <w:sz w:val="20"/>
        </w:rPr>
        <w:t>AASB</w:t>
      </w:r>
      <w:r w:rsidRPr="00287A6F">
        <w:rPr>
          <w:rFonts w:ascii="Calibri" w:hAnsi="Calibri" w:cs="Calibri"/>
          <w:sz w:val="20"/>
        </w:rPr>
        <w:tab/>
        <w:t xml:space="preserve">Australian Accounting Standards Board </w:t>
      </w:r>
    </w:p>
    <w:p w:rsidR="00B958B1" w:rsidRPr="00287A6F" w:rsidRDefault="00B958B1" w:rsidP="009F3B54">
      <w:pPr>
        <w:tabs>
          <w:tab w:val="left" w:pos="1440"/>
        </w:tabs>
        <w:spacing w:after="60"/>
        <w:rPr>
          <w:rFonts w:ascii="Calibri" w:hAnsi="Calibri" w:cs="Calibri"/>
          <w:sz w:val="20"/>
        </w:rPr>
      </w:pPr>
      <w:r w:rsidRPr="00287A6F">
        <w:rPr>
          <w:rFonts w:ascii="Calibri" w:hAnsi="Calibri" w:cs="Calibri"/>
          <w:sz w:val="20"/>
        </w:rPr>
        <w:t>ABS</w:t>
      </w:r>
      <w:r w:rsidRPr="00287A6F">
        <w:rPr>
          <w:rFonts w:ascii="Calibri" w:hAnsi="Calibri" w:cs="Calibri"/>
          <w:sz w:val="20"/>
        </w:rPr>
        <w:tab/>
        <w:t xml:space="preserve">Australian Bureau of Statistics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ACFE</w:t>
      </w:r>
      <w:r w:rsidRPr="0036353D">
        <w:rPr>
          <w:rFonts w:asciiTheme="minorHAnsi" w:hAnsiTheme="minorHAnsi" w:cstheme="minorHAnsi"/>
          <w:sz w:val="20"/>
        </w:rPr>
        <w:tab/>
        <w:t xml:space="preserve">Adult Community and Further Education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 xml:space="preserve">ACC </w:t>
      </w:r>
      <w:r w:rsidRPr="0036353D">
        <w:rPr>
          <w:rFonts w:asciiTheme="minorHAnsi" w:hAnsiTheme="minorHAnsi" w:cstheme="minorHAnsi"/>
          <w:sz w:val="20"/>
        </w:rPr>
        <w:tab/>
        <w:t xml:space="preserve">Advertising and Communications Committee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ACAP</w:t>
      </w:r>
      <w:r w:rsidRPr="0036353D">
        <w:rPr>
          <w:rFonts w:asciiTheme="minorHAnsi" w:hAnsiTheme="minorHAnsi" w:cstheme="minorHAnsi"/>
          <w:sz w:val="20"/>
        </w:rPr>
        <w:tab/>
        <w:t xml:space="preserve">Aged Care Assessment Program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 xml:space="preserve">ACMI </w:t>
      </w:r>
      <w:r w:rsidRPr="0036353D">
        <w:rPr>
          <w:rFonts w:asciiTheme="minorHAnsi" w:hAnsiTheme="minorHAnsi" w:cstheme="minorHAnsi"/>
          <w:sz w:val="20"/>
        </w:rPr>
        <w:tab/>
        <w:t xml:space="preserve">Australian Centre for the Moving Image </w:t>
      </w:r>
    </w:p>
    <w:p w:rsidR="00B958B1" w:rsidRPr="0036353D" w:rsidRDefault="00B958B1" w:rsidP="009F3B54">
      <w:pPr>
        <w:tabs>
          <w:tab w:val="left" w:pos="1440"/>
        </w:tabs>
        <w:spacing w:after="60"/>
        <w:rPr>
          <w:rFonts w:asciiTheme="minorHAnsi" w:hAnsiTheme="minorHAnsi" w:cstheme="minorHAnsi"/>
          <w:sz w:val="20"/>
        </w:rPr>
      </w:pPr>
    </w:p>
    <w:p w:rsidR="00B958B1" w:rsidRPr="0036353D" w:rsidRDefault="00B958B1" w:rsidP="009F3B54">
      <w:pPr>
        <w:tabs>
          <w:tab w:val="left" w:pos="1440"/>
        </w:tabs>
        <w:spacing w:after="60"/>
        <w:rPr>
          <w:rFonts w:asciiTheme="minorHAnsi" w:hAnsiTheme="minorHAnsi" w:cstheme="minorHAnsi"/>
          <w:sz w:val="20"/>
        </w:rPr>
      </w:pPr>
      <w:r>
        <w:rPr>
          <w:rFonts w:asciiTheme="minorHAnsi" w:hAnsiTheme="minorHAnsi" w:cstheme="minorHAnsi"/>
          <w:sz w:val="20"/>
        </w:rPr>
        <w:t>BDM</w:t>
      </w:r>
      <w:r w:rsidRPr="0036353D">
        <w:rPr>
          <w:rFonts w:asciiTheme="minorHAnsi" w:hAnsiTheme="minorHAnsi" w:cstheme="minorHAnsi"/>
          <w:sz w:val="20"/>
        </w:rPr>
        <w:t xml:space="preserve"> </w:t>
      </w:r>
      <w:r w:rsidRPr="0036353D">
        <w:rPr>
          <w:rFonts w:asciiTheme="minorHAnsi" w:hAnsiTheme="minorHAnsi" w:cstheme="minorHAnsi"/>
          <w:sz w:val="20"/>
        </w:rPr>
        <w:tab/>
        <w:t xml:space="preserve">Victorian Registry of Births, Deaths and Marriages </w:t>
      </w:r>
    </w:p>
    <w:p w:rsidR="00B958B1" w:rsidRPr="00287A6F" w:rsidRDefault="00B958B1" w:rsidP="009F3B54">
      <w:pPr>
        <w:tabs>
          <w:tab w:val="left" w:pos="1440"/>
        </w:tabs>
        <w:spacing w:after="60"/>
        <w:rPr>
          <w:rFonts w:ascii="Calibri" w:hAnsi="Calibri" w:cs="Calibri"/>
          <w:sz w:val="20"/>
        </w:rPr>
      </w:pPr>
      <w:r w:rsidRPr="00287A6F">
        <w:rPr>
          <w:rFonts w:ascii="Calibri" w:hAnsi="Calibri" w:cs="Calibri"/>
          <w:sz w:val="20"/>
        </w:rPr>
        <w:t>BIA</w:t>
      </w:r>
      <w:r w:rsidRPr="00287A6F">
        <w:rPr>
          <w:rFonts w:ascii="Calibri" w:hAnsi="Calibri" w:cs="Calibri"/>
          <w:sz w:val="20"/>
        </w:rPr>
        <w:tab/>
        <w:t xml:space="preserve">Business Impact Assessment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BRC</w:t>
      </w:r>
      <w:r w:rsidRPr="0036353D">
        <w:rPr>
          <w:rFonts w:asciiTheme="minorHAnsi" w:hAnsiTheme="minorHAnsi" w:cstheme="minorHAnsi"/>
          <w:sz w:val="20"/>
        </w:rPr>
        <w:tab/>
        <w:t xml:space="preserve">Biosciences Research Centre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 xml:space="preserve">BSFP </w:t>
      </w:r>
      <w:r w:rsidRPr="0036353D">
        <w:rPr>
          <w:rFonts w:asciiTheme="minorHAnsi" w:hAnsiTheme="minorHAnsi" w:cstheme="minorHAnsi"/>
          <w:sz w:val="20"/>
        </w:rPr>
        <w:tab/>
        <w:t xml:space="preserve">Boating Safety and Facilities Program </w:t>
      </w:r>
    </w:p>
    <w:p w:rsidR="00B958B1" w:rsidRDefault="00B958B1" w:rsidP="009F3B54">
      <w:pPr>
        <w:tabs>
          <w:tab w:val="left" w:pos="1440"/>
        </w:tabs>
        <w:spacing w:after="60"/>
        <w:rPr>
          <w:rFonts w:asciiTheme="minorHAnsi" w:hAnsiTheme="minorHAnsi" w:cstheme="minorHAnsi"/>
          <w:sz w:val="20"/>
        </w:rPr>
      </w:pPr>
    </w:p>
    <w:p w:rsidR="00B958B1" w:rsidRPr="00287A6F" w:rsidRDefault="00B958B1" w:rsidP="009F3B54">
      <w:pPr>
        <w:tabs>
          <w:tab w:val="left" w:pos="1440"/>
        </w:tabs>
        <w:spacing w:after="60"/>
        <w:rPr>
          <w:rFonts w:ascii="Calibri" w:hAnsi="Calibri" w:cs="Calibri"/>
          <w:sz w:val="20"/>
        </w:rPr>
      </w:pPr>
      <w:r w:rsidRPr="00287A6F">
        <w:rPr>
          <w:rFonts w:ascii="Calibri" w:hAnsi="Calibri" w:cs="Calibri"/>
          <w:sz w:val="20"/>
        </w:rPr>
        <w:t xml:space="preserve">CALD </w:t>
      </w:r>
      <w:r w:rsidRPr="00287A6F">
        <w:rPr>
          <w:rFonts w:ascii="Calibri" w:hAnsi="Calibri" w:cs="Calibri"/>
          <w:sz w:val="20"/>
        </w:rPr>
        <w:tab/>
        <w:t xml:space="preserve">Culturally and Linguistically Diverse </w:t>
      </w:r>
    </w:p>
    <w:p w:rsidR="00B958B1" w:rsidRPr="00287A6F" w:rsidRDefault="00B958B1" w:rsidP="009F3B54">
      <w:pPr>
        <w:tabs>
          <w:tab w:val="left" w:pos="1440"/>
        </w:tabs>
        <w:spacing w:after="60"/>
        <w:rPr>
          <w:rFonts w:ascii="Calibri" w:hAnsi="Calibri" w:cs="Calibri"/>
          <w:sz w:val="20"/>
        </w:rPr>
      </w:pPr>
      <w:r w:rsidRPr="00287A6F">
        <w:rPr>
          <w:rFonts w:ascii="Calibri" w:hAnsi="Calibri" w:cs="Calibri"/>
          <w:sz w:val="20"/>
        </w:rPr>
        <w:t xml:space="preserve">CAV </w:t>
      </w:r>
      <w:r w:rsidRPr="00287A6F">
        <w:rPr>
          <w:rFonts w:ascii="Calibri" w:hAnsi="Calibri" w:cs="Calibri"/>
          <w:sz w:val="20"/>
        </w:rPr>
        <w:tab/>
        <w:t xml:space="preserve">Consumer Affairs Victoria </w:t>
      </w:r>
    </w:p>
    <w:p w:rsidR="00B958B1" w:rsidRPr="00287A6F" w:rsidRDefault="00B958B1" w:rsidP="009F3B54">
      <w:pPr>
        <w:tabs>
          <w:tab w:val="left" w:pos="1440"/>
        </w:tabs>
        <w:spacing w:after="60"/>
        <w:rPr>
          <w:rFonts w:ascii="Calibri" w:hAnsi="Calibri" w:cs="Calibri"/>
          <w:sz w:val="20"/>
        </w:rPr>
      </w:pPr>
      <w:r w:rsidRPr="00287A6F">
        <w:rPr>
          <w:rFonts w:ascii="Calibri" w:hAnsi="Calibri" w:cs="Calibri"/>
          <w:sz w:val="20"/>
        </w:rPr>
        <w:t xml:space="preserve">CERT </w:t>
      </w:r>
      <w:r w:rsidRPr="00287A6F">
        <w:rPr>
          <w:rFonts w:ascii="Calibri" w:hAnsi="Calibri" w:cs="Calibri"/>
          <w:sz w:val="20"/>
        </w:rPr>
        <w:tab/>
        <w:t xml:space="preserve">Community Emergency Response Teams </w:t>
      </w:r>
    </w:p>
    <w:p w:rsidR="00B958B1" w:rsidRPr="00287A6F" w:rsidRDefault="00B958B1" w:rsidP="009F3B54">
      <w:pPr>
        <w:tabs>
          <w:tab w:val="left" w:pos="1440"/>
        </w:tabs>
        <w:spacing w:after="60"/>
        <w:rPr>
          <w:rFonts w:ascii="Calibri" w:hAnsi="Calibri" w:cs="Calibri"/>
          <w:sz w:val="20"/>
        </w:rPr>
      </w:pPr>
      <w:r w:rsidRPr="00287A6F">
        <w:rPr>
          <w:rFonts w:ascii="Calibri" w:hAnsi="Calibri" w:cs="Calibri"/>
          <w:sz w:val="20"/>
        </w:rPr>
        <w:t>CFA</w:t>
      </w:r>
      <w:r w:rsidRPr="00287A6F">
        <w:rPr>
          <w:rFonts w:ascii="Calibri" w:hAnsi="Calibri" w:cs="Calibri"/>
          <w:sz w:val="20"/>
        </w:rPr>
        <w:tab/>
        <w:t xml:space="preserve">Country Fire Authority </w:t>
      </w:r>
    </w:p>
    <w:p w:rsidR="00B958B1" w:rsidRPr="00287A6F" w:rsidRDefault="00B958B1" w:rsidP="009F3B54">
      <w:pPr>
        <w:tabs>
          <w:tab w:val="left" w:pos="1440"/>
        </w:tabs>
        <w:spacing w:after="60"/>
        <w:rPr>
          <w:rFonts w:ascii="Calibri" w:hAnsi="Calibri" w:cs="Calibri"/>
          <w:sz w:val="20"/>
        </w:rPr>
      </w:pPr>
      <w:r w:rsidRPr="00287A6F">
        <w:rPr>
          <w:rFonts w:ascii="Calibri" w:hAnsi="Calibri" w:cs="Calibri"/>
          <w:sz w:val="20"/>
        </w:rPr>
        <w:t>CGC</w:t>
      </w:r>
      <w:r w:rsidRPr="00287A6F">
        <w:rPr>
          <w:rFonts w:ascii="Calibri" w:hAnsi="Calibri" w:cs="Calibri"/>
          <w:sz w:val="20"/>
        </w:rPr>
        <w:tab/>
        <w:t xml:space="preserve">Commonwealth Grants Commission </w:t>
      </w:r>
    </w:p>
    <w:p w:rsidR="00B958B1" w:rsidRPr="0036353D" w:rsidRDefault="00B958B1" w:rsidP="009F3B54">
      <w:pPr>
        <w:tabs>
          <w:tab w:val="left" w:pos="1440"/>
        </w:tabs>
        <w:spacing w:after="60"/>
        <w:rPr>
          <w:rFonts w:ascii="Calibri" w:hAnsi="Calibri" w:cs="Calibri"/>
          <w:sz w:val="20"/>
        </w:rPr>
      </w:pPr>
      <w:r w:rsidRPr="0036353D">
        <w:rPr>
          <w:rFonts w:ascii="Calibri" w:hAnsi="Calibri" w:cs="Calibri"/>
          <w:sz w:val="20"/>
        </w:rPr>
        <w:t xml:space="preserve">CLABSI </w:t>
      </w:r>
      <w:r w:rsidRPr="0036353D">
        <w:rPr>
          <w:rFonts w:ascii="Calibri" w:hAnsi="Calibri" w:cs="Calibri"/>
          <w:sz w:val="20"/>
        </w:rPr>
        <w:tab/>
        <w:t xml:space="preserve">Intensive Care Unit Central Line Associated Blood Stream Infections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CML</w:t>
      </w:r>
      <w:r w:rsidRPr="0036353D">
        <w:rPr>
          <w:rFonts w:asciiTheme="minorHAnsi" w:hAnsiTheme="minorHAnsi" w:cstheme="minorHAnsi"/>
          <w:sz w:val="20"/>
        </w:rPr>
        <w:tab/>
        <w:t xml:space="preserve">CityLink Melbourne Limited </w:t>
      </w:r>
    </w:p>
    <w:p w:rsidR="00B958B1" w:rsidRPr="00287A6F" w:rsidRDefault="00B958B1" w:rsidP="009F3B54">
      <w:pPr>
        <w:tabs>
          <w:tab w:val="left" w:pos="1440"/>
        </w:tabs>
        <w:spacing w:after="60"/>
        <w:rPr>
          <w:rFonts w:ascii="Calibri" w:hAnsi="Calibri" w:cs="Calibri"/>
          <w:sz w:val="20"/>
        </w:rPr>
      </w:pPr>
      <w:r w:rsidRPr="00287A6F">
        <w:rPr>
          <w:rFonts w:ascii="Calibri" w:hAnsi="Calibri" w:cs="Calibri"/>
          <w:sz w:val="20"/>
        </w:rPr>
        <w:t xml:space="preserve">COAG </w:t>
      </w:r>
      <w:r w:rsidRPr="00287A6F">
        <w:rPr>
          <w:rFonts w:ascii="Calibri" w:hAnsi="Calibri" w:cs="Calibri"/>
          <w:sz w:val="20"/>
        </w:rPr>
        <w:tab/>
        <w:t xml:space="preserve">Council of Australian Governments </w:t>
      </w:r>
    </w:p>
    <w:p w:rsidR="00B958B1" w:rsidRPr="00287A6F" w:rsidRDefault="00B958B1" w:rsidP="009F3B54">
      <w:pPr>
        <w:tabs>
          <w:tab w:val="left" w:pos="1440"/>
        </w:tabs>
        <w:spacing w:after="60"/>
        <w:rPr>
          <w:rFonts w:ascii="Calibri" w:hAnsi="Calibri" w:cs="Calibri"/>
          <w:sz w:val="20"/>
        </w:rPr>
      </w:pPr>
      <w:r w:rsidRPr="00287A6F">
        <w:rPr>
          <w:rFonts w:ascii="Calibri" w:hAnsi="Calibri" w:cs="Calibri"/>
          <w:sz w:val="20"/>
        </w:rPr>
        <w:t>CPI</w:t>
      </w:r>
      <w:r w:rsidRPr="00287A6F">
        <w:rPr>
          <w:rFonts w:ascii="Calibri" w:hAnsi="Calibri" w:cs="Calibri"/>
          <w:sz w:val="20"/>
        </w:rPr>
        <w:tab/>
        <w:t xml:space="preserve">Consumer price index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CSF</w:t>
      </w:r>
      <w:r w:rsidRPr="0036353D">
        <w:rPr>
          <w:rFonts w:asciiTheme="minorHAnsi" w:hAnsiTheme="minorHAnsi" w:cstheme="minorHAnsi"/>
          <w:sz w:val="20"/>
        </w:rPr>
        <w:tab/>
        <w:t xml:space="preserve">Community Support Fund </w:t>
      </w:r>
    </w:p>
    <w:p w:rsidR="00B958B1" w:rsidRDefault="00B958B1" w:rsidP="009F3B54">
      <w:pPr>
        <w:tabs>
          <w:tab w:val="left" w:pos="1440"/>
        </w:tabs>
        <w:spacing w:after="60"/>
        <w:rPr>
          <w:rFonts w:asciiTheme="minorHAnsi" w:hAnsiTheme="minorHAnsi" w:cstheme="minorHAnsi"/>
          <w:sz w:val="20"/>
        </w:rPr>
      </w:pPr>
    </w:p>
    <w:p w:rsidR="00B958B1" w:rsidRPr="00287A6F" w:rsidRDefault="00B958B1" w:rsidP="009F3B54">
      <w:pPr>
        <w:tabs>
          <w:tab w:val="left" w:pos="1440"/>
        </w:tabs>
        <w:spacing w:after="60"/>
        <w:rPr>
          <w:rFonts w:ascii="Calibri" w:hAnsi="Calibri" w:cs="Calibri"/>
          <w:sz w:val="20"/>
        </w:rPr>
      </w:pPr>
      <w:r w:rsidRPr="00287A6F">
        <w:rPr>
          <w:rFonts w:ascii="Calibri" w:hAnsi="Calibri" w:cs="Calibri"/>
          <w:sz w:val="20"/>
        </w:rPr>
        <w:t>DART</w:t>
      </w:r>
      <w:r w:rsidRPr="00287A6F">
        <w:rPr>
          <w:rFonts w:ascii="Calibri" w:hAnsi="Calibri" w:cs="Calibri"/>
          <w:sz w:val="20"/>
        </w:rPr>
        <w:tab/>
        <w:t xml:space="preserve">Doncaster Area Rapid Transit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DEECD</w:t>
      </w:r>
      <w:r w:rsidRPr="0036353D">
        <w:rPr>
          <w:rFonts w:asciiTheme="minorHAnsi" w:hAnsiTheme="minorHAnsi" w:cstheme="minorHAnsi"/>
          <w:sz w:val="20"/>
        </w:rPr>
        <w:tab/>
        <w:t>Department of Education and Early Childhood Development</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DEPI</w:t>
      </w:r>
      <w:r w:rsidRPr="0036353D">
        <w:rPr>
          <w:rFonts w:asciiTheme="minorHAnsi" w:hAnsiTheme="minorHAnsi" w:cstheme="minorHAnsi"/>
          <w:sz w:val="20"/>
        </w:rPr>
        <w:tab/>
        <w:t>Department of Environment and Primary Industries</w:t>
      </w:r>
    </w:p>
    <w:p w:rsidR="00B958B1" w:rsidRPr="00287A6F" w:rsidRDefault="00B958B1" w:rsidP="009F3B54">
      <w:pPr>
        <w:tabs>
          <w:tab w:val="left" w:pos="1440"/>
        </w:tabs>
        <w:spacing w:after="60"/>
        <w:rPr>
          <w:rFonts w:ascii="Calibri" w:hAnsi="Calibri" w:cs="Calibri"/>
          <w:sz w:val="20"/>
        </w:rPr>
      </w:pPr>
      <w:r w:rsidRPr="00287A6F">
        <w:rPr>
          <w:rFonts w:ascii="Calibri" w:hAnsi="Calibri" w:cs="Calibri"/>
          <w:sz w:val="20"/>
        </w:rPr>
        <w:t>DPC</w:t>
      </w:r>
      <w:r w:rsidRPr="00287A6F">
        <w:rPr>
          <w:rFonts w:ascii="Calibri" w:hAnsi="Calibri" w:cs="Calibri"/>
          <w:sz w:val="20"/>
        </w:rPr>
        <w:tab/>
        <w:t>Department of Premier and Cabinet</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 xml:space="preserve">DPP </w:t>
      </w:r>
      <w:r w:rsidRPr="0036353D">
        <w:rPr>
          <w:rFonts w:asciiTheme="minorHAnsi" w:hAnsiTheme="minorHAnsi" w:cstheme="minorHAnsi"/>
          <w:sz w:val="20"/>
        </w:rPr>
        <w:tab/>
        <w:t xml:space="preserve">Director of Public Prosecutions </w:t>
      </w:r>
    </w:p>
    <w:p w:rsidR="00B958B1" w:rsidRPr="0036353D" w:rsidRDefault="00B958B1" w:rsidP="009F3B54">
      <w:pPr>
        <w:tabs>
          <w:tab w:val="left" w:pos="1440"/>
        </w:tabs>
        <w:spacing w:after="60"/>
        <w:rPr>
          <w:rFonts w:asciiTheme="minorHAnsi" w:hAnsiTheme="minorHAnsi" w:cstheme="minorHAnsi"/>
          <w:sz w:val="20"/>
        </w:rPr>
      </w:pPr>
      <w:r>
        <w:rPr>
          <w:rFonts w:asciiTheme="minorHAnsi" w:hAnsiTheme="minorHAnsi" w:cstheme="minorHAnsi"/>
          <w:sz w:val="20"/>
        </w:rPr>
        <w:br w:type="page"/>
      </w:r>
      <w:r w:rsidRPr="0036353D">
        <w:rPr>
          <w:rFonts w:asciiTheme="minorHAnsi" w:hAnsiTheme="minorHAnsi" w:cstheme="minorHAnsi"/>
          <w:sz w:val="20"/>
        </w:rPr>
        <w:t xml:space="preserve">DSCV </w:t>
      </w:r>
      <w:r w:rsidRPr="0036353D">
        <w:rPr>
          <w:rFonts w:asciiTheme="minorHAnsi" w:hAnsiTheme="minorHAnsi" w:cstheme="minorHAnsi"/>
          <w:sz w:val="20"/>
        </w:rPr>
        <w:tab/>
        <w:t xml:space="preserve">Dispute Settlement Centre of Victoria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DSDBI</w:t>
      </w:r>
      <w:r w:rsidRPr="0036353D">
        <w:rPr>
          <w:rFonts w:asciiTheme="minorHAnsi" w:hAnsiTheme="minorHAnsi" w:cstheme="minorHAnsi"/>
          <w:sz w:val="20"/>
        </w:rPr>
        <w:tab/>
        <w:t>Department of State Development, Business and Innovation</w:t>
      </w:r>
    </w:p>
    <w:p w:rsidR="00B958B1" w:rsidRPr="00287A6F" w:rsidRDefault="00B958B1" w:rsidP="009F3B54">
      <w:pPr>
        <w:tabs>
          <w:tab w:val="left" w:pos="1440"/>
        </w:tabs>
        <w:spacing w:after="60"/>
        <w:rPr>
          <w:rFonts w:ascii="Calibri" w:hAnsi="Calibri" w:cs="Calibri"/>
          <w:sz w:val="20"/>
        </w:rPr>
      </w:pPr>
      <w:r w:rsidRPr="00287A6F">
        <w:rPr>
          <w:rFonts w:ascii="Calibri" w:hAnsi="Calibri" w:cs="Calibri"/>
          <w:sz w:val="20"/>
        </w:rPr>
        <w:t>DTPa</w:t>
      </w:r>
      <w:r w:rsidRPr="00287A6F">
        <w:rPr>
          <w:rFonts w:ascii="Calibri" w:hAnsi="Calibri" w:cs="Calibri"/>
          <w:sz w:val="20"/>
        </w:rPr>
        <w:tab/>
        <w:t xml:space="preserve">Diphtheria, Tetanus and Pertussis </w:t>
      </w:r>
    </w:p>
    <w:p w:rsidR="00B958B1" w:rsidRDefault="00B958B1" w:rsidP="009F3B54">
      <w:pPr>
        <w:tabs>
          <w:tab w:val="left" w:pos="1440"/>
        </w:tabs>
        <w:spacing w:after="60"/>
        <w:rPr>
          <w:rFonts w:asciiTheme="minorHAnsi" w:hAnsiTheme="minorHAnsi" w:cstheme="minorHAnsi"/>
          <w:sz w:val="20"/>
        </w:rPr>
      </w:pPr>
    </w:p>
    <w:p w:rsidR="00B958B1" w:rsidRPr="003F6C01" w:rsidRDefault="00B958B1" w:rsidP="009F3B54">
      <w:pPr>
        <w:tabs>
          <w:tab w:val="left" w:pos="1440"/>
        </w:tabs>
        <w:spacing w:after="60"/>
        <w:rPr>
          <w:rFonts w:ascii="Calibri" w:hAnsi="Calibri" w:cs="Calibri"/>
          <w:sz w:val="20"/>
        </w:rPr>
      </w:pPr>
      <w:r w:rsidRPr="003F6C01">
        <w:rPr>
          <w:rFonts w:ascii="Calibri" w:hAnsi="Calibri" w:cs="Calibri"/>
          <w:sz w:val="20"/>
        </w:rPr>
        <w:t>EBA</w:t>
      </w:r>
      <w:r w:rsidRPr="003F6C01">
        <w:rPr>
          <w:rFonts w:ascii="Calibri" w:hAnsi="Calibri" w:cs="Calibri"/>
          <w:sz w:val="20"/>
        </w:rPr>
        <w:tab/>
        <w:t xml:space="preserve">Enterprise Bargaining Agreement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ECIS</w:t>
      </w:r>
      <w:r w:rsidRPr="0036353D">
        <w:rPr>
          <w:rFonts w:asciiTheme="minorHAnsi" w:hAnsiTheme="minorHAnsi" w:cstheme="minorHAnsi"/>
          <w:sz w:val="20"/>
        </w:rPr>
        <w:tab/>
        <w:t xml:space="preserve">Early Childhood Intervention Service </w:t>
      </w:r>
    </w:p>
    <w:p w:rsidR="00B958B1" w:rsidRPr="003F6C01" w:rsidRDefault="00B958B1" w:rsidP="009F3B54">
      <w:pPr>
        <w:tabs>
          <w:tab w:val="left" w:pos="1440"/>
        </w:tabs>
        <w:spacing w:after="60"/>
        <w:rPr>
          <w:rFonts w:ascii="Calibri" w:hAnsi="Calibri" w:cs="Calibri"/>
          <w:sz w:val="20"/>
        </w:rPr>
      </w:pPr>
      <w:r w:rsidRPr="003F6C01">
        <w:rPr>
          <w:rFonts w:ascii="Calibri" w:hAnsi="Calibri" w:cs="Calibri"/>
          <w:sz w:val="20"/>
        </w:rPr>
        <w:t xml:space="preserve">EES </w:t>
      </w:r>
      <w:r w:rsidRPr="003F6C01">
        <w:rPr>
          <w:rFonts w:ascii="Calibri" w:hAnsi="Calibri" w:cs="Calibri"/>
          <w:sz w:val="20"/>
        </w:rPr>
        <w:tab/>
        <w:t xml:space="preserve">Environment Effects Statements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EGM</w:t>
      </w:r>
      <w:r w:rsidRPr="0036353D">
        <w:rPr>
          <w:rFonts w:asciiTheme="minorHAnsi" w:hAnsiTheme="minorHAnsi" w:cstheme="minorHAnsi"/>
          <w:sz w:val="20"/>
        </w:rPr>
        <w:tab/>
        <w:t xml:space="preserve">Electronic gaming machine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EPA</w:t>
      </w:r>
      <w:r w:rsidRPr="0036353D">
        <w:rPr>
          <w:rFonts w:asciiTheme="minorHAnsi" w:hAnsiTheme="minorHAnsi" w:cstheme="minorHAnsi"/>
          <w:sz w:val="20"/>
        </w:rPr>
        <w:tab/>
        <w:t xml:space="preserve">Environmental Protection Agency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EPPIC</w:t>
      </w:r>
      <w:r w:rsidRPr="0036353D">
        <w:rPr>
          <w:rFonts w:asciiTheme="minorHAnsi" w:hAnsiTheme="minorHAnsi" w:cstheme="minorHAnsi"/>
          <w:sz w:val="20"/>
        </w:rPr>
        <w:tab/>
        <w:t xml:space="preserve">Expanding Early Psychosis Prevention and Intervention Centre </w:t>
      </w:r>
    </w:p>
    <w:p w:rsidR="00B958B1" w:rsidRDefault="00B958B1" w:rsidP="009F3B54">
      <w:pPr>
        <w:tabs>
          <w:tab w:val="left" w:pos="1440"/>
        </w:tabs>
        <w:spacing w:after="60"/>
        <w:rPr>
          <w:rFonts w:asciiTheme="minorHAnsi" w:hAnsiTheme="minorHAnsi" w:cstheme="minorHAnsi"/>
          <w:sz w:val="20"/>
        </w:rPr>
      </w:pPr>
    </w:p>
    <w:p w:rsidR="00B958B1" w:rsidRPr="003F6C01" w:rsidRDefault="00B958B1" w:rsidP="009F3B54">
      <w:pPr>
        <w:tabs>
          <w:tab w:val="left" w:pos="1440"/>
        </w:tabs>
        <w:spacing w:after="60"/>
        <w:rPr>
          <w:rFonts w:ascii="Calibri" w:hAnsi="Calibri" w:cs="Calibri"/>
          <w:sz w:val="20"/>
        </w:rPr>
      </w:pPr>
      <w:r w:rsidRPr="003F6C01">
        <w:rPr>
          <w:rFonts w:ascii="Calibri" w:hAnsi="Calibri" w:cs="Calibri"/>
          <w:sz w:val="20"/>
        </w:rPr>
        <w:t>FAL</w:t>
      </w:r>
      <w:r w:rsidRPr="003F6C01">
        <w:rPr>
          <w:rFonts w:ascii="Calibri" w:hAnsi="Calibri" w:cs="Calibri"/>
          <w:sz w:val="20"/>
        </w:rPr>
        <w:tab/>
        <w:t xml:space="preserve">Financial accommodation levy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FIRS</w:t>
      </w:r>
      <w:r w:rsidRPr="0036353D">
        <w:rPr>
          <w:rFonts w:asciiTheme="minorHAnsi" w:hAnsiTheme="minorHAnsi" w:cstheme="minorHAnsi"/>
          <w:sz w:val="20"/>
        </w:rPr>
        <w:tab/>
        <w:t xml:space="preserve">Federal Interstate Registration Scheme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FMA</w:t>
      </w:r>
      <w:r w:rsidRPr="0036353D">
        <w:rPr>
          <w:rFonts w:asciiTheme="minorHAnsi" w:hAnsiTheme="minorHAnsi" w:cstheme="minorHAnsi"/>
          <w:sz w:val="20"/>
        </w:rPr>
        <w:tab/>
      </w:r>
      <w:r w:rsidRPr="0036353D">
        <w:rPr>
          <w:rFonts w:asciiTheme="minorHAnsi" w:hAnsiTheme="minorHAnsi" w:cstheme="minorHAnsi"/>
          <w:i/>
          <w:sz w:val="20"/>
        </w:rPr>
        <w:t>Financial Management Act 1994</w:t>
      </w:r>
      <w:r w:rsidRPr="0036353D">
        <w:rPr>
          <w:rFonts w:asciiTheme="minorHAnsi" w:hAnsiTheme="minorHAnsi" w:cstheme="minorHAnsi"/>
          <w:sz w:val="20"/>
        </w:rPr>
        <w:t xml:space="preserve">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FOI</w:t>
      </w:r>
      <w:r w:rsidRPr="0036353D">
        <w:rPr>
          <w:rFonts w:asciiTheme="minorHAnsi" w:hAnsiTheme="minorHAnsi" w:cstheme="minorHAnsi"/>
          <w:sz w:val="20"/>
        </w:rPr>
        <w:tab/>
        <w:t xml:space="preserve">Freedom of Information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FTE</w:t>
      </w:r>
      <w:r w:rsidRPr="0036353D">
        <w:rPr>
          <w:rFonts w:asciiTheme="minorHAnsi" w:hAnsiTheme="minorHAnsi" w:cstheme="minorHAnsi"/>
          <w:sz w:val="20"/>
        </w:rPr>
        <w:tab/>
        <w:t>Full</w:t>
      </w:r>
      <w:r w:rsidR="009F0F49">
        <w:rPr>
          <w:rFonts w:asciiTheme="minorHAnsi" w:hAnsiTheme="minorHAnsi" w:cstheme="minorHAnsi"/>
          <w:sz w:val="20"/>
        </w:rPr>
        <w:noBreakHyphen/>
      </w:r>
      <w:r w:rsidRPr="0036353D">
        <w:rPr>
          <w:rFonts w:asciiTheme="minorHAnsi" w:hAnsiTheme="minorHAnsi" w:cstheme="minorHAnsi"/>
          <w:sz w:val="20"/>
        </w:rPr>
        <w:t xml:space="preserve">time Equivalent </w:t>
      </w:r>
    </w:p>
    <w:p w:rsidR="00B958B1" w:rsidRDefault="00B958B1" w:rsidP="009F3B54">
      <w:pPr>
        <w:tabs>
          <w:tab w:val="left" w:pos="1440"/>
        </w:tabs>
        <w:spacing w:after="60"/>
        <w:rPr>
          <w:rFonts w:asciiTheme="minorHAnsi" w:hAnsiTheme="minorHAnsi" w:cstheme="minorHAnsi"/>
          <w:sz w:val="20"/>
        </w:rPr>
      </w:pP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GAAP/GFS</w:t>
      </w:r>
      <w:r w:rsidRPr="0036353D">
        <w:rPr>
          <w:rFonts w:asciiTheme="minorHAnsi" w:hAnsiTheme="minorHAnsi" w:cstheme="minorHAnsi"/>
          <w:sz w:val="20"/>
        </w:rPr>
        <w:tab/>
        <w:t xml:space="preserve">Generally Agreed Accounting Principles/Government Finance Statistics </w:t>
      </w:r>
    </w:p>
    <w:p w:rsidR="00B958B1" w:rsidRPr="003F6C01" w:rsidRDefault="00B958B1" w:rsidP="009F3B54">
      <w:pPr>
        <w:tabs>
          <w:tab w:val="left" w:pos="1440"/>
        </w:tabs>
        <w:spacing w:after="60"/>
        <w:rPr>
          <w:rFonts w:ascii="Calibri" w:hAnsi="Calibri" w:cs="Calibri"/>
          <w:sz w:val="20"/>
        </w:rPr>
      </w:pPr>
      <w:r w:rsidRPr="003F6C01">
        <w:rPr>
          <w:rFonts w:ascii="Calibri" w:hAnsi="Calibri" w:cs="Calibri"/>
          <w:sz w:val="20"/>
        </w:rPr>
        <w:t>GAIC</w:t>
      </w:r>
      <w:r w:rsidRPr="003F6C01">
        <w:rPr>
          <w:rFonts w:ascii="Calibri" w:hAnsi="Calibri" w:cs="Calibri"/>
          <w:sz w:val="20"/>
        </w:rPr>
        <w:tab/>
        <w:t xml:space="preserve">Growth Areas Infrastructure Contribution </w:t>
      </w:r>
    </w:p>
    <w:p w:rsidR="00B958B1" w:rsidRPr="003F6C01" w:rsidRDefault="00B958B1" w:rsidP="009F3B54">
      <w:pPr>
        <w:tabs>
          <w:tab w:val="left" w:pos="1440"/>
        </w:tabs>
        <w:spacing w:after="60"/>
        <w:rPr>
          <w:rFonts w:ascii="Calibri" w:hAnsi="Calibri" w:cs="Calibri"/>
          <w:sz w:val="20"/>
        </w:rPr>
      </w:pPr>
      <w:r w:rsidRPr="003F6C01">
        <w:rPr>
          <w:rFonts w:ascii="Calibri" w:hAnsi="Calibri" w:cs="Calibri"/>
          <w:sz w:val="20"/>
        </w:rPr>
        <w:t>GBE</w:t>
      </w:r>
      <w:r w:rsidRPr="003F6C01">
        <w:rPr>
          <w:rFonts w:ascii="Calibri" w:hAnsi="Calibri" w:cs="Calibri"/>
          <w:sz w:val="20"/>
        </w:rPr>
        <w:tab/>
        <w:t xml:space="preserve">Government Business Enterprise </w:t>
      </w:r>
    </w:p>
    <w:p w:rsidR="00B958B1" w:rsidRPr="003F6C01" w:rsidRDefault="00B958B1" w:rsidP="009F3B54">
      <w:pPr>
        <w:tabs>
          <w:tab w:val="left" w:pos="1440"/>
        </w:tabs>
        <w:spacing w:after="60"/>
        <w:rPr>
          <w:rFonts w:ascii="Calibri" w:hAnsi="Calibri" w:cs="Calibri"/>
          <w:sz w:val="20"/>
        </w:rPr>
      </w:pPr>
      <w:r w:rsidRPr="003F6C01">
        <w:rPr>
          <w:rFonts w:ascii="Calibri" w:hAnsi="Calibri" w:cs="Calibri"/>
          <w:sz w:val="20"/>
        </w:rPr>
        <w:t>GDP</w:t>
      </w:r>
      <w:r w:rsidRPr="003F6C01">
        <w:rPr>
          <w:rFonts w:ascii="Calibri" w:hAnsi="Calibri" w:cs="Calibri"/>
          <w:sz w:val="20"/>
        </w:rPr>
        <w:tab/>
        <w:t xml:space="preserve">Gross Domestic product </w:t>
      </w:r>
    </w:p>
    <w:p w:rsidR="00B958B1" w:rsidRPr="003F6C01" w:rsidRDefault="00B958B1" w:rsidP="009F3B54">
      <w:pPr>
        <w:tabs>
          <w:tab w:val="left" w:pos="1440"/>
        </w:tabs>
        <w:spacing w:after="60"/>
        <w:rPr>
          <w:rFonts w:ascii="Calibri" w:hAnsi="Calibri" w:cs="Calibri"/>
          <w:sz w:val="20"/>
        </w:rPr>
      </w:pPr>
      <w:r w:rsidRPr="003F6C01">
        <w:rPr>
          <w:rFonts w:ascii="Calibri" w:hAnsi="Calibri" w:cs="Calibri"/>
          <w:sz w:val="20"/>
        </w:rPr>
        <w:t>GM</w:t>
      </w:r>
      <w:r w:rsidR="009F0F49">
        <w:rPr>
          <w:rFonts w:ascii="Calibri" w:hAnsi="Calibri" w:cs="Calibri"/>
          <w:sz w:val="20"/>
        </w:rPr>
        <w:noBreakHyphen/>
      </w:r>
      <w:r w:rsidRPr="003F6C01">
        <w:rPr>
          <w:rFonts w:ascii="Calibri" w:hAnsi="Calibri" w:cs="Calibri"/>
          <w:sz w:val="20"/>
        </w:rPr>
        <w:t>W</w:t>
      </w:r>
      <w:r w:rsidRPr="003F6C01">
        <w:rPr>
          <w:rFonts w:ascii="Calibri" w:hAnsi="Calibri" w:cs="Calibri"/>
          <w:sz w:val="20"/>
        </w:rPr>
        <w:tab/>
        <w:t>Goulburn</w:t>
      </w:r>
      <w:r w:rsidR="009F0F49">
        <w:rPr>
          <w:rFonts w:ascii="Calibri" w:hAnsi="Calibri" w:cs="Calibri"/>
          <w:sz w:val="20"/>
        </w:rPr>
        <w:noBreakHyphen/>
      </w:r>
      <w:r w:rsidRPr="003F6C01">
        <w:rPr>
          <w:rFonts w:ascii="Calibri" w:hAnsi="Calibri" w:cs="Calibri"/>
          <w:sz w:val="20"/>
        </w:rPr>
        <w:t xml:space="preserve">Murray Water </w:t>
      </w:r>
    </w:p>
    <w:p w:rsidR="00B958B1" w:rsidRPr="003F6C01" w:rsidRDefault="00B958B1" w:rsidP="009F3B54">
      <w:pPr>
        <w:tabs>
          <w:tab w:val="left" w:pos="1440"/>
        </w:tabs>
        <w:spacing w:after="60"/>
        <w:rPr>
          <w:rFonts w:ascii="Calibri" w:hAnsi="Calibri" w:cs="Calibri"/>
          <w:sz w:val="20"/>
        </w:rPr>
      </w:pPr>
      <w:r w:rsidRPr="003F6C01">
        <w:rPr>
          <w:rFonts w:ascii="Calibri" w:hAnsi="Calibri" w:cs="Calibri"/>
          <w:sz w:val="20"/>
        </w:rPr>
        <w:t>GSP</w:t>
      </w:r>
      <w:r w:rsidRPr="003F6C01">
        <w:rPr>
          <w:rFonts w:ascii="Calibri" w:hAnsi="Calibri" w:cs="Calibri"/>
          <w:sz w:val="20"/>
        </w:rPr>
        <w:tab/>
        <w:t xml:space="preserve">Gross State Product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 xml:space="preserve">GST </w:t>
      </w:r>
      <w:r w:rsidRPr="0036353D">
        <w:rPr>
          <w:rFonts w:asciiTheme="minorHAnsi" w:hAnsiTheme="minorHAnsi" w:cstheme="minorHAnsi"/>
          <w:sz w:val="20"/>
        </w:rPr>
        <w:tab/>
        <w:t xml:space="preserve">Goods and Services Tax </w:t>
      </w:r>
    </w:p>
    <w:p w:rsidR="00B958B1" w:rsidRDefault="00B958B1" w:rsidP="009F3B54">
      <w:pPr>
        <w:tabs>
          <w:tab w:val="left" w:pos="1440"/>
        </w:tabs>
        <w:spacing w:after="60"/>
        <w:rPr>
          <w:rFonts w:asciiTheme="minorHAnsi" w:hAnsiTheme="minorHAnsi" w:cstheme="minorHAnsi"/>
          <w:sz w:val="20"/>
        </w:rPr>
      </w:pP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HACC</w:t>
      </w:r>
      <w:r w:rsidRPr="0036353D">
        <w:rPr>
          <w:rFonts w:asciiTheme="minorHAnsi" w:hAnsiTheme="minorHAnsi" w:cstheme="minorHAnsi"/>
          <w:sz w:val="20"/>
        </w:rPr>
        <w:tab/>
        <w:t>Home and Community Care</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HARP</w:t>
      </w:r>
      <w:r w:rsidRPr="0036353D">
        <w:rPr>
          <w:rFonts w:asciiTheme="minorHAnsi" w:hAnsiTheme="minorHAnsi" w:cstheme="minorHAnsi"/>
          <w:sz w:val="20"/>
        </w:rPr>
        <w:tab/>
        <w:t xml:space="preserve">Hospital Admission Risk Program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HEWS</w:t>
      </w:r>
      <w:r w:rsidRPr="0036353D">
        <w:rPr>
          <w:rFonts w:asciiTheme="minorHAnsi" w:hAnsiTheme="minorHAnsi" w:cstheme="minorHAnsi"/>
          <w:sz w:val="20"/>
        </w:rPr>
        <w:tab/>
        <w:t xml:space="preserve">Hospital Early Warning System </w:t>
      </w:r>
    </w:p>
    <w:p w:rsidR="00B958B1" w:rsidRDefault="00B958B1" w:rsidP="009F3B54">
      <w:pPr>
        <w:tabs>
          <w:tab w:val="left" w:pos="1440"/>
        </w:tabs>
        <w:spacing w:after="60"/>
        <w:rPr>
          <w:rFonts w:asciiTheme="minorHAnsi" w:hAnsiTheme="minorHAnsi" w:cstheme="minorHAnsi"/>
          <w:sz w:val="20"/>
        </w:rPr>
      </w:pPr>
    </w:p>
    <w:p w:rsidR="00B958B1" w:rsidRPr="0036353D" w:rsidRDefault="00B958B1" w:rsidP="009F3B54">
      <w:pPr>
        <w:tabs>
          <w:tab w:val="left" w:pos="1440"/>
        </w:tabs>
        <w:spacing w:after="60"/>
        <w:rPr>
          <w:rFonts w:ascii="Calibri" w:hAnsi="Calibri" w:cs="Calibri"/>
          <w:sz w:val="20"/>
        </w:rPr>
      </w:pPr>
      <w:r w:rsidRPr="0036353D">
        <w:rPr>
          <w:rFonts w:ascii="Calibri" w:hAnsi="Calibri" w:cs="Calibri"/>
          <w:sz w:val="20"/>
        </w:rPr>
        <w:t>IBAC</w:t>
      </w:r>
      <w:r w:rsidRPr="0036353D">
        <w:rPr>
          <w:rFonts w:ascii="Calibri" w:hAnsi="Calibri" w:cs="Calibri"/>
          <w:sz w:val="20"/>
        </w:rPr>
        <w:tab/>
        <w:t>Independent Broad</w:t>
      </w:r>
      <w:r w:rsidR="009F0F49">
        <w:rPr>
          <w:rFonts w:ascii="Calibri" w:hAnsi="Calibri" w:cs="Calibri"/>
          <w:sz w:val="20"/>
        </w:rPr>
        <w:noBreakHyphen/>
      </w:r>
      <w:r w:rsidRPr="0036353D">
        <w:rPr>
          <w:rFonts w:ascii="Calibri" w:hAnsi="Calibri" w:cs="Calibri"/>
          <w:sz w:val="20"/>
        </w:rPr>
        <w:t>based Anti</w:t>
      </w:r>
      <w:r w:rsidR="009F0F49">
        <w:rPr>
          <w:rFonts w:ascii="Calibri" w:hAnsi="Calibri" w:cs="Calibri"/>
          <w:sz w:val="20"/>
        </w:rPr>
        <w:noBreakHyphen/>
      </w:r>
      <w:r w:rsidRPr="0036353D">
        <w:rPr>
          <w:rFonts w:ascii="Calibri" w:hAnsi="Calibri" w:cs="Calibri"/>
          <w:sz w:val="20"/>
        </w:rPr>
        <w:t xml:space="preserve">corruption Commission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ICT</w:t>
      </w:r>
      <w:r w:rsidRPr="0036353D">
        <w:rPr>
          <w:rFonts w:asciiTheme="minorHAnsi" w:hAnsiTheme="minorHAnsi" w:cstheme="minorHAnsi"/>
          <w:sz w:val="20"/>
        </w:rPr>
        <w:tab/>
        <w:t>Information and communicat</w:t>
      </w:r>
      <w:r>
        <w:rPr>
          <w:rFonts w:asciiTheme="minorHAnsi" w:hAnsiTheme="minorHAnsi" w:cstheme="minorHAnsi"/>
          <w:sz w:val="20"/>
        </w:rPr>
        <w:t>ion</w:t>
      </w:r>
      <w:r w:rsidRPr="0036353D">
        <w:rPr>
          <w:rFonts w:asciiTheme="minorHAnsi" w:hAnsiTheme="minorHAnsi" w:cstheme="minorHAnsi"/>
          <w:sz w:val="20"/>
        </w:rPr>
        <w:t xml:space="preserve"> technology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IHP</w:t>
      </w:r>
      <w:r w:rsidRPr="0036353D">
        <w:rPr>
          <w:rFonts w:asciiTheme="minorHAnsi" w:hAnsiTheme="minorHAnsi" w:cstheme="minorHAnsi"/>
          <w:sz w:val="20"/>
        </w:rPr>
        <w:tab/>
        <w:t xml:space="preserve">Integrated Health Promotion </w:t>
      </w:r>
    </w:p>
    <w:p w:rsidR="00B958B1" w:rsidRPr="00B66D24" w:rsidRDefault="00B958B1" w:rsidP="009F3B54">
      <w:pPr>
        <w:tabs>
          <w:tab w:val="left" w:pos="1440"/>
        </w:tabs>
        <w:spacing w:after="60"/>
        <w:rPr>
          <w:rFonts w:ascii="Calibri" w:hAnsi="Calibri" w:cs="Calibri"/>
          <w:sz w:val="20"/>
        </w:rPr>
      </w:pPr>
      <w:r w:rsidRPr="00B66D24">
        <w:rPr>
          <w:rFonts w:ascii="Calibri" w:hAnsi="Calibri" w:cs="Calibri"/>
          <w:sz w:val="20"/>
        </w:rPr>
        <w:t>IHPA</w:t>
      </w:r>
      <w:r w:rsidRPr="00B66D24">
        <w:rPr>
          <w:rFonts w:ascii="Calibri" w:hAnsi="Calibri" w:cs="Calibri"/>
          <w:sz w:val="20"/>
        </w:rPr>
        <w:tab/>
        <w:t xml:space="preserve">Independent Hospital Pricing Authority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ISO 9001</w:t>
      </w:r>
      <w:r w:rsidRPr="0036353D">
        <w:rPr>
          <w:rFonts w:asciiTheme="minorHAnsi" w:hAnsiTheme="minorHAnsi" w:cstheme="minorHAnsi"/>
          <w:sz w:val="20"/>
        </w:rPr>
        <w:tab/>
        <w:t>Quality Management Systems</w:t>
      </w:r>
    </w:p>
    <w:p w:rsidR="00B958B1" w:rsidRPr="00B66D24" w:rsidRDefault="00B958B1" w:rsidP="009F3B54">
      <w:pPr>
        <w:tabs>
          <w:tab w:val="left" w:pos="1440"/>
        </w:tabs>
        <w:spacing w:after="60"/>
        <w:rPr>
          <w:rFonts w:ascii="Calibri" w:hAnsi="Calibri" w:cs="Calibri"/>
          <w:sz w:val="20"/>
        </w:rPr>
      </w:pPr>
      <w:r w:rsidRPr="00B66D24">
        <w:rPr>
          <w:rFonts w:ascii="Calibri" w:hAnsi="Calibri" w:cs="Calibri"/>
          <w:sz w:val="20"/>
        </w:rPr>
        <w:t>ITE</w:t>
      </w:r>
      <w:r w:rsidRPr="00B66D24">
        <w:rPr>
          <w:rFonts w:ascii="Calibri" w:hAnsi="Calibri" w:cs="Calibri"/>
          <w:sz w:val="20"/>
        </w:rPr>
        <w:tab/>
        <w:t xml:space="preserve">Income tax equivalents </w:t>
      </w:r>
    </w:p>
    <w:p w:rsidR="00B958B1" w:rsidRDefault="00B958B1" w:rsidP="009F3B54">
      <w:pPr>
        <w:tabs>
          <w:tab w:val="left" w:pos="1440"/>
        </w:tabs>
        <w:spacing w:after="60"/>
        <w:rPr>
          <w:rFonts w:asciiTheme="minorHAnsi" w:hAnsiTheme="minorHAnsi" w:cstheme="minorHAnsi"/>
          <w:sz w:val="20"/>
        </w:rPr>
      </w:pPr>
    </w:p>
    <w:p w:rsidR="00B958B1" w:rsidRPr="0036353D" w:rsidRDefault="00B958B1" w:rsidP="009F3B54">
      <w:pPr>
        <w:tabs>
          <w:tab w:val="left" w:pos="1440"/>
        </w:tabs>
        <w:spacing w:after="60"/>
        <w:rPr>
          <w:rFonts w:asciiTheme="minorHAnsi" w:hAnsiTheme="minorHAnsi" w:cstheme="minorHAnsi"/>
          <w:sz w:val="20"/>
        </w:rPr>
      </w:pPr>
      <w:r>
        <w:rPr>
          <w:rFonts w:asciiTheme="minorHAnsi" w:hAnsiTheme="minorHAnsi" w:cstheme="minorHAnsi"/>
          <w:sz w:val="20"/>
        </w:rPr>
        <w:br w:type="page"/>
      </w:r>
      <w:r w:rsidRPr="0036353D">
        <w:rPr>
          <w:rFonts w:asciiTheme="minorHAnsi" w:hAnsiTheme="minorHAnsi" w:cstheme="minorHAnsi"/>
          <w:sz w:val="20"/>
        </w:rPr>
        <w:t>LCA</w:t>
      </w:r>
      <w:r w:rsidRPr="0036353D">
        <w:rPr>
          <w:rFonts w:asciiTheme="minorHAnsi" w:hAnsiTheme="minorHAnsi" w:cstheme="minorHAnsi"/>
          <w:sz w:val="20"/>
        </w:rPr>
        <w:tab/>
        <w:t xml:space="preserve">Loan Council Allocation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LGI</w:t>
      </w:r>
      <w:r w:rsidRPr="0036353D">
        <w:rPr>
          <w:rFonts w:asciiTheme="minorHAnsi" w:hAnsiTheme="minorHAnsi" w:cstheme="minorHAnsi"/>
          <w:sz w:val="20"/>
        </w:rPr>
        <w:tab/>
        <w:t xml:space="preserve">Local Government Investigations and Compliance Inspectorate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LGPRF</w:t>
      </w:r>
      <w:r w:rsidRPr="0036353D">
        <w:rPr>
          <w:rFonts w:asciiTheme="minorHAnsi" w:hAnsiTheme="minorHAnsi" w:cstheme="minorHAnsi"/>
          <w:sz w:val="20"/>
        </w:rPr>
        <w:tab/>
        <w:t xml:space="preserve">Local Government Performance Reporting Framework </w:t>
      </w:r>
    </w:p>
    <w:p w:rsidR="00B958B1" w:rsidRDefault="00B958B1" w:rsidP="009F3B54">
      <w:pPr>
        <w:tabs>
          <w:tab w:val="left" w:pos="1440"/>
        </w:tabs>
        <w:spacing w:after="60"/>
        <w:rPr>
          <w:rFonts w:asciiTheme="minorHAnsi" w:hAnsiTheme="minorHAnsi" w:cstheme="minorHAnsi"/>
          <w:sz w:val="20"/>
        </w:rPr>
      </w:pP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MCH</w:t>
      </w:r>
      <w:r w:rsidRPr="0036353D">
        <w:rPr>
          <w:rFonts w:asciiTheme="minorHAnsi" w:hAnsiTheme="minorHAnsi" w:cstheme="minorHAnsi"/>
          <w:sz w:val="20"/>
        </w:rPr>
        <w:tab/>
        <w:t xml:space="preserve">Maternal Child Health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MFB</w:t>
      </w:r>
      <w:r w:rsidRPr="0036353D">
        <w:rPr>
          <w:rFonts w:asciiTheme="minorHAnsi" w:hAnsiTheme="minorHAnsi" w:cstheme="minorHAnsi"/>
          <w:sz w:val="20"/>
        </w:rPr>
        <w:tab/>
        <w:t xml:space="preserve">Metropolitan Fire and Emergency Services Board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MPS</w:t>
      </w:r>
      <w:r w:rsidRPr="0036353D">
        <w:rPr>
          <w:rFonts w:asciiTheme="minorHAnsi" w:hAnsiTheme="minorHAnsi" w:cstheme="minorHAnsi"/>
          <w:sz w:val="20"/>
        </w:rPr>
        <w:tab/>
        <w:t xml:space="preserve">Metropolitan Planning Strategy </w:t>
      </w:r>
    </w:p>
    <w:p w:rsidR="00B958B1" w:rsidRDefault="00B958B1" w:rsidP="009F3B54">
      <w:pPr>
        <w:tabs>
          <w:tab w:val="left" w:pos="1440"/>
        </w:tabs>
        <w:spacing w:after="60"/>
        <w:rPr>
          <w:rFonts w:asciiTheme="minorHAnsi" w:hAnsiTheme="minorHAnsi" w:cstheme="minorHAnsi"/>
          <w:sz w:val="20"/>
        </w:rPr>
      </w:pP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NAPLAN</w:t>
      </w:r>
      <w:r w:rsidRPr="0036353D">
        <w:rPr>
          <w:rFonts w:asciiTheme="minorHAnsi" w:hAnsiTheme="minorHAnsi" w:cstheme="minorHAnsi"/>
          <w:sz w:val="20"/>
        </w:rPr>
        <w:tab/>
        <w:t xml:space="preserve">National Assessment Program Literacy and Numeracy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 xml:space="preserve">NDIS </w:t>
      </w:r>
      <w:r w:rsidRPr="0036353D">
        <w:rPr>
          <w:rFonts w:asciiTheme="minorHAnsi" w:hAnsiTheme="minorHAnsi" w:cstheme="minorHAnsi"/>
          <w:sz w:val="20"/>
        </w:rPr>
        <w:tab/>
        <w:t xml:space="preserve">National Disability Insurance Scheme </w:t>
      </w:r>
    </w:p>
    <w:p w:rsidR="00B958B1" w:rsidRPr="003F6C01" w:rsidRDefault="00B958B1" w:rsidP="009F3B54">
      <w:pPr>
        <w:tabs>
          <w:tab w:val="left" w:pos="1440"/>
        </w:tabs>
        <w:spacing w:after="60"/>
        <w:rPr>
          <w:rFonts w:ascii="Calibri" w:hAnsi="Calibri" w:cs="Calibri"/>
          <w:sz w:val="20"/>
        </w:rPr>
      </w:pPr>
      <w:r w:rsidRPr="003F6C01">
        <w:rPr>
          <w:rFonts w:ascii="Calibri" w:hAnsi="Calibri" w:cs="Calibri"/>
          <w:sz w:val="20"/>
        </w:rPr>
        <w:t>NDRRA</w:t>
      </w:r>
      <w:r w:rsidRPr="003F6C01">
        <w:rPr>
          <w:rFonts w:ascii="Calibri" w:hAnsi="Calibri" w:cs="Calibri"/>
          <w:sz w:val="20"/>
        </w:rPr>
        <w:tab/>
        <w:t xml:space="preserve">Natural Disaster Relief and Recovery Arrangements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NECA</w:t>
      </w:r>
      <w:r w:rsidRPr="0036353D">
        <w:rPr>
          <w:rFonts w:asciiTheme="minorHAnsi" w:hAnsiTheme="minorHAnsi" w:cstheme="minorHAnsi"/>
          <w:sz w:val="20"/>
        </w:rPr>
        <w:tab/>
        <w:t xml:space="preserve">National Electricity Code Administrator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 xml:space="preserve">NEAT </w:t>
      </w:r>
      <w:r w:rsidRPr="0036353D">
        <w:rPr>
          <w:rFonts w:asciiTheme="minorHAnsi" w:hAnsiTheme="minorHAnsi" w:cstheme="minorHAnsi"/>
          <w:sz w:val="20"/>
        </w:rPr>
        <w:tab/>
        <w:t xml:space="preserve">National Emergency Access Target </w:t>
      </w:r>
    </w:p>
    <w:p w:rsidR="00B958B1" w:rsidRPr="003F6C01" w:rsidRDefault="00B958B1" w:rsidP="009F3B54">
      <w:pPr>
        <w:tabs>
          <w:tab w:val="left" w:pos="1440"/>
        </w:tabs>
        <w:spacing w:after="60"/>
        <w:rPr>
          <w:rFonts w:ascii="Calibri" w:hAnsi="Calibri" w:cs="Calibri"/>
          <w:sz w:val="20"/>
        </w:rPr>
      </w:pPr>
      <w:r w:rsidRPr="003F6C01">
        <w:rPr>
          <w:rFonts w:ascii="Calibri" w:hAnsi="Calibri" w:cs="Calibri"/>
          <w:sz w:val="20"/>
        </w:rPr>
        <w:t>NFPS</w:t>
      </w:r>
      <w:r w:rsidRPr="003F6C01">
        <w:rPr>
          <w:rFonts w:ascii="Calibri" w:hAnsi="Calibri" w:cs="Calibri"/>
          <w:sz w:val="20"/>
        </w:rPr>
        <w:tab/>
        <w:t>Non</w:t>
      </w:r>
      <w:r w:rsidR="009F0F49">
        <w:rPr>
          <w:rFonts w:ascii="Calibri" w:hAnsi="Calibri" w:cs="Calibri"/>
          <w:sz w:val="20"/>
        </w:rPr>
        <w:noBreakHyphen/>
      </w:r>
      <w:r w:rsidRPr="003F6C01">
        <w:rPr>
          <w:rFonts w:ascii="Calibri" w:hAnsi="Calibri" w:cs="Calibri"/>
          <w:sz w:val="20"/>
        </w:rPr>
        <w:t xml:space="preserve">financial public sector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NHRA</w:t>
      </w:r>
      <w:r w:rsidRPr="0036353D">
        <w:rPr>
          <w:rFonts w:asciiTheme="minorHAnsi" w:hAnsiTheme="minorHAnsi" w:cstheme="minorHAnsi"/>
          <w:sz w:val="20"/>
        </w:rPr>
        <w:tab/>
        <w:t xml:space="preserve">National Health Reform Agreement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NSMHS</w:t>
      </w:r>
      <w:r w:rsidRPr="0036353D">
        <w:rPr>
          <w:rFonts w:asciiTheme="minorHAnsi" w:hAnsiTheme="minorHAnsi" w:cstheme="minorHAnsi"/>
          <w:sz w:val="20"/>
        </w:rPr>
        <w:tab/>
        <w:t xml:space="preserve">National Standards for Mental Health Services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 xml:space="preserve">NSP </w:t>
      </w:r>
      <w:r w:rsidRPr="0036353D">
        <w:rPr>
          <w:rFonts w:asciiTheme="minorHAnsi" w:hAnsiTheme="minorHAnsi" w:cstheme="minorHAnsi"/>
          <w:sz w:val="20"/>
        </w:rPr>
        <w:tab/>
        <w:t xml:space="preserve">Needle and Syringe Program </w:t>
      </w:r>
    </w:p>
    <w:p w:rsidR="00B958B1" w:rsidRDefault="00B958B1" w:rsidP="009F3B54">
      <w:pPr>
        <w:tabs>
          <w:tab w:val="left" w:pos="1440"/>
        </w:tabs>
        <w:spacing w:after="60"/>
        <w:rPr>
          <w:rFonts w:asciiTheme="minorHAnsi" w:hAnsiTheme="minorHAnsi" w:cstheme="minorHAnsi"/>
          <w:sz w:val="20"/>
        </w:rPr>
      </w:pP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 xml:space="preserve">OAAV </w:t>
      </w:r>
      <w:r w:rsidRPr="0036353D">
        <w:rPr>
          <w:rFonts w:asciiTheme="minorHAnsi" w:hAnsiTheme="minorHAnsi" w:cstheme="minorHAnsi"/>
          <w:sz w:val="20"/>
        </w:rPr>
        <w:tab/>
        <w:t xml:space="preserve">Office of Aboriginal Affairs Victoria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 xml:space="preserve">OMAC </w:t>
      </w:r>
      <w:r w:rsidRPr="0036353D">
        <w:rPr>
          <w:rFonts w:asciiTheme="minorHAnsi" w:hAnsiTheme="minorHAnsi" w:cstheme="minorHAnsi"/>
          <w:sz w:val="20"/>
        </w:rPr>
        <w:tab/>
        <w:t xml:space="preserve">Office of Multicultural Affairs and Citizenship </w:t>
      </w:r>
    </w:p>
    <w:p w:rsidR="00B958B1" w:rsidRPr="003F6C01" w:rsidRDefault="00B958B1" w:rsidP="009F3B54">
      <w:pPr>
        <w:tabs>
          <w:tab w:val="left" w:pos="1440"/>
        </w:tabs>
        <w:spacing w:after="60"/>
        <w:rPr>
          <w:rFonts w:ascii="Calibri" w:hAnsi="Calibri" w:cs="Calibri"/>
          <w:sz w:val="20"/>
        </w:rPr>
      </w:pPr>
      <w:r w:rsidRPr="003F6C01">
        <w:rPr>
          <w:rFonts w:ascii="Calibri" w:hAnsi="Calibri" w:cs="Calibri"/>
          <w:sz w:val="20"/>
        </w:rPr>
        <w:t>OPA</w:t>
      </w:r>
      <w:r w:rsidRPr="003F6C01">
        <w:rPr>
          <w:rFonts w:ascii="Calibri" w:hAnsi="Calibri" w:cs="Calibri"/>
          <w:sz w:val="20"/>
        </w:rPr>
        <w:tab/>
        <w:t xml:space="preserve">Office of the Public Advocate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 xml:space="preserve">OPI </w:t>
      </w:r>
      <w:r w:rsidRPr="0036353D">
        <w:rPr>
          <w:rFonts w:asciiTheme="minorHAnsi" w:hAnsiTheme="minorHAnsi" w:cstheme="minorHAnsi"/>
          <w:sz w:val="20"/>
        </w:rPr>
        <w:tab/>
        <w:t xml:space="preserve">Office of Police Integrity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OPP</w:t>
      </w:r>
      <w:r w:rsidRPr="0036353D">
        <w:rPr>
          <w:rFonts w:asciiTheme="minorHAnsi" w:hAnsiTheme="minorHAnsi" w:cstheme="minorHAnsi"/>
          <w:sz w:val="20"/>
        </w:rPr>
        <w:tab/>
        <w:t xml:space="preserve">Office of Public Prosecutions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 xml:space="preserve">OVPC </w:t>
      </w:r>
      <w:r w:rsidRPr="0036353D">
        <w:rPr>
          <w:rFonts w:asciiTheme="minorHAnsi" w:hAnsiTheme="minorHAnsi" w:cstheme="minorHAnsi"/>
          <w:sz w:val="20"/>
        </w:rPr>
        <w:tab/>
        <w:t xml:space="preserve">Office of the Victorian Privacy Commissioner </w:t>
      </w:r>
    </w:p>
    <w:p w:rsidR="00B958B1" w:rsidRDefault="00B958B1" w:rsidP="009F3B54">
      <w:pPr>
        <w:tabs>
          <w:tab w:val="left" w:pos="1440"/>
        </w:tabs>
        <w:spacing w:after="60"/>
        <w:rPr>
          <w:rFonts w:asciiTheme="minorHAnsi" w:hAnsiTheme="minorHAnsi" w:cstheme="minorHAnsi"/>
          <w:sz w:val="20"/>
        </w:rPr>
      </w:pPr>
    </w:p>
    <w:p w:rsidR="00B958B1" w:rsidRPr="003F6C01" w:rsidRDefault="00B958B1" w:rsidP="009F3B54">
      <w:pPr>
        <w:tabs>
          <w:tab w:val="left" w:pos="1440"/>
        </w:tabs>
        <w:spacing w:after="60"/>
        <w:rPr>
          <w:rFonts w:ascii="Calibri" w:hAnsi="Calibri" w:cs="Calibri"/>
          <w:sz w:val="20"/>
        </w:rPr>
      </w:pPr>
      <w:r w:rsidRPr="003F6C01">
        <w:rPr>
          <w:rFonts w:ascii="Calibri" w:hAnsi="Calibri" w:cs="Calibri"/>
          <w:sz w:val="20"/>
        </w:rPr>
        <w:t>PAEC</w:t>
      </w:r>
      <w:r w:rsidRPr="003F6C01">
        <w:rPr>
          <w:rFonts w:ascii="Calibri" w:hAnsi="Calibri" w:cs="Calibri"/>
          <w:sz w:val="20"/>
        </w:rPr>
        <w:tab/>
        <w:t xml:space="preserve">Public Accounts and Estimates Committee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PDRSS</w:t>
      </w:r>
      <w:r w:rsidRPr="0036353D">
        <w:rPr>
          <w:rFonts w:asciiTheme="minorHAnsi" w:hAnsiTheme="minorHAnsi" w:cstheme="minorHAnsi"/>
          <w:sz w:val="20"/>
        </w:rPr>
        <w:tab/>
        <w:t xml:space="preserve">Psychiatric disability Rehabilitation and Support Services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PFC</w:t>
      </w:r>
      <w:r w:rsidRPr="0036353D">
        <w:rPr>
          <w:rFonts w:asciiTheme="minorHAnsi" w:hAnsiTheme="minorHAnsi" w:cstheme="minorHAnsi"/>
          <w:sz w:val="20"/>
        </w:rPr>
        <w:tab/>
        <w:t xml:space="preserve">Public Financial Corporation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PNFC</w:t>
      </w:r>
      <w:r w:rsidRPr="0036353D">
        <w:rPr>
          <w:rFonts w:asciiTheme="minorHAnsi" w:hAnsiTheme="minorHAnsi" w:cstheme="minorHAnsi"/>
          <w:sz w:val="20"/>
        </w:rPr>
        <w:tab/>
        <w:t>Public Non</w:t>
      </w:r>
      <w:r w:rsidR="009F0F49">
        <w:rPr>
          <w:rFonts w:asciiTheme="minorHAnsi" w:hAnsiTheme="minorHAnsi" w:cstheme="minorHAnsi"/>
          <w:sz w:val="20"/>
        </w:rPr>
        <w:noBreakHyphen/>
      </w:r>
      <w:r w:rsidRPr="0036353D">
        <w:rPr>
          <w:rFonts w:asciiTheme="minorHAnsi" w:hAnsiTheme="minorHAnsi" w:cstheme="minorHAnsi"/>
          <w:sz w:val="20"/>
        </w:rPr>
        <w:t xml:space="preserve">Financial Corporation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PPP</w:t>
      </w:r>
      <w:r w:rsidRPr="0036353D">
        <w:rPr>
          <w:rFonts w:asciiTheme="minorHAnsi" w:hAnsiTheme="minorHAnsi" w:cstheme="minorHAnsi"/>
          <w:sz w:val="20"/>
        </w:rPr>
        <w:tab/>
        <w:t xml:space="preserve">public private partnership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 xml:space="preserve">PROV </w:t>
      </w:r>
      <w:r w:rsidRPr="0036353D">
        <w:rPr>
          <w:rFonts w:asciiTheme="minorHAnsi" w:hAnsiTheme="minorHAnsi" w:cstheme="minorHAnsi"/>
          <w:sz w:val="20"/>
        </w:rPr>
        <w:tab/>
        <w:t xml:space="preserve">Public Record Office Victoria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PTV</w:t>
      </w:r>
      <w:r w:rsidRPr="0036353D">
        <w:rPr>
          <w:rFonts w:asciiTheme="minorHAnsi" w:hAnsiTheme="minorHAnsi" w:cstheme="minorHAnsi"/>
          <w:sz w:val="20"/>
        </w:rPr>
        <w:tab/>
        <w:t xml:space="preserve">Public Transport Victoria </w:t>
      </w:r>
    </w:p>
    <w:p w:rsidR="00B958B1" w:rsidRPr="003F6C01" w:rsidRDefault="00B958B1" w:rsidP="009F3B54">
      <w:pPr>
        <w:tabs>
          <w:tab w:val="left" w:pos="1440"/>
        </w:tabs>
        <w:spacing w:after="60"/>
        <w:rPr>
          <w:rFonts w:ascii="Calibri" w:hAnsi="Calibri" w:cs="Calibri"/>
          <w:sz w:val="20"/>
        </w:rPr>
      </w:pPr>
      <w:r w:rsidRPr="003F6C01">
        <w:rPr>
          <w:rFonts w:ascii="Calibri" w:hAnsi="Calibri" w:cs="Calibri"/>
          <w:sz w:val="20"/>
        </w:rPr>
        <w:t>PV</w:t>
      </w:r>
      <w:r w:rsidRPr="003F6C01">
        <w:rPr>
          <w:rFonts w:ascii="Calibri" w:hAnsi="Calibri" w:cs="Calibri"/>
          <w:sz w:val="20"/>
        </w:rPr>
        <w:tab/>
      </w:r>
      <w:r w:rsidRPr="003F6C01">
        <w:rPr>
          <w:rFonts w:ascii="Calibri" w:hAnsi="Calibri" w:cs="Calibri"/>
          <w:i/>
          <w:sz w:val="20"/>
        </w:rPr>
        <w:t>Partnerships Victoria</w:t>
      </w:r>
      <w:r w:rsidRPr="003F6C01">
        <w:rPr>
          <w:rFonts w:ascii="Calibri" w:hAnsi="Calibri" w:cs="Calibri"/>
          <w:sz w:val="20"/>
        </w:rPr>
        <w:t xml:space="preserve"> </w:t>
      </w:r>
    </w:p>
    <w:p w:rsidR="00B958B1" w:rsidRDefault="00B958B1" w:rsidP="009F3B54">
      <w:pPr>
        <w:tabs>
          <w:tab w:val="left" w:pos="1440"/>
        </w:tabs>
        <w:spacing w:after="60"/>
        <w:rPr>
          <w:rFonts w:asciiTheme="minorHAnsi" w:hAnsiTheme="minorHAnsi" w:cstheme="minorHAnsi"/>
          <w:sz w:val="20"/>
        </w:rPr>
      </w:pPr>
    </w:p>
    <w:p w:rsidR="00B958B1" w:rsidRPr="003F6C01" w:rsidRDefault="00B958B1" w:rsidP="009F3B54">
      <w:pPr>
        <w:tabs>
          <w:tab w:val="left" w:pos="1440"/>
        </w:tabs>
        <w:spacing w:after="60"/>
        <w:rPr>
          <w:rFonts w:ascii="Calibri" w:hAnsi="Calibri" w:cs="Calibri"/>
          <w:sz w:val="20"/>
        </w:rPr>
      </w:pPr>
      <w:r w:rsidRPr="003F6C01">
        <w:rPr>
          <w:rFonts w:ascii="Calibri" w:hAnsi="Calibri" w:cs="Calibri"/>
          <w:sz w:val="20"/>
        </w:rPr>
        <w:t>RAPs</w:t>
      </w:r>
      <w:r w:rsidRPr="003F6C01">
        <w:rPr>
          <w:rFonts w:ascii="Calibri" w:hAnsi="Calibri" w:cs="Calibri"/>
          <w:sz w:val="20"/>
        </w:rPr>
        <w:tab/>
        <w:t xml:space="preserve">Registered Aboriginal Parties </w:t>
      </w:r>
    </w:p>
    <w:p w:rsidR="00B958B1" w:rsidRPr="003F6C01" w:rsidRDefault="00B958B1" w:rsidP="009F3B54">
      <w:pPr>
        <w:tabs>
          <w:tab w:val="left" w:pos="1440"/>
        </w:tabs>
        <w:spacing w:after="60"/>
        <w:rPr>
          <w:rFonts w:ascii="Calibri" w:hAnsi="Calibri" w:cs="Calibri"/>
          <w:sz w:val="20"/>
        </w:rPr>
      </w:pPr>
      <w:r w:rsidRPr="003F6C01">
        <w:rPr>
          <w:rFonts w:ascii="Calibri" w:hAnsi="Calibri" w:cs="Calibri"/>
          <w:sz w:val="20"/>
        </w:rPr>
        <w:t>RASV</w:t>
      </w:r>
      <w:r w:rsidRPr="003F6C01">
        <w:rPr>
          <w:rFonts w:ascii="Calibri" w:hAnsi="Calibri" w:cs="Calibri"/>
          <w:sz w:val="20"/>
        </w:rPr>
        <w:tab/>
        <w:t xml:space="preserve">Royal Agricultural Society of Victoria </w:t>
      </w:r>
    </w:p>
    <w:p w:rsidR="00B958B1" w:rsidRPr="003F6C01" w:rsidRDefault="00B958B1" w:rsidP="009F3B54">
      <w:pPr>
        <w:tabs>
          <w:tab w:val="left" w:pos="1440"/>
        </w:tabs>
        <w:spacing w:after="60"/>
        <w:rPr>
          <w:rFonts w:ascii="Calibri" w:hAnsi="Calibri" w:cs="Calibri"/>
          <w:sz w:val="20"/>
        </w:rPr>
      </w:pPr>
      <w:r>
        <w:rPr>
          <w:rFonts w:ascii="Calibri" w:hAnsi="Calibri" w:cs="Calibri"/>
          <w:sz w:val="20"/>
        </w:rPr>
        <w:t>RCV</w:t>
      </w:r>
      <w:r w:rsidRPr="003F6C01">
        <w:rPr>
          <w:rFonts w:ascii="Calibri" w:hAnsi="Calibri" w:cs="Calibri"/>
          <w:sz w:val="20"/>
        </w:rPr>
        <w:tab/>
        <w:t xml:space="preserve">Rural Councils Victoria </w:t>
      </w:r>
    </w:p>
    <w:p w:rsidR="00B958B1" w:rsidRPr="0036353D" w:rsidRDefault="00B958B1" w:rsidP="009F3B54">
      <w:pPr>
        <w:tabs>
          <w:tab w:val="left" w:pos="1440"/>
        </w:tabs>
        <w:spacing w:after="60"/>
        <w:rPr>
          <w:rFonts w:asciiTheme="minorHAnsi" w:hAnsiTheme="minorHAnsi" w:cstheme="minorHAnsi"/>
          <w:sz w:val="20"/>
        </w:rPr>
      </w:pPr>
      <w:r>
        <w:rPr>
          <w:rFonts w:asciiTheme="minorHAnsi" w:hAnsiTheme="minorHAnsi" w:cstheme="minorHAnsi"/>
          <w:sz w:val="20"/>
        </w:rPr>
        <w:t>RDV</w:t>
      </w:r>
      <w:r w:rsidRPr="0036353D">
        <w:rPr>
          <w:rFonts w:asciiTheme="minorHAnsi" w:hAnsiTheme="minorHAnsi" w:cstheme="minorHAnsi"/>
          <w:sz w:val="20"/>
        </w:rPr>
        <w:tab/>
        <w:t xml:space="preserve">Regional Development Victoria </w:t>
      </w:r>
    </w:p>
    <w:p w:rsidR="00B958B1" w:rsidRPr="0036353D" w:rsidRDefault="00B958B1" w:rsidP="009F3B54">
      <w:pPr>
        <w:tabs>
          <w:tab w:val="left" w:pos="1440"/>
        </w:tabs>
        <w:spacing w:after="60"/>
        <w:rPr>
          <w:rFonts w:asciiTheme="minorHAnsi" w:hAnsiTheme="minorHAnsi" w:cstheme="minorHAnsi"/>
          <w:sz w:val="20"/>
        </w:rPr>
      </w:pPr>
      <w:r>
        <w:rPr>
          <w:rFonts w:asciiTheme="minorHAnsi" w:hAnsiTheme="minorHAnsi" w:cstheme="minorHAnsi"/>
          <w:sz w:val="20"/>
        </w:rPr>
        <w:t>RIS</w:t>
      </w:r>
      <w:r w:rsidRPr="0036353D">
        <w:rPr>
          <w:rFonts w:asciiTheme="minorHAnsi" w:hAnsiTheme="minorHAnsi" w:cstheme="minorHAnsi"/>
          <w:sz w:val="20"/>
        </w:rPr>
        <w:tab/>
        <w:t xml:space="preserve">Regulatory Impact Statements </w:t>
      </w:r>
    </w:p>
    <w:p w:rsidR="00B958B1" w:rsidRPr="00B66D24" w:rsidRDefault="00B958B1" w:rsidP="009F3B54">
      <w:pPr>
        <w:tabs>
          <w:tab w:val="left" w:pos="1440"/>
        </w:tabs>
        <w:spacing w:after="60"/>
        <w:rPr>
          <w:rFonts w:ascii="Calibri" w:hAnsi="Calibri" w:cs="Calibri"/>
          <w:sz w:val="20"/>
        </w:rPr>
      </w:pPr>
      <w:r>
        <w:rPr>
          <w:rFonts w:ascii="Calibri" w:hAnsi="Calibri" w:cs="Calibri"/>
          <w:sz w:val="20"/>
        </w:rPr>
        <w:br w:type="page"/>
      </w:r>
      <w:r w:rsidRPr="00B66D24">
        <w:rPr>
          <w:rFonts w:ascii="Calibri" w:hAnsi="Calibri" w:cs="Calibri"/>
          <w:sz w:val="20"/>
        </w:rPr>
        <w:t>SAB</w:t>
      </w:r>
      <w:r w:rsidRPr="00B66D24">
        <w:rPr>
          <w:rFonts w:ascii="Calibri" w:hAnsi="Calibri" w:cs="Calibri"/>
          <w:sz w:val="20"/>
        </w:rPr>
        <w:tab/>
      </w:r>
      <w:r w:rsidRPr="00B66D24">
        <w:rPr>
          <w:rFonts w:ascii="Calibri" w:hAnsi="Calibri" w:cs="Calibri"/>
          <w:i/>
          <w:sz w:val="20"/>
        </w:rPr>
        <w:t>Staphylococcus aureus</w:t>
      </w:r>
      <w:r w:rsidRPr="00B66D24">
        <w:rPr>
          <w:rFonts w:ascii="Calibri" w:hAnsi="Calibri" w:cs="Calibri"/>
          <w:sz w:val="20"/>
        </w:rPr>
        <w:t xml:space="preserve"> bacteraemias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SACS</w:t>
      </w:r>
      <w:r w:rsidRPr="0036353D">
        <w:rPr>
          <w:rFonts w:asciiTheme="minorHAnsi" w:hAnsiTheme="minorHAnsi" w:cstheme="minorHAnsi"/>
          <w:sz w:val="20"/>
        </w:rPr>
        <w:tab/>
        <w:t xml:space="preserve">Social and Community Services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SEV</w:t>
      </w:r>
      <w:r w:rsidRPr="0036353D">
        <w:rPr>
          <w:rFonts w:asciiTheme="minorHAnsi" w:hAnsiTheme="minorHAnsi" w:cstheme="minorHAnsi"/>
          <w:sz w:val="20"/>
        </w:rPr>
        <w:tab/>
        <w:t xml:space="preserve">Standard Equivalent Value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SECV</w:t>
      </w:r>
      <w:r w:rsidRPr="0036353D">
        <w:rPr>
          <w:rFonts w:asciiTheme="minorHAnsi" w:hAnsiTheme="minorHAnsi" w:cstheme="minorHAnsi"/>
          <w:sz w:val="20"/>
        </w:rPr>
        <w:tab/>
        <w:t xml:space="preserve">State Electricity Commission of Victoria </w:t>
      </w:r>
    </w:p>
    <w:p w:rsidR="00B958B1" w:rsidRPr="00B66D24" w:rsidRDefault="00B958B1" w:rsidP="009F3B54">
      <w:pPr>
        <w:tabs>
          <w:tab w:val="left" w:pos="1440"/>
        </w:tabs>
        <w:spacing w:after="60"/>
        <w:rPr>
          <w:rFonts w:ascii="Calibri" w:hAnsi="Calibri" w:cs="Calibri"/>
          <w:sz w:val="20"/>
        </w:rPr>
      </w:pPr>
      <w:r w:rsidRPr="00B66D24">
        <w:rPr>
          <w:rFonts w:ascii="Calibri" w:hAnsi="Calibri" w:cs="Calibri"/>
          <w:sz w:val="20"/>
        </w:rPr>
        <w:t>SG</w:t>
      </w:r>
      <w:r w:rsidRPr="00B66D24">
        <w:rPr>
          <w:rFonts w:ascii="Calibri" w:hAnsi="Calibri" w:cs="Calibri"/>
          <w:sz w:val="20"/>
        </w:rPr>
        <w:tab/>
        <w:t xml:space="preserve">Superannuation Guarantee </w:t>
      </w:r>
    </w:p>
    <w:p w:rsidR="00B958B1" w:rsidRPr="00B66D24" w:rsidRDefault="00B958B1" w:rsidP="009F3B54">
      <w:pPr>
        <w:tabs>
          <w:tab w:val="left" w:pos="1440"/>
        </w:tabs>
        <w:spacing w:after="60"/>
        <w:rPr>
          <w:rFonts w:ascii="Calibri" w:hAnsi="Calibri" w:cs="Calibri"/>
          <w:sz w:val="20"/>
        </w:rPr>
      </w:pPr>
      <w:r w:rsidRPr="00B66D24">
        <w:rPr>
          <w:rFonts w:ascii="Calibri" w:hAnsi="Calibri" w:cs="Calibri"/>
          <w:sz w:val="20"/>
        </w:rPr>
        <w:t>SGI</w:t>
      </w:r>
      <w:r w:rsidRPr="00B66D24">
        <w:rPr>
          <w:rFonts w:ascii="Calibri" w:hAnsi="Calibri" w:cs="Calibri"/>
          <w:sz w:val="20"/>
        </w:rPr>
        <w:tab/>
        <w:t xml:space="preserve">Sustainable Government Initiative </w:t>
      </w:r>
    </w:p>
    <w:p w:rsidR="00B958B1" w:rsidRPr="00B66D24" w:rsidRDefault="00B958B1" w:rsidP="009F3B54">
      <w:pPr>
        <w:tabs>
          <w:tab w:val="left" w:pos="1440"/>
        </w:tabs>
        <w:spacing w:after="60"/>
        <w:rPr>
          <w:rFonts w:ascii="Calibri" w:hAnsi="Calibri" w:cs="Calibri"/>
          <w:sz w:val="20"/>
        </w:rPr>
      </w:pPr>
      <w:r w:rsidRPr="00B66D24">
        <w:rPr>
          <w:rFonts w:ascii="Calibri" w:hAnsi="Calibri" w:cs="Calibri"/>
          <w:sz w:val="20"/>
        </w:rPr>
        <w:t>SOE</w:t>
      </w:r>
      <w:r w:rsidRPr="00B66D24">
        <w:rPr>
          <w:rFonts w:ascii="Calibri" w:hAnsi="Calibri" w:cs="Calibri"/>
          <w:sz w:val="20"/>
        </w:rPr>
        <w:tab/>
        <w:t xml:space="preserve">Ministerial Statements of Expectations </w:t>
      </w:r>
    </w:p>
    <w:p w:rsidR="00B958B1" w:rsidRPr="00B66D24" w:rsidRDefault="00B958B1" w:rsidP="009F3B54">
      <w:pPr>
        <w:tabs>
          <w:tab w:val="left" w:pos="1440"/>
        </w:tabs>
        <w:spacing w:after="60"/>
        <w:rPr>
          <w:rFonts w:ascii="Calibri" w:hAnsi="Calibri" w:cs="Calibri"/>
          <w:sz w:val="20"/>
        </w:rPr>
      </w:pPr>
      <w:r w:rsidRPr="00B66D24">
        <w:rPr>
          <w:rFonts w:ascii="Calibri" w:hAnsi="Calibri" w:cs="Calibri"/>
          <w:sz w:val="20"/>
        </w:rPr>
        <w:t>SOEs</w:t>
      </w:r>
      <w:r w:rsidRPr="00B66D24">
        <w:rPr>
          <w:rFonts w:ascii="Calibri" w:hAnsi="Calibri" w:cs="Calibri"/>
          <w:sz w:val="20"/>
        </w:rPr>
        <w:tab/>
        <w:t xml:space="preserve">Statement of Expectations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SSA</w:t>
      </w:r>
      <w:r w:rsidRPr="0036353D">
        <w:rPr>
          <w:rFonts w:asciiTheme="minorHAnsi" w:hAnsiTheme="minorHAnsi" w:cstheme="minorHAnsi"/>
          <w:sz w:val="20"/>
        </w:rPr>
        <w:tab/>
        <w:t xml:space="preserve">State Services Authority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STI</w:t>
      </w:r>
      <w:r w:rsidRPr="0036353D">
        <w:rPr>
          <w:rFonts w:asciiTheme="minorHAnsi" w:hAnsiTheme="minorHAnsi" w:cstheme="minorHAnsi"/>
          <w:sz w:val="20"/>
        </w:rPr>
        <w:tab/>
        <w:t>Sexually Transmitted Infection</w:t>
      </w:r>
      <w:r w:rsidRPr="0036353D">
        <w:rPr>
          <w:rFonts w:asciiTheme="minorHAnsi" w:hAnsiTheme="minorHAnsi" w:cstheme="minorHAnsi"/>
          <w:sz w:val="20"/>
        </w:rPr>
        <w:tab/>
      </w:r>
    </w:p>
    <w:p w:rsidR="00B958B1" w:rsidRDefault="00B958B1" w:rsidP="009F3B54">
      <w:pPr>
        <w:tabs>
          <w:tab w:val="left" w:pos="1440"/>
        </w:tabs>
        <w:spacing w:after="60"/>
        <w:rPr>
          <w:rFonts w:asciiTheme="minorHAnsi" w:hAnsiTheme="minorHAnsi" w:cstheme="minorHAnsi"/>
          <w:sz w:val="20"/>
        </w:rPr>
      </w:pP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 xml:space="preserve">TAC </w:t>
      </w:r>
      <w:r>
        <w:rPr>
          <w:rFonts w:asciiTheme="minorHAnsi" w:hAnsiTheme="minorHAnsi" w:cstheme="minorHAnsi"/>
          <w:sz w:val="20"/>
        </w:rPr>
        <w:tab/>
        <w:t>Transport Accident Commission</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TAFE</w:t>
      </w:r>
      <w:r w:rsidRPr="0036353D">
        <w:rPr>
          <w:rFonts w:asciiTheme="minorHAnsi" w:hAnsiTheme="minorHAnsi" w:cstheme="minorHAnsi"/>
          <w:sz w:val="20"/>
        </w:rPr>
        <w:tab/>
        <w:t>T</w:t>
      </w:r>
      <w:r>
        <w:rPr>
          <w:rFonts w:asciiTheme="minorHAnsi" w:hAnsiTheme="minorHAnsi" w:cstheme="minorHAnsi"/>
          <w:sz w:val="20"/>
        </w:rPr>
        <w:t>echnical and Further Education</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 xml:space="preserve">TB </w:t>
      </w:r>
      <w:r w:rsidRPr="0036353D">
        <w:rPr>
          <w:rFonts w:asciiTheme="minorHAnsi" w:hAnsiTheme="minorHAnsi" w:cstheme="minorHAnsi"/>
          <w:sz w:val="20"/>
        </w:rPr>
        <w:tab/>
        <w:t xml:space="preserve">Pulmonary Tuberculosis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TEI</w:t>
      </w:r>
      <w:r w:rsidRPr="0036353D">
        <w:rPr>
          <w:rFonts w:asciiTheme="minorHAnsi" w:hAnsiTheme="minorHAnsi" w:cstheme="minorHAnsi"/>
          <w:sz w:val="20"/>
        </w:rPr>
        <w:tab/>
        <w:t xml:space="preserve">Total Estimated Investment </w:t>
      </w:r>
    </w:p>
    <w:p w:rsidR="00B958B1" w:rsidRPr="0025383E" w:rsidRDefault="00B958B1" w:rsidP="009F3B54">
      <w:pPr>
        <w:tabs>
          <w:tab w:val="left" w:pos="1440"/>
        </w:tabs>
        <w:spacing w:after="60"/>
        <w:rPr>
          <w:rFonts w:ascii="Calibri" w:hAnsi="Calibri" w:cs="Calibri"/>
          <w:sz w:val="20"/>
        </w:rPr>
      </w:pPr>
      <w:r w:rsidRPr="0025383E">
        <w:rPr>
          <w:rFonts w:ascii="Calibri" w:hAnsi="Calibri" w:cs="Calibri"/>
          <w:sz w:val="20"/>
        </w:rPr>
        <w:t xml:space="preserve">THM </w:t>
      </w:r>
      <w:r w:rsidRPr="0025383E">
        <w:rPr>
          <w:rFonts w:ascii="Calibri" w:hAnsi="Calibri" w:cs="Calibri"/>
          <w:sz w:val="20"/>
        </w:rPr>
        <w:tab/>
        <w:t xml:space="preserve">Transitional Housing Management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 xml:space="preserve">TOPS </w:t>
      </w:r>
      <w:r w:rsidRPr="0036353D">
        <w:rPr>
          <w:rFonts w:asciiTheme="minorHAnsi" w:hAnsiTheme="minorHAnsi" w:cstheme="minorHAnsi"/>
          <w:sz w:val="20"/>
        </w:rPr>
        <w:tab/>
        <w:t xml:space="preserve">Train Operation Performance System </w:t>
      </w:r>
    </w:p>
    <w:p w:rsidR="00B958B1" w:rsidRDefault="00B958B1" w:rsidP="009F3B54">
      <w:pPr>
        <w:tabs>
          <w:tab w:val="left" w:pos="1440"/>
        </w:tabs>
        <w:spacing w:after="60"/>
        <w:rPr>
          <w:rFonts w:asciiTheme="minorHAnsi" w:hAnsiTheme="minorHAnsi" w:cstheme="minorHAnsi"/>
          <w:sz w:val="20"/>
        </w:rPr>
      </w:pPr>
    </w:p>
    <w:p w:rsidR="00B958B1" w:rsidRPr="0046382A" w:rsidRDefault="00B958B1" w:rsidP="009F3B54">
      <w:pPr>
        <w:tabs>
          <w:tab w:val="left" w:pos="1440"/>
        </w:tabs>
        <w:spacing w:after="60"/>
        <w:rPr>
          <w:rFonts w:ascii="Calibri" w:hAnsi="Calibri" w:cs="Calibri"/>
          <w:sz w:val="20"/>
        </w:rPr>
      </w:pPr>
      <w:r w:rsidRPr="0046382A">
        <w:rPr>
          <w:rFonts w:ascii="Calibri" w:hAnsi="Calibri" w:cs="Calibri"/>
          <w:sz w:val="20"/>
        </w:rPr>
        <w:t>U3A</w:t>
      </w:r>
      <w:r w:rsidRPr="0046382A">
        <w:rPr>
          <w:rFonts w:ascii="Calibri" w:hAnsi="Calibri" w:cs="Calibri"/>
          <w:sz w:val="20"/>
        </w:rPr>
        <w:tab/>
        <w:t xml:space="preserve">University of the Third Age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UPF</w:t>
      </w:r>
      <w:r w:rsidRPr="0036353D">
        <w:rPr>
          <w:rFonts w:asciiTheme="minorHAnsi" w:hAnsiTheme="minorHAnsi" w:cstheme="minorHAnsi"/>
          <w:sz w:val="20"/>
        </w:rPr>
        <w:tab/>
        <w:t xml:space="preserve">Uniform Presentation Framework </w:t>
      </w:r>
    </w:p>
    <w:p w:rsidR="00B958B1" w:rsidRDefault="00B958B1" w:rsidP="009F3B54">
      <w:pPr>
        <w:tabs>
          <w:tab w:val="left" w:pos="1440"/>
        </w:tabs>
        <w:spacing w:after="60"/>
        <w:rPr>
          <w:rFonts w:asciiTheme="minorHAnsi" w:hAnsiTheme="minorHAnsi" w:cstheme="minorHAnsi"/>
          <w:sz w:val="20"/>
        </w:rPr>
      </w:pPr>
    </w:p>
    <w:p w:rsidR="00B958B1" w:rsidRPr="0046382A" w:rsidRDefault="00B958B1" w:rsidP="009F3B54">
      <w:pPr>
        <w:tabs>
          <w:tab w:val="left" w:pos="1440"/>
        </w:tabs>
        <w:spacing w:after="60"/>
        <w:rPr>
          <w:rFonts w:ascii="Calibri" w:hAnsi="Calibri" w:cs="Calibri"/>
          <w:sz w:val="20"/>
        </w:rPr>
      </w:pPr>
      <w:r w:rsidRPr="0046382A">
        <w:rPr>
          <w:rFonts w:ascii="Calibri" w:hAnsi="Calibri" w:cs="Calibri"/>
          <w:sz w:val="20"/>
        </w:rPr>
        <w:t>VASS</w:t>
      </w:r>
      <w:r w:rsidRPr="0046382A">
        <w:rPr>
          <w:rFonts w:ascii="Calibri" w:hAnsi="Calibri" w:cs="Calibri"/>
          <w:sz w:val="20"/>
        </w:rPr>
        <w:tab/>
        <w:t xml:space="preserve">Victorian Assessment Software System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VCAL</w:t>
      </w:r>
      <w:r w:rsidRPr="0036353D">
        <w:rPr>
          <w:rFonts w:asciiTheme="minorHAnsi" w:hAnsiTheme="minorHAnsi" w:cstheme="minorHAnsi"/>
          <w:sz w:val="20"/>
        </w:rPr>
        <w:tab/>
        <w:t xml:space="preserve">Victorian Certificate of Applied Learning </w:t>
      </w:r>
    </w:p>
    <w:p w:rsidR="00B958B1" w:rsidRPr="0025383E" w:rsidRDefault="00B958B1" w:rsidP="009F3B54">
      <w:pPr>
        <w:tabs>
          <w:tab w:val="left" w:pos="1440"/>
        </w:tabs>
        <w:spacing w:after="60"/>
        <w:rPr>
          <w:rFonts w:ascii="Calibri" w:hAnsi="Calibri" w:cs="Calibri"/>
          <w:sz w:val="20"/>
        </w:rPr>
      </w:pPr>
      <w:r w:rsidRPr="0025383E">
        <w:rPr>
          <w:rFonts w:ascii="Calibri" w:hAnsi="Calibri" w:cs="Calibri"/>
          <w:sz w:val="20"/>
        </w:rPr>
        <w:t xml:space="preserve">VCAT </w:t>
      </w:r>
      <w:r w:rsidRPr="0025383E">
        <w:rPr>
          <w:rFonts w:ascii="Calibri" w:hAnsi="Calibri" w:cs="Calibri"/>
          <w:sz w:val="20"/>
        </w:rPr>
        <w:tab/>
        <w:t xml:space="preserve">Victorian Civil and Administrative Tribunal </w:t>
      </w:r>
    </w:p>
    <w:p w:rsidR="00B958B1" w:rsidRPr="0025383E" w:rsidRDefault="00B958B1" w:rsidP="009F3B54">
      <w:pPr>
        <w:tabs>
          <w:tab w:val="left" w:pos="1440"/>
        </w:tabs>
        <w:spacing w:after="60"/>
        <w:rPr>
          <w:rFonts w:ascii="Calibri" w:hAnsi="Calibri" w:cs="Calibri"/>
          <w:sz w:val="20"/>
        </w:rPr>
      </w:pPr>
      <w:r w:rsidRPr="0025383E">
        <w:rPr>
          <w:rFonts w:ascii="Calibri" w:hAnsi="Calibri" w:cs="Calibri"/>
          <w:sz w:val="20"/>
        </w:rPr>
        <w:t>VCCC</w:t>
      </w:r>
      <w:r w:rsidRPr="0025383E">
        <w:rPr>
          <w:rFonts w:ascii="Calibri" w:hAnsi="Calibri" w:cs="Calibri"/>
          <w:sz w:val="20"/>
        </w:rPr>
        <w:tab/>
        <w:t xml:space="preserve">Victorian Comprehensive Cancer Centre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VCE</w:t>
      </w:r>
      <w:r w:rsidRPr="0036353D">
        <w:rPr>
          <w:rFonts w:asciiTheme="minorHAnsi" w:hAnsiTheme="minorHAnsi" w:cstheme="minorHAnsi"/>
          <w:sz w:val="20"/>
        </w:rPr>
        <w:tab/>
        <w:t xml:space="preserve">Victorian Certificate of Education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 xml:space="preserve">VCGLR. </w:t>
      </w:r>
      <w:r w:rsidRPr="0036353D">
        <w:rPr>
          <w:rFonts w:asciiTheme="minorHAnsi" w:hAnsiTheme="minorHAnsi" w:cstheme="minorHAnsi"/>
          <w:sz w:val="20"/>
        </w:rPr>
        <w:tab/>
        <w:t xml:space="preserve">Victorian Commission for Gambling and Liquor Regulation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 xml:space="preserve">VEC </w:t>
      </w:r>
      <w:r w:rsidRPr="0036353D">
        <w:rPr>
          <w:rFonts w:asciiTheme="minorHAnsi" w:hAnsiTheme="minorHAnsi" w:cstheme="minorHAnsi"/>
          <w:sz w:val="20"/>
        </w:rPr>
        <w:tab/>
        <w:t xml:space="preserve">Victorian Electoral Commission </w:t>
      </w:r>
    </w:p>
    <w:p w:rsidR="00B958B1" w:rsidRPr="0025383E" w:rsidRDefault="00B958B1" w:rsidP="009F3B54">
      <w:pPr>
        <w:tabs>
          <w:tab w:val="left" w:pos="1440"/>
        </w:tabs>
        <w:spacing w:after="60"/>
        <w:rPr>
          <w:rFonts w:ascii="Calibri" w:hAnsi="Calibri" w:cs="Calibri"/>
          <w:sz w:val="20"/>
        </w:rPr>
      </w:pPr>
      <w:r w:rsidRPr="0025383E">
        <w:rPr>
          <w:rFonts w:ascii="Calibri" w:hAnsi="Calibri" w:cs="Calibri"/>
          <w:sz w:val="20"/>
        </w:rPr>
        <w:t>VEET</w:t>
      </w:r>
      <w:r w:rsidRPr="0025383E">
        <w:rPr>
          <w:rFonts w:ascii="Calibri" w:hAnsi="Calibri" w:cs="Calibri"/>
          <w:sz w:val="20"/>
        </w:rPr>
        <w:tab/>
        <w:t xml:space="preserve">Victorian Entergy Efficiency Target </w:t>
      </w:r>
    </w:p>
    <w:p w:rsidR="00B958B1" w:rsidRPr="0025383E" w:rsidRDefault="00B958B1" w:rsidP="009F3B54">
      <w:pPr>
        <w:tabs>
          <w:tab w:val="left" w:pos="1440"/>
        </w:tabs>
        <w:spacing w:after="60"/>
        <w:rPr>
          <w:rFonts w:ascii="Calibri" w:hAnsi="Calibri" w:cs="Calibri"/>
          <w:sz w:val="20"/>
        </w:rPr>
      </w:pPr>
      <w:r w:rsidRPr="0025383E">
        <w:rPr>
          <w:rFonts w:ascii="Calibri" w:hAnsi="Calibri" w:cs="Calibri"/>
          <w:sz w:val="20"/>
        </w:rPr>
        <w:t xml:space="preserve">VEOHRC </w:t>
      </w:r>
      <w:r w:rsidRPr="0025383E">
        <w:rPr>
          <w:rFonts w:ascii="Calibri" w:hAnsi="Calibri" w:cs="Calibri"/>
          <w:sz w:val="20"/>
        </w:rPr>
        <w:tab/>
        <w:t xml:space="preserve">Victorian Equal Opportunity and Human Rights Commission </w:t>
      </w:r>
    </w:p>
    <w:p w:rsidR="00B958B1" w:rsidRPr="0025383E" w:rsidRDefault="00B958B1" w:rsidP="009F3B54">
      <w:pPr>
        <w:tabs>
          <w:tab w:val="left" w:pos="1440"/>
        </w:tabs>
        <w:spacing w:after="60"/>
        <w:rPr>
          <w:rFonts w:ascii="Calibri" w:hAnsi="Calibri" w:cs="Calibri"/>
          <w:sz w:val="20"/>
        </w:rPr>
      </w:pPr>
      <w:r w:rsidRPr="0025383E">
        <w:rPr>
          <w:rFonts w:ascii="Calibri" w:hAnsi="Calibri" w:cs="Calibri"/>
          <w:sz w:val="20"/>
        </w:rPr>
        <w:t>VET</w:t>
      </w:r>
      <w:r w:rsidRPr="0025383E">
        <w:rPr>
          <w:rFonts w:ascii="Calibri" w:hAnsi="Calibri" w:cs="Calibri"/>
          <w:sz w:val="20"/>
        </w:rPr>
        <w:tab/>
        <w:t xml:space="preserve">Vocational Education and Training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 xml:space="preserve">VERS </w:t>
      </w:r>
      <w:r w:rsidRPr="0036353D">
        <w:rPr>
          <w:rFonts w:asciiTheme="minorHAnsi" w:hAnsiTheme="minorHAnsi" w:cstheme="minorHAnsi"/>
          <w:sz w:val="20"/>
        </w:rPr>
        <w:tab/>
        <w:t xml:space="preserve">Victorian Electronic Records Strategy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VGSO</w:t>
      </w:r>
      <w:r w:rsidRPr="0036353D">
        <w:rPr>
          <w:rFonts w:asciiTheme="minorHAnsi" w:hAnsiTheme="minorHAnsi" w:cstheme="minorHAnsi"/>
          <w:sz w:val="20"/>
        </w:rPr>
        <w:tab/>
        <w:t xml:space="preserve">Victorian Government Solicitor's Office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 xml:space="preserve">VICNISS </w:t>
      </w:r>
      <w:r w:rsidRPr="0036353D">
        <w:rPr>
          <w:rFonts w:asciiTheme="minorHAnsi" w:hAnsiTheme="minorHAnsi" w:cstheme="minorHAnsi"/>
          <w:sz w:val="20"/>
        </w:rPr>
        <w:tab/>
        <w:t xml:space="preserve">Victorian Hospital Acquired Infection Surveillance System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VIFM</w:t>
      </w:r>
      <w:r w:rsidRPr="0036353D">
        <w:rPr>
          <w:rFonts w:asciiTheme="minorHAnsi" w:hAnsiTheme="minorHAnsi" w:cstheme="minorHAnsi"/>
          <w:sz w:val="20"/>
        </w:rPr>
        <w:tab/>
        <w:t xml:space="preserve">Victorian Institute of Forensic Medicine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VIS</w:t>
      </w:r>
      <w:r w:rsidRPr="0036353D">
        <w:rPr>
          <w:rFonts w:asciiTheme="minorHAnsi" w:hAnsiTheme="minorHAnsi" w:cstheme="minorHAnsi"/>
          <w:sz w:val="20"/>
        </w:rPr>
        <w:tab/>
        <w:t xml:space="preserve">Victorian Institute of Sport </w:t>
      </w:r>
    </w:p>
    <w:p w:rsidR="00B958B1" w:rsidRPr="0046382A" w:rsidRDefault="00B958B1" w:rsidP="009F3B54">
      <w:pPr>
        <w:tabs>
          <w:tab w:val="left" w:pos="1440"/>
        </w:tabs>
        <w:spacing w:after="60"/>
        <w:rPr>
          <w:rFonts w:ascii="Calibri" w:hAnsi="Calibri" w:cs="Calibri"/>
          <w:sz w:val="20"/>
        </w:rPr>
      </w:pPr>
      <w:r w:rsidRPr="0046382A">
        <w:rPr>
          <w:rFonts w:ascii="Calibri" w:hAnsi="Calibri" w:cs="Calibri"/>
          <w:sz w:val="20"/>
        </w:rPr>
        <w:t>VLA</w:t>
      </w:r>
      <w:r w:rsidRPr="0046382A">
        <w:rPr>
          <w:rFonts w:ascii="Calibri" w:hAnsi="Calibri" w:cs="Calibri"/>
          <w:sz w:val="20"/>
        </w:rPr>
        <w:tab/>
        <w:t xml:space="preserve">Victoria Legal Aid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VLRC</w:t>
      </w:r>
      <w:r w:rsidRPr="0036353D">
        <w:rPr>
          <w:rFonts w:asciiTheme="minorHAnsi" w:hAnsiTheme="minorHAnsi" w:cstheme="minorHAnsi"/>
          <w:sz w:val="20"/>
        </w:rPr>
        <w:tab/>
        <w:t xml:space="preserve">Victorian Law Reform Commission </w:t>
      </w:r>
    </w:p>
    <w:p w:rsidR="00B958B1" w:rsidRPr="0036353D" w:rsidRDefault="00B958B1" w:rsidP="009F3B54">
      <w:pPr>
        <w:tabs>
          <w:tab w:val="left" w:pos="1440"/>
        </w:tabs>
        <w:spacing w:after="60"/>
        <w:rPr>
          <w:rFonts w:asciiTheme="minorHAnsi" w:hAnsiTheme="minorHAnsi" w:cstheme="minorHAnsi"/>
          <w:sz w:val="20"/>
        </w:rPr>
      </w:pPr>
      <w:r>
        <w:rPr>
          <w:rFonts w:asciiTheme="minorHAnsi" w:hAnsiTheme="minorHAnsi" w:cstheme="minorHAnsi"/>
          <w:sz w:val="20"/>
        </w:rPr>
        <w:br w:type="page"/>
      </w:r>
      <w:r w:rsidRPr="0036353D">
        <w:rPr>
          <w:rFonts w:asciiTheme="minorHAnsi" w:hAnsiTheme="minorHAnsi" w:cstheme="minorHAnsi"/>
          <w:sz w:val="20"/>
        </w:rPr>
        <w:t>VMIA</w:t>
      </w:r>
      <w:r w:rsidRPr="0036353D">
        <w:rPr>
          <w:rFonts w:asciiTheme="minorHAnsi" w:hAnsiTheme="minorHAnsi" w:cstheme="minorHAnsi"/>
          <w:sz w:val="20"/>
        </w:rPr>
        <w:tab/>
        <w:t xml:space="preserve">Victorian Managed Insurance Authority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 xml:space="preserve">VMC </w:t>
      </w:r>
      <w:r w:rsidRPr="0036353D">
        <w:rPr>
          <w:rFonts w:asciiTheme="minorHAnsi" w:hAnsiTheme="minorHAnsi" w:cstheme="minorHAnsi"/>
          <w:sz w:val="20"/>
        </w:rPr>
        <w:tab/>
        <w:t xml:space="preserve">Victorian Multicultural Commission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VO</w:t>
      </w:r>
      <w:r w:rsidRPr="0036353D">
        <w:rPr>
          <w:rFonts w:asciiTheme="minorHAnsi" w:hAnsiTheme="minorHAnsi" w:cstheme="minorHAnsi"/>
          <w:sz w:val="20"/>
        </w:rPr>
        <w:tab/>
        <w:t xml:space="preserve">Victorian Ombudsman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VPS</w:t>
      </w:r>
      <w:r w:rsidRPr="0036353D">
        <w:rPr>
          <w:rFonts w:asciiTheme="minorHAnsi" w:hAnsiTheme="minorHAnsi" w:cstheme="minorHAnsi"/>
          <w:sz w:val="20"/>
        </w:rPr>
        <w:tab/>
        <w:t xml:space="preserve">Victorian Public Sector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 xml:space="preserve">VRGF </w:t>
      </w:r>
      <w:r w:rsidRPr="0036353D">
        <w:rPr>
          <w:rFonts w:asciiTheme="minorHAnsi" w:hAnsiTheme="minorHAnsi" w:cstheme="minorHAnsi"/>
          <w:sz w:val="20"/>
        </w:rPr>
        <w:tab/>
        <w:t xml:space="preserve">Victorian Responsible Gambling Foundation </w:t>
      </w: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VWA</w:t>
      </w:r>
      <w:r w:rsidRPr="0036353D">
        <w:rPr>
          <w:rFonts w:asciiTheme="minorHAnsi" w:hAnsiTheme="minorHAnsi" w:cstheme="minorHAnsi"/>
          <w:sz w:val="20"/>
        </w:rPr>
        <w:tab/>
        <w:t xml:space="preserve">Victorian WorkCover Authority </w:t>
      </w:r>
    </w:p>
    <w:p w:rsidR="00B958B1" w:rsidRDefault="00B958B1" w:rsidP="009F3B54">
      <w:pPr>
        <w:tabs>
          <w:tab w:val="left" w:pos="1440"/>
        </w:tabs>
        <w:spacing w:after="60"/>
        <w:rPr>
          <w:rFonts w:asciiTheme="minorHAnsi" w:hAnsiTheme="minorHAnsi" w:cstheme="minorHAnsi"/>
          <w:sz w:val="20"/>
        </w:rPr>
      </w:pPr>
    </w:p>
    <w:p w:rsidR="00B958B1" w:rsidRPr="0036353D" w:rsidRDefault="00B958B1" w:rsidP="009F3B54">
      <w:pPr>
        <w:tabs>
          <w:tab w:val="left" w:pos="1440"/>
        </w:tabs>
        <w:spacing w:after="60"/>
        <w:rPr>
          <w:rFonts w:asciiTheme="minorHAnsi" w:hAnsiTheme="minorHAnsi" w:cstheme="minorHAnsi"/>
          <w:sz w:val="20"/>
        </w:rPr>
      </w:pPr>
      <w:r w:rsidRPr="0036353D">
        <w:rPr>
          <w:rFonts w:asciiTheme="minorHAnsi" w:hAnsiTheme="minorHAnsi" w:cstheme="minorHAnsi"/>
          <w:sz w:val="20"/>
        </w:rPr>
        <w:t>WIES</w:t>
      </w:r>
      <w:r w:rsidRPr="0036353D">
        <w:rPr>
          <w:rFonts w:asciiTheme="minorHAnsi" w:hAnsiTheme="minorHAnsi" w:cstheme="minorHAnsi"/>
          <w:sz w:val="20"/>
        </w:rPr>
        <w:tab/>
        <w:t>Weighted Inlier Equivalent Separations</w:t>
      </w:r>
    </w:p>
    <w:p w:rsidR="00B958B1" w:rsidRPr="0036353D" w:rsidRDefault="00B958B1" w:rsidP="009F3B54">
      <w:pPr>
        <w:spacing w:after="60"/>
        <w:rPr>
          <w:rFonts w:asciiTheme="minorHAnsi" w:hAnsiTheme="minorHAnsi" w:cstheme="minorHAnsi"/>
          <w:sz w:val="20"/>
        </w:rPr>
      </w:pPr>
    </w:p>
    <w:p w:rsidR="00B958B1" w:rsidRPr="0036353D" w:rsidRDefault="00B958B1" w:rsidP="009F3B54">
      <w:pPr>
        <w:spacing w:after="60"/>
        <w:rPr>
          <w:rFonts w:asciiTheme="minorHAnsi" w:hAnsiTheme="minorHAnsi" w:cstheme="minorHAnsi"/>
          <w:sz w:val="20"/>
        </w:rPr>
      </w:pPr>
    </w:p>
    <w:p w:rsidR="00B958B1" w:rsidRDefault="00B958B1" w:rsidP="009F3B54">
      <w:pPr>
        <w:spacing w:after="60"/>
        <w:rPr>
          <w:rFonts w:asciiTheme="minorHAnsi" w:hAnsiTheme="minorHAnsi" w:cstheme="minorHAnsi"/>
          <w:sz w:val="20"/>
        </w:rPr>
      </w:pPr>
      <w:r>
        <w:rPr>
          <w:rFonts w:asciiTheme="minorHAnsi" w:hAnsiTheme="minorHAnsi" w:cstheme="minorHAnsi"/>
          <w:sz w:val="20"/>
        </w:rPr>
        <w:br w:type="page"/>
      </w:r>
    </w:p>
    <w:p w:rsidR="00B958B1" w:rsidRPr="0036353D" w:rsidRDefault="00B958B1" w:rsidP="009F3B54">
      <w:pPr>
        <w:spacing w:after="60"/>
        <w:rPr>
          <w:rFonts w:asciiTheme="minorHAnsi" w:hAnsiTheme="minorHAnsi" w:cstheme="minorHAnsi"/>
          <w:sz w:val="20"/>
        </w:rPr>
      </w:pPr>
    </w:p>
    <w:p w:rsidR="00B958B1" w:rsidRDefault="00B958B1" w:rsidP="00497606"/>
    <w:p w:rsidR="00B958B1" w:rsidRDefault="00B958B1" w:rsidP="00C45CC5">
      <w:pPr>
        <w:sectPr w:rsidR="00B958B1" w:rsidSect="004B42A1">
          <w:footerReference w:type="even" r:id="rId46"/>
          <w:footerReference w:type="default" r:id="rId47"/>
          <w:type w:val="oddPage"/>
          <w:pgSz w:w="9979" w:h="14181" w:code="138"/>
          <w:pgMar w:top="1138" w:right="1138" w:bottom="1138" w:left="1138" w:header="720" w:footer="720" w:gutter="0"/>
          <w:cols w:space="708"/>
          <w:docGrid w:linePitch="360"/>
        </w:sectPr>
      </w:pPr>
    </w:p>
    <w:p w:rsidR="00B958B1" w:rsidRDefault="00B958B1" w:rsidP="009F3B54">
      <w:pPr>
        <w:pStyle w:val="ChapterHeading"/>
      </w:pPr>
      <w:bookmarkStart w:id="183" w:name="_Toc355362305"/>
      <w:r>
        <w:t>Style conventions</w:t>
      </w:r>
      <w:bookmarkEnd w:id="183"/>
    </w:p>
    <w:p w:rsidR="00B958B1" w:rsidRPr="0009665B" w:rsidRDefault="00B958B1" w:rsidP="009F3B54">
      <w:r w:rsidRPr="0009665B">
        <w:t>Figures in the tables and in the text have been rounded. Discrepancies in tables between totals and sums of components reflect rounding. Percentage changes in all tables are based on the underlying unrounded amounts.</w:t>
      </w:r>
    </w:p>
    <w:p w:rsidR="00B958B1" w:rsidRPr="0009665B" w:rsidRDefault="00B958B1" w:rsidP="009F3B54">
      <w:r w:rsidRPr="0009665B">
        <w:t>The notation used in the tables and charts is as follows:</w:t>
      </w:r>
    </w:p>
    <w:p w:rsidR="00B958B1" w:rsidRPr="0009665B" w:rsidRDefault="00B958B1" w:rsidP="009F3B54">
      <w:pPr>
        <w:ind w:left="2520" w:hanging="1800"/>
      </w:pPr>
      <w:r w:rsidRPr="0009665B">
        <w:t>LHS</w:t>
      </w:r>
      <w:r w:rsidRPr="0009665B">
        <w:tab/>
        <w:t>left</w:t>
      </w:r>
      <w:r w:rsidR="009F0F49">
        <w:noBreakHyphen/>
      </w:r>
      <w:r w:rsidRPr="0009665B">
        <w:t>hand</w:t>
      </w:r>
      <w:r w:rsidR="009F0F49">
        <w:noBreakHyphen/>
      </w:r>
      <w:r w:rsidRPr="0009665B">
        <w:t>side</w:t>
      </w:r>
    </w:p>
    <w:p w:rsidR="00B958B1" w:rsidRPr="0009665B" w:rsidRDefault="00B958B1" w:rsidP="009F3B54">
      <w:pPr>
        <w:ind w:left="2520" w:hanging="1800"/>
      </w:pPr>
      <w:r w:rsidRPr="0009665B">
        <w:t>RHS</w:t>
      </w:r>
      <w:r w:rsidRPr="0009665B">
        <w:tab/>
        <w:t>right</w:t>
      </w:r>
      <w:r w:rsidR="009F0F49">
        <w:noBreakHyphen/>
      </w:r>
      <w:r w:rsidRPr="0009665B">
        <w:t>hand</w:t>
      </w:r>
      <w:r w:rsidR="009F0F49">
        <w:noBreakHyphen/>
      </w:r>
      <w:r w:rsidRPr="0009665B">
        <w:t>side</w:t>
      </w:r>
    </w:p>
    <w:p w:rsidR="00B958B1" w:rsidRPr="0009665B" w:rsidRDefault="00B958B1" w:rsidP="009F3B54">
      <w:pPr>
        <w:ind w:left="2520" w:hanging="1800"/>
      </w:pPr>
      <w:r w:rsidRPr="0009665B">
        <w:t>s.a.</w:t>
      </w:r>
      <w:r w:rsidRPr="0009665B">
        <w:tab/>
        <w:t>seasonally adjusted</w:t>
      </w:r>
    </w:p>
    <w:p w:rsidR="00B958B1" w:rsidRPr="0009665B" w:rsidRDefault="00B958B1" w:rsidP="009F3B54">
      <w:pPr>
        <w:ind w:left="2520" w:hanging="1800"/>
      </w:pPr>
      <w:r w:rsidRPr="0009665B">
        <w:t>n.a. or na</w:t>
      </w:r>
      <w:r w:rsidRPr="0009665B">
        <w:tab/>
        <w:t>not available or not applicable</w:t>
      </w:r>
    </w:p>
    <w:p w:rsidR="00B958B1" w:rsidRPr="0009665B" w:rsidRDefault="00B958B1" w:rsidP="009F3B54">
      <w:pPr>
        <w:ind w:left="2520" w:hanging="1800"/>
      </w:pPr>
      <w:r w:rsidRPr="0009665B">
        <w:t>Cat. No.</w:t>
      </w:r>
      <w:r w:rsidRPr="0009665B">
        <w:tab/>
        <w:t>catalogue number</w:t>
      </w:r>
    </w:p>
    <w:p w:rsidR="00B958B1" w:rsidRPr="0009665B" w:rsidRDefault="00B958B1" w:rsidP="009F3B54">
      <w:pPr>
        <w:ind w:left="2520" w:hanging="1800"/>
      </w:pPr>
      <w:r w:rsidRPr="0009665B">
        <w:t>1</w:t>
      </w:r>
      <w:r>
        <w:t> billion</w:t>
      </w:r>
      <w:r w:rsidRPr="0009665B">
        <w:tab/>
        <w:t>1 000</w:t>
      </w:r>
      <w:r>
        <w:t> million</w:t>
      </w:r>
    </w:p>
    <w:p w:rsidR="00B958B1" w:rsidRPr="0009665B" w:rsidRDefault="00B958B1" w:rsidP="009F3B54">
      <w:pPr>
        <w:ind w:left="2520" w:hanging="1800"/>
      </w:pPr>
      <w:r w:rsidRPr="0009665B">
        <w:t>1 basis point</w:t>
      </w:r>
      <w:r w:rsidRPr="0009665B">
        <w:tab/>
        <w:t>0.01</w:t>
      </w:r>
      <w:r>
        <w:t> per cent</w:t>
      </w:r>
    </w:p>
    <w:p w:rsidR="00B958B1" w:rsidRPr="0009665B" w:rsidRDefault="00B958B1" w:rsidP="009F3B54">
      <w:pPr>
        <w:ind w:left="2520" w:hanging="1800"/>
      </w:pPr>
      <w:r w:rsidRPr="0009665B">
        <w:t>nm</w:t>
      </w:r>
      <w:r w:rsidRPr="0009665B">
        <w:tab/>
        <w:t>new measure</w:t>
      </w:r>
    </w:p>
    <w:p w:rsidR="00B958B1" w:rsidRPr="0009665B" w:rsidRDefault="00B958B1" w:rsidP="009F3B54">
      <w:pPr>
        <w:ind w:left="2520" w:hanging="1800"/>
      </w:pPr>
      <w:r w:rsidRPr="0009665B">
        <w:t>..</w:t>
      </w:r>
      <w:r w:rsidRPr="0009665B">
        <w:tab/>
        <w:t>zero, or rounded to zero</w:t>
      </w:r>
    </w:p>
    <w:p w:rsidR="00B958B1" w:rsidRPr="0009665B" w:rsidRDefault="00B958B1" w:rsidP="009F3B54">
      <w:pPr>
        <w:ind w:left="2520" w:hanging="1800"/>
      </w:pPr>
      <w:r w:rsidRPr="0009665B">
        <w:t>tba</w:t>
      </w:r>
      <w:r w:rsidRPr="0009665B">
        <w:tab/>
        <w:t>to be advised</w:t>
      </w:r>
    </w:p>
    <w:p w:rsidR="00B958B1" w:rsidRPr="0009665B" w:rsidRDefault="00B958B1" w:rsidP="009F3B54">
      <w:pPr>
        <w:ind w:left="2520" w:hanging="1800"/>
      </w:pPr>
      <w:r w:rsidRPr="0009665B">
        <w:t>tbd</w:t>
      </w:r>
      <w:r w:rsidRPr="0009665B">
        <w:tab/>
        <w:t>to be determined</w:t>
      </w:r>
    </w:p>
    <w:p w:rsidR="00B958B1" w:rsidRPr="0009665B" w:rsidRDefault="00B958B1" w:rsidP="009F3B54">
      <w:pPr>
        <w:ind w:left="2520" w:hanging="1800"/>
      </w:pPr>
      <w:r w:rsidRPr="0009665B">
        <w:t>ongoing</w:t>
      </w:r>
      <w:r w:rsidRPr="0009665B">
        <w:tab/>
        <w:t>continuing output, program, project etc.</w:t>
      </w:r>
    </w:p>
    <w:p w:rsidR="00B958B1" w:rsidRPr="0009665B" w:rsidRDefault="00B958B1" w:rsidP="009F3B54">
      <w:pPr>
        <w:ind w:left="2520" w:hanging="1800"/>
      </w:pPr>
      <w:r w:rsidRPr="0009665B">
        <w:t>(xxx.x)</w:t>
      </w:r>
      <w:r w:rsidRPr="0009665B">
        <w:tab/>
        <w:t>negative numbers</w:t>
      </w:r>
    </w:p>
    <w:p w:rsidR="00B958B1" w:rsidRDefault="00B958B1" w:rsidP="00497606">
      <w:r>
        <w:br w:type="page"/>
      </w:r>
    </w:p>
    <w:p w:rsidR="00B958B1" w:rsidRDefault="00B958B1" w:rsidP="00497606"/>
    <w:p w:rsidR="00B958B1" w:rsidRDefault="00B958B1" w:rsidP="00C45CC5">
      <w:pPr>
        <w:sectPr w:rsidR="00B958B1" w:rsidSect="004B42A1">
          <w:footerReference w:type="even" r:id="rId48"/>
          <w:footerReference w:type="default" r:id="rId49"/>
          <w:type w:val="oddPage"/>
          <w:pgSz w:w="9979" w:h="14181" w:code="138"/>
          <w:pgMar w:top="1138" w:right="1138" w:bottom="1138" w:left="1138" w:header="720" w:footer="720" w:gutter="0"/>
          <w:cols w:space="708"/>
          <w:docGrid w:linePitch="360"/>
        </w:sectPr>
      </w:pPr>
    </w:p>
    <w:p w:rsidR="00B958B1" w:rsidRDefault="00B958B1" w:rsidP="009F3B54">
      <w:pPr>
        <w:pStyle w:val="ChapterHeading"/>
      </w:pPr>
      <w:bookmarkStart w:id="184" w:name="_Toc355362306"/>
      <w:r>
        <w:t>Index</w:t>
      </w:r>
      <w:bookmarkEnd w:id="184"/>
    </w:p>
    <w:p w:rsidR="009F0F49" w:rsidRDefault="00B958B1" w:rsidP="00497606">
      <w:pPr>
        <w:rPr>
          <w:noProof/>
        </w:rPr>
        <w:sectPr w:rsidR="009F0F49" w:rsidSect="009F0F49">
          <w:footerReference w:type="even" r:id="rId50"/>
          <w:footerReference w:type="default" r:id="rId51"/>
          <w:type w:val="oddPage"/>
          <w:pgSz w:w="9979" w:h="14181" w:code="138"/>
          <w:pgMar w:top="1138" w:right="1138" w:bottom="1138" w:left="1138" w:header="720" w:footer="720" w:gutter="0"/>
          <w:cols w:space="708"/>
          <w:docGrid w:linePitch="360"/>
        </w:sectPr>
      </w:pPr>
      <w:r>
        <w:fldChar w:fldCharType="begin" w:fldLock="1"/>
      </w:r>
      <w:r>
        <w:instrText xml:space="preserve"> INDEX \h "A" \c "2" \z "3081" </w:instrText>
      </w:r>
      <w:r>
        <w:fldChar w:fldCharType="separate"/>
      </w:r>
    </w:p>
    <w:p w:rsidR="009F0F49" w:rsidRDefault="009F0F49">
      <w:pPr>
        <w:pStyle w:val="IndexHeading"/>
        <w:keepNext/>
        <w:tabs>
          <w:tab w:val="right" w:leader="dot" w:pos="3481"/>
        </w:tabs>
        <w:rPr>
          <w:rFonts w:eastAsiaTheme="minorEastAsia" w:cstheme="minorBidi"/>
          <w:b w:val="0"/>
          <w:bCs w:val="0"/>
          <w:noProof/>
        </w:rPr>
      </w:pPr>
      <w:r>
        <w:rPr>
          <w:noProof/>
        </w:rPr>
        <w:t>A</w:t>
      </w:r>
    </w:p>
    <w:p w:rsidR="009F0F49" w:rsidRDefault="009F0F49">
      <w:pPr>
        <w:pStyle w:val="Index1"/>
        <w:tabs>
          <w:tab w:val="right" w:leader="dot" w:pos="3481"/>
        </w:tabs>
        <w:rPr>
          <w:noProof/>
        </w:rPr>
      </w:pPr>
      <w:r>
        <w:rPr>
          <w:noProof/>
        </w:rPr>
        <w:t>Aboriginal, 37, 39, 63</w:t>
      </w:r>
    </w:p>
    <w:p w:rsidR="009F0F49" w:rsidRDefault="009F0F49">
      <w:pPr>
        <w:pStyle w:val="Index1"/>
        <w:tabs>
          <w:tab w:val="right" w:leader="dot" w:pos="3481"/>
        </w:tabs>
        <w:rPr>
          <w:noProof/>
        </w:rPr>
      </w:pPr>
      <w:r>
        <w:rPr>
          <w:noProof/>
        </w:rPr>
        <w:t>Acute Health, 22–24</w:t>
      </w:r>
    </w:p>
    <w:p w:rsidR="009F0F49" w:rsidRDefault="009F0F49">
      <w:pPr>
        <w:pStyle w:val="Index1"/>
        <w:tabs>
          <w:tab w:val="right" w:leader="dot" w:pos="3481"/>
        </w:tabs>
        <w:rPr>
          <w:noProof/>
        </w:rPr>
      </w:pPr>
      <w:r>
        <w:rPr>
          <w:noProof/>
        </w:rPr>
        <w:t>Aged Care, 24</w:t>
      </w:r>
    </w:p>
    <w:p w:rsidR="009F0F49" w:rsidRDefault="009F0F49">
      <w:pPr>
        <w:pStyle w:val="Index1"/>
        <w:tabs>
          <w:tab w:val="right" w:leader="dot" w:pos="3481"/>
        </w:tabs>
        <w:rPr>
          <w:noProof/>
        </w:rPr>
      </w:pPr>
      <w:r>
        <w:rPr>
          <w:noProof/>
        </w:rPr>
        <w:t>Arts, 3, 37, 38, 40, 340</w:t>
      </w:r>
    </w:p>
    <w:p w:rsidR="009F0F49" w:rsidRDefault="009F0F49">
      <w:pPr>
        <w:pStyle w:val="Index1"/>
        <w:tabs>
          <w:tab w:val="right" w:leader="dot" w:pos="3481"/>
        </w:tabs>
        <w:rPr>
          <w:noProof/>
        </w:rPr>
      </w:pPr>
      <w:r>
        <w:rPr>
          <w:noProof/>
        </w:rPr>
        <w:t>Arts and Cultural Development, 37–38</w:t>
      </w:r>
    </w:p>
    <w:p w:rsidR="009F0F49" w:rsidRDefault="009F0F49">
      <w:pPr>
        <w:pStyle w:val="IndexHeading"/>
        <w:keepNext/>
        <w:tabs>
          <w:tab w:val="right" w:leader="dot" w:pos="3481"/>
        </w:tabs>
        <w:rPr>
          <w:rFonts w:eastAsiaTheme="minorEastAsia" w:cstheme="minorBidi"/>
          <w:b w:val="0"/>
          <w:bCs w:val="0"/>
          <w:noProof/>
        </w:rPr>
      </w:pPr>
      <w:r>
        <w:rPr>
          <w:noProof/>
        </w:rPr>
        <w:t>B</w:t>
      </w:r>
    </w:p>
    <w:p w:rsidR="009F0F49" w:rsidRDefault="009F0F49">
      <w:pPr>
        <w:pStyle w:val="Index1"/>
        <w:tabs>
          <w:tab w:val="right" w:leader="dot" w:pos="3481"/>
        </w:tabs>
        <w:rPr>
          <w:noProof/>
        </w:rPr>
      </w:pPr>
      <w:r>
        <w:rPr>
          <w:noProof/>
        </w:rPr>
        <w:t>Biosecurity, 342</w:t>
      </w:r>
    </w:p>
    <w:p w:rsidR="009F0F49" w:rsidRDefault="009F0F49">
      <w:pPr>
        <w:pStyle w:val="Index1"/>
        <w:tabs>
          <w:tab w:val="right" w:leader="dot" w:pos="3481"/>
        </w:tabs>
        <w:rPr>
          <w:noProof/>
        </w:rPr>
      </w:pPr>
      <w:r>
        <w:rPr>
          <w:noProof/>
        </w:rPr>
        <w:t>Bushfire, 3, 14, 34, 35, 340, 341</w:t>
      </w:r>
    </w:p>
    <w:p w:rsidR="009F0F49" w:rsidRDefault="009F0F49">
      <w:pPr>
        <w:pStyle w:val="Index1"/>
        <w:tabs>
          <w:tab w:val="right" w:leader="dot" w:pos="3481"/>
        </w:tabs>
        <w:rPr>
          <w:noProof/>
        </w:rPr>
      </w:pPr>
      <w:r>
        <w:rPr>
          <w:noProof/>
        </w:rPr>
        <w:t xml:space="preserve">Business and industry. </w:t>
      </w:r>
      <w:r w:rsidRPr="008222FD">
        <w:rPr>
          <w:i/>
          <w:noProof/>
        </w:rPr>
        <w:t>See</w:t>
      </w:r>
      <w:r>
        <w:rPr>
          <w:noProof/>
        </w:rPr>
        <w:t xml:space="preserve"> Department of State Development, Business and Innovation, </w:t>
      </w:r>
      <w:r w:rsidRPr="008222FD">
        <w:rPr>
          <w:i/>
          <w:noProof/>
        </w:rPr>
        <w:t>See also</w:t>
      </w:r>
      <w:r>
        <w:rPr>
          <w:noProof/>
        </w:rPr>
        <w:t xml:space="preserve"> Budget Paper No. 5</w:t>
      </w:r>
    </w:p>
    <w:p w:rsidR="009F0F49" w:rsidRDefault="009F0F49">
      <w:pPr>
        <w:pStyle w:val="IndexHeading"/>
        <w:keepNext/>
        <w:tabs>
          <w:tab w:val="right" w:leader="dot" w:pos="3481"/>
        </w:tabs>
        <w:rPr>
          <w:rFonts w:eastAsiaTheme="minorEastAsia" w:cstheme="minorBidi"/>
          <w:b w:val="0"/>
          <w:bCs w:val="0"/>
          <w:noProof/>
        </w:rPr>
      </w:pPr>
      <w:r>
        <w:rPr>
          <w:noProof/>
        </w:rPr>
        <w:t>C</w:t>
      </w:r>
    </w:p>
    <w:p w:rsidR="009F0F49" w:rsidRDefault="009F0F49">
      <w:pPr>
        <w:pStyle w:val="Index1"/>
        <w:tabs>
          <w:tab w:val="right" w:leader="dot" w:pos="3481"/>
        </w:tabs>
        <w:rPr>
          <w:noProof/>
        </w:rPr>
      </w:pPr>
      <w:r>
        <w:rPr>
          <w:noProof/>
        </w:rPr>
        <w:t>Carers, 27, 28, 29</w:t>
      </w:r>
    </w:p>
    <w:p w:rsidR="009F0F49" w:rsidRDefault="009F0F49">
      <w:pPr>
        <w:pStyle w:val="Index1"/>
        <w:tabs>
          <w:tab w:val="right" w:leader="dot" w:pos="3481"/>
        </w:tabs>
        <w:rPr>
          <w:noProof/>
        </w:rPr>
      </w:pPr>
      <w:r>
        <w:rPr>
          <w:noProof/>
        </w:rPr>
        <w:t>Child Protection and Family Services, 26</w:t>
      </w:r>
    </w:p>
    <w:p w:rsidR="009F0F49" w:rsidRDefault="009F0F49">
      <w:pPr>
        <w:pStyle w:val="Index1"/>
        <w:tabs>
          <w:tab w:val="right" w:leader="dot" w:pos="3481"/>
        </w:tabs>
        <w:rPr>
          <w:noProof/>
        </w:rPr>
      </w:pPr>
      <w:r>
        <w:rPr>
          <w:noProof/>
        </w:rPr>
        <w:t>Children, 2, 8, 22, 26, 29, 38, 341, 343</w:t>
      </w:r>
    </w:p>
    <w:p w:rsidR="009F0F49" w:rsidRDefault="009F0F49">
      <w:pPr>
        <w:pStyle w:val="Index1"/>
        <w:tabs>
          <w:tab w:val="right" w:leader="dot" w:pos="3481"/>
        </w:tabs>
        <w:rPr>
          <w:noProof/>
        </w:rPr>
      </w:pPr>
      <w:r>
        <w:rPr>
          <w:noProof/>
        </w:rPr>
        <w:t>Commonwealth Government, 4, 23</w:t>
      </w:r>
    </w:p>
    <w:p w:rsidR="009F0F49" w:rsidRDefault="009F0F49">
      <w:pPr>
        <w:pStyle w:val="Index1"/>
        <w:tabs>
          <w:tab w:val="right" w:leader="dot" w:pos="3481"/>
        </w:tabs>
        <w:rPr>
          <w:noProof/>
        </w:rPr>
      </w:pPr>
      <w:r>
        <w:rPr>
          <w:noProof/>
        </w:rPr>
        <w:t>Communities, 3, 10, 12, 13, 14, 28, 38, 39, 337, 343</w:t>
      </w:r>
    </w:p>
    <w:p w:rsidR="009F0F49" w:rsidRDefault="009F0F49">
      <w:pPr>
        <w:pStyle w:val="Index1"/>
        <w:tabs>
          <w:tab w:val="right" w:leader="dot" w:pos="3481"/>
        </w:tabs>
        <w:rPr>
          <w:noProof/>
        </w:rPr>
      </w:pPr>
      <w:r>
        <w:rPr>
          <w:noProof/>
        </w:rPr>
        <w:t>Community Safety, 32</w:t>
      </w:r>
    </w:p>
    <w:p w:rsidR="009F0F49" w:rsidRDefault="009F0F49">
      <w:pPr>
        <w:pStyle w:val="Index1"/>
        <w:tabs>
          <w:tab w:val="right" w:leader="dot" w:pos="3481"/>
        </w:tabs>
        <w:rPr>
          <w:noProof/>
        </w:rPr>
      </w:pPr>
      <w:r>
        <w:rPr>
          <w:noProof/>
        </w:rPr>
        <w:t>Community Support Fund, 341</w:t>
      </w:r>
    </w:p>
    <w:p w:rsidR="009F0F49" w:rsidRDefault="009F0F49">
      <w:pPr>
        <w:pStyle w:val="Index1"/>
        <w:tabs>
          <w:tab w:val="right" w:leader="dot" w:pos="3481"/>
        </w:tabs>
        <w:rPr>
          <w:noProof/>
        </w:rPr>
      </w:pPr>
      <w:r>
        <w:rPr>
          <w:noProof/>
        </w:rPr>
        <w:t>Concessions, 61, 62, 64</w:t>
      </w:r>
    </w:p>
    <w:p w:rsidR="009F0F49" w:rsidRDefault="009F0F49">
      <w:pPr>
        <w:pStyle w:val="Index2"/>
        <w:tabs>
          <w:tab w:val="right" w:leader="dot" w:pos="3481"/>
        </w:tabs>
        <w:rPr>
          <w:noProof/>
        </w:rPr>
      </w:pPr>
      <w:r>
        <w:rPr>
          <w:noProof/>
        </w:rPr>
        <w:t>Pensioners and Beneficiaries, 26</w:t>
      </w:r>
    </w:p>
    <w:p w:rsidR="009F0F49" w:rsidRDefault="009F0F49">
      <w:pPr>
        <w:pStyle w:val="Index1"/>
        <w:tabs>
          <w:tab w:val="right" w:leader="dot" w:pos="3481"/>
        </w:tabs>
        <w:rPr>
          <w:noProof/>
        </w:rPr>
      </w:pPr>
      <w:r>
        <w:rPr>
          <w:noProof/>
        </w:rPr>
        <w:t>Country Fire Authority, 3, 34</w:t>
      </w:r>
    </w:p>
    <w:p w:rsidR="009F0F49" w:rsidRDefault="009F0F49">
      <w:pPr>
        <w:pStyle w:val="Index1"/>
        <w:tabs>
          <w:tab w:val="right" w:leader="dot" w:pos="3481"/>
        </w:tabs>
        <w:rPr>
          <w:noProof/>
        </w:rPr>
      </w:pPr>
      <w:r>
        <w:rPr>
          <w:noProof/>
        </w:rPr>
        <w:t>Courts, 3</w:t>
      </w:r>
    </w:p>
    <w:p w:rsidR="009F0F49" w:rsidRDefault="009F0F49">
      <w:pPr>
        <w:pStyle w:val="Index2"/>
        <w:tabs>
          <w:tab w:val="right" w:leader="dot" w:pos="3481"/>
        </w:tabs>
        <w:rPr>
          <w:noProof/>
        </w:rPr>
      </w:pPr>
      <w:r>
        <w:rPr>
          <w:noProof/>
        </w:rPr>
        <w:t>Court Services, 32–33, 35</w:t>
      </w:r>
    </w:p>
    <w:p w:rsidR="009F0F49" w:rsidRDefault="009F0F49">
      <w:pPr>
        <w:pStyle w:val="Index2"/>
        <w:tabs>
          <w:tab w:val="right" w:leader="dot" w:pos="3481"/>
        </w:tabs>
        <w:rPr>
          <w:noProof/>
        </w:rPr>
      </w:pPr>
      <w:r>
        <w:rPr>
          <w:noProof/>
        </w:rPr>
        <w:t>Supporting courts, 32</w:t>
      </w:r>
    </w:p>
    <w:p w:rsidR="009F0F49" w:rsidRDefault="009F0F49">
      <w:pPr>
        <w:pStyle w:val="IndexHeading"/>
        <w:keepNext/>
        <w:tabs>
          <w:tab w:val="right" w:leader="dot" w:pos="3481"/>
        </w:tabs>
        <w:rPr>
          <w:rFonts w:eastAsiaTheme="minorEastAsia" w:cstheme="minorBidi"/>
          <w:b w:val="0"/>
          <w:bCs w:val="0"/>
          <w:noProof/>
        </w:rPr>
      </w:pPr>
      <w:r>
        <w:rPr>
          <w:noProof/>
        </w:rPr>
        <w:t>D</w:t>
      </w:r>
    </w:p>
    <w:p w:rsidR="009F0F49" w:rsidRDefault="009F0F49">
      <w:pPr>
        <w:pStyle w:val="Index1"/>
        <w:tabs>
          <w:tab w:val="right" w:leader="dot" w:pos="3481"/>
        </w:tabs>
        <w:rPr>
          <w:noProof/>
        </w:rPr>
      </w:pPr>
      <w:r>
        <w:rPr>
          <w:noProof/>
        </w:rPr>
        <w:t xml:space="preserve">Dental Health, 24, </w:t>
      </w:r>
      <w:r w:rsidRPr="008222FD">
        <w:rPr>
          <w:i/>
          <w:noProof/>
        </w:rPr>
        <w:t>See</w:t>
      </w:r>
      <w:r>
        <w:rPr>
          <w:noProof/>
        </w:rPr>
        <w:t xml:space="preserve"> Health</w:t>
      </w:r>
    </w:p>
    <w:p w:rsidR="009F0F49" w:rsidRDefault="009F0F49">
      <w:pPr>
        <w:pStyle w:val="Index1"/>
        <w:tabs>
          <w:tab w:val="right" w:leader="dot" w:pos="3481"/>
        </w:tabs>
        <w:rPr>
          <w:noProof/>
        </w:rPr>
      </w:pPr>
      <w:r>
        <w:rPr>
          <w:noProof/>
        </w:rPr>
        <w:t xml:space="preserve">Department of Business and Innovation. </w:t>
      </w:r>
      <w:r w:rsidRPr="008222FD">
        <w:rPr>
          <w:i/>
          <w:noProof/>
        </w:rPr>
        <w:t xml:space="preserve">See </w:t>
      </w:r>
      <w:r>
        <w:rPr>
          <w:noProof/>
        </w:rPr>
        <w:t>Department of State Development, Business and Innovation</w:t>
      </w:r>
    </w:p>
    <w:p w:rsidR="009F0F49" w:rsidRDefault="009F0F49">
      <w:pPr>
        <w:pStyle w:val="Index1"/>
        <w:tabs>
          <w:tab w:val="right" w:leader="dot" w:pos="3481"/>
        </w:tabs>
        <w:rPr>
          <w:noProof/>
        </w:rPr>
      </w:pPr>
      <w:r>
        <w:rPr>
          <w:noProof/>
        </w:rPr>
        <w:t xml:space="preserve">Department of Education and Early Childhood Development, 342, </w:t>
      </w:r>
      <w:r w:rsidRPr="008222FD">
        <w:rPr>
          <w:i/>
          <w:noProof/>
        </w:rPr>
        <w:t>See also</w:t>
      </w:r>
      <w:r>
        <w:rPr>
          <w:noProof/>
        </w:rPr>
        <w:t xml:space="preserve"> Budget Paper No. 5</w:t>
      </w:r>
    </w:p>
    <w:p w:rsidR="009F0F49" w:rsidRDefault="009F0F49">
      <w:pPr>
        <w:pStyle w:val="Index2"/>
        <w:tabs>
          <w:tab w:val="right" w:leader="dot" w:pos="3481"/>
        </w:tabs>
        <w:rPr>
          <w:noProof/>
        </w:rPr>
      </w:pPr>
      <w:r>
        <w:rPr>
          <w:noProof/>
        </w:rPr>
        <w:t>Asset initiatives, 10</w:t>
      </w:r>
    </w:p>
    <w:p w:rsidR="009F0F49" w:rsidRDefault="009F0F49">
      <w:pPr>
        <w:pStyle w:val="Index2"/>
        <w:tabs>
          <w:tab w:val="right" w:leader="dot" w:pos="3481"/>
        </w:tabs>
        <w:rPr>
          <w:noProof/>
        </w:rPr>
      </w:pPr>
      <w:r>
        <w:rPr>
          <w:noProof/>
        </w:rPr>
        <w:t>Early Childhood Development, 7–8, 77–79</w:t>
      </w:r>
    </w:p>
    <w:p w:rsidR="009F0F49" w:rsidRDefault="009F0F49">
      <w:pPr>
        <w:pStyle w:val="Index2"/>
        <w:tabs>
          <w:tab w:val="right" w:leader="dot" w:pos="3481"/>
        </w:tabs>
        <w:rPr>
          <w:noProof/>
        </w:rPr>
      </w:pPr>
      <w:r>
        <w:rPr>
          <w:noProof/>
        </w:rPr>
        <w:t>Higher Education and Skills, 8, 88–90</w:t>
      </w:r>
    </w:p>
    <w:p w:rsidR="009F0F49" w:rsidRDefault="009F0F49">
      <w:pPr>
        <w:pStyle w:val="Index2"/>
        <w:tabs>
          <w:tab w:val="right" w:leader="dot" w:pos="3481"/>
        </w:tabs>
        <w:rPr>
          <w:noProof/>
        </w:rPr>
      </w:pPr>
      <w:r>
        <w:rPr>
          <w:noProof/>
        </w:rPr>
        <w:t>Income from transactions, 75</w:t>
      </w:r>
    </w:p>
    <w:p w:rsidR="009F0F49" w:rsidRDefault="009F0F49">
      <w:pPr>
        <w:pStyle w:val="Index2"/>
        <w:tabs>
          <w:tab w:val="right" w:leader="dot" w:pos="3481"/>
        </w:tabs>
        <w:rPr>
          <w:noProof/>
        </w:rPr>
      </w:pPr>
      <w:r>
        <w:rPr>
          <w:noProof/>
        </w:rPr>
        <w:t>National Partnerships, 7</w:t>
      </w:r>
    </w:p>
    <w:p w:rsidR="009F0F49" w:rsidRDefault="009F0F49">
      <w:pPr>
        <w:pStyle w:val="Index2"/>
        <w:tabs>
          <w:tab w:val="right" w:leader="dot" w:pos="3481"/>
        </w:tabs>
        <w:rPr>
          <w:noProof/>
        </w:rPr>
      </w:pPr>
      <w:r>
        <w:rPr>
          <w:noProof/>
        </w:rPr>
        <w:t>Output initiatives, 7–10</w:t>
      </w:r>
    </w:p>
    <w:p w:rsidR="009F0F49" w:rsidRDefault="009F0F49">
      <w:pPr>
        <w:pStyle w:val="Index2"/>
        <w:tabs>
          <w:tab w:val="right" w:leader="dot" w:pos="3481"/>
        </w:tabs>
        <w:rPr>
          <w:noProof/>
        </w:rPr>
      </w:pPr>
      <w:r>
        <w:rPr>
          <w:noProof/>
        </w:rPr>
        <w:t>Output summary, 74</w:t>
      </w:r>
    </w:p>
    <w:p w:rsidR="009F0F49" w:rsidRDefault="009F0F49">
      <w:pPr>
        <w:pStyle w:val="Index2"/>
        <w:tabs>
          <w:tab w:val="right" w:leader="dot" w:pos="3481"/>
        </w:tabs>
        <w:rPr>
          <w:noProof/>
        </w:rPr>
      </w:pPr>
      <w:r>
        <w:rPr>
          <w:noProof/>
        </w:rPr>
        <w:t>Parliamentary authority for resources, 75</w:t>
      </w:r>
    </w:p>
    <w:p w:rsidR="009F0F49" w:rsidRDefault="009F0F49">
      <w:pPr>
        <w:pStyle w:val="Index2"/>
        <w:tabs>
          <w:tab w:val="right" w:leader="dot" w:pos="3481"/>
        </w:tabs>
        <w:rPr>
          <w:noProof/>
        </w:rPr>
      </w:pPr>
      <w:r>
        <w:rPr>
          <w:noProof/>
        </w:rPr>
        <w:t>School Education, 8–9, 80–87</w:t>
      </w:r>
    </w:p>
    <w:p w:rsidR="009F0F49" w:rsidRDefault="009F0F49">
      <w:pPr>
        <w:pStyle w:val="Index2"/>
        <w:tabs>
          <w:tab w:val="right" w:leader="dot" w:pos="3481"/>
        </w:tabs>
        <w:rPr>
          <w:noProof/>
        </w:rPr>
      </w:pPr>
      <w:r>
        <w:rPr>
          <w:noProof/>
        </w:rPr>
        <w:t>Strategy, Review and Regulation, 76</w:t>
      </w:r>
    </w:p>
    <w:p w:rsidR="009F0F49" w:rsidRDefault="009F0F49">
      <w:pPr>
        <w:pStyle w:val="Index2"/>
        <w:tabs>
          <w:tab w:val="right" w:leader="dot" w:pos="3481"/>
        </w:tabs>
        <w:rPr>
          <w:noProof/>
        </w:rPr>
      </w:pPr>
      <w:r>
        <w:rPr>
          <w:noProof/>
        </w:rPr>
        <w:t>Support for Students with Disabilities, 93</w:t>
      </w:r>
    </w:p>
    <w:p w:rsidR="009F0F49" w:rsidRDefault="009F0F49">
      <w:pPr>
        <w:pStyle w:val="Index2"/>
        <w:tabs>
          <w:tab w:val="right" w:leader="dot" w:pos="3481"/>
        </w:tabs>
        <w:rPr>
          <w:noProof/>
        </w:rPr>
      </w:pPr>
      <w:r>
        <w:rPr>
          <w:noProof/>
        </w:rPr>
        <w:t>Support Services Delivery, 10, 91–92</w:t>
      </w:r>
    </w:p>
    <w:p w:rsidR="009F0F49" w:rsidRDefault="009F0F49">
      <w:pPr>
        <w:pStyle w:val="Index1"/>
        <w:tabs>
          <w:tab w:val="right" w:leader="dot" w:pos="3481"/>
        </w:tabs>
        <w:rPr>
          <w:noProof/>
        </w:rPr>
      </w:pPr>
      <w:r>
        <w:rPr>
          <w:noProof/>
        </w:rPr>
        <w:t xml:space="preserve">Department of Environment and Primary Industries. </w:t>
      </w:r>
      <w:r w:rsidRPr="008222FD">
        <w:rPr>
          <w:i/>
          <w:noProof/>
        </w:rPr>
        <w:t>See also</w:t>
      </w:r>
      <w:r>
        <w:rPr>
          <w:noProof/>
        </w:rPr>
        <w:t xml:space="preserve"> Budget Paper No. 5</w:t>
      </w:r>
    </w:p>
    <w:p w:rsidR="009F0F49" w:rsidRDefault="009F0F49">
      <w:pPr>
        <w:pStyle w:val="Index2"/>
        <w:tabs>
          <w:tab w:val="right" w:leader="dot" w:pos="3481"/>
        </w:tabs>
        <w:rPr>
          <w:noProof/>
        </w:rPr>
      </w:pPr>
      <w:r>
        <w:rPr>
          <w:noProof/>
        </w:rPr>
        <w:t>Asset initiatives, 14–15</w:t>
      </w:r>
    </w:p>
    <w:p w:rsidR="009F0F49" w:rsidRDefault="009F0F49">
      <w:pPr>
        <w:pStyle w:val="Index2"/>
        <w:tabs>
          <w:tab w:val="right" w:leader="dot" w:pos="3481"/>
        </w:tabs>
        <w:rPr>
          <w:noProof/>
        </w:rPr>
      </w:pPr>
      <w:r>
        <w:rPr>
          <w:noProof/>
        </w:rPr>
        <w:t>Bushfire, 11</w:t>
      </w:r>
    </w:p>
    <w:p w:rsidR="009F0F49" w:rsidRDefault="009F0F49">
      <w:pPr>
        <w:pStyle w:val="Index2"/>
        <w:tabs>
          <w:tab w:val="right" w:leader="dot" w:pos="3481"/>
        </w:tabs>
        <w:rPr>
          <w:noProof/>
        </w:rPr>
      </w:pPr>
      <w:r>
        <w:rPr>
          <w:noProof/>
        </w:rPr>
        <w:t>Development of Primary Industries, 12, 112–16</w:t>
      </w:r>
    </w:p>
    <w:p w:rsidR="009F0F49" w:rsidRDefault="009F0F49">
      <w:pPr>
        <w:pStyle w:val="Index2"/>
        <w:tabs>
          <w:tab w:val="right" w:leader="dot" w:pos="3481"/>
        </w:tabs>
        <w:rPr>
          <w:noProof/>
        </w:rPr>
      </w:pPr>
      <w:r>
        <w:rPr>
          <w:noProof/>
        </w:rPr>
        <w:t>Effective Environmental and Adaptation Policy, Investment and Regulations, 12–13, 106–9</w:t>
      </w:r>
    </w:p>
    <w:p w:rsidR="009F0F49" w:rsidRDefault="009F0F49">
      <w:pPr>
        <w:pStyle w:val="Index2"/>
        <w:tabs>
          <w:tab w:val="right" w:leader="dot" w:pos="3481"/>
        </w:tabs>
        <w:rPr>
          <w:noProof/>
        </w:rPr>
      </w:pPr>
      <w:r>
        <w:rPr>
          <w:noProof/>
        </w:rPr>
        <w:t>Effective Management of Water Resources to meet Future Urban, Rural and Environmental Needs, 13, 100–102</w:t>
      </w:r>
    </w:p>
    <w:p w:rsidR="009F0F49" w:rsidRDefault="009F0F49">
      <w:pPr>
        <w:pStyle w:val="Index2"/>
        <w:tabs>
          <w:tab w:val="right" w:leader="dot" w:pos="3481"/>
        </w:tabs>
        <w:rPr>
          <w:noProof/>
        </w:rPr>
      </w:pPr>
      <w:r>
        <w:rPr>
          <w:noProof/>
        </w:rPr>
        <w:t>Environment, 11</w:t>
      </w:r>
    </w:p>
    <w:p w:rsidR="009F0F49" w:rsidRDefault="009F0F49">
      <w:pPr>
        <w:pStyle w:val="Index2"/>
        <w:tabs>
          <w:tab w:val="right" w:leader="dot" w:pos="3481"/>
        </w:tabs>
        <w:rPr>
          <w:noProof/>
        </w:rPr>
      </w:pPr>
      <w:r>
        <w:rPr>
          <w:noProof/>
        </w:rPr>
        <w:t>Income from transactions, 99</w:t>
      </w:r>
    </w:p>
    <w:p w:rsidR="009F0F49" w:rsidRDefault="009F0F49">
      <w:pPr>
        <w:pStyle w:val="Index2"/>
        <w:tabs>
          <w:tab w:val="right" w:leader="dot" w:pos="3481"/>
        </w:tabs>
        <w:rPr>
          <w:noProof/>
        </w:rPr>
      </w:pPr>
      <w:r>
        <w:rPr>
          <w:noProof/>
        </w:rPr>
        <w:t>Output initiatives, 11–14</w:t>
      </w:r>
    </w:p>
    <w:p w:rsidR="009F0F49" w:rsidRDefault="009F0F49">
      <w:pPr>
        <w:pStyle w:val="Index2"/>
        <w:tabs>
          <w:tab w:val="right" w:leader="dot" w:pos="3481"/>
        </w:tabs>
        <w:rPr>
          <w:noProof/>
        </w:rPr>
      </w:pPr>
      <w:r>
        <w:rPr>
          <w:noProof/>
        </w:rPr>
        <w:t xml:space="preserve">Output performance measures for review, </w:t>
      </w:r>
      <w:r w:rsidR="00874A55">
        <w:rPr>
          <w:noProof/>
        </w:rPr>
        <w:br/>
      </w:r>
      <w:r>
        <w:rPr>
          <w:noProof/>
        </w:rPr>
        <w:t>312–14</w:t>
      </w:r>
    </w:p>
    <w:p w:rsidR="009F0F49" w:rsidRDefault="009F0F49">
      <w:pPr>
        <w:pStyle w:val="Index2"/>
        <w:tabs>
          <w:tab w:val="right" w:leader="dot" w:pos="3481"/>
        </w:tabs>
        <w:rPr>
          <w:noProof/>
        </w:rPr>
      </w:pPr>
      <w:r>
        <w:rPr>
          <w:noProof/>
        </w:rPr>
        <w:t>Output summary, 98</w:t>
      </w:r>
    </w:p>
    <w:p w:rsidR="009F0F49" w:rsidRDefault="009F0F49">
      <w:pPr>
        <w:pStyle w:val="Index2"/>
        <w:tabs>
          <w:tab w:val="right" w:leader="dot" w:pos="3481"/>
        </w:tabs>
        <w:rPr>
          <w:noProof/>
        </w:rPr>
      </w:pPr>
      <w:r>
        <w:rPr>
          <w:noProof/>
        </w:rPr>
        <w:t>Parks, 11</w:t>
      </w:r>
    </w:p>
    <w:p w:rsidR="009F0F49" w:rsidRDefault="009F0F49">
      <w:pPr>
        <w:pStyle w:val="Index2"/>
        <w:tabs>
          <w:tab w:val="right" w:leader="dot" w:pos="3481"/>
        </w:tabs>
        <w:rPr>
          <w:noProof/>
        </w:rPr>
      </w:pPr>
      <w:r>
        <w:rPr>
          <w:noProof/>
        </w:rPr>
        <w:t>Parliamentary authority for resources, 99</w:t>
      </w:r>
    </w:p>
    <w:p w:rsidR="009F0F49" w:rsidRDefault="009F0F49">
      <w:pPr>
        <w:pStyle w:val="Index2"/>
        <w:tabs>
          <w:tab w:val="right" w:leader="dot" w:pos="3481"/>
        </w:tabs>
        <w:rPr>
          <w:noProof/>
        </w:rPr>
      </w:pPr>
      <w:r>
        <w:rPr>
          <w:noProof/>
        </w:rPr>
        <w:t>Reduced Impact of Major Bushfires and other Extreme Events on People, Infrastructure and the Environment, 14, 110–11</w:t>
      </w:r>
    </w:p>
    <w:p w:rsidR="009F0F49" w:rsidRDefault="009F0F49">
      <w:pPr>
        <w:pStyle w:val="Index2"/>
        <w:tabs>
          <w:tab w:val="right" w:leader="dot" w:pos="3481"/>
        </w:tabs>
        <w:rPr>
          <w:noProof/>
        </w:rPr>
      </w:pPr>
      <w:r>
        <w:rPr>
          <w:noProof/>
        </w:rPr>
        <w:t>The Community Benefits from Effective Management of Victoria’s Land Assets, 14, 103–5</w:t>
      </w:r>
    </w:p>
    <w:p w:rsidR="009F0F49" w:rsidRDefault="009F0F49">
      <w:pPr>
        <w:pStyle w:val="Index2"/>
        <w:tabs>
          <w:tab w:val="right" w:leader="dot" w:pos="3481"/>
        </w:tabs>
        <w:rPr>
          <w:noProof/>
        </w:rPr>
      </w:pPr>
      <w:r>
        <w:rPr>
          <w:noProof/>
        </w:rPr>
        <w:t>Water, 11</w:t>
      </w:r>
    </w:p>
    <w:p w:rsidR="009F0F49" w:rsidRDefault="009F0F49">
      <w:pPr>
        <w:pStyle w:val="Index1"/>
        <w:tabs>
          <w:tab w:val="right" w:leader="dot" w:pos="3481"/>
        </w:tabs>
        <w:rPr>
          <w:noProof/>
        </w:rPr>
      </w:pPr>
      <w:r>
        <w:rPr>
          <w:noProof/>
        </w:rPr>
        <w:t>Department of Environment and Primary Industry, 342</w:t>
      </w:r>
    </w:p>
    <w:p w:rsidR="009F0F49" w:rsidRDefault="009F0F49">
      <w:pPr>
        <w:pStyle w:val="Index1"/>
        <w:tabs>
          <w:tab w:val="right" w:leader="dot" w:pos="3481"/>
        </w:tabs>
        <w:rPr>
          <w:noProof/>
        </w:rPr>
      </w:pPr>
      <w:r>
        <w:rPr>
          <w:noProof/>
        </w:rPr>
        <w:t xml:space="preserve">Department of Health, 343, </w:t>
      </w:r>
      <w:r w:rsidRPr="008222FD">
        <w:rPr>
          <w:i/>
          <w:noProof/>
        </w:rPr>
        <w:t>See also</w:t>
      </w:r>
      <w:r>
        <w:rPr>
          <w:noProof/>
        </w:rPr>
        <w:t xml:space="preserve"> Budget Paper No. 5</w:t>
      </w:r>
    </w:p>
    <w:p w:rsidR="009F0F49" w:rsidRDefault="009F0F49">
      <w:pPr>
        <w:pStyle w:val="Index2"/>
        <w:tabs>
          <w:tab w:val="right" w:leader="dot" w:pos="3481"/>
        </w:tabs>
        <w:rPr>
          <w:noProof/>
        </w:rPr>
      </w:pPr>
      <w:r>
        <w:rPr>
          <w:noProof/>
        </w:rPr>
        <w:t>Acute Health, 17–19</w:t>
      </w:r>
    </w:p>
    <w:p w:rsidR="009F0F49" w:rsidRDefault="009F0F49">
      <w:pPr>
        <w:pStyle w:val="Index2"/>
        <w:tabs>
          <w:tab w:val="right" w:leader="dot" w:pos="3481"/>
        </w:tabs>
        <w:rPr>
          <w:noProof/>
        </w:rPr>
      </w:pPr>
      <w:r>
        <w:rPr>
          <w:noProof/>
        </w:rPr>
        <w:t>Acute Health Services, 121–27</w:t>
      </w:r>
    </w:p>
    <w:p w:rsidR="009F0F49" w:rsidRDefault="009F0F49">
      <w:pPr>
        <w:spacing w:after="0"/>
        <w:rPr>
          <w:rFonts w:asciiTheme="minorHAnsi" w:hAnsiTheme="minorHAnsi" w:cstheme="minorHAnsi"/>
          <w:noProof/>
          <w:sz w:val="18"/>
          <w:szCs w:val="18"/>
        </w:rPr>
      </w:pPr>
      <w:r>
        <w:rPr>
          <w:noProof/>
        </w:rPr>
        <w:br w:type="page"/>
      </w:r>
    </w:p>
    <w:p w:rsidR="009F0F49" w:rsidRDefault="009F0F49">
      <w:pPr>
        <w:pStyle w:val="Index2"/>
        <w:tabs>
          <w:tab w:val="right" w:leader="dot" w:pos="3481"/>
        </w:tabs>
        <w:rPr>
          <w:noProof/>
        </w:rPr>
      </w:pPr>
      <w:r>
        <w:rPr>
          <w:noProof/>
        </w:rPr>
        <w:t>Ageing, Aged and Home Care, 134–37</w:t>
      </w:r>
    </w:p>
    <w:p w:rsidR="009F0F49" w:rsidRDefault="009F0F49">
      <w:pPr>
        <w:pStyle w:val="Index2"/>
        <w:tabs>
          <w:tab w:val="right" w:leader="dot" w:pos="3481"/>
        </w:tabs>
        <w:rPr>
          <w:noProof/>
        </w:rPr>
      </w:pPr>
      <w:r>
        <w:rPr>
          <w:noProof/>
        </w:rPr>
        <w:t>Ambulance Services, 128–30</w:t>
      </w:r>
    </w:p>
    <w:p w:rsidR="009F0F49" w:rsidRDefault="009F0F49">
      <w:pPr>
        <w:pStyle w:val="Index2"/>
        <w:tabs>
          <w:tab w:val="right" w:leader="dot" w:pos="3481"/>
        </w:tabs>
        <w:rPr>
          <w:noProof/>
        </w:rPr>
      </w:pPr>
      <w:r>
        <w:rPr>
          <w:noProof/>
        </w:rPr>
        <w:t>Asset initiatives, 21–24</w:t>
      </w:r>
    </w:p>
    <w:p w:rsidR="009F0F49" w:rsidRDefault="009F0F49">
      <w:pPr>
        <w:pStyle w:val="Index2"/>
        <w:tabs>
          <w:tab w:val="right" w:leader="dot" w:pos="3481"/>
        </w:tabs>
        <w:rPr>
          <w:noProof/>
        </w:rPr>
      </w:pPr>
      <w:r>
        <w:rPr>
          <w:noProof/>
        </w:rPr>
        <w:t>Drug Services, 146–48</w:t>
      </w:r>
    </w:p>
    <w:p w:rsidR="009F0F49" w:rsidRDefault="009F0F49">
      <w:pPr>
        <w:pStyle w:val="Index2"/>
        <w:tabs>
          <w:tab w:val="right" w:leader="dot" w:pos="3481"/>
        </w:tabs>
        <w:rPr>
          <w:noProof/>
        </w:rPr>
      </w:pPr>
      <w:r>
        <w:rPr>
          <w:noProof/>
        </w:rPr>
        <w:t>Income from transactions, 120</w:t>
      </w:r>
    </w:p>
    <w:p w:rsidR="009F0F49" w:rsidRDefault="009F0F49">
      <w:pPr>
        <w:pStyle w:val="Index2"/>
        <w:tabs>
          <w:tab w:val="right" w:leader="dot" w:pos="3481"/>
        </w:tabs>
        <w:rPr>
          <w:noProof/>
        </w:rPr>
      </w:pPr>
      <w:r>
        <w:rPr>
          <w:noProof/>
        </w:rPr>
        <w:t>Mental Health, 24, 131–33</w:t>
      </w:r>
    </w:p>
    <w:p w:rsidR="009F0F49" w:rsidRDefault="009F0F49">
      <w:pPr>
        <w:pStyle w:val="Index2"/>
        <w:tabs>
          <w:tab w:val="right" w:leader="dot" w:pos="3481"/>
        </w:tabs>
        <w:rPr>
          <w:noProof/>
        </w:rPr>
      </w:pPr>
      <w:r>
        <w:rPr>
          <w:noProof/>
        </w:rPr>
        <w:t>Output initiatives, 16–21</w:t>
      </w:r>
    </w:p>
    <w:p w:rsidR="009F0F49" w:rsidRDefault="009F0F49">
      <w:pPr>
        <w:pStyle w:val="Index2"/>
        <w:tabs>
          <w:tab w:val="right" w:leader="dot" w:pos="3481"/>
        </w:tabs>
        <w:rPr>
          <w:noProof/>
        </w:rPr>
      </w:pPr>
      <w:r>
        <w:rPr>
          <w:noProof/>
        </w:rPr>
        <w:t>Output performance measures for review, 315</w:t>
      </w:r>
    </w:p>
    <w:p w:rsidR="009F0F49" w:rsidRDefault="009F0F49">
      <w:pPr>
        <w:pStyle w:val="Index2"/>
        <w:tabs>
          <w:tab w:val="right" w:leader="dot" w:pos="3481"/>
        </w:tabs>
        <w:rPr>
          <w:noProof/>
        </w:rPr>
      </w:pPr>
      <w:r>
        <w:rPr>
          <w:noProof/>
        </w:rPr>
        <w:t>Output summary, 119</w:t>
      </w:r>
    </w:p>
    <w:p w:rsidR="009F0F49" w:rsidRDefault="009F0F49">
      <w:pPr>
        <w:pStyle w:val="Index2"/>
        <w:tabs>
          <w:tab w:val="right" w:leader="dot" w:pos="3481"/>
        </w:tabs>
        <w:rPr>
          <w:noProof/>
        </w:rPr>
      </w:pPr>
      <w:r>
        <w:rPr>
          <w:noProof/>
        </w:rPr>
        <w:t>Parliamentary authority for resources, 120</w:t>
      </w:r>
    </w:p>
    <w:p w:rsidR="009F0F49" w:rsidRDefault="009F0F49">
      <w:pPr>
        <w:pStyle w:val="Index2"/>
        <w:tabs>
          <w:tab w:val="right" w:leader="dot" w:pos="3481"/>
        </w:tabs>
        <w:rPr>
          <w:noProof/>
        </w:rPr>
      </w:pPr>
      <w:r>
        <w:rPr>
          <w:noProof/>
        </w:rPr>
        <w:t>Primary, Community and Dental Health, 24, 138–39</w:t>
      </w:r>
    </w:p>
    <w:p w:rsidR="009F0F49" w:rsidRDefault="009F0F49">
      <w:pPr>
        <w:pStyle w:val="Index2"/>
        <w:tabs>
          <w:tab w:val="right" w:leader="dot" w:pos="3481"/>
        </w:tabs>
        <w:rPr>
          <w:noProof/>
        </w:rPr>
      </w:pPr>
      <w:r>
        <w:rPr>
          <w:noProof/>
        </w:rPr>
        <w:t>Public Health, 143–45</w:t>
      </w:r>
    </w:p>
    <w:p w:rsidR="009F0F49" w:rsidRDefault="009F0F49">
      <w:pPr>
        <w:pStyle w:val="Index2"/>
        <w:tabs>
          <w:tab w:val="right" w:leader="dot" w:pos="3481"/>
        </w:tabs>
        <w:rPr>
          <w:noProof/>
        </w:rPr>
      </w:pPr>
      <w:r>
        <w:rPr>
          <w:noProof/>
        </w:rPr>
        <w:t>Small Rural Services, 140–42</w:t>
      </w:r>
    </w:p>
    <w:p w:rsidR="009F0F49" w:rsidRDefault="009F0F49">
      <w:pPr>
        <w:pStyle w:val="Index1"/>
        <w:tabs>
          <w:tab w:val="right" w:leader="dot" w:pos="3481"/>
        </w:tabs>
        <w:rPr>
          <w:noProof/>
        </w:rPr>
      </w:pPr>
      <w:r>
        <w:rPr>
          <w:noProof/>
        </w:rPr>
        <w:t xml:space="preserve">Department of Human Services, 343, </w:t>
      </w:r>
      <w:r w:rsidRPr="008222FD">
        <w:rPr>
          <w:i/>
          <w:noProof/>
        </w:rPr>
        <w:t>See also</w:t>
      </w:r>
      <w:r>
        <w:rPr>
          <w:noProof/>
        </w:rPr>
        <w:t xml:space="preserve"> Budget Paper No. 5</w:t>
      </w:r>
    </w:p>
    <w:p w:rsidR="009F0F49" w:rsidRDefault="009F0F49">
      <w:pPr>
        <w:pStyle w:val="Index2"/>
        <w:tabs>
          <w:tab w:val="right" w:leader="dot" w:pos="3481"/>
        </w:tabs>
        <w:rPr>
          <w:noProof/>
        </w:rPr>
      </w:pPr>
      <w:r>
        <w:rPr>
          <w:noProof/>
        </w:rPr>
        <w:t>Asset initiatives, 29–30</w:t>
      </w:r>
    </w:p>
    <w:p w:rsidR="009F0F49" w:rsidRDefault="009F0F49">
      <w:pPr>
        <w:pStyle w:val="Index2"/>
        <w:tabs>
          <w:tab w:val="right" w:leader="dot" w:pos="3481"/>
        </w:tabs>
        <w:rPr>
          <w:noProof/>
        </w:rPr>
      </w:pPr>
      <w:r>
        <w:rPr>
          <w:noProof/>
        </w:rPr>
        <w:t xml:space="preserve">Child Protection and Family Services, 26, </w:t>
      </w:r>
      <w:r w:rsidR="00874A55">
        <w:rPr>
          <w:noProof/>
        </w:rPr>
        <w:br/>
      </w:r>
      <w:r>
        <w:rPr>
          <w:noProof/>
        </w:rPr>
        <w:t>157–59</w:t>
      </w:r>
    </w:p>
    <w:p w:rsidR="009F0F49" w:rsidRDefault="009F0F49">
      <w:pPr>
        <w:pStyle w:val="Index2"/>
        <w:tabs>
          <w:tab w:val="right" w:leader="dot" w:pos="3481"/>
        </w:tabs>
        <w:rPr>
          <w:noProof/>
        </w:rPr>
      </w:pPr>
      <w:r>
        <w:rPr>
          <w:noProof/>
        </w:rPr>
        <w:t>Concessions to Pensioners and Beneficiaries, 26, 162–63</w:t>
      </w:r>
    </w:p>
    <w:p w:rsidR="009F0F49" w:rsidRDefault="009F0F49">
      <w:pPr>
        <w:pStyle w:val="Index2"/>
        <w:tabs>
          <w:tab w:val="right" w:leader="dot" w:pos="3481"/>
        </w:tabs>
        <w:rPr>
          <w:noProof/>
        </w:rPr>
      </w:pPr>
      <w:r>
        <w:rPr>
          <w:noProof/>
        </w:rPr>
        <w:t>Disability Services, 27, 153–56</w:t>
      </w:r>
    </w:p>
    <w:p w:rsidR="009F0F49" w:rsidRDefault="009F0F49">
      <w:pPr>
        <w:pStyle w:val="Index2"/>
        <w:tabs>
          <w:tab w:val="right" w:leader="dot" w:pos="3481"/>
        </w:tabs>
        <w:rPr>
          <w:noProof/>
        </w:rPr>
      </w:pPr>
      <w:r>
        <w:rPr>
          <w:noProof/>
        </w:rPr>
        <w:t>Empowering Individuals and Communities, 28, 167–70</w:t>
      </w:r>
    </w:p>
    <w:p w:rsidR="009F0F49" w:rsidRDefault="009F0F49">
      <w:pPr>
        <w:pStyle w:val="Index2"/>
        <w:tabs>
          <w:tab w:val="right" w:leader="dot" w:pos="3481"/>
        </w:tabs>
        <w:rPr>
          <w:noProof/>
        </w:rPr>
      </w:pPr>
      <w:r>
        <w:rPr>
          <w:noProof/>
        </w:rPr>
        <w:t>Housing Assistance, 29, 164–66</w:t>
      </w:r>
    </w:p>
    <w:p w:rsidR="009F0F49" w:rsidRDefault="009F0F49">
      <w:pPr>
        <w:pStyle w:val="Index2"/>
        <w:tabs>
          <w:tab w:val="right" w:leader="dot" w:pos="3481"/>
        </w:tabs>
        <w:rPr>
          <w:noProof/>
        </w:rPr>
      </w:pPr>
      <w:r>
        <w:rPr>
          <w:noProof/>
        </w:rPr>
        <w:t>Output initiatives, 25–29</w:t>
      </w:r>
    </w:p>
    <w:p w:rsidR="009F0F49" w:rsidRDefault="009F0F49">
      <w:pPr>
        <w:pStyle w:val="Index2"/>
        <w:tabs>
          <w:tab w:val="right" w:leader="dot" w:pos="3481"/>
        </w:tabs>
        <w:rPr>
          <w:noProof/>
        </w:rPr>
      </w:pPr>
      <w:r>
        <w:rPr>
          <w:noProof/>
        </w:rPr>
        <w:t>Output performance measures for review, 316</w:t>
      </w:r>
    </w:p>
    <w:p w:rsidR="009F0F49" w:rsidRDefault="009F0F49">
      <w:pPr>
        <w:pStyle w:val="Index2"/>
        <w:tabs>
          <w:tab w:val="right" w:leader="dot" w:pos="3481"/>
        </w:tabs>
        <w:rPr>
          <w:noProof/>
        </w:rPr>
      </w:pPr>
      <w:r>
        <w:rPr>
          <w:noProof/>
        </w:rPr>
        <w:t>Output summary, 151</w:t>
      </w:r>
    </w:p>
    <w:p w:rsidR="009F0F49" w:rsidRDefault="009F0F49">
      <w:pPr>
        <w:pStyle w:val="Index2"/>
        <w:tabs>
          <w:tab w:val="right" w:leader="dot" w:pos="3481"/>
        </w:tabs>
        <w:rPr>
          <w:noProof/>
        </w:rPr>
      </w:pPr>
      <w:r>
        <w:rPr>
          <w:noProof/>
        </w:rPr>
        <w:t>Parliamentary authority for resources, 152</w:t>
      </w:r>
    </w:p>
    <w:p w:rsidR="009F0F49" w:rsidRDefault="009F0F49">
      <w:pPr>
        <w:pStyle w:val="Index2"/>
        <w:tabs>
          <w:tab w:val="right" w:leader="dot" w:pos="3481"/>
        </w:tabs>
        <w:rPr>
          <w:noProof/>
        </w:rPr>
      </w:pPr>
      <w:r>
        <w:rPr>
          <w:noProof/>
        </w:rPr>
        <w:t>Youth Services and Youth Justice, 160–61</w:t>
      </w:r>
    </w:p>
    <w:p w:rsidR="009F0F49" w:rsidRDefault="009F0F49">
      <w:pPr>
        <w:pStyle w:val="Index1"/>
        <w:tabs>
          <w:tab w:val="right" w:leader="dot" w:pos="3481"/>
        </w:tabs>
        <w:rPr>
          <w:noProof/>
        </w:rPr>
      </w:pPr>
      <w:r>
        <w:rPr>
          <w:noProof/>
        </w:rPr>
        <w:t xml:space="preserve">Department of Justice. </w:t>
      </w:r>
      <w:r w:rsidRPr="008222FD">
        <w:rPr>
          <w:i/>
          <w:noProof/>
        </w:rPr>
        <w:t>See also</w:t>
      </w:r>
      <w:r>
        <w:rPr>
          <w:noProof/>
        </w:rPr>
        <w:t xml:space="preserve"> Budget Paper No.</w:t>
      </w:r>
      <w:r w:rsidR="00874A55">
        <w:rPr>
          <w:noProof/>
        </w:rPr>
        <w:t> </w:t>
      </w:r>
      <w:r>
        <w:rPr>
          <w:noProof/>
        </w:rPr>
        <w:t>5</w:t>
      </w:r>
    </w:p>
    <w:p w:rsidR="009F0F49" w:rsidRDefault="009F0F49">
      <w:pPr>
        <w:pStyle w:val="Index2"/>
        <w:tabs>
          <w:tab w:val="right" w:leader="dot" w:pos="3481"/>
        </w:tabs>
        <w:rPr>
          <w:noProof/>
        </w:rPr>
      </w:pPr>
      <w:r>
        <w:rPr>
          <w:noProof/>
        </w:rPr>
        <w:t>Asset initiatives, 35–36</w:t>
      </w:r>
    </w:p>
    <w:p w:rsidR="009F0F49" w:rsidRDefault="009F0F49">
      <w:pPr>
        <w:pStyle w:val="Index2"/>
        <w:tabs>
          <w:tab w:val="right" w:leader="dot" w:pos="3481"/>
        </w:tabs>
        <w:rPr>
          <w:noProof/>
        </w:rPr>
      </w:pPr>
      <w:r>
        <w:rPr>
          <w:noProof/>
        </w:rPr>
        <w:t>Court Services, 32–33, 181–83</w:t>
      </w:r>
    </w:p>
    <w:p w:rsidR="009F0F49" w:rsidRDefault="009F0F49">
      <w:pPr>
        <w:pStyle w:val="Index2"/>
        <w:tabs>
          <w:tab w:val="right" w:leader="dot" w:pos="3481"/>
        </w:tabs>
        <w:rPr>
          <w:noProof/>
        </w:rPr>
      </w:pPr>
      <w:r>
        <w:rPr>
          <w:noProof/>
        </w:rPr>
        <w:t>Enforcing and Managing Correctional Orders, 32, 191–92</w:t>
      </w:r>
    </w:p>
    <w:p w:rsidR="009F0F49" w:rsidRDefault="009F0F49">
      <w:pPr>
        <w:pStyle w:val="Index2"/>
        <w:tabs>
          <w:tab w:val="right" w:leader="dot" w:pos="3481"/>
        </w:tabs>
        <w:rPr>
          <w:noProof/>
        </w:rPr>
      </w:pPr>
      <w:r>
        <w:rPr>
          <w:noProof/>
        </w:rPr>
        <w:t>Income from transactions, 175</w:t>
      </w:r>
    </w:p>
    <w:p w:rsidR="009F0F49" w:rsidRDefault="009F0F49">
      <w:pPr>
        <w:pStyle w:val="Index2"/>
        <w:tabs>
          <w:tab w:val="right" w:leader="dot" w:pos="3481"/>
        </w:tabs>
        <w:rPr>
          <w:noProof/>
        </w:rPr>
      </w:pPr>
      <w:r>
        <w:rPr>
          <w:noProof/>
        </w:rPr>
        <w:t>Industry Regulation and Support, 195–97</w:t>
      </w:r>
    </w:p>
    <w:p w:rsidR="009F0F49" w:rsidRDefault="009F0F49">
      <w:pPr>
        <w:pStyle w:val="Index2"/>
        <w:tabs>
          <w:tab w:val="right" w:leader="dot" w:pos="3481"/>
        </w:tabs>
        <w:rPr>
          <w:noProof/>
        </w:rPr>
      </w:pPr>
      <w:r>
        <w:rPr>
          <w:noProof/>
        </w:rPr>
        <w:t>Infringements and Enhancing Community Safety, 32, 179–80</w:t>
      </w:r>
    </w:p>
    <w:p w:rsidR="009F0F49" w:rsidRDefault="009F0F49">
      <w:pPr>
        <w:pStyle w:val="Index2"/>
        <w:tabs>
          <w:tab w:val="right" w:leader="dot" w:pos="3481"/>
        </w:tabs>
        <w:rPr>
          <w:noProof/>
        </w:rPr>
      </w:pPr>
      <w:r>
        <w:rPr>
          <w:noProof/>
        </w:rPr>
        <w:t>Justice, 31</w:t>
      </w:r>
    </w:p>
    <w:p w:rsidR="009F0F49" w:rsidRDefault="009F0F49">
      <w:pPr>
        <w:pStyle w:val="Index2"/>
        <w:tabs>
          <w:tab w:val="right" w:leader="dot" w:pos="3481"/>
        </w:tabs>
        <w:rPr>
          <w:noProof/>
        </w:rPr>
      </w:pPr>
      <w:r>
        <w:rPr>
          <w:noProof/>
        </w:rPr>
        <w:t>Law and order, 31</w:t>
      </w:r>
    </w:p>
    <w:p w:rsidR="009F0F49" w:rsidRDefault="009F0F49">
      <w:pPr>
        <w:pStyle w:val="Index2"/>
        <w:tabs>
          <w:tab w:val="right" w:leader="dot" w:pos="3481"/>
        </w:tabs>
        <w:rPr>
          <w:noProof/>
        </w:rPr>
      </w:pPr>
      <w:r>
        <w:rPr>
          <w:noProof/>
        </w:rPr>
        <w:t>Output initiatives, 31–34</w:t>
      </w:r>
    </w:p>
    <w:p w:rsidR="009F0F49" w:rsidRDefault="009F0F49">
      <w:pPr>
        <w:pStyle w:val="Index2"/>
        <w:tabs>
          <w:tab w:val="right" w:leader="dot" w:pos="3481"/>
        </w:tabs>
        <w:rPr>
          <w:noProof/>
        </w:rPr>
      </w:pPr>
      <w:r>
        <w:rPr>
          <w:noProof/>
        </w:rPr>
        <w:t xml:space="preserve">Output performance measures for review, </w:t>
      </w:r>
      <w:r w:rsidR="00874A55">
        <w:rPr>
          <w:noProof/>
        </w:rPr>
        <w:br/>
      </w:r>
      <w:r>
        <w:rPr>
          <w:noProof/>
        </w:rPr>
        <w:t>317–18</w:t>
      </w:r>
    </w:p>
    <w:p w:rsidR="009F0F49" w:rsidRDefault="009F0F49">
      <w:pPr>
        <w:pStyle w:val="Index2"/>
        <w:tabs>
          <w:tab w:val="right" w:leader="dot" w:pos="3481"/>
        </w:tabs>
        <w:rPr>
          <w:noProof/>
        </w:rPr>
      </w:pPr>
      <w:r>
        <w:rPr>
          <w:noProof/>
        </w:rPr>
        <w:t>Output summary, 174</w:t>
      </w:r>
    </w:p>
    <w:p w:rsidR="009F0F49" w:rsidRDefault="009F0F49">
      <w:pPr>
        <w:pStyle w:val="Index2"/>
        <w:tabs>
          <w:tab w:val="right" w:leader="dot" w:pos="3481"/>
        </w:tabs>
        <w:rPr>
          <w:noProof/>
        </w:rPr>
      </w:pPr>
      <w:r>
        <w:rPr>
          <w:noProof/>
        </w:rPr>
        <w:t>Parliamentary authority for resources, 175</w:t>
      </w:r>
    </w:p>
    <w:p w:rsidR="009F0F49" w:rsidRDefault="009F0F49">
      <w:pPr>
        <w:pStyle w:val="Index2"/>
        <w:tabs>
          <w:tab w:val="right" w:leader="dot" w:pos="3481"/>
        </w:tabs>
        <w:rPr>
          <w:noProof/>
        </w:rPr>
      </w:pPr>
      <w:r>
        <w:rPr>
          <w:noProof/>
        </w:rPr>
        <w:t>Personal Identity, Individual Rights and Participation in Civic Life, 188–90</w:t>
      </w:r>
    </w:p>
    <w:p w:rsidR="009F0F49" w:rsidRDefault="009F0F49">
      <w:pPr>
        <w:pStyle w:val="Index2"/>
        <w:tabs>
          <w:tab w:val="right" w:leader="dot" w:pos="3481"/>
        </w:tabs>
        <w:rPr>
          <w:noProof/>
        </w:rPr>
      </w:pPr>
      <w:r>
        <w:rPr>
          <w:noProof/>
        </w:rPr>
        <w:t>Police, 31</w:t>
      </w:r>
    </w:p>
    <w:p w:rsidR="009F0F49" w:rsidRDefault="009F0F49">
      <w:pPr>
        <w:pStyle w:val="Index2"/>
        <w:tabs>
          <w:tab w:val="right" w:leader="dot" w:pos="3481"/>
        </w:tabs>
        <w:rPr>
          <w:noProof/>
        </w:rPr>
      </w:pPr>
      <w:r>
        <w:rPr>
          <w:noProof/>
        </w:rPr>
        <w:t>Policing, 33, 176–78</w:t>
      </w:r>
    </w:p>
    <w:p w:rsidR="009F0F49" w:rsidRDefault="009F0F49">
      <w:pPr>
        <w:pStyle w:val="Index2"/>
        <w:tabs>
          <w:tab w:val="right" w:leader="dot" w:pos="3481"/>
        </w:tabs>
        <w:rPr>
          <w:noProof/>
        </w:rPr>
      </w:pPr>
      <w:r>
        <w:rPr>
          <w:noProof/>
        </w:rPr>
        <w:t>Public Sector Integrity, 198–200</w:t>
      </w:r>
    </w:p>
    <w:p w:rsidR="009F0F49" w:rsidRDefault="009F0F49">
      <w:pPr>
        <w:pStyle w:val="Index2"/>
        <w:tabs>
          <w:tab w:val="right" w:leader="dot" w:pos="3481"/>
        </w:tabs>
        <w:rPr>
          <w:noProof/>
        </w:rPr>
      </w:pPr>
      <w:r>
        <w:rPr>
          <w:noProof/>
        </w:rPr>
        <w:t>Security, 31</w:t>
      </w:r>
    </w:p>
    <w:p w:rsidR="009F0F49" w:rsidRDefault="009F0F49">
      <w:pPr>
        <w:pStyle w:val="Index2"/>
        <w:tabs>
          <w:tab w:val="right" w:leader="dot" w:pos="3481"/>
        </w:tabs>
        <w:rPr>
          <w:noProof/>
        </w:rPr>
      </w:pPr>
      <w:r>
        <w:rPr>
          <w:noProof/>
        </w:rPr>
        <w:t>Supporting Legal Processes and Law Reform, 33, 184–87</w:t>
      </w:r>
    </w:p>
    <w:p w:rsidR="009F0F49" w:rsidRDefault="009F0F49">
      <w:pPr>
        <w:pStyle w:val="Index2"/>
        <w:tabs>
          <w:tab w:val="right" w:leader="dot" w:pos="3481"/>
        </w:tabs>
        <w:rPr>
          <w:noProof/>
        </w:rPr>
      </w:pPr>
      <w:r>
        <w:rPr>
          <w:noProof/>
        </w:rPr>
        <w:t>Supporting the State’s Fire and Emergency Services, 34, 193–94</w:t>
      </w:r>
    </w:p>
    <w:p w:rsidR="009F0F49" w:rsidRDefault="009F0F49">
      <w:pPr>
        <w:pStyle w:val="Index1"/>
        <w:tabs>
          <w:tab w:val="right" w:leader="dot" w:pos="3481"/>
        </w:tabs>
        <w:rPr>
          <w:noProof/>
        </w:rPr>
      </w:pPr>
      <w:r>
        <w:rPr>
          <w:noProof/>
        </w:rPr>
        <w:t xml:space="preserve">Department of Planning and Community Development. </w:t>
      </w:r>
      <w:r w:rsidRPr="008222FD">
        <w:rPr>
          <w:i/>
          <w:noProof/>
        </w:rPr>
        <w:t>See</w:t>
      </w:r>
      <w:r>
        <w:rPr>
          <w:noProof/>
        </w:rPr>
        <w:t xml:space="preserve"> Department of Transport, Planning and Local Infrastructure</w:t>
      </w:r>
    </w:p>
    <w:p w:rsidR="009F0F49" w:rsidRDefault="009F0F49">
      <w:pPr>
        <w:pStyle w:val="Index1"/>
        <w:tabs>
          <w:tab w:val="right" w:leader="dot" w:pos="3481"/>
        </w:tabs>
        <w:rPr>
          <w:noProof/>
        </w:rPr>
      </w:pPr>
      <w:r>
        <w:rPr>
          <w:noProof/>
        </w:rPr>
        <w:t xml:space="preserve">Department of Premier and Cabinet. </w:t>
      </w:r>
      <w:r w:rsidRPr="008222FD">
        <w:rPr>
          <w:i/>
          <w:noProof/>
        </w:rPr>
        <w:t>See also</w:t>
      </w:r>
      <w:r>
        <w:rPr>
          <w:noProof/>
        </w:rPr>
        <w:t xml:space="preserve"> Budget Paper No. 5</w:t>
      </w:r>
    </w:p>
    <w:p w:rsidR="009F0F49" w:rsidRDefault="009F0F49">
      <w:pPr>
        <w:pStyle w:val="Index2"/>
        <w:tabs>
          <w:tab w:val="right" w:leader="dot" w:pos="3481"/>
        </w:tabs>
        <w:rPr>
          <w:noProof/>
        </w:rPr>
      </w:pPr>
      <w:r>
        <w:rPr>
          <w:noProof/>
        </w:rPr>
        <w:t>Arts and Cultural Development, 37–38, 209–13</w:t>
      </w:r>
    </w:p>
    <w:p w:rsidR="009F0F49" w:rsidRDefault="009F0F49">
      <w:pPr>
        <w:pStyle w:val="Index2"/>
        <w:tabs>
          <w:tab w:val="right" w:leader="dot" w:pos="3481"/>
        </w:tabs>
        <w:rPr>
          <w:noProof/>
        </w:rPr>
      </w:pPr>
      <w:r>
        <w:rPr>
          <w:noProof/>
        </w:rPr>
        <w:t>Asset initiatives, 39–40</w:t>
      </w:r>
    </w:p>
    <w:p w:rsidR="009F0F49" w:rsidRDefault="009F0F49">
      <w:pPr>
        <w:pStyle w:val="Index2"/>
        <w:tabs>
          <w:tab w:val="right" w:leader="dot" w:pos="3481"/>
        </w:tabs>
        <w:rPr>
          <w:noProof/>
        </w:rPr>
      </w:pPr>
      <w:r>
        <w:rPr>
          <w:noProof/>
        </w:rPr>
        <w:t>Income from transactions, 204</w:t>
      </w:r>
    </w:p>
    <w:p w:rsidR="009F0F49" w:rsidRDefault="009F0F49">
      <w:pPr>
        <w:pStyle w:val="Index2"/>
        <w:tabs>
          <w:tab w:val="right" w:leader="dot" w:pos="3481"/>
        </w:tabs>
        <w:rPr>
          <w:noProof/>
        </w:rPr>
      </w:pPr>
      <w:r>
        <w:rPr>
          <w:noProof/>
        </w:rPr>
        <w:t>Multicultural Affairs and Citizenship, 38–39</w:t>
      </w:r>
    </w:p>
    <w:p w:rsidR="009F0F49" w:rsidRDefault="009F0F49">
      <w:pPr>
        <w:pStyle w:val="Index2"/>
        <w:tabs>
          <w:tab w:val="right" w:leader="dot" w:pos="3481"/>
        </w:tabs>
        <w:rPr>
          <w:noProof/>
        </w:rPr>
      </w:pPr>
      <w:r>
        <w:rPr>
          <w:noProof/>
        </w:rPr>
        <w:t>Output initiatives, 37–39</w:t>
      </w:r>
    </w:p>
    <w:p w:rsidR="009F0F49" w:rsidRDefault="009F0F49">
      <w:pPr>
        <w:pStyle w:val="Index2"/>
        <w:tabs>
          <w:tab w:val="right" w:leader="dot" w:pos="3481"/>
        </w:tabs>
        <w:rPr>
          <w:noProof/>
        </w:rPr>
      </w:pPr>
      <w:r>
        <w:rPr>
          <w:noProof/>
        </w:rPr>
        <w:t xml:space="preserve">Output performance measures for review, </w:t>
      </w:r>
      <w:r w:rsidR="00874A55">
        <w:rPr>
          <w:noProof/>
        </w:rPr>
        <w:br/>
      </w:r>
      <w:r>
        <w:rPr>
          <w:noProof/>
        </w:rPr>
        <w:t>319–21</w:t>
      </w:r>
    </w:p>
    <w:p w:rsidR="009F0F49" w:rsidRDefault="009F0F49">
      <w:pPr>
        <w:pStyle w:val="Index2"/>
        <w:tabs>
          <w:tab w:val="right" w:leader="dot" w:pos="3481"/>
        </w:tabs>
        <w:rPr>
          <w:noProof/>
        </w:rPr>
      </w:pPr>
      <w:r>
        <w:rPr>
          <w:noProof/>
        </w:rPr>
        <w:t>Output summary, 204</w:t>
      </w:r>
    </w:p>
    <w:p w:rsidR="009F0F49" w:rsidRDefault="009F0F49">
      <w:pPr>
        <w:pStyle w:val="Index2"/>
        <w:tabs>
          <w:tab w:val="right" w:leader="dot" w:pos="3481"/>
        </w:tabs>
        <w:rPr>
          <w:noProof/>
        </w:rPr>
      </w:pPr>
      <w:r>
        <w:rPr>
          <w:noProof/>
        </w:rPr>
        <w:t>Parliamentary authority for resources, 205</w:t>
      </w:r>
    </w:p>
    <w:p w:rsidR="009F0F49" w:rsidRDefault="009F0F49">
      <w:pPr>
        <w:pStyle w:val="Index2"/>
        <w:tabs>
          <w:tab w:val="right" w:leader="dot" w:pos="3481"/>
        </w:tabs>
        <w:rPr>
          <w:noProof/>
        </w:rPr>
      </w:pPr>
      <w:r>
        <w:rPr>
          <w:noProof/>
        </w:rPr>
        <w:t>Public Sector Management, Governance and Support, 219–22</w:t>
      </w:r>
    </w:p>
    <w:p w:rsidR="009F0F49" w:rsidRDefault="009F0F49">
      <w:pPr>
        <w:pStyle w:val="Index2"/>
        <w:tabs>
          <w:tab w:val="right" w:leader="dot" w:pos="3481"/>
        </w:tabs>
        <w:rPr>
          <w:noProof/>
        </w:rPr>
      </w:pPr>
      <w:r>
        <w:rPr>
          <w:noProof/>
        </w:rPr>
        <w:t>Strategic Advice and Support, 206–8</w:t>
      </w:r>
    </w:p>
    <w:p w:rsidR="009F0F49" w:rsidRDefault="009F0F49">
      <w:pPr>
        <w:pStyle w:val="Index2"/>
        <w:tabs>
          <w:tab w:val="right" w:leader="dot" w:pos="3481"/>
        </w:tabs>
        <w:rPr>
          <w:noProof/>
        </w:rPr>
      </w:pPr>
      <w:r>
        <w:rPr>
          <w:noProof/>
        </w:rPr>
        <w:t>Supporting and Strengthening Communities, 39, 214–18</w:t>
      </w:r>
    </w:p>
    <w:p w:rsidR="009F0F49" w:rsidRDefault="009F0F49">
      <w:pPr>
        <w:pStyle w:val="Index1"/>
        <w:tabs>
          <w:tab w:val="right" w:leader="dot" w:pos="3481"/>
        </w:tabs>
        <w:rPr>
          <w:noProof/>
        </w:rPr>
      </w:pPr>
      <w:r>
        <w:rPr>
          <w:noProof/>
        </w:rPr>
        <w:t xml:space="preserve">Department of Primary Industries. </w:t>
      </w:r>
      <w:r w:rsidRPr="008222FD">
        <w:rPr>
          <w:i/>
          <w:noProof/>
        </w:rPr>
        <w:t>See</w:t>
      </w:r>
      <w:r>
        <w:rPr>
          <w:noProof/>
        </w:rPr>
        <w:t xml:space="preserve"> Department of Environment and Primary Industries</w:t>
      </w:r>
    </w:p>
    <w:p w:rsidR="009F0F49" w:rsidRDefault="009F0F49">
      <w:pPr>
        <w:pStyle w:val="Index1"/>
        <w:tabs>
          <w:tab w:val="right" w:leader="dot" w:pos="3481"/>
        </w:tabs>
        <w:rPr>
          <w:noProof/>
        </w:rPr>
      </w:pPr>
      <w:r>
        <w:rPr>
          <w:noProof/>
        </w:rPr>
        <w:t>Department of State Development Business and Innovation</w:t>
      </w:r>
    </w:p>
    <w:p w:rsidR="009F0F49" w:rsidRDefault="009F0F49">
      <w:pPr>
        <w:pStyle w:val="Index2"/>
        <w:tabs>
          <w:tab w:val="right" w:leader="dot" w:pos="3481"/>
        </w:tabs>
        <w:rPr>
          <w:noProof/>
        </w:rPr>
      </w:pPr>
      <w:r>
        <w:rPr>
          <w:noProof/>
        </w:rPr>
        <w:t xml:space="preserve">Output performance measures for review, </w:t>
      </w:r>
      <w:r w:rsidR="00874A55">
        <w:rPr>
          <w:noProof/>
        </w:rPr>
        <w:br/>
      </w:r>
      <w:r>
        <w:rPr>
          <w:noProof/>
        </w:rPr>
        <w:t>322–23</w:t>
      </w:r>
    </w:p>
    <w:p w:rsidR="009F0F49" w:rsidRDefault="009F0F49">
      <w:pPr>
        <w:pStyle w:val="Index1"/>
        <w:tabs>
          <w:tab w:val="right" w:leader="dot" w:pos="3481"/>
        </w:tabs>
        <w:rPr>
          <w:noProof/>
        </w:rPr>
      </w:pPr>
      <w:r>
        <w:rPr>
          <w:noProof/>
        </w:rPr>
        <w:t xml:space="preserve">Department of State Development, Business and Innovation, 343, </w:t>
      </w:r>
      <w:r w:rsidRPr="008222FD">
        <w:rPr>
          <w:i/>
          <w:noProof/>
        </w:rPr>
        <w:t>See also</w:t>
      </w:r>
      <w:r>
        <w:rPr>
          <w:noProof/>
        </w:rPr>
        <w:t xml:space="preserve"> Budget Paper No. 5</w:t>
      </w:r>
    </w:p>
    <w:p w:rsidR="009F0F49" w:rsidRDefault="009F0F49">
      <w:pPr>
        <w:pStyle w:val="Index2"/>
        <w:tabs>
          <w:tab w:val="right" w:leader="dot" w:pos="3481"/>
        </w:tabs>
        <w:rPr>
          <w:noProof/>
        </w:rPr>
      </w:pPr>
      <w:r>
        <w:rPr>
          <w:noProof/>
        </w:rPr>
        <w:t>Asset initiatives, 46–47</w:t>
      </w:r>
    </w:p>
    <w:p w:rsidR="009F0F49" w:rsidRDefault="009F0F49">
      <w:pPr>
        <w:pStyle w:val="Index2"/>
        <w:tabs>
          <w:tab w:val="right" w:leader="dot" w:pos="3481"/>
        </w:tabs>
        <w:rPr>
          <w:noProof/>
        </w:rPr>
      </w:pPr>
      <w:r>
        <w:rPr>
          <w:noProof/>
        </w:rPr>
        <w:t>Employment, 42</w:t>
      </w:r>
    </w:p>
    <w:p w:rsidR="009F0F49" w:rsidRDefault="009F0F49">
      <w:pPr>
        <w:pStyle w:val="Index2"/>
        <w:tabs>
          <w:tab w:val="right" w:leader="dot" w:pos="3481"/>
        </w:tabs>
        <w:rPr>
          <w:noProof/>
        </w:rPr>
      </w:pPr>
      <w:r>
        <w:rPr>
          <w:noProof/>
        </w:rPr>
        <w:t>Energy and Resources, 42</w:t>
      </w:r>
    </w:p>
    <w:p w:rsidR="009F0F49" w:rsidRDefault="009F0F49">
      <w:pPr>
        <w:pStyle w:val="Index2"/>
        <w:tabs>
          <w:tab w:val="right" w:leader="dot" w:pos="3481"/>
        </w:tabs>
        <w:rPr>
          <w:noProof/>
        </w:rPr>
      </w:pPr>
      <w:r>
        <w:rPr>
          <w:noProof/>
        </w:rPr>
        <w:t>Innovation and Technology, 42–43</w:t>
      </w:r>
    </w:p>
    <w:p w:rsidR="009F0F49" w:rsidRDefault="009F0F49">
      <w:pPr>
        <w:pStyle w:val="Index2"/>
        <w:tabs>
          <w:tab w:val="right" w:leader="dot" w:pos="3481"/>
        </w:tabs>
        <w:rPr>
          <w:noProof/>
        </w:rPr>
      </w:pPr>
      <w:r>
        <w:rPr>
          <w:noProof/>
        </w:rPr>
        <w:t>Investment Attraction, Facilitation and Major Projects, 44, 46</w:t>
      </w:r>
    </w:p>
    <w:p w:rsidR="009F0F49" w:rsidRDefault="009F0F49">
      <w:pPr>
        <w:pStyle w:val="Index2"/>
        <w:tabs>
          <w:tab w:val="right" w:leader="dot" w:pos="3481"/>
        </w:tabs>
        <w:rPr>
          <w:noProof/>
        </w:rPr>
      </w:pPr>
      <w:r>
        <w:rPr>
          <w:noProof/>
        </w:rPr>
        <w:t>Output initiatives, 46–47</w:t>
      </w:r>
    </w:p>
    <w:p w:rsidR="009F0F49" w:rsidRDefault="009F0F49">
      <w:pPr>
        <w:pStyle w:val="Index2"/>
        <w:tabs>
          <w:tab w:val="right" w:leader="dot" w:pos="3481"/>
        </w:tabs>
        <w:rPr>
          <w:noProof/>
        </w:rPr>
      </w:pPr>
      <w:r>
        <w:rPr>
          <w:noProof/>
        </w:rPr>
        <w:t>Small Business Assistance, 44</w:t>
      </w:r>
    </w:p>
    <w:p w:rsidR="009F0F49" w:rsidRDefault="009F0F49">
      <w:pPr>
        <w:pStyle w:val="Index2"/>
        <w:tabs>
          <w:tab w:val="right" w:leader="dot" w:pos="3481"/>
        </w:tabs>
        <w:rPr>
          <w:noProof/>
        </w:rPr>
      </w:pPr>
      <w:r>
        <w:rPr>
          <w:noProof/>
        </w:rPr>
        <w:t>Tourism and Marketing, 41, 45</w:t>
      </w:r>
    </w:p>
    <w:p w:rsidR="009F0F49" w:rsidRDefault="009F0F49">
      <w:pPr>
        <w:pStyle w:val="Index2"/>
        <w:tabs>
          <w:tab w:val="right" w:leader="dot" w:pos="3481"/>
        </w:tabs>
        <w:rPr>
          <w:noProof/>
        </w:rPr>
      </w:pPr>
      <w:r>
        <w:rPr>
          <w:noProof/>
        </w:rPr>
        <w:t>Trade and Export Facilitation, 45</w:t>
      </w:r>
    </w:p>
    <w:p w:rsidR="009F0F49" w:rsidRDefault="009F0F49">
      <w:pPr>
        <w:pStyle w:val="Index1"/>
        <w:tabs>
          <w:tab w:val="right" w:leader="dot" w:pos="3481"/>
        </w:tabs>
        <w:rPr>
          <w:noProof/>
        </w:rPr>
      </w:pPr>
      <w:r>
        <w:rPr>
          <w:noProof/>
        </w:rPr>
        <w:t xml:space="preserve">Department of Sustainability and Environment. </w:t>
      </w:r>
      <w:r w:rsidRPr="008222FD">
        <w:rPr>
          <w:i/>
          <w:noProof/>
        </w:rPr>
        <w:t>See</w:t>
      </w:r>
      <w:r>
        <w:rPr>
          <w:noProof/>
        </w:rPr>
        <w:t xml:space="preserve"> Department of Environment and Primary Industries</w:t>
      </w:r>
    </w:p>
    <w:p w:rsidR="009F0F49" w:rsidRDefault="009F0F49">
      <w:pPr>
        <w:pStyle w:val="Index1"/>
        <w:tabs>
          <w:tab w:val="right" w:leader="dot" w:pos="3481"/>
        </w:tabs>
        <w:rPr>
          <w:noProof/>
        </w:rPr>
      </w:pPr>
      <w:r>
        <w:rPr>
          <w:noProof/>
        </w:rPr>
        <w:t xml:space="preserve">Department of Transport. </w:t>
      </w:r>
      <w:r w:rsidRPr="008222FD">
        <w:rPr>
          <w:i/>
          <w:noProof/>
        </w:rPr>
        <w:t>See</w:t>
      </w:r>
      <w:r>
        <w:rPr>
          <w:noProof/>
        </w:rPr>
        <w:t xml:space="preserve"> Department of Transport, Planning and Local Infrastructure</w:t>
      </w:r>
    </w:p>
    <w:p w:rsidR="009F0F49" w:rsidRDefault="009F0F49">
      <w:pPr>
        <w:pStyle w:val="Index1"/>
        <w:tabs>
          <w:tab w:val="right" w:leader="dot" w:pos="3481"/>
        </w:tabs>
        <w:rPr>
          <w:noProof/>
        </w:rPr>
      </w:pPr>
      <w:r>
        <w:rPr>
          <w:noProof/>
        </w:rPr>
        <w:t xml:space="preserve">Department of Transport, Planning and Local Infrastructure, 343, </w:t>
      </w:r>
      <w:r w:rsidRPr="008222FD">
        <w:rPr>
          <w:i/>
          <w:noProof/>
        </w:rPr>
        <w:t>See also</w:t>
      </w:r>
      <w:r>
        <w:rPr>
          <w:noProof/>
        </w:rPr>
        <w:t xml:space="preserve"> Budget Paper No.</w:t>
      </w:r>
      <w:r w:rsidR="00874A55">
        <w:rPr>
          <w:noProof/>
        </w:rPr>
        <w:t> </w:t>
      </w:r>
      <w:r>
        <w:rPr>
          <w:noProof/>
        </w:rPr>
        <w:t>5</w:t>
      </w:r>
    </w:p>
    <w:p w:rsidR="009F0F49" w:rsidRDefault="009F0F49">
      <w:pPr>
        <w:pStyle w:val="Index2"/>
        <w:tabs>
          <w:tab w:val="right" w:leader="dot" w:pos="3481"/>
        </w:tabs>
        <w:rPr>
          <w:noProof/>
        </w:rPr>
      </w:pPr>
      <w:r>
        <w:rPr>
          <w:noProof/>
        </w:rPr>
        <w:t>Asset initiatives, 52–58</w:t>
      </w:r>
    </w:p>
    <w:p w:rsidR="009F0F49" w:rsidRDefault="009F0F49">
      <w:pPr>
        <w:pStyle w:val="Index2"/>
        <w:tabs>
          <w:tab w:val="right" w:leader="dot" w:pos="3481"/>
        </w:tabs>
        <w:rPr>
          <w:noProof/>
        </w:rPr>
      </w:pPr>
      <w:r>
        <w:rPr>
          <w:noProof/>
        </w:rPr>
        <w:t>Income from transactions, 243</w:t>
      </w:r>
    </w:p>
    <w:p w:rsidR="009F0F49" w:rsidRDefault="009F0F49">
      <w:pPr>
        <w:pStyle w:val="Index2"/>
        <w:tabs>
          <w:tab w:val="right" w:leader="dot" w:pos="3481"/>
        </w:tabs>
        <w:rPr>
          <w:noProof/>
        </w:rPr>
      </w:pPr>
      <w:r>
        <w:rPr>
          <w:noProof/>
        </w:rPr>
        <w:t>Integrated Transport Services, 251–56</w:t>
      </w:r>
    </w:p>
    <w:p w:rsidR="009F0F49" w:rsidRDefault="009F0F49">
      <w:pPr>
        <w:spacing w:after="0"/>
        <w:rPr>
          <w:rFonts w:asciiTheme="minorHAnsi" w:hAnsiTheme="minorHAnsi" w:cstheme="minorHAnsi"/>
          <w:noProof/>
          <w:sz w:val="18"/>
          <w:szCs w:val="18"/>
        </w:rPr>
      </w:pPr>
      <w:r>
        <w:rPr>
          <w:noProof/>
        </w:rPr>
        <w:br w:type="page"/>
      </w:r>
    </w:p>
    <w:p w:rsidR="009F0F49" w:rsidRDefault="009F0F49">
      <w:pPr>
        <w:pStyle w:val="Index2"/>
        <w:tabs>
          <w:tab w:val="right" w:leader="dot" w:pos="3481"/>
        </w:tabs>
        <w:rPr>
          <w:noProof/>
        </w:rPr>
      </w:pPr>
      <w:r>
        <w:rPr>
          <w:noProof/>
        </w:rPr>
        <w:t>Integrated Transport Solutions, 49</w:t>
      </w:r>
    </w:p>
    <w:p w:rsidR="009F0F49" w:rsidRDefault="009F0F49">
      <w:pPr>
        <w:pStyle w:val="Index2"/>
        <w:tabs>
          <w:tab w:val="right" w:leader="dot" w:pos="3481"/>
        </w:tabs>
        <w:rPr>
          <w:noProof/>
        </w:rPr>
      </w:pPr>
      <w:r>
        <w:rPr>
          <w:noProof/>
        </w:rPr>
        <w:t>Investing in Local Infrastructure, 53, 272–75</w:t>
      </w:r>
    </w:p>
    <w:p w:rsidR="009F0F49" w:rsidRDefault="009F0F49">
      <w:pPr>
        <w:pStyle w:val="Index2"/>
        <w:tabs>
          <w:tab w:val="right" w:leader="dot" w:pos="3481"/>
        </w:tabs>
        <w:rPr>
          <w:noProof/>
        </w:rPr>
      </w:pPr>
      <w:r>
        <w:rPr>
          <w:noProof/>
        </w:rPr>
        <w:t>Land Administration, 276</w:t>
      </w:r>
    </w:p>
    <w:p w:rsidR="009F0F49" w:rsidRDefault="009F0F49">
      <w:pPr>
        <w:pStyle w:val="Index2"/>
        <w:tabs>
          <w:tab w:val="right" w:leader="dot" w:pos="3481"/>
        </w:tabs>
        <w:rPr>
          <w:noProof/>
        </w:rPr>
      </w:pPr>
      <w:r>
        <w:rPr>
          <w:noProof/>
        </w:rPr>
        <w:t>Metropolitan and Regional Planning and Development, 53–54, 267–71</w:t>
      </w:r>
    </w:p>
    <w:p w:rsidR="009F0F49" w:rsidRDefault="009F0F49">
      <w:pPr>
        <w:pStyle w:val="Index2"/>
        <w:tabs>
          <w:tab w:val="right" w:leader="dot" w:pos="3481"/>
        </w:tabs>
        <w:rPr>
          <w:noProof/>
        </w:rPr>
      </w:pPr>
      <w:r>
        <w:rPr>
          <w:noProof/>
        </w:rPr>
        <w:t>Output initiatives, 48–51</w:t>
      </w:r>
    </w:p>
    <w:p w:rsidR="009F0F49" w:rsidRDefault="009F0F49">
      <w:pPr>
        <w:pStyle w:val="Index2"/>
        <w:tabs>
          <w:tab w:val="right" w:leader="dot" w:pos="3481"/>
        </w:tabs>
        <w:rPr>
          <w:noProof/>
        </w:rPr>
      </w:pPr>
      <w:r>
        <w:rPr>
          <w:noProof/>
        </w:rPr>
        <w:t xml:space="preserve">Output performance measures for review, </w:t>
      </w:r>
      <w:r w:rsidR="00874A55">
        <w:rPr>
          <w:noProof/>
        </w:rPr>
        <w:br/>
      </w:r>
      <w:r>
        <w:rPr>
          <w:noProof/>
        </w:rPr>
        <w:t>324–33</w:t>
      </w:r>
    </w:p>
    <w:p w:rsidR="009F0F49" w:rsidRDefault="009F0F49">
      <w:pPr>
        <w:pStyle w:val="Index2"/>
        <w:tabs>
          <w:tab w:val="right" w:leader="dot" w:pos="3481"/>
        </w:tabs>
        <w:rPr>
          <w:noProof/>
        </w:rPr>
      </w:pPr>
      <w:r>
        <w:rPr>
          <w:noProof/>
        </w:rPr>
        <w:t>Output summary, 242</w:t>
      </w:r>
    </w:p>
    <w:p w:rsidR="009F0F49" w:rsidRDefault="009F0F49">
      <w:pPr>
        <w:pStyle w:val="Index2"/>
        <w:tabs>
          <w:tab w:val="right" w:leader="dot" w:pos="3481"/>
        </w:tabs>
        <w:rPr>
          <w:noProof/>
        </w:rPr>
      </w:pPr>
      <w:r>
        <w:rPr>
          <w:noProof/>
        </w:rPr>
        <w:t>Parliamentary authority for resources, 243</w:t>
      </w:r>
    </w:p>
    <w:p w:rsidR="009F0F49" w:rsidRDefault="009F0F49">
      <w:pPr>
        <w:pStyle w:val="Index2"/>
        <w:tabs>
          <w:tab w:val="right" w:leader="dot" w:pos="3481"/>
        </w:tabs>
        <w:rPr>
          <w:noProof/>
        </w:rPr>
      </w:pPr>
      <w:r>
        <w:rPr>
          <w:noProof/>
        </w:rPr>
        <w:t>Public transport, 48</w:t>
      </w:r>
    </w:p>
    <w:p w:rsidR="009F0F49" w:rsidRDefault="009F0F49">
      <w:pPr>
        <w:pStyle w:val="Index2"/>
        <w:tabs>
          <w:tab w:val="right" w:leader="dot" w:pos="3481"/>
        </w:tabs>
        <w:rPr>
          <w:noProof/>
        </w:rPr>
      </w:pPr>
      <w:r>
        <w:rPr>
          <w:noProof/>
        </w:rPr>
        <w:t>Roads, 48</w:t>
      </w:r>
    </w:p>
    <w:p w:rsidR="009F0F49" w:rsidRDefault="009F0F49">
      <w:pPr>
        <w:pStyle w:val="Index2"/>
        <w:tabs>
          <w:tab w:val="right" w:leader="dot" w:pos="3481"/>
        </w:tabs>
        <w:rPr>
          <w:noProof/>
        </w:rPr>
      </w:pPr>
      <w:r>
        <w:rPr>
          <w:noProof/>
        </w:rPr>
        <w:t>Transport, 48</w:t>
      </w:r>
    </w:p>
    <w:p w:rsidR="009F0F49" w:rsidRDefault="009F0F49">
      <w:pPr>
        <w:pStyle w:val="Index2"/>
        <w:tabs>
          <w:tab w:val="right" w:leader="dot" w:pos="3481"/>
        </w:tabs>
        <w:rPr>
          <w:noProof/>
        </w:rPr>
      </w:pPr>
      <w:r>
        <w:rPr>
          <w:noProof/>
        </w:rPr>
        <w:t>Transport Safety and Security, 51, 244–50</w:t>
      </w:r>
    </w:p>
    <w:p w:rsidR="009F0F49" w:rsidRDefault="009F0F49">
      <w:pPr>
        <w:pStyle w:val="Index2"/>
        <w:tabs>
          <w:tab w:val="right" w:leader="dot" w:pos="3481"/>
        </w:tabs>
        <w:rPr>
          <w:noProof/>
        </w:rPr>
      </w:pPr>
      <w:r>
        <w:rPr>
          <w:noProof/>
        </w:rPr>
        <w:t>Transport System Development and Maintenance, 49–51, 54–58, 257–66</w:t>
      </w:r>
    </w:p>
    <w:p w:rsidR="009F0F49" w:rsidRDefault="009F0F49">
      <w:pPr>
        <w:pStyle w:val="Index1"/>
        <w:tabs>
          <w:tab w:val="right" w:leader="dot" w:pos="3481"/>
        </w:tabs>
        <w:rPr>
          <w:noProof/>
        </w:rPr>
      </w:pPr>
      <w:r>
        <w:rPr>
          <w:noProof/>
        </w:rPr>
        <w:t xml:space="preserve">Department of Treasury and Finance. </w:t>
      </w:r>
      <w:r w:rsidRPr="008222FD">
        <w:rPr>
          <w:i/>
          <w:noProof/>
        </w:rPr>
        <w:t>See also</w:t>
      </w:r>
      <w:r>
        <w:rPr>
          <w:noProof/>
        </w:rPr>
        <w:t xml:space="preserve"> Budget Paper No. 5</w:t>
      </w:r>
    </w:p>
    <w:p w:rsidR="009F0F49" w:rsidRDefault="009F0F49">
      <w:pPr>
        <w:pStyle w:val="Index2"/>
        <w:tabs>
          <w:tab w:val="right" w:leader="dot" w:pos="3481"/>
        </w:tabs>
        <w:rPr>
          <w:noProof/>
        </w:rPr>
      </w:pPr>
      <w:r>
        <w:rPr>
          <w:noProof/>
        </w:rPr>
        <w:t>Financial Management Services, 281–86</w:t>
      </w:r>
    </w:p>
    <w:p w:rsidR="009F0F49" w:rsidRDefault="009F0F49">
      <w:pPr>
        <w:pStyle w:val="Index2"/>
        <w:tabs>
          <w:tab w:val="right" w:leader="dot" w:pos="3481"/>
        </w:tabs>
        <w:rPr>
          <w:noProof/>
        </w:rPr>
      </w:pPr>
      <w:r>
        <w:rPr>
          <w:noProof/>
        </w:rPr>
        <w:t>Income from transactions, 280</w:t>
      </w:r>
    </w:p>
    <w:p w:rsidR="009F0F49" w:rsidRDefault="009F0F49">
      <w:pPr>
        <w:pStyle w:val="Index2"/>
        <w:tabs>
          <w:tab w:val="right" w:leader="dot" w:pos="3481"/>
        </w:tabs>
        <w:rPr>
          <w:noProof/>
        </w:rPr>
      </w:pPr>
      <w:r>
        <w:rPr>
          <w:noProof/>
        </w:rPr>
        <w:t>Natural disaster response, 341</w:t>
      </w:r>
    </w:p>
    <w:p w:rsidR="009F0F49" w:rsidRDefault="009F0F49">
      <w:pPr>
        <w:pStyle w:val="Index2"/>
        <w:tabs>
          <w:tab w:val="right" w:leader="dot" w:pos="3481"/>
        </w:tabs>
        <w:rPr>
          <w:noProof/>
        </w:rPr>
      </w:pPr>
      <w:r>
        <w:rPr>
          <w:noProof/>
        </w:rPr>
        <w:t>Output intitiatives, 59</w:t>
      </w:r>
    </w:p>
    <w:p w:rsidR="009F0F49" w:rsidRDefault="009F0F49">
      <w:pPr>
        <w:pStyle w:val="Index2"/>
        <w:tabs>
          <w:tab w:val="right" w:leader="dot" w:pos="3481"/>
        </w:tabs>
        <w:rPr>
          <w:noProof/>
        </w:rPr>
      </w:pPr>
      <w:r>
        <w:rPr>
          <w:noProof/>
        </w:rPr>
        <w:t xml:space="preserve">Output performance measures for review, </w:t>
      </w:r>
      <w:r w:rsidR="00874A55">
        <w:rPr>
          <w:noProof/>
        </w:rPr>
        <w:br/>
      </w:r>
      <w:r>
        <w:rPr>
          <w:noProof/>
        </w:rPr>
        <w:t>334–35</w:t>
      </w:r>
    </w:p>
    <w:p w:rsidR="009F0F49" w:rsidRDefault="009F0F49">
      <w:pPr>
        <w:pStyle w:val="Index2"/>
        <w:tabs>
          <w:tab w:val="right" w:leader="dot" w:pos="3481"/>
        </w:tabs>
        <w:rPr>
          <w:noProof/>
        </w:rPr>
      </w:pPr>
      <w:r>
        <w:rPr>
          <w:noProof/>
        </w:rPr>
        <w:t>Output summary, 279</w:t>
      </w:r>
    </w:p>
    <w:p w:rsidR="009F0F49" w:rsidRDefault="009F0F49">
      <w:pPr>
        <w:pStyle w:val="Index2"/>
        <w:tabs>
          <w:tab w:val="right" w:leader="dot" w:pos="3481"/>
        </w:tabs>
        <w:rPr>
          <w:noProof/>
        </w:rPr>
      </w:pPr>
      <w:r>
        <w:rPr>
          <w:noProof/>
        </w:rPr>
        <w:t>Parliamentary authority for resources, 280</w:t>
      </w:r>
    </w:p>
    <w:p w:rsidR="009F0F49" w:rsidRDefault="009F0F49">
      <w:pPr>
        <w:pStyle w:val="Index2"/>
        <w:tabs>
          <w:tab w:val="right" w:leader="dot" w:pos="3481"/>
        </w:tabs>
        <w:rPr>
          <w:noProof/>
        </w:rPr>
      </w:pPr>
      <w:r>
        <w:rPr>
          <w:noProof/>
        </w:rPr>
        <w:t>Regulatory Services, 59, 296–98</w:t>
      </w:r>
    </w:p>
    <w:p w:rsidR="009F0F49" w:rsidRDefault="009F0F49">
      <w:pPr>
        <w:pStyle w:val="Index2"/>
        <w:tabs>
          <w:tab w:val="right" w:leader="dot" w:pos="3481"/>
        </w:tabs>
        <w:rPr>
          <w:noProof/>
        </w:rPr>
      </w:pPr>
      <w:r>
        <w:rPr>
          <w:noProof/>
        </w:rPr>
        <w:t>Resource Management Services, 294–95</w:t>
      </w:r>
    </w:p>
    <w:p w:rsidR="009F0F49" w:rsidRDefault="009F0F49">
      <w:pPr>
        <w:pStyle w:val="Index2"/>
        <w:tabs>
          <w:tab w:val="right" w:leader="dot" w:pos="3481"/>
        </w:tabs>
        <w:rPr>
          <w:noProof/>
        </w:rPr>
      </w:pPr>
      <w:r>
        <w:rPr>
          <w:noProof/>
        </w:rPr>
        <w:t>Revenue Management Services, 59, 299–300</w:t>
      </w:r>
    </w:p>
    <w:p w:rsidR="009F0F49" w:rsidRDefault="009F0F49">
      <w:pPr>
        <w:pStyle w:val="Index2"/>
        <w:tabs>
          <w:tab w:val="right" w:leader="dot" w:pos="3481"/>
        </w:tabs>
        <w:rPr>
          <w:noProof/>
        </w:rPr>
      </w:pPr>
      <w:r>
        <w:rPr>
          <w:noProof/>
        </w:rPr>
        <w:t>Risk Management Services, 292–93</w:t>
      </w:r>
    </w:p>
    <w:p w:rsidR="009F0F49" w:rsidRDefault="009F0F49">
      <w:pPr>
        <w:pStyle w:val="Index2"/>
        <w:tabs>
          <w:tab w:val="right" w:leader="dot" w:pos="3481"/>
        </w:tabs>
        <w:rPr>
          <w:noProof/>
        </w:rPr>
      </w:pPr>
      <w:r>
        <w:rPr>
          <w:noProof/>
        </w:rPr>
        <w:t>Strategic Policy Advice, 281–86</w:t>
      </w:r>
    </w:p>
    <w:p w:rsidR="009F0F49" w:rsidRDefault="009F0F49">
      <w:pPr>
        <w:pStyle w:val="Index1"/>
        <w:tabs>
          <w:tab w:val="right" w:leader="dot" w:pos="3481"/>
        </w:tabs>
        <w:rPr>
          <w:noProof/>
        </w:rPr>
      </w:pPr>
      <w:r>
        <w:rPr>
          <w:noProof/>
        </w:rPr>
        <w:t>Departments of State Development, Business and Innovation and Treasury and Finance</w:t>
      </w:r>
    </w:p>
    <w:p w:rsidR="009F0F49" w:rsidRDefault="009F0F49">
      <w:pPr>
        <w:pStyle w:val="Index2"/>
        <w:tabs>
          <w:tab w:val="right" w:leader="dot" w:pos="3481"/>
        </w:tabs>
        <w:rPr>
          <w:noProof/>
        </w:rPr>
      </w:pPr>
      <w:r>
        <w:rPr>
          <w:noProof/>
        </w:rPr>
        <w:t>Income from transactions, 225</w:t>
      </w:r>
    </w:p>
    <w:p w:rsidR="009F0F49" w:rsidRDefault="009F0F49">
      <w:pPr>
        <w:pStyle w:val="Index2"/>
        <w:tabs>
          <w:tab w:val="right" w:leader="dot" w:pos="3481"/>
        </w:tabs>
        <w:rPr>
          <w:noProof/>
        </w:rPr>
      </w:pPr>
      <w:r>
        <w:rPr>
          <w:noProof/>
        </w:rPr>
        <w:t>Parliamentary authority for resources, 226</w:t>
      </w:r>
    </w:p>
    <w:p w:rsidR="009F0F49" w:rsidRDefault="009F0F49">
      <w:pPr>
        <w:pStyle w:val="Index1"/>
        <w:tabs>
          <w:tab w:val="right" w:leader="dot" w:pos="3481"/>
        </w:tabs>
        <w:rPr>
          <w:noProof/>
        </w:rPr>
      </w:pPr>
      <w:r>
        <w:rPr>
          <w:noProof/>
        </w:rPr>
        <w:t>Development of Primary Industries, 12</w:t>
      </w:r>
    </w:p>
    <w:p w:rsidR="009F0F49" w:rsidRDefault="009F0F49">
      <w:pPr>
        <w:pStyle w:val="Index1"/>
        <w:tabs>
          <w:tab w:val="right" w:leader="dot" w:pos="3481"/>
        </w:tabs>
        <w:rPr>
          <w:noProof/>
        </w:rPr>
      </w:pPr>
      <w:r>
        <w:rPr>
          <w:noProof/>
        </w:rPr>
        <w:t>Disability, 342</w:t>
      </w:r>
    </w:p>
    <w:p w:rsidR="009F0F49" w:rsidRDefault="009F0F49">
      <w:pPr>
        <w:pStyle w:val="Index2"/>
        <w:tabs>
          <w:tab w:val="right" w:leader="dot" w:pos="3481"/>
        </w:tabs>
        <w:rPr>
          <w:noProof/>
        </w:rPr>
      </w:pPr>
      <w:r>
        <w:rPr>
          <w:noProof/>
        </w:rPr>
        <w:t>Disability Services, 27, 29</w:t>
      </w:r>
    </w:p>
    <w:p w:rsidR="009F0F49" w:rsidRDefault="009F0F49">
      <w:pPr>
        <w:pStyle w:val="Index2"/>
        <w:tabs>
          <w:tab w:val="right" w:leader="dot" w:pos="3481"/>
        </w:tabs>
        <w:rPr>
          <w:noProof/>
        </w:rPr>
      </w:pPr>
      <w:r>
        <w:rPr>
          <w:noProof/>
        </w:rPr>
        <w:t>National Disability Insurance Scheme, 61</w:t>
      </w:r>
    </w:p>
    <w:p w:rsidR="009F0F49" w:rsidRDefault="009F0F49">
      <w:pPr>
        <w:pStyle w:val="IndexHeading"/>
        <w:keepNext/>
        <w:tabs>
          <w:tab w:val="right" w:leader="dot" w:pos="3481"/>
        </w:tabs>
        <w:rPr>
          <w:rFonts w:eastAsiaTheme="minorEastAsia" w:cstheme="minorBidi"/>
          <w:b w:val="0"/>
          <w:bCs w:val="0"/>
          <w:noProof/>
        </w:rPr>
      </w:pPr>
      <w:r>
        <w:rPr>
          <w:noProof/>
        </w:rPr>
        <w:t>E</w:t>
      </w:r>
    </w:p>
    <w:p w:rsidR="009F0F49" w:rsidRDefault="009F0F49">
      <w:pPr>
        <w:pStyle w:val="Index1"/>
        <w:tabs>
          <w:tab w:val="right" w:leader="dot" w:pos="3481"/>
        </w:tabs>
        <w:rPr>
          <w:noProof/>
        </w:rPr>
      </w:pPr>
      <w:r>
        <w:rPr>
          <w:noProof/>
        </w:rPr>
        <w:t>Early Childhood Development, 7–8</w:t>
      </w:r>
    </w:p>
    <w:p w:rsidR="009F0F49" w:rsidRDefault="009F0F49">
      <w:pPr>
        <w:pStyle w:val="Index1"/>
        <w:tabs>
          <w:tab w:val="right" w:leader="dot" w:pos="3481"/>
        </w:tabs>
        <w:rPr>
          <w:noProof/>
        </w:rPr>
      </w:pPr>
      <w:r>
        <w:rPr>
          <w:noProof/>
        </w:rPr>
        <w:t>East Werribee Employment Precinct, 343</w:t>
      </w:r>
    </w:p>
    <w:p w:rsidR="009F0F49" w:rsidRDefault="009F0F49">
      <w:pPr>
        <w:pStyle w:val="Index1"/>
        <w:tabs>
          <w:tab w:val="right" w:leader="dot" w:pos="3481"/>
        </w:tabs>
        <w:rPr>
          <w:noProof/>
        </w:rPr>
      </w:pPr>
      <w:r>
        <w:rPr>
          <w:noProof/>
        </w:rPr>
        <w:t xml:space="preserve">Education, 1, 4, 7, 10, 26, 28, 30, 41, 45, 63, 64, 342, </w:t>
      </w:r>
      <w:r w:rsidRPr="008222FD">
        <w:rPr>
          <w:i/>
          <w:noProof/>
        </w:rPr>
        <w:t>See also</w:t>
      </w:r>
      <w:r>
        <w:rPr>
          <w:noProof/>
        </w:rPr>
        <w:t xml:space="preserve"> Department of Education and Early Childhood Development</w:t>
      </w:r>
    </w:p>
    <w:p w:rsidR="009F0F49" w:rsidRDefault="009F0F49">
      <w:pPr>
        <w:pStyle w:val="Index1"/>
        <w:tabs>
          <w:tab w:val="right" w:leader="dot" w:pos="3481"/>
        </w:tabs>
        <w:rPr>
          <w:noProof/>
        </w:rPr>
      </w:pPr>
      <w:r>
        <w:rPr>
          <w:noProof/>
        </w:rPr>
        <w:t>Effective Environmental and Adaptation Policy, Investment and Regulations, 12–13</w:t>
      </w:r>
    </w:p>
    <w:p w:rsidR="009F0F49" w:rsidRDefault="009F0F49">
      <w:pPr>
        <w:pStyle w:val="Index1"/>
        <w:tabs>
          <w:tab w:val="right" w:leader="dot" w:pos="3481"/>
        </w:tabs>
        <w:rPr>
          <w:noProof/>
        </w:rPr>
      </w:pPr>
      <w:r>
        <w:rPr>
          <w:noProof/>
        </w:rPr>
        <w:t>Effective Management of Water Resources to meet Future Urban, Rural and Environmental Needs, 13</w:t>
      </w:r>
    </w:p>
    <w:p w:rsidR="009F0F49" w:rsidRDefault="009F0F49">
      <w:pPr>
        <w:pStyle w:val="Index1"/>
        <w:tabs>
          <w:tab w:val="right" w:leader="dot" w:pos="3481"/>
        </w:tabs>
        <w:rPr>
          <w:noProof/>
        </w:rPr>
      </w:pPr>
      <w:r>
        <w:rPr>
          <w:noProof/>
        </w:rPr>
        <w:t>Efficiencies, 4, 6, 18</w:t>
      </w:r>
    </w:p>
    <w:p w:rsidR="009F0F49" w:rsidRDefault="009F0F49">
      <w:pPr>
        <w:pStyle w:val="Index1"/>
        <w:tabs>
          <w:tab w:val="right" w:leader="dot" w:pos="3481"/>
        </w:tabs>
        <w:rPr>
          <w:noProof/>
        </w:rPr>
      </w:pPr>
      <w:r>
        <w:rPr>
          <w:noProof/>
        </w:rPr>
        <w:t>Efficiency and Expenditure Reduction Measures, 62–64</w:t>
      </w:r>
    </w:p>
    <w:p w:rsidR="009F0F49" w:rsidRDefault="009F0F49">
      <w:pPr>
        <w:pStyle w:val="Index1"/>
        <w:tabs>
          <w:tab w:val="right" w:leader="dot" w:pos="3481"/>
        </w:tabs>
        <w:rPr>
          <w:noProof/>
        </w:rPr>
      </w:pPr>
      <w:r>
        <w:rPr>
          <w:noProof/>
        </w:rPr>
        <w:t>Election Commitments, 1, 10</w:t>
      </w:r>
    </w:p>
    <w:p w:rsidR="009F0F49" w:rsidRDefault="009F0F49">
      <w:pPr>
        <w:pStyle w:val="Index2"/>
        <w:tabs>
          <w:tab w:val="right" w:leader="dot" w:pos="3481"/>
        </w:tabs>
        <w:rPr>
          <w:noProof/>
        </w:rPr>
      </w:pPr>
      <w:r>
        <w:rPr>
          <w:noProof/>
        </w:rPr>
        <w:t>Summary Report, 64–65</w:t>
      </w:r>
    </w:p>
    <w:p w:rsidR="009F0F49" w:rsidRDefault="009F0F49">
      <w:pPr>
        <w:pStyle w:val="Index1"/>
        <w:tabs>
          <w:tab w:val="right" w:leader="dot" w:pos="3481"/>
        </w:tabs>
        <w:rPr>
          <w:noProof/>
        </w:rPr>
      </w:pPr>
      <w:r>
        <w:rPr>
          <w:noProof/>
        </w:rPr>
        <w:t>Emergency Services, 18, 26, 35, 36</w:t>
      </w:r>
    </w:p>
    <w:p w:rsidR="009F0F49" w:rsidRDefault="009F0F49">
      <w:pPr>
        <w:pStyle w:val="Index1"/>
        <w:tabs>
          <w:tab w:val="right" w:leader="dot" w:pos="3481"/>
        </w:tabs>
        <w:rPr>
          <w:noProof/>
        </w:rPr>
      </w:pPr>
      <w:r>
        <w:rPr>
          <w:noProof/>
        </w:rPr>
        <w:t>Employment, 30, 41, 42, 53</w:t>
      </w:r>
    </w:p>
    <w:p w:rsidR="009F0F49" w:rsidRDefault="009F0F49">
      <w:pPr>
        <w:pStyle w:val="Index1"/>
        <w:tabs>
          <w:tab w:val="right" w:leader="dot" w:pos="3481"/>
        </w:tabs>
        <w:rPr>
          <w:noProof/>
        </w:rPr>
      </w:pPr>
      <w:r>
        <w:rPr>
          <w:noProof/>
        </w:rPr>
        <w:t>Empowering Individuals and Communities, 28</w:t>
      </w:r>
    </w:p>
    <w:p w:rsidR="009F0F49" w:rsidRDefault="009F0F49">
      <w:pPr>
        <w:pStyle w:val="Index1"/>
        <w:tabs>
          <w:tab w:val="right" w:leader="dot" w:pos="3481"/>
        </w:tabs>
        <w:rPr>
          <w:noProof/>
        </w:rPr>
      </w:pPr>
      <w:r>
        <w:rPr>
          <w:noProof/>
        </w:rPr>
        <w:t>Energy and Resources, 5, 41, 42</w:t>
      </w:r>
    </w:p>
    <w:p w:rsidR="009F0F49" w:rsidRDefault="009F0F49">
      <w:pPr>
        <w:pStyle w:val="Index1"/>
        <w:tabs>
          <w:tab w:val="right" w:leader="dot" w:pos="3481"/>
        </w:tabs>
        <w:rPr>
          <w:noProof/>
        </w:rPr>
      </w:pPr>
      <w:r>
        <w:rPr>
          <w:noProof/>
        </w:rPr>
        <w:t>Enforcing and Managing Correctional Orders, 32</w:t>
      </w:r>
    </w:p>
    <w:p w:rsidR="009F0F49" w:rsidRDefault="009F0F49">
      <w:pPr>
        <w:pStyle w:val="Index1"/>
        <w:tabs>
          <w:tab w:val="right" w:leader="dot" w:pos="3481"/>
        </w:tabs>
        <w:rPr>
          <w:noProof/>
        </w:rPr>
      </w:pPr>
      <w:r>
        <w:rPr>
          <w:noProof/>
        </w:rPr>
        <w:t>Environment, 3, 5, 12, 14, 34, 56, 63</w:t>
      </w:r>
    </w:p>
    <w:p w:rsidR="009F0F49" w:rsidRDefault="009F0F49">
      <w:pPr>
        <w:pStyle w:val="Index2"/>
        <w:tabs>
          <w:tab w:val="right" w:leader="dot" w:pos="3481"/>
        </w:tabs>
        <w:rPr>
          <w:noProof/>
        </w:rPr>
      </w:pPr>
      <w:r>
        <w:rPr>
          <w:noProof/>
        </w:rPr>
        <w:t>Parks, 341</w:t>
      </w:r>
    </w:p>
    <w:p w:rsidR="009F0F49" w:rsidRDefault="009F0F49">
      <w:pPr>
        <w:pStyle w:val="IndexHeading"/>
        <w:keepNext/>
        <w:tabs>
          <w:tab w:val="right" w:leader="dot" w:pos="3481"/>
        </w:tabs>
        <w:rPr>
          <w:rFonts w:eastAsiaTheme="minorEastAsia" w:cstheme="minorBidi"/>
          <w:b w:val="0"/>
          <w:bCs w:val="0"/>
          <w:noProof/>
        </w:rPr>
      </w:pPr>
      <w:r>
        <w:rPr>
          <w:noProof/>
        </w:rPr>
        <w:t>F</w:t>
      </w:r>
    </w:p>
    <w:p w:rsidR="009F0F49" w:rsidRDefault="009F0F49">
      <w:pPr>
        <w:pStyle w:val="Index1"/>
        <w:tabs>
          <w:tab w:val="right" w:leader="dot" w:pos="3481"/>
        </w:tabs>
        <w:rPr>
          <w:noProof/>
        </w:rPr>
      </w:pPr>
      <w:r>
        <w:rPr>
          <w:noProof/>
        </w:rPr>
        <w:t>Farming, 15</w:t>
      </w:r>
    </w:p>
    <w:p w:rsidR="009F0F49" w:rsidRDefault="009F0F49">
      <w:pPr>
        <w:pStyle w:val="Index1"/>
        <w:tabs>
          <w:tab w:val="right" w:leader="dot" w:pos="3481"/>
        </w:tabs>
        <w:rPr>
          <w:noProof/>
        </w:rPr>
      </w:pPr>
      <w:r>
        <w:rPr>
          <w:noProof/>
        </w:rPr>
        <w:t>Fire Services Levy, 3</w:t>
      </w:r>
    </w:p>
    <w:p w:rsidR="009F0F49" w:rsidRDefault="009F0F49">
      <w:pPr>
        <w:pStyle w:val="Index1"/>
        <w:tabs>
          <w:tab w:val="right" w:leader="dot" w:pos="3481"/>
        </w:tabs>
        <w:rPr>
          <w:noProof/>
        </w:rPr>
      </w:pPr>
      <w:r>
        <w:rPr>
          <w:noProof/>
        </w:rPr>
        <w:t>Floods, 341</w:t>
      </w:r>
    </w:p>
    <w:p w:rsidR="009F0F49" w:rsidRDefault="009F0F49">
      <w:pPr>
        <w:pStyle w:val="Index1"/>
        <w:tabs>
          <w:tab w:val="right" w:leader="dot" w:pos="3481"/>
        </w:tabs>
        <w:rPr>
          <w:noProof/>
        </w:rPr>
      </w:pPr>
      <w:r>
        <w:rPr>
          <w:noProof/>
        </w:rPr>
        <w:t>Freight, 55, 57, 58</w:t>
      </w:r>
    </w:p>
    <w:p w:rsidR="009F0F49" w:rsidRDefault="009F0F49">
      <w:pPr>
        <w:pStyle w:val="IndexHeading"/>
        <w:keepNext/>
        <w:tabs>
          <w:tab w:val="right" w:leader="dot" w:pos="3481"/>
        </w:tabs>
        <w:rPr>
          <w:rFonts w:eastAsiaTheme="minorEastAsia" w:cstheme="minorBidi"/>
          <w:b w:val="0"/>
          <w:bCs w:val="0"/>
          <w:noProof/>
        </w:rPr>
      </w:pPr>
      <w:r>
        <w:rPr>
          <w:noProof/>
        </w:rPr>
        <w:t>H</w:t>
      </w:r>
    </w:p>
    <w:p w:rsidR="009F0F49" w:rsidRDefault="009F0F49">
      <w:pPr>
        <w:pStyle w:val="Index1"/>
        <w:tabs>
          <w:tab w:val="right" w:leader="dot" w:pos="3481"/>
        </w:tabs>
        <w:rPr>
          <w:noProof/>
        </w:rPr>
      </w:pPr>
      <w:r>
        <w:rPr>
          <w:noProof/>
        </w:rPr>
        <w:t xml:space="preserve">Health, 2, 4, 10, 64, 338, 339, 341, </w:t>
      </w:r>
      <w:r w:rsidRPr="008222FD">
        <w:rPr>
          <w:i/>
          <w:noProof/>
        </w:rPr>
        <w:t>See also</w:t>
      </w:r>
      <w:r>
        <w:rPr>
          <w:noProof/>
        </w:rPr>
        <w:t xml:space="preserve"> Department of Health</w:t>
      </w:r>
    </w:p>
    <w:p w:rsidR="009F0F49" w:rsidRDefault="009F0F49">
      <w:pPr>
        <w:pStyle w:val="Index2"/>
        <w:tabs>
          <w:tab w:val="right" w:leader="dot" w:pos="3481"/>
        </w:tabs>
        <w:rPr>
          <w:noProof/>
        </w:rPr>
      </w:pPr>
      <w:r>
        <w:rPr>
          <w:noProof/>
        </w:rPr>
        <w:t>Aboriginals, 20</w:t>
      </w:r>
    </w:p>
    <w:p w:rsidR="009F0F49" w:rsidRDefault="009F0F49">
      <w:pPr>
        <w:pStyle w:val="Index2"/>
        <w:tabs>
          <w:tab w:val="right" w:leader="dot" w:pos="3481"/>
        </w:tabs>
        <w:rPr>
          <w:noProof/>
        </w:rPr>
      </w:pPr>
      <w:r>
        <w:rPr>
          <w:noProof/>
        </w:rPr>
        <w:t>Acute Health, 17–19, 22–24</w:t>
      </w:r>
    </w:p>
    <w:p w:rsidR="009F0F49" w:rsidRDefault="009F0F49">
      <w:pPr>
        <w:pStyle w:val="Index2"/>
        <w:tabs>
          <w:tab w:val="right" w:leader="dot" w:pos="3481"/>
        </w:tabs>
        <w:rPr>
          <w:noProof/>
        </w:rPr>
      </w:pPr>
      <w:r>
        <w:rPr>
          <w:noProof/>
        </w:rPr>
        <w:t>Ageing, Aged and Home Care, 19</w:t>
      </w:r>
    </w:p>
    <w:p w:rsidR="009F0F49" w:rsidRDefault="009F0F49">
      <w:pPr>
        <w:pStyle w:val="Index2"/>
        <w:tabs>
          <w:tab w:val="right" w:leader="dot" w:pos="3481"/>
        </w:tabs>
        <w:rPr>
          <w:noProof/>
        </w:rPr>
      </w:pPr>
      <w:r>
        <w:rPr>
          <w:noProof/>
        </w:rPr>
        <w:t>Hospitals, 2</w:t>
      </w:r>
    </w:p>
    <w:p w:rsidR="009F0F49" w:rsidRDefault="009F0F49">
      <w:pPr>
        <w:pStyle w:val="Index2"/>
        <w:tabs>
          <w:tab w:val="right" w:leader="dot" w:pos="3481"/>
        </w:tabs>
        <w:rPr>
          <w:noProof/>
        </w:rPr>
      </w:pPr>
      <w:r>
        <w:rPr>
          <w:noProof/>
        </w:rPr>
        <w:t>Mental Health, 17, 20</w:t>
      </w:r>
    </w:p>
    <w:p w:rsidR="009F0F49" w:rsidRDefault="009F0F49">
      <w:pPr>
        <w:pStyle w:val="Index2"/>
        <w:tabs>
          <w:tab w:val="right" w:leader="dot" w:pos="3481"/>
        </w:tabs>
        <w:rPr>
          <w:noProof/>
        </w:rPr>
      </w:pPr>
      <w:r>
        <w:rPr>
          <w:noProof/>
        </w:rPr>
        <w:t>Primary, Community and Dental Health, 20</w:t>
      </w:r>
    </w:p>
    <w:p w:rsidR="009F0F49" w:rsidRDefault="009F0F49">
      <w:pPr>
        <w:pStyle w:val="Index2"/>
        <w:tabs>
          <w:tab w:val="right" w:leader="dot" w:pos="3481"/>
        </w:tabs>
        <w:rPr>
          <w:noProof/>
        </w:rPr>
      </w:pPr>
      <w:r>
        <w:rPr>
          <w:noProof/>
        </w:rPr>
        <w:t>Public Health, 17, 21, 343</w:t>
      </w:r>
    </w:p>
    <w:p w:rsidR="009F0F49" w:rsidRDefault="009F0F49">
      <w:pPr>
        <w:pStyle w:val="Index2"/>
        <w:tabs>
          <w:tab w:val="right" w:leader="dot" w:pos="3481"/>
        </w:tabs>
        <w:rPr>
          <w:noProof/>
        </w:rPr>
      </w:pPr>
      <w:r>
        <w:rPr>
          <w:noProof/>
        </w:rPr>
        <w:t>Refugees, 17, 20</w:t>
      </w:r>
    </w:p>
    <w:p w:rsidR="009F0F49" w:rsidRDefault="009F0F49">
      <w:pPr>
        <w:pStyle w:val="Index2"/>
        <w:tabs>
          <w:tab w:val="right" w:leader="dot" w:pos="3481"/>
        </w:tabs>
        <w:rPr>
          <w:noProof/>
        </w:rPr>
      </w:pPr>
      <w:r>
        <w:rPr>
          <w:noProof/>
        </w:rPr>
        <w:t>Securing Victoria’s Health System, 18</w:t>
      </w:r>
    </w:p>
    <w:p w:rsidR="009F0F49" w:rsidRDefault="009F0F49">
      <w:pPr>
        <w:pStyle w:val="Index2"/>
        <w:tabs>
          <w:tab w:val="right" w:leader="dot" w:pos="3481"/>
        </w:tabs>
        <w:rPr>
          <w:noProof/>
        </w:rPr>
      </w:pPr>
      <w:r>
        <w:rPr>
          <w:noProof/>
        </w:rPr>
        <w:t>Training, 18–19</w:t>
      </w:r>
    </w:p>
    <w:p w:rsidR="009F0F49" w:rsidRDefault="009F0F49">
      <w:pPr>
        <w:pStyle w:val="Index1"/>
        <w:tabs>
          <w:tab w:val="right" w:leader="dot" w:pos="3481"/>
        </w:tabs>
        <w:rPr>
          <w:noProof/>
        </w:rPr>
      </w:pPr>
      <w:r>
        <w:rPr>
          <w:noProof/>
        </w:rPr>
        <w:t>Higher Education and Skills, 8</w:t>
      </w:r>
    </w:p>
    <w:p w:rsidR="009F0F49" w:rsidRDefault="009F0F49">
      <w:pPr>
        <w:pStyle w:val="Index1"/>
        <w:tabs>
          <w:tab w:val="right" w:leader="dot" w:pos="3481"/>
        </w:tabs>
        <w:rPr>
          <w:noProof/>
        </w:rPr>
      </w:pPr>
      <w:r>
        <w:rPr>
          <w:noProof/>
        </w:rPr>
        <w:t>Home and Community Care, 19, 339, 343</w:t>
      </w:r>
    </w:p>
    <w:p w:rsidR="009F0F49" w:rsidRDefault="009F0F49">
      <w:pPr>
        <w:pStyle w:val="Index1"/>
        <w:tabs>
          <w:tab w:val="right" w:leader="dot" w:pos="3481"/>
        </w:tabs>
        <w:rPr>
          <w:noProof/>
        </w:rPr>
      </w:pPr>
      <w:r>
        <w:rPr>
          <w:noProof/>
        </w:rPr>
        <w:t>Homelessness, 29, 30</w:t>
      </w:r>
    </w:p>
    <w:p w:rsidR="009F0F49" w:rsidRDefault="009F0F49">
      <w:pPr>
        <w:pStyle w:val="Index1"/>
        <w:tabs>
          <w:tab w:val="right" w:leader="dot" w:pos="3481"/>
        </w:tabs>
        <w:rPr>
          <w:noProof/>
        </w:rPr>
      </w:pPr>
      <w:r>
        <w:rPr>
          <w:noProof/>
        </w:rPr>
        <w:t>Hospitals, 4, 24, 64</w:t>
      </w:r>
    </w:p>
    <w:p w:rsidR="009F0F49" w:rsidRDefault="009F0F49">
      <w:pPr>
        <w:pStyle w:val="Index1"/>
        <w:tabs>
          <w:tab w:val="right" w:leader="dot" w:pos="3481"/>
        </w:tabs>
        <w:rPr>
          <w:noProof/>
        </w:rPr>
      </w:pPr>
      <w:r>
        <w:rPr>
          <w:noProof/>
        </w:rPr>
        <w:t>Housing, 3</w:t>
      </w:r>
    </w:p>
    <w:p w:rsidR="009F0F49" w:rsidRDefault="009F0F49">
      <w:pPr>
        <w:pStyle w:val="Index1"/>
        <w:tabs>
          <w:tab w:val="right" w:leader="dot" w:pos="3481"/>
        </w:tabs>
        <w:rPr>
          <w:noProof/>
        </w:rPr>
      </w:pPr>
      <w:r>
        <w:rPr>
          <w:noProof/>
        </w:rPr>
        <w:t>Housing Assistance, 29, 30</w:t>
      </w:r>
    </w:p>
    <w:p w:rsidR="009F0F49" w:rsidRDefault="009F0F49">
      <w:pPr>
        <w:pStyle w:val="Index1"/>
        <w:tabs>
          <w:tab w:val="right" w:leader="dot" w:pos="3481"/>
        </w:tabs>
        <w:rPr>
          <w:noProof/>
        </w:rPr>
      </w:pPr>
      <w:r>
        <w:rPr>
          <w:noProof/>
        </w:rPr>
        <w:t xml:space="preserve">Human Services, 26, </w:t>
      </w:r>
      <w:r w:rsidRPr="008222FD">
        <w:rPr>
          <w:i/>
          <w:noProof/>
        </w:rPr>
        <w:t>See</w:t>
      </w:r>
      <w:r>
        <w:rPr>
          <w:noProof/>
        </w:rPr>
        <w:t xml:space="preserve"> Department of Human Services</w:t>
      </w:r>
    </w:p>
    <w:p w:rsidR="009F0F49" w:rsidRDefault="009F0F49">
      <w:pPr>
        <w:pStyle w:val="IndexHeading"/>
        <w:keepNext/>
        <w:tabs>
          <w:tab w:val="right" w:leader="dot" w:pos="3481"/>
        </w:tabs>
        <w:rPr>
          <w:rFonts w:eastAsiaTheme="minorEastAsia" w:cstheme="minorBidi"/>
          <w:b w:val="0"/>
          <w:bCs w:val="0"/>
          <w:noProof/>
        </w:rPr>
      </w:pPr>
      <w:r>
        <w:rPr>
          <w:noProof/>
        </w:rPr>
        <w:t>I</w:t>
      </w:r>
    </w:p>
    <w:p w:rsidR="009F0F49" w:rsidRDefault="009F0F49">
      <w:pPr>
        <w:pStyle w:val="Index1"/>
        <w:tabs>
          <w:tab w:val="right" w:leader="dot" w:pos="3481"/>
        </w:tabs>
        <w:rPr>
          <w:noProof/>
        </w:rPr>
      </w:pPr>
      <w:r>
        <w:rPr>
          <w:noProof/>
        </w:rPr>
        <w:t>Infrastructure, 337, 341, 343</w:t>
      </w:r>
    </w:p>
    <w:p w:rsidR="009F0F49" w:rsidRDefault="009F0F49">
      <w:pPr>
        <w:pStyle w:val="Index2"/>
        <w:tabs>
          <w:tab w:val="right" w:leader="dot" w:pos="3481"/>
        </w:tabs>
        <w:rPr>
          <w:noProof/>
        </w:rPr>
      </w:pPr>
      <w:r>
        <w:rPr>
          <w:noProof/>
        </w:rPr>
        <w:t>Investment, 2</w:t>
      </w:r>
    </w:p>
    <w:p w:rsidR="009F0F49" w:rsidRDefault="009F0F49">
      <w:pPr>
        <w:pStyle w:val="Index1"/>
        <w:tabs>
          <w:tab w:val="right" w:leader="dot" w:pos="3481"/>
        </w:tabs>
        <w:rPr>
          <w:noProof/>
        </w:rPr>
      </w:pPr>
      <w:r>
        <w:rPr>
          <w:noProof/>
        </w:rPr>
        <w:t>Infringements and Enhancing Community Safety, 32</w:t>
      </w:r>
    </w:p>
    <w:p w:rsidR="009F0F49" w:rsidRDefault="009F0F49">
      <w:pPr>
        <w:pStyle w:val="Index1"/>
        <w:tabs>
          <w:tab w:val="right" w:leader="dot" w:pos="3481"/>
        </w:tabs>
        <w:rPr>
          <w:noProof/>
        </w:rPr>
      </w:pPr>
      <w:r>
        <w:rPr>
          <w:noProof/>
        </w:rPr>
        <w:t>Innovation and Technology, 42–43</w:t>
      </w:r>
    </w:p>
    <w:p w:rsidR="009F0F49" w:rsidRDefault="009F0F49">
      <w:pPr>
        <w:pStyle w:val="Index1"/>
        <w:tabs>
          <w:tab w:val="right" w:leader="dot" w:pos="3481"/>
        </w:tabs>
        <w:rPr>
          <w:noProof/>
        </w:rPr>
      </w:pPr>
      <w:r>
        <w:rPr>
          <w:noProof/>
        </w:rPr>
        <w:t>Integrated Transport Solutions, 49</w:t>
      </w:r>
    </w:p>
    <w:p w:rsidR="009F0F49" w:rsidRDefault="009F0F49">
      <w:pPr>
        <w:pStyle w:val="Index1"/>
        <w:tabs>
          <w:tab w:val="right" w:leader="dot" w:pos="3481"/>
        </w:tabs>
        <w:rPr>
          <w:noProof/>
        </w:rPr>
      </w:pPr>
      <w:r>
        <w:rPr>
          <w:noProof/>
        </w:rPr>
        <w:t>Investing in Local Infrastructure, 53</w:t>
      </w:r>
    </w:p>
    <w:p w:rsidR="009F0F49" w:rsidRDefault="009F0F49">
      <w:pPr>
        <w:pStyle w:val="Index1"/>
        <w:tabs>
          <w:tab w:val="right" w:leader="dot" w:pos="3481"/>
        </w:tabs>
        <w:rPr>
          <w:noProof/>
        </w:rPr>
      </w:pPr>
      <w:r>
        <w:rPr>
          <w:noProof/>
        </w:rPr>
        <w:t>Investment Attraction, Facilitation and Major Projects, 44, 46</w:t>
      </w:r>
    </w:p>
    <w:p w:rsidR="009F0F49" w:rsidRDefault="009F0F49">
      <w:pPr>
        <w:pStyle w:val="IndexHeading"/>
        <w:keepNext/>
        <w:tabs>
          <w:tab w:val="right" w:leader="dot" w:pos="3481"/>
        </w:tabs>
        <w:rPr>
          <w:rFonts w:eastAsiaTheme="minorEastAsia" w:cstheme="minorBidi"/>
          <w:b w:val="0"/>
          <w:bCs w:val="0"/>
          <w:noProof/>
        </w:rPr>
      </w:pPr>
      <w:r>
        <w:rPr>
          <w:noProof/>
        </w:rPr>
        <w:t>J</w:t>
      </w:r>
    </w:p>
    <w:p w:rsidR="009F0F49" w:rsidRDefault="009F0F49">
      <w:pPr>
        <w:pStyle w:val="Index1"/>
        <w:tabs>
          <w:tab w:val="right" w:leader="dot" w:pos="3481"/>
        </w:tabs>
        <w:rPr>
          <w:noProof/>
        </w:rPr>
      </w:pPr>
      <w:r>
        <w:rPr>
          <w:noProof/>
        </w:rPr>
        <w:t xml:space="preserve">Justice, 31, 32, </w:t>
      </w:r>
      <w:r w:rsidRPr="008222FD">
        <w:rPr>
          <w:i/>
          <w:noProof/>
        </w:rPr>
        <w:t>See</w:t>
      </w:r>
      <w:r>
        <w:rPr>
          <w:noProof/>
        </w:rPr>
        <w:t xml:space="preserve"> Department of Justice</w:t>
      </w:r>
    </w:p>
    <w:p w:rsidR="009F0F49" w:rsidRDefault="009F0F49">
      <w:pPr>
        <w:pStyle w:val="Index2"/>
        <w:tabs>
          <w:tab w:val="right" w:leader="dot" w:pos="3481"/>
        </w:tabs>
        <w:rPr>
          <w:noProof/>
        </w:rPr>
      </w:pPr>
      <w:r>
        <w:rPr>
          <w:noProof/>
        </w:rPr>
        <w:t>Corrections, 34</w:t>
      </w:r>
    </w:p>
    <w:p w:rsidR="009F0F49" w:rsidRDefault="009F0F49">
      <w:pPr>
        <w:pStyle w:val="Index2"/>
        <w:tabs>
          <w:tab w:val="right" w:leader="dot" w:pos="3481"/>
        </w:tabs>
        <w:rPr>
          <w:noProof/>
        </w:rPr>
      </w:pPr>
      <w:r>
        <w:rPr>
          <w:noProof/>
        </w:rPr>
        <w:t>Policing, 33</w:t>
      </w:r>
    </w:p>
    <w:p w:rsidR="009F0F49" w:rsidRDefault="009F0F49">
      <w:pPr>
        <w:pStyle w:val="Index2"/>
        <w:tabs>
          <w:tab w:val="right" w:leader="dot" w:pos="3481"/>
        </w:tabs>
        <w:rPr>
          <w:noProof/>
        </w:rPr>
      </w:pPr>
      <w:r>
        <w:rPr>
          <w:noProof/>
        </w:rPr>
        <w:t>Supporting Legal Processes and Law Reform, 33</w:t>
      </w:r>
    </w:p>
    <w:p w:rsidR="009F0F49" w:rsidRDefault="009F0F49">
      <w:pPr>
        <w:pStyle w:val="IndexHeading"/>
        <w:keepNext/>
        <w:tabs>
          <w:tab w:val="right" w:leader="dot" w:pos="3481"/>
        </w:tabs>
        <w:rPr>
          <w:rFonts w:eastAsiaTheme="minorEastAsia" w:cstheme="minorBidi"/>
          <w:b w:val="0"/>
          <w:bCs w:val="0"/>
          <w:noProof/>
        </w:rPr>
      </w:pPr>
      <w:r>
        <w:rPr>
          <w:noProof/>
        </w:rPr>
        <w:t>K</w:t>
      </w:r>
    </w:p>
    <w:p w:rsidR="009F0F49" w:rsidRDefault="009F0F49">
      <w:pPr>
        <w:pStyle w:val="Index1"/>
        <w:tabs>
          <w:tab w:val="right" w:leader="dot" w:pos="3481"/>
        </w:tabs>
        <w:rPr>
          <w:noProof/>
        </w:rPr>
      </w:pPr>
      <w:r>
        <w:rPr>
          <w:noProof/>
        </w:rPr>
        <w:t>Kindergarten, 342</w:t>
      </w:r>
    </w:p>
    <w:p w:rsidR="009F0F49" w:rsidRDefault="009F0F49">
      <w:pPr>
        <w:pStyle w:val="IndexHeading"/>
        <w:keepNext/>
        <w:tabs>
          <w:tab w:val="right" w:leader="dot" w:pos="3481"/>
        </w:tabs>
        <w:rPr>
          <w:rFonts w:eastAsiaTheme="minorEastAsia" w:cstheme="minorBidi"/>
          <w:b w:val="0"/>
          <w:bCs w:val="0"/>
          <w:noProof/>
        </w:rPr>
      </w:pPr>
      <w:r>
        <w:rPr>
          <w:noProof/>
        </w:rPr>
        <w:t>L</w:t>
      </w:r>
    </w:p>
    <w:p w:rsidR="009F0F49" w:rsidRDefault="009F0F49">
      <w:pPr>
        <w:pStyle w:val="Index1"/>
        <w:tabs>
          <w:tab w:val="right" w:leader="dot" w:pos="3481"/>
        </w:tabs>
        <w:rPr>
          <w:noProof/>
        </w:rPr>
      </w:pPr>
      <w:r>
        <w:rPr>
          <w:noProof/>
        </w:rPr>
        <w:t>Land Tax, 59, 61</w:t>
      </w:r>
    </w:p>
    <w:p w:rsidR="009F0F49" w:rsidRDefault="009F0F49">
      <w:pPr>
        <w:pStyle w:val="Index1"/>
        <w:tabs>
          <w:tab w:val="right" w:leader="dot" w:pos="3481"/>
        </w:tabs>
        <w:rPr>
          <w:noProof/>
        </w:rPr>
      </w:pPr>
      <w:r>
        <w:rPr>
          <w:noProof/>
        </w:rPr>
        <w:t>Law and Order, 31, 61</w:t>
      </w:r>
    </w:p>
    <w:p w:rsidR="009F0F49" w:rsidRDefault="009F0F49">
      <w:pPr>
        <w:pStyle w:val="Index2"/>
        <w:tabs>
          <w:tab w:val="right" w:leader="dot" w:pos="3481"/>
        </w:tabs>
        <w:rPr>
          <w:noProof/>
        </w:rPr>
      </w:pPr>
      <w:r>
        <w:rPr>
          <w:noProof/>
        </w:rPr>
        <w:t>Crime prevention, 340</w:t>
      </w:r>
    </w:p>
    <w:p w:rsidR="009F0F49" w:rsidRDefault="009F0F49">
      <w:pPr>
        <w:pStyle w:val="Index1"/>
        <w:tabs>
          <w:tab w:val="right" w:leader="dot" w:pos="3481"/>
        </w:tabs>
        <w:rPr>
          <w:noProof/>
        </w:rPr>
      </w:pPr>
      <w:r>
        <w:rPr>
          <w:noProof/>
        </w:rPr>
        <w:t>Local government, 1, 12, 21, 337–43</w:t>
      </w:r>
    </w:p>
    <w:p w:rsidR="009F0F49" w:rsidRDefault="009F0F49">
      <w:pPr>
        <w:pStyle w:val="Index2"/>
        <w:tabs>
          <w:tab w:val="right" w:leader="dot" w:pos="3481"/>
        </w:tabs>
        <w:rPr>
          <w:noProof/>
        </w:rPr>
      </w:pPr>
      <w:r>
        <w:rPr>
          <w:noProof/>
        </w:rPr>
        <w:t>Grants and transfers, 339, 340, 342</w:t>
      </w:r>
    </w:p>
    <w:p w:rsidR="009F0F49" w:rsidRDefault="009F0F49">
      <w:pPr>
        <w:pStyle w:val="IndexHeading"/>
        <w:keepNext/>
        <w:tabs>
          <w:tab w:val="right" w:leader="dot" w:pos="3481"/>
        </w:tabs>
        <w:rPr>
          <w:rFonts w:eastAsiaTheme="minorEastAsia" w:cstheme="minorBidi"/>
          <w:b w:val="0"/>
          <w:bCs w:val="0"/>
          <w:noProof/>
        </w:rPr>
      </w:pPr>
      <w:r>
        <w:rPr>
          <w:noProof/>
        </w:rPr>
        <w:t>M</w:t>
      </w:r>
    </w:p>
    <w:p w:rsidR="009F0F49" w:rsidRDefault="009F0F49">
      <w:pPr>
        <w:pStyle w:val="Index1"/>
        <w:tabs>
          <w:tab w:val="right" w:leader="dot" w:pos="3481"/>
        </w:tabs>
        <w:rPr>
          <w:noProof/>
        </w:rPr>
      </w:pPr>
      <w:r>
        <w:rPr>
          <w:noProof/>
        </w:rPr>
        <w:t>Macalister Irrigation District, 3</w:t>
      </w:r>
    </w:p>
    <w:p w:rsidR="009F0F49" w:rsidRDefault="009F0F49">
      <w:pPr>
        <w:pStyle w:val="Index1"/>
        <w:tabs>
          <w:tab w:val="right" w:leader="dot" w:pos="3481"/>
        </w:tabs>
        <w:rPr>
          <w:noProof/>
        </w:rPr>
      </w:pPr>
      <w:r>
        <w:rPr>
          <w:noProof/>
        </w:rPr>
        <w:t xml:space="preserve">Mental Health, 19–20, 24, </w:t>
      </w:r>
      <w:r w:rsidRPr="008222FD">
        <w:rPr>
          <w:i/>
          <w:noProof/>
        </w:rPr>
        <w:t>See</w:t>
      </w:r>
      <w:r>
        <w:rPr>
          <w:noProof/>
        </w:rPr>
        <w:t xml:space="preserve"> Health</w:t>
      </w:r>
    </w:p>
    <w:p w:rsidR="009F0F49" w:rsidRDefault="009F0F49">
      <w:pPr>
        <w:pStyle w:val="Index1"/>
        <w:tabs>
          <w:tab w:val="right" w:leader="dot" w:pos="3481"/>
        </w:tabs>
        <w:rPr>
          <w:noProof/>
        </w:rPr>
      </w:pPr>
      <w:r>
        <w:rPr>
          <w:noProof/>
        </w:rPr>
        <w:t>Metropolitan and Regional Planning and Development, 53–54</w:t>
      </w:r>
    </w:p>
    <w:p w:rsidR="009F0F49" w:rsidRDefault="009F0F49">
      <w:pPr>
        <w:pStyle w:val="Index1"/>
        <w:tabs>
          <w:tab w:val="right" w:leader="dot" w:pos="3481"/>
        </w:tabs>
        <w:rPr>
          <w:noProof/>
        </w:rPr>
      </w:pPr>
      <w:r>
        <w:rPr>
          <w:noProof/>
        </w:rPr>
        <w:t>Multicultural Affairs and Citizenship, 38–39</w:t>
      </w:r>
    </w:p>
    <w:p w:rsidR="009F0F49" w:rsidRDefault="009F0F49">
      <w:pPr>
        <w:pStyle w:val="IndexHeading"/>
        <w:keepNext/>
        <w:tabs>
          <w:tab w:val="right" w:leader="dot" w:pos="3481"/>
        </w:tabs>
        <w:rPr>
          <w:rFonts w:eastAsiaTheme="minorEastAsia" w:cstheme="minorBidi"/>
          <w:b w:val="0"/>
          <w:bCs w:val="0"/>
          <w:noProof/>
        </w:rPr>
      </w:pPr>
      <w:r>
        <w:rPr>
          <w:noProof/>
        </w:rPr>
        <w:t>N</w:t>
      </w:r>
    </w:p>
    <w:p w:rsidR="009F0F49" w:rsidRDefault="009F0F49">
      <w:pPr>
        <w:pStyle w:val="Index1"/>
        <w:tabs>
          <w:tab w:val="right" w:leader="dot" w:pos="3481"/>
        </w:tabs>
        <w:rPr>
          <w:noProof/>
        </w:rPr>
      </w:pPr>
      <w:r>
        <w:rPr>
          <w:noProof/>
        </w:rPr>
        <w:t>National Health Reform Agreement, 4</w:t>
      </w:r>
    </w:p>
    <w:p w:rsidR="009F0F49" w:rsidRDefault="009F0F49">
      <w:pPr>
        <w:pStyle w:val="Index1"/>
        <w:tabs>
          <w:tab w:val="right" w:leader="dot" w:pos="3481"/>
        </w:tabs>
        <w:rPr>
          <w:noProof/>
        </w:rPr>
      </w:pPr>
      <w:r>
        <w:rPr>
          <w:noProof/>
        </w:rPr>
        <w:t>National Partnerships, 9</w:t>
      </w:r>
    </w:p>
    <w:p w:rsidR="009F0F49" w:rsidRDefault="009F0F49">
      <w:pPr>
        <w:pStyle w:val="Index1"/>
        <w:tabs>
          <w:tab w:val="right" w:leader="dot" w:pos="3481"/>
        </w:tabs>
        <w:rPr>
          <w:noProof/>
        </w:rPr>
      </w:pPr>
      <w:r>
        <w:rPr>
          <w:noProof/>
        </w:rPr>
        <w:t>Natural disaster, 341</w:t>
      </w:r>
    </w:p>
    <w:p w:rsidR="009F0F49" w:rsidRDefault="009F0F49">
      <w:pPr>
        <w:pStyle w:val="IndexHeading"/>
        <w:keepNext/>
        <w:tabs>
          <w:tab w:val="right" w:leader="dot" w:pos="3481"/>
        </w:tabs>
        <w:rPr>
          <w:rFonts w:eastAsiaTheme="minorEastAsia" w:cstheme="minorBidi"/>
          <w:b w:val="0"/>
          <w:bCs w:val="0"/>
          <w:noProof/>
        </w:rPr>
      </w:pPr>
      <w:r>
        <w:rPr>
          <w:noProof/>
        </w:rPr>
        <w:t>O</w:t>
      </w:r>
    </w:p>
    <w:p w:rsidR="009F0F49" w:rsidRDefault="009F0F49">
      <w:pPr>
        <w:pStyle w:val="Index1"/>
        <w:tabs>
          <w:tab w:val="right" w:leader="dot" w:pos="3481"/>
        </w:tabs>
        <w:rPr>
          <w:noProof/>
        </w:rPr>
      </w:pPr>
      <w:r>
        <w:rPr>
          <w:noProof/>
        </w:rPr>
        <w:t>Out of Home Care, 26</w:t>
      </w:r>
    </w:p>
    <w:p w:rsidR="009F0F49" w:rsidRDefault="009F0F49">
      <w:pPr>
        <w:pStyle w:val="IndexHeading"/>
        <w:keepNext/>
        <w:tabs>
          <w:tab w:val="right" w:leader="dot" w:pos="3481"/>
        </w:tabs>
        <w:rPr>
          <w:rFonts w:eastAsiaTheme="minorEastAsia" w:cstheme="minorBidi"/>
          <w:b w:val="0"/>
          <w:bCs w:val="0"/>
          <w:noProof/>
        </w:rPr>
      </w:pPr>
      <w:r>
        <w:rPr>
          <w:noProof/>
        </w:rPr>
        <w:t>P</w:t>
      </w:r>
    </w:p>
    <w:p w:rsidR="009F0F49" w:rsidRDefault="009F0F49">
      <w:pPr>
        <w:pStyle w:val="Index1"/>
        <w:tabs>
          <w:tab w:val="right" w:leader="dot" w:pos="3481"/>
        </w:tabs>
        <w:rPr>
          <w:noProof/>
        </w:rPr>
      </w:pPr>
      <w:r>
        <w:rPr>
          <w:noProof/>
        </w:rPr>
        <w:t>Parks, 14, 21</w:t>
      </w:r>
    </w:p>
    <w:p w:rsidR="009F0F49" w:rsidRDefault="009F0F49">
      <w:pPr>
        <w:pStyle w:val="Index1"/>
        <w:tabs>
          <w:tab w:val="right" w:leader="dot" w:pos="3481"/>
        </w:tabs>
        <w:rPr>
          <w:noProof/>
        </w:rPr>
      </w:pPr>
      <w:r>
        <w:rPr>
          <w:noProof/>
        </w:rPr>
        <w:t>Parliament</w:t>
      </w:r>
    </w:p>
    <w:p w:rsidR="009F0F49" w:rsidRDefault="009F0F49">
      <w:pPr>
        <w:pStyle w:val="Index2"/>
        <w:tabs>
          <w:tab w:val="right" w:leader="dot" w:pos="3481"/>
        </w:tabs>
        <w:rPr>
          <w:noProof/>
        </w:rPr>
      </w:pPr>
      <w:r>
        <w:rPr>
          <w:noProof/>
        </w:rPr>
        <w:t>Efficiency and Expenditure Reduction Measures, 62–64</w:t>
      </w:r>
    </w:p>
    <w:p w:rsidR="009F0F49" w:rsidRDefault="009F0F49">
      <w:pPr>
        <w:pStyle w:val="Index2"/>
        <w:tabs>
          <w:tab w:val="right" w:leader="dot" w:pos="3481"/>
        </w:tabs>
        <w:rPr>
          <w:noProof/>
        </w:rPr>
      </w:pPr>
      <w:r>
        <w:rPr>
          <w:noProof/>
        </w:rPr>
        <w:t>Election Commitments, 64–65</w:t>
      </w:r>
    </w:p>
    <w:p w:rsidR="009F0F49" w:rsidRDefault="009F0F49">
      <w:pPr>
        <w:pStyle w:val="Index2"/>
        <w:tabs>
          <w:tab w:val="right" w:leader="dot" w:pos="3481"/>
        </w:tabs>
        <w:rPr>
          <w:noProof/>
        </w:rPr>
      </w:pPr>
      <w:r>
        <w:rPr>
          <w:noProof/>
        </w:rPr>
        <w:t>Income from transactions, 303</w:t>
      </w:r>
    </w:p>
    <w:p w:rsidR="009F0F49" w:rsidRDefault="009F0F49">
      <w:pPr>
        <w:pStyle w:val="Index2"/>
        <w:tabs>
          <w:tab w:val="right" w:leader="dot" w:pos="3481"/>
        </w:tabs>
        <w:rPr>
          <w:noProof/>
        </w:rPr>
      </w:pPr>
      <w:r>
        <w:rPr>
          <w:noProof/>
        </w:rPr>
        <w:t>Legaslative Assembly, 305</w:t>
      </w:r>
    </w:p>
    <w:p w:rsidR="009F0F49" w:rsidRDefault="009F0F49">
      <w:pPr>
        <w:pStyle w:val="Index2"/>
        <w:tabs>
          <w:tab w:val="right" w:leader="dot" w:pos="3481"/>
        </w:tabs>
        <w:rPr>
          <w:noProof/>
        </w:rPr>
      </w:pPr>
      <w:r>
        <w:rPr>
          <w:noProof/>
        </w:rPr>
        <w:t>Legaslative Council, 304</w:t>
      </w:r>
    </w:p>
    <w:p w:rsidR="009F0F49" w:rsidRDefault="009F0F49">
      <w:pPr>
        <w:pStyle w:val="Index2"/>
        <w:tabs>
          <w:tab w:val="right" w:leader="dot" w:pos="3481"/>
        </w:tabs>
        <w:rPr>
          <w:noProof/>
        </w:rPr>
      </w:pPr>
      <w:r>
        <w:rPr>
          <w:noProof/>
        </w:rPr>
        <w:t>Output initiatives, 60</w:t>
      </w:r>
    </w:p>
    <w:p w:rsidR="009F0F49" w:rsidRDefault="009F0F49">
      <w:pPr>
        <w:pStyle w:val="Index2"/>
        <w:tabs>
          <w:tab w:val="right" w:leader="dot" w:pos="3481"/>
        </w:tabs>
        <w:rPr>
          <w:noProof/>
        </w:rPr>
      </w:pPr>
      <w:r>
        <w:rPr>
          <w:noProof/>
        </w:rPr>
        <w:t>Output summary, 302</w:t>
      </w:r>
    </w:p>
    <w:p w:rsidR="009F0F49" w:rsidRDefault="009F0F49">
      <w:pPr>
        <w:pStyle w:val="Index2"/>
        <w:tabs>
          <w:tab w:val="right" w:leader="dot" w:pos="3481"/>
        </w:tabs>
        <w:rPr>
          <w:noProof/>
        </w:rPr>
      </w:pPr>
      <w:r>
        <w:rPr>
          <w:noProof/>
        </w:rPr>
        <w:br w:type="column"/>
        <w:t>Parliamentary authority for resources, 303</w:t>
      </w:r>
    </w:p>
    <w:p w:rsidR="009F0F49" w:rsidRDefault="009F0F49">
      <w:pPr>
        <w:pStyle w:val="Index2"/>
        <w:tabs>
          <w:tab w:val="right" w:leader="dot" w:pos="3481"/>
        </w:tabs>
        <w:rPr>
          <w:noProof/>
        </w:rPr>
      </w:pPr>
      <w:r>
        <w:rPr>
          <w:noProof/>
        </w:rPr>
        <w:t>Parliamentary Investigatory Committees, 60, 307</w:t>
      </w:r>
    </w:p>
    <w:p w:rsidR="009F0F49" w:rsidRDefault="009F0F49">
      <w:pPr>
        <w:pStyle w:val="Index2"/>
        <w:tabs>
          <w:tab w:val="right" w:leader="dot" w:pos="3481"/>
        </w:tabs>
        <w:rPr>
          <w:noProof/>
        </w:rPr>
      </w:pPr>
      <w:r>
        <w:rPr>
          <w:noProof/>
        </w:rPr>
        <w:t>Parliamentary Services, 306</w:t>
      </w:r>
    </w:p>
    <w:p w:rsidR="009F0F49" w:rsidRDefault="009F0F49">
      <w:pPr>
        <w:pStyle w:val="Index2"/>
        <w:tabs>
          <w:tab w:val="right" w:leader="dot" w:pos="3481"/>
        </w:tabs>
        <w:rPr>
          <w:noProof/>
        </w:rPr>
      </w:pPr>
      <w:r>
        <w:rPr>
          <w:noProof/>
        </w:rPr>
        <w:t>Revenue Initiatives, 61–62</w:t>
      </w:r>
    </w:p>
    <w:p w:rsidR="009F0F49" w:rsidRDefault="009F0F49">
      <w:pPr>
        <w:pStyle w:val="Index2"/>
        <w:tabs>
          <w:tab w:val="right" w:leader="dot" w:pos="3481"/>
        </w:tabs>
        <w:rPr>
          <w:noProof/>
        </w:rPr>
      </w:pPr>
      <w:r>
        <w:rPr>
          <w:noProof/>
        </w:rPr>
        <w:t>Victorian Auditor General’s Office, 308–9</w:t>
      </w:r>
    </w:p>
    <w:p w:rsidR="009F0F49" w:rsidRDefault="009F0F49">
      <w:pPr>
        <w:pStyle w:val="Index1"/>
        <w:tabs>
          <w:tab w:val="right" w:leader="dot" w:pos="3481"/>
        </w:tabs>
        <w:rPr>
          <w:noProof/>
        </w:rPr>
      </w:pPr>
      <w:r>
        <w:rPr>
          <w:noProof/>
        </w:rPr>
        <w:t>Parliamentary Investigatory Committees, 60</w:t>
      </w:r>
    </w:p>
    <w:p w:rsidR="009F0F49" w:rsidRDefault="009F0F49">
      <w:pPr>
        <w:pStyle w:val="Index1"/>
        <w:tabs>
          <w:tab w:val="right" w:leader="dot" w:pos="3481"/>
        </w:tabs>
        <w:rPr>
          <w:noProof/>
        </w:rPr>
      </w:pPr>
      <w:r>
        <w:rPr>
          <w:noProof/>
        </w:rPr>
        <w:t xml:space="preserve">Planning. </w:t>
      </w:r>
      <w:r w:rsidRPr="008222FD">
        <w:rPr>
          <w:i/>
          <w:noProof/>
        </w:rPr>
        <w:t>See</w:t>
      </w:r>
      <w:r>
        <w:rPr>
          <w:noProof/>
        </w:rPr>
        <w:t xml:space="preserve"> Department of Transport, Planning and Local Infrastructure</w:t>
      </w:r>
    </w:p>
    <w:p w:rsidR="009F0F49" w:rsidRDefault="009F0F49">
      <w:pPr>
        <w:pStyle w:val="Index1"/>
        <w:tabs>
          <w:tab w:val="right" w:leader="dot" w:pos="3481"/>
        </w:tabs>
        <w:rPr>
          <w:noProof/>
        </w:rPr>
      </w:pPr>
      <w:r>
        <w:rPr>
          <w:noProof/>
        </w:rPr>
        <w:t>Planning and local infrastructure</w:t>
      </w:r>
    </w:p>
    <w:p w:rsidR="009F0F49" w:rsidRDefault="009F0F49">
      <w:pPr>
        <w:pStyle w:val="Index2"/>
        <w:tabs>
          <w:tab w:val="right" w:leader="dot" w:pos="3481"/>
        </w:tabs>
        <w:rPr>
          <w:noProof/>
        </w:rPr>
      </w:pPr>
      <w:r>
        <w:rPr>
          <w:noProof/>
        </w:rPr>
        <w:t>Planning, 338, 343</w:t>
      </w:r>
    </w:p>
    <w:p w:rsidR="009F0F49" w:rsidRDefault="009F0F49">
      <w:pPr>
        <w:pStyle w:val="Index1"/>
        <w:tabs>
          <w:tab w:val="right" w:leader="dot" w:pos="3481"/>
        </w:tabs>
        <w:rPr>
          <w:noProof/>
        </w:rPr>
      </w:pPr>
      <w:r>
        <w:rPr>
          <w:noProof/>
        </w:rPr>
        <w:t>Police, 3, 30, 31, 35, 36</w:t>
      </w:r>
    </w:p>
    <w:p w:rsidR="009F0F49" w:rsidRDefault="009F0F49">
      <w:pPr>
        <w:pStyle w:val="Index1"/>
        <w:tabs>
          <w:tab w:val="right" w:leader="dot" w:pos="3481"/>
        </w:tabs>
        <w:rPr>
          <w:noProof/>
        </w:rPr>
      </w:pPr>
      <w:r>
        <w:rPr>
          <w:noProof/>
        </w:rPr>
        <w:t>Policing, 33</w:t>
      </w:r>
    </w:p>
    <w:p w:rsidR="009F0F49" w:rsidRDefault="009F0F49">
      <w:pPr>
        <w:pStyle w:val="Index1"/>
        <w:tabs>
          <w:tab w:val="right" w:leader="dot" w:pos="3481"/>
        </w:tabs>
        <w:rPr>
          <w:noProof/>
        </w:rPr>
      </w:pPr>
      <w:r>
        <w:rPr>
          <w:noProof/>
        </w:rPr>
        <w:t>Ports, 53, 56</w:t>
      </w:r>
    </w:p>
    <w:p w:rsidR="009F0F49" w:rsidRDefault="009F0F49">
      <w:pPr>
        <w:pStyle w:val="Index1"/>
        <w:tabs>
          <w:tab w:val="right" w:leader="dot" w:pos="3481"/>
        </w:tabs>
        <w:rPr>
          <w:noProof/>
        </w:rPr>
      </w:pPr>
      <w:r>
        <w:rPr>
          <w:noProof/>
        </w:rPr>
        <w:t>Primary, Community and Dental Health, 24</w:t>
      </w:r>
    </w:p>
    <w:p w:rsidR="009F0F49" w:rsidRDefault="009F0F49">
      <w:pPr>
        <w:pStyle w:val="Index1"/>
        <w:tabs>
          <w:tab w:val="right" w:leader="dot" w:pos="3481"/>
        </w:tabs>
        <w:rPr>
          <w:noProof/>
        </w:rPr>
      </w:pPr>
      <w:r>
        <w:rPr>
          <w:noProof/>
        </w:rPr>
        <w:t>Productivity, 1, 3, 15</w:t>
      </w:r>
    </w:p>
    <w:p w:rsidR="009F0F49" w:rsidRDefault="009F0F49">
      <w:pPr>
        <w:pStyle w:val="Index1"/>
        <w:tabs>
          <w:tab w:val="right" w:leader="dot" w:pos="3481"/>
        </w:tabs>
        <w:rPr>
          <w:noProof/>
        </w:rPr>
      </w:pPr>
      <w:r>
        <w:rPr>
          <w:noProof/>
        </w:rPr>
        <w:t>Protective Services Officers, 49, 50</w:t>
      </w:r>
    </w:p>
    <w:p w:rsidR="009F0F49" w:rsidRDefault="009F0F49">
      <w:pPr>
        <w:pStyle w:val="Index1"/>
        <w:tabs>
          <w:tab w:val="right" w:leader="dot" w:pos="3481"/>
        </w:tabs>
        <w:rPr>
          <w:noProof/>
        </w:rPr>
      </w:pPr>
      <w:r>
        <w:rPr>
          <w:noProof/>
        </w:rPr>
        <w:t>Public Health, 4, 20–21</w:t>
      </w:r>
    </w:p>
    <w:p w:rsidR="009F0F49" w:rsidRDefault="009F0F49">
      <w:pPr>
        <w:pStyle w:val="Index1"/>
        <w:tabs>
          <w:tab w:val="right" w:leader="dot" w:pos="3481"/>
        </w:tabs>
        <w:rPr>
          <w:noProof/>
        </w:rPr>
      </w:pPr>
      <w:r>
        <w:rPr>
          <w:noProof/>
        </w:rPr>
        <w:t>Public sector reform, 4–6</w:t>
      </w:r>
    </w:p>
    <w:p w:rsidR="009F0F49" w:rsidRDefault="009F0F49">
      <w:pPr>
        <w:pStyle w:val="Index1"/>
        <w:tabs>
          <w:tab w:val="right" w:leader="dot" w:pos="3481"/>
        </w:tabs>
        <w:rPr>
          <w:noProof/>
        </w:rPr>
      </w:pPr>
      <w:r>
        <w:rPr>
          <w:noProof/>
        </w:rPr>
        <w:t xml:space="preserve">Public transport, 48, 49, 55, 64, </w:t>
      </w:r>
      <w:r w:rsidRPr="008222FD">
        <w:rPr>
          <w:i/>
          <w:noProof/>
        </w:rPr>
        <w:t>See</w:t>
      </w:r>
      <w:r>
        <w:rPr>
          <w:noProof/>
        </w:rPr>
        <w:t xml:space="preserve"> Transport</w:t>
      </w:r>
    </w:p>
    <w:p w:rsidR="009F0F49" w:rsidRDefault="009F0F49">
      <w:pPr>
        <w:pStyle w:val="IndexHeading"/>
        <w:keepNext/>
        <w:tabs>
          <w:tab w:val="right" w:leader="dot" w:pos="3481"/>
        </w:tabs>
        <w:rPr>
          <w:rFonts w:eastAsiaTheme="minorEastAsia" w:cstheme="minorBidi"/>
          <w:b w:val="0"/>
          <w:bCs w:val="0"/>
          <w:noProof/>
        </w:rPr>
      </w:pPr>
      <w:r>
        <w:rPr>
          <w:noProof/>
        </w:rPr>
        <w:t>R</w:t>
      </w:r>
    </w:p>
    <w:p w:rsidR="009F0F49" w:rsidRDefault="009F0F49">
      <w:pPr>
        <w:pStyle w:val="Index1"/>
        <w:tabs>
          <w:tab w:val="right" w:leader="dot" w:pos="3481"/>
        </w:tabs>
        <w:rPr>
          <w:noProof/>
        </w:rPr>
      </w:pPr>
      <w:r>
        <w:rPr>
          <w:noProof/>
        </w:rPr>
        <w:t>Reduced Impact of Major Bushfires and other Extreme Events on People, Infrastructure and the Environment, 14</w:t>
      </w:r>
    </w:p>
    <w:p w:rsidR="009F0F49" w:rsidRDefault="009F0F49">
      <w:pPr>
        <w:pStyle w:val="Index1"/>
        <w:tabs>
          <w:tab w:val="right" w:leader="dot" w:pos="3481"/>
        </w:tabs>
        <w:rPr>
          <w:noProof/>
        </w:rPr>
      </w:pPr>
      <w:r>
        <w:rPr>
          <w:noProof/>
        </w:rPr>
        <w:t>Regional and Rural Victoria, 338</w:t>
      </w:r>
    </w:p>
    <w:p w:rsidR="009F0F49" w:rsidRDefault="009F0F49">
      <w:pPr>
        <w:pStyle w:val="Index1"/>
        <w:tabs>
          <w:tab w:val="right" w:leader="dot" w:pos="3481"/>
        </w:tabs>
        <w:rPr>
          <w:noProof/>
        </w:rPr>
      </w:pPr>
      <w:r>
        <w:rPr>
          <w:noProof/>
        </w:rPr>
        <w:t>Regulatory Services, 59</w:t>
      </w:r>
    </w:p>
    <w:p w:rsidR="009F0F49" w:rsidRDefault="009F0F49">
      <w:pPr>
        <w:pStyle w:val="Index1"/>
        <w:tabs>
          <w:tab w:val="right" w:leader="dot" w:pos="3481"/>
        </w:tabs>
        <w:rPr>
          <w:noProof/>
        </w:rPr>
      </w:pPr>
      <w:r>
        <w:rPr>
          <w:noProof/>
        </w:rPr>
        <w:t>Revenue Management Services, 59</w:t>
      </w:r>
    </w:p>
    <w:p w:rsidR="009F0F49" w:rsidRDefault="009F0F49">
      <w:pPr>
        <w:pStyle w:val="Index1"/>
        <w:tabs>
          <w:tab w:val="right" w:leader="dot" w:pos="3481"/>
        </w:tabs>
        <w:rPr>
          <w:noProof/>
        </w:rPr>
      </w:pPr>
      <w:r>
        <w:rPr>
          <w:noProof/>
        </w:rPr>
        <w:t>Roads, 48, 49, 58, 62, 338</w:t>
      </w:r>
    </w:p>
    <w:p w:rsidR="009F0F49" w:rsidRDefault="009F0F49">
      <w:pPr>
        <w:pStyle w:val="Index1"/>
        <w:tabs>
          <w:tab w:val="right" w:leader="dot" w:pos="3481"/>
        </w:tabs>
        <w:rPr>
          <w:noProof/>
        </w:rPr>
      </w:pPr>
      <w:r>
        <w:rPr>
          <w:noProof/>
        </w:rPr>
        <w:t>Royal Victorian Eye and Ear Hospital redevelopment, 23</w:t>
      </w:r>
    </w:p>
    <w:p w:rsidR="009F0F49" w:rsidRDefault="009F0F49">
      <w:pPr>
        <w:pStyle w:val="IndexHeading"/>
        <w:keepNext/>
        <w:tabs>
          <w:tab w:val="right" w:leader="dot" w:pos="3481"/>
        </w:tabs>
        <w:rPr>
          <w:rFonts w:eastAsiaTheme="minorEastAsia" w:cstheme="minorBidi"/>
          <w:b w:val="0"/>
          <w:bCs w:val="0"/>
          <w:noProof/>
        </w:rPr>
      </w:pPr>
      <w:r>
        <w:rPr>
          <w:noProof/>
        </w:rPr>
        <w:t>S</w:t>
      </w:r>
    </w:p>
    <w:p w:rsidR="009F0F49" w:rsidRDefault="009F0F49">
      <w:pPr>
        <w:pStyle w:val="Index1"/>
        <w:tabs>
          <w:tab w:val="right" w:leader="dot" w:pos="3481"/>
        </w:tabs>
        <w:rPr>
          <w:noProof/>
        </w:rPr>
      </w:pPr>
      <w:r>
        <w:rPr>
          <w:noProof/>
        </w:rPr>
        <w:t>School Education, 8–9</w:t>
      </w:r>
    </w:p>
    <w:p w:rsidR="009F0F49" w:rsidRDefault="009F0F49">
      <w:pPr>
        <w:pStyle w:val="Index1"/>
        <w:tabs>
          <w:tab w:val="right" w:leader="dot" w:pos="3481"/>
        </w:tabs>
        <w:rPr>
          <w:noProof/>
        </w:rPr>
      </w:pPr>
      <w:r>
        <w:rPr>
          <w:noProof/>
        </w:rPr>
        <w:t xml:space="preserve">Schools, 9, 10, 342, </w:t>
      </w:r>
      <w:r w:rsidRPr="008222FD">
        <w:rPr>
          <w:i/>
          <w:noProof/>
        </w:rPr>
        <w:t>See</w:t>
      </w:r>
      <w:r>
        <w:rPr>
          <w:noProof/>
        </w:rPr>
        <w:t xml:space="preserve"> Education</w:t>
      </w:r>
    </w:p>
    <w:p w:rsidR="009F0F49" w:rsidRDefault="009F0F49">
      <w:pPr>
        <w:pStyle w:val="Index1"/>
        <w:tabs>
          <w:tab w:val="right" w:leader="dot" w:pos="3481"/>
        </w:tabs>
        <w:rPr>
          <w:noProof/>
        </w:rPr>
      </w:pPr>
      <w:r>
        <w:rPr>
          <w:noProof/>
        </w:rPr>
        <w:t>Security, 31, 35</w:t>
      </w:r>
    </w:p>
    <w:p w:rsidR="009F0F49" w:rsidRDefault="009F0F49">
      <w:pPr>
        <w:pStyle w:val="Index1"/>
        <w:tabs>
          <w:tab w:val="right" w:leader="dot" w:pos="3481"/>
        </w:tabs>
        <w:rPr>
          <w:noProof/>
        </w:rPr>
      </w:pPr>
      <w:r>
        <w:rPr>
          <w:noProof/>
        </w:rPr>
        <w:t>Senior Victorians, 19</w:t>
      </w:r>
    </w:p>
    <w:p w:rsidR="009F0F49" w:rsidRDefault="009F0F49">
      <w:pPr>
        <w:pStyle w:val="Index1"/>
        <w:tabs>
          <w:tab w:val="right" w:leader="dot" w:pos="3481"/>
        </w:tabs>
        <w:rPr>
          <w:noProof/>
        </w:rPr>
      </w:pPr>
      <w:r>
        <w:rPr>
          <w:noProof/>
        </w:rPr>
        <w:t>Services Connect, 29</w:t>
      </w:r>
    </w:p>
    <w:p w:rsidR="009F0F49" w:rsidRDefault="009F0F49">
      <w:pPr>
        <w:pStyle w:val="Index1"/>
        <w:tabs>
          <w:tab w:val="right" w:leader="dot" w:pos="3481"/>
        </w:tabs>
        <w:rPr>
          <w:noProof/>
        </w:rPr>
      </w:pPr>
      <w:r>
        <w:rPr>
          <w:noProof/>
        </w:rPr>
        <w:t xml:space="preserve">Skills, 41, 43, </w:t>
      </w:r>
      <w:r w:rsidRPr="008222FD">
        <w:rPr>
          <w:i/>
          <w:noProof/>
        </w:rPr>
        <w:t>See</w:t>
      </w:r>
      <w:r>
        <w:rPr>
          <w:noProof/>
        </w:rPr>
        <w:t xml:space="preserve"> Education</w:t>
      </w:r>
    </w:p>
    <w:p w:rsidR="009F0F49" w:rsidRDefault="009F0F49">
      <w:pPr>
        <w:pStyle w:val="Index1"/>
        <w:tabs>
          <w:tab w:val="right" w:leader="dot" w:pos="3481"/>
        </w:tabs>
        <w:rPr>
          <w:noProof/>
        </w:rPr>
      </w:pPr>
      <w:r>
        <w:rPr>
          <w:noProof/>
        </w:rPr>
        <w:t>Small Business Assistance, 44</w:t>
      </w:r>
    </w:p>
    <w:p w:rsidR="009F0F49" w:rsidRDefault="009F0F49">
      <w:pPr>
        <w:pStyle w:val="Index1"/>
        <w:tabs>
          <w:tab w:val="right" w:leader="dot" w:pos="3481"/>
        </w:tabs>
        <w:rPr>
          <w:noProof/>
        </w:rPr>
      </w:pPr>
      <w:r>
        <w:rPr>
          <w:noProof/>
        </w:rPr>
        <w:t>Support for Students with Disabilities, 9</w:t>
      </w:r>
    </w:p>
    <w:p w:rsidR="009F0F49" w:rsidRDefault="009F0F49">
      <w:pPr>
        <w:pStyle w:val="Index1"/>
        <w:tabs>
          <w:tab w:val="right" w:leader="dot" w:pos="3481"/>
        </w:tabs>
        <w:rPr>
          <w:noProof/>
        </w:rPr>
      </w:pPr>
      <w:r>
        <w:rPr>
          <w:noProof/>
        </w:rPr>
        <w:t>Supporting and Strengthening Communities, 39</w:t>
      </w:r>
    </w:p>
    <w:p w:rsidR="009F0F49" w:rsidRDefault="009F0F49">
      <w:pPr>
        <w:pStyle w:val="Index1"/>
        <w:tabs>
          <w:tab w:val="right" w:leader="dot" w:pos="3481"/>
        </w:tabs>
        <w:rPr>
          <w:noProof/>
        </w:rPr>
      </w:pPr>
      <w:r>
        <w:rPr>
          <w:noProof/>
        </w:rPr>
        <w:t>Supporting Legal Processes and Law Reform, 33</w:t>
      </w:r>
    </w:p>
    <w:p w:rsidR="009F0F49" w:rsidRDefault="009F0F49">
      <w:pPr>
        <w:pStyle w:val="Index1"/>
        <w:tabs>
          <w:tab w:val="right" w:leader="dot" w:pos="3481"/>
        </w:tabs>
        <w:rPr>
          <w:noProof/>
        </w:rPr>
      </w:pPr>
      <w:r>
        <w:rPr>
          <w:noProof/>
        </w:rPr>
        <w:t>Supporting the State’s Fire and Emergency Services, 34</w:t>
      </w:r>
    </w:p>
    <w:p w:rsidR="009F0F49" w:rsidRDefault="009F0F49">
      <w:pPr>
        <w:spacing w:after="0"/>
        <w:rPr>
          <w:rFonts w:asciiTheme="minorHAnsi" w:hAnsiTheme="minorHAnsi" w:cstheme="minorHAnsi"/>
          <w:b/>
          <w:bCs/>
          <w:noProof/>
          <w:sz w:val="26"/>
          <w:szCs w:val="26"/>
        </w:rPr>
      </w:pPr>
      <w:r>
        <w:rPr>
          <w:noProof/>
        </w:rPr>
        <w:br w:type="page"/>
      </w:r>
    </w:p>
    <w:p w:rsidR="009F0F49" w:rsidRDefault="009F0F49">
      <w:pPr>
        <w:pStyle w:val="IndexHeading"/>
        <w:keepNext/>
        <w:tabs>
          <w:tab w:val="right" w:leader="dot" w:pos="3481"/>
        </w:tabs>
        <w:rPr>
          <w:rFonts w:eastAsiaTheme="minorEastAsia" w:cstheme="minorBidi"/>
          <w:b w:val="0"/>
          <w:bCs w:val="0"/>
          <w:noProof/>
        </w:rPr>
      </w:pPr>
      <w:r>
        <w:rPr>
          <w:noProof/>
        </w:rPr>
        <w:t>T</w:t>
      </w:r>
    </w:p>
    <w:p w:rsidR="009F0F49" w:rsidRDefault="009F0F49">
      <w:pPr>
        <w:pStyle w:val="Index1"/>
        <w:tabs>
          <w:tab w:val="right" w:leader="dot" w:pos="3481"/>
        </w:tabs>
        <w:rPr>
          <w:noProof/>
        </w:rPr>
      </w:pPr>
      <w:r>
        <w:rPr>
          <w:noProof/>
        </w:rPr>
        <w:t>Technical and Further Education, 2, 8, 10</w:t>
      </w:r>
    </w:p>
    <w:p w:rsidR="009F0F49" w:rsidRDefault="009F0F49">
      <w:pPr>
        <w:pStyle w:val="Index1"/>
        <w:tabs>
          <w:tab w:val="right" w:leader="dot" w:pos="3481"/>
        </w:tabs>
        <w:rPr>
          <w:noProof/>
        </w:rPr>
      </w:pPr>
      <w:r>
        <w:rPr>
          <w:noProof/>
        </w:rPr>
        <w:t>The Community Benefits from Effective Management of Victoria’s Land Assets, 14</w:t>
      </w:r>
    </w:p>
    <w:p w:rsidR="009F0F49" w:rsidRDefault="009F0F49">
      <w:pPr>
        <w:pStyle w:val="Index1"/>
        <w:tabs>
          <w:tab w:val="right" w:leader="dot" w:pos="3481"/>
        </w:tabs>
        <w:rPr>
          <w:noProof/>
        </w:rPr>
      </w:pPr>
      <w:r>
        <w:rPr>
          <w:noProof/>
        </w:rPr>
        <w:t>Tourism and Marketing, 41, 45</w:t>
      </w:r>
    </w:p>
    <w:p w:rsidR="009F0F49" w:rsidRDefault="009F0F49">
      <w:pPr>
        <w:pStyle w:val="Index1"/>
        <w:tabs>
          <w:tab w:val="right" w:leader="dot" w:pos="3481"/>
        </w:tabs>
        <w:rPr>
          <w:noProof/>
        </w:rPr>
      </w:pPr>
      <w:r>
        <w:rPr>
          <w:noProof/>
        </w:rPr>
        <w:t>Trade and Export Facilitation, 45</w:t>
      </w:r>
    </w:p>
    <w:p w:rsidR="009F0F49" w:rsidRDefault="009F0F49">
      <w:pPr>
        <w:pStyle w:val="Index1"/>
        <w:tabs>
          <w:tab w:val="right" w:leader="dot" w:pos="3481"/>
        </w:tabs>
        <w:rPr>
          <w:noProof/>
        </w:rPr>
      </w:pPr>
      <w:r>
        <w:rPr>
          <w:noProof/>
        </w:rPr>
        <w:t>Training, 34, 35, 36, 341</w:t>
      </w:r>
    </w:p>
    <w:p w:rsidR="009F0F49" w:rsidRDefault="009F0F49">
      <w:pPr>
        <w:pStyle w:val="Index1"/>
        <w:tabs>
          <w:tab w:val="right" w:leader="dot" w:pos="3481"/>
        </w:tabs>
        <w:rPr>
          <w:noProof/>
        </w:rPr>
      </w:pPr>
      <w:r>
        <w:rPr>
          <w:noProof/>
        </w:rPr>
        <w:t xml:space="preserve">Transport, 48, </w:t>
      </w:r>
      <w:r w:rsidRPr="008222FD">
        <w:rPr>
          <w:i/>
          <w:noProof/>
        </w:rPr>
        <w:t>See also</w:t>
      </w:r>
      <w:r>
        <w:rPr>
          <w:noProof/>
        </w:rPr>
        <w:t xml:space="preserve"> Department of Transport, Planning and Local Infrastructure</w:t>
      </w:r>
    </w:p>
    <w:p w:rsidR="009F0F49" w:rsidRDefault="009F0F49">
      <w:pPr>
        <w:pStyle w:val="Index2"/>
        <w:tabs>
          <w:tab w:val="right" w:leader="dot" w:pos="3481"/>
        </w:tabs>
        <w:rPr>
          <w:noProof/>
        </w:rPr>
      </w:pPr>
      <w:r>
        <w:rPr>
          <w:noProof/>
        </w:rPr>
        <w:t>Trains, 49, 50, 57</w:t>
      </w:r>
    </w:p>
    <w:p w:rsidR="009F0F49" w:rsidRDefault="009F0F49">
      <w:pPr>
        <w:pStyle w:val="Index2"/>
        <w:tabs>
          <w:tab w:val="right" w:leader="dot" w:pos="3481"/>
        </w:tabs>
        <w:rPr>
          <w:noProof/>
        </w:rPr>
      </w:pPr>
      <w:r>
        <w:rPr>
          <w:noProof/>
        </w:rPr>
        <w:t>Transport Safety and Security, 51</w:t>
      </w:r>
    </w:p>
    <w:p w:rsidR="009F0F49" w:rsidRDefault="009F0F49">
      <w:pPr>
        <w:pStyle w:val="Index2"/>
        <w:tabs>
          <w:tab w:val="right" w:leader="dot" w:pos="3481"/>
        </w:tabs>
        <w:rPr>
          <w:noProof/>
        </w:rPr>
      </w:pPr>
      <w:r>
        <w:rPr>
          <w:noProof/>
        </w:rPr>
        <w:t>Transport System Development and Maintenance, 49–51, 54–58</w:t>
      </w:r>
    </w:p>
    <w:p w:rsidR="009F0F49" w:rsidRDefault="009F0F49">
      <w:pPr>
        <w:pStyle w:val="Index1"/>
        <w:tabs>
          <w:tab w:val="right" w:leader="dot" w:pos="3481"/>
        </w:tabs>
        <w:rPr>
          <w:noProof/>
        </w:rPr>
      </w:pPr>
      <w:r>
        <w:rPr>
          <w:noProof/>
        </w:rPr>
        <w:t>Triple</w:t>
      </w:r>
      <w:r>
        <w:rPr>
          <w:noProof/>
        </w:rPr>
        <w:noBreakHyphen/>
        <w:t>A credit rating, 1</w:t>
      </w:r>
    </w:p>
    <w:p w:rsidR="009F0F49" w:rsidRDefault="009F0F49">
      <w:pPr>
        <w:pStyle w:val="IndexHeading"/>
        <w:keepNext/>
        <w:tabs>
          <w:tab w:val="right" w:leader="dot" w:pos="3481"/>
        </w:tabs>
        <w:rPr>
          <w:rFonts w:eastAsiaTheme="minorEastAsia" w:cstheme="minorBidi"/>
          <w:b w:val="0"/>
          <w:bCs w:val="0"/>
          <w:noProof/>
        </w:rPr>
      </w:pPr>
      <w:r>
        <w:rPr>
          <w:noProof/>
        </w:rPr>
        <w:t>V</w:t>
      </w:r>
    </w:p>
    <w:p w:rsidR="009F0F49" w:rsidRDefault="009F0F49">
      <w:pPr>
        <w:pStyle w:val="Index1"/>
        <w:tabs>
          <w:tab w:val="right" w:leader="dot" w:pos="3481"/>
        </w:tabs>
        <w:rPr>
          <w:noProof/>
        </w:rPr>
      </w:pPr>
      <w:r>
        <w:rPr>
          <w:noProof/>
        </w:rPr>
        <w:t>Victoria Legal Aid, 3, 33</w:t>
      </w:r>
    </w:p>
    <w:p w:rsidR="009F0F49" w:rsidRDefault="009F0F49">
      <w:pPr>
        <w:pStyle w:val="Index1"/>
        <w:tabs>
          <w:tab w:val="right" w:leader="dot" w:pos="3481"/>
        </w:tabs>
        <w:rPr>
          <w:noProof/>
        </w:rPr>
      </w:pPr>
      <w:r>
        <w:rPr>
          <w:noProof/>
        </w:rPr>
        <w:t xml:space="preserve">Victoria Police, 33, </w:t>
      </w:r>
      <w:r w:rsidRPr="008222FD">
        <w:rPr>
          <w:i/>
          <w:noProof/>
        </w:rPr>
        <w:t>See</w:t>
      </w:r>
      <w:r>
        <w:rPr>
          <w:noProof/>
        </w:rPr>
        <w:t xml:space="preserve"> Police</w:t>
      </w:r>
    </w:p>
    <w:p w:rsidR="009F0F49" w:rsidRDefault="009F0F49">
      <w:pPr>
        <w:pStyle w:val="IndexHeading"/>
        <w:keepNext/>
        <w:tabs>
          <w:tab w:val="right" w:leader="dot" w:pos="3481"/>
        </w:tabs>
        <w:rPr>
          <w:rFonts w:eastAsiaTheme="minorEastAsia" w:cstheme="minorBidi"/>
          <w:b w:val="0"/>
          <w:bCs w:val="0"/>
          <w:noProof/>
        </w:rPr>
      </w:pPr>
      <w:r>
        <w:rPr>
          <w:noProof/>
        </w:rPr>
        <w:t>W</w:t>
      </w:r>
    </w:p>
    <w:p w:rsidR="009F0F49" w:rsidRDefault="009F0F49">
      <w:pPr>
        <w:pStyle w:val="Index1"/>
        <w:tabs>
          <w:tab w:val="right" w:leader="dot" w:pos="3481"/>
        </w:tabs>
        <w:rPr>
          <w:noProof/>
        </w:rPr>
      </w:pPr>
      <w:r>
        <w:rPr>
          <w:noProof/>
        </w:rPr>
        <w:t>Water, 5, 13, 15</w:t>
      </w:r>
    </w:p>
    <w:p w:rsidR="009F0F49" w:rsidRDefault="009F0F49">
      <w:pPr>
        <w:pStyle w:val="Index1"/>
        <w:tabs>
          <w:tab w:val="right" w:leader="dot" w:pos="3481"/>
        </w:tabs>
        <w:rPr>
          <w:noProof/>
        </w:rPr>
      </w:pPr>
      <w:r>
        <w:rPr>
          <w:noProof/>
        </w:rPr>
        <w:t>Wyndham City Council, 341</w:t>
      </w:r>
    </w:p>
    <w:p w:rsidR="009F0F49" w:rsidRDefault="009F0F49">
      <w:pPr>
        <w:pStyle w:val="IndexHeading"/>
        <w:keepNext/>
        <w:tabs>
          <w:tab w:val="right" w:leader="dot" w:pos="3481"/>
        </w:tabs>
        <w:rPr>
          <w:rFonts w:eastAsiaTheme="minorEastAsia" w:cstheme="minorBidi"/>
          <w:b w:val="0"/>
          <w:bCs w:val="0"/>
          <w:noProof/>
        </w:rPr>
      </w:pPr>
      <w:r>
        <w:rPr>
          <w:noProof/>
        </w:rPr>
        <w:t>Y</w:t>
      </w:r>
    </w:p>
    <w:p w:rsidR="009F0F49" w:rsidRDefault="009F0F49">
      <w:pPr>
        <w:pStyle w:val="Index1"/>
        <w:tabs>
          <w:tab w:val="right" w:leader="dot" w:pos="3481"/>
        </w:tabs>
        <w:rPr>
          <w:noProof/>
        </w:rPr>
      </w:pPr>
      <w:r>
        <w:rPr>
          <w:noProof/>
        </w:rPr>
        <w:t>Youth Justice, 30</w:t>
      </w:r>
    </w:p>
    <w:p w:rsidR="009F0F49" w:rsidRDefault="009F0F49">
      <w:pPr>
        <w:pStyle w:val="Index1"/>
        <w:tabs>
          <w:tab w:val="right" w:leader="dot" w:pos="3481"/>
        </w:tabs>
        <w:rPr>
          <w:noProof/>
        </w:rPr>
      </w:pPr>
      <w:r>
        <w:rPr>
          <w:noProof/>
        </w:rPr>
        <w:t>Youth Services, 30</w:t>
      </w:r>
    </w:p>
    <w:p w:rsidR="009F0F49" w:rsidRDefault="009F0F49" w:rsidP="00497606">
      <w:pPr>
        <w:rPr>
          <w:noProof/>
        </w:rPr>
        <w:sectPr w:rsidR="009F0F49" w:rsidSect="009F0F49">
          <w:type w:val="continuous"/>
          <w:pgSz w:w="9979" w:h="14181" w:code="138"/>
          <w:pgMar w:top="1138" w:right="1138" w:bottom="1138" w:left="1138" w:header="720" w:footer="720" w:gutter="0"/>
          <w:cols w:num="2" w:space="259"/>
          <w:docGrid w:linePitch="360"/>
        </w:sectPr>
      </w:pPr>
    </w:p>
    <w:p w:rsidR="00B958B1" w:rsidRDefault="00B958B1" w:rsidP="00497606">
      <w:r>
        <w:fldChar w:fldCharType="end"/>
      </w:r>
    </w:p>
    <w:p w:rsidR="00B958B1" w:rsidRDefault="00B958B1" w:rsidP="00497606">
      <w:r>
        <w:br w:type="page"/>
      </w:r>
    </w:p>
    <w:p w:rsidR="00B958B1" w:rsidRDefault="00B958B1" w:rsidP="00497606"/>
    <w:p w:rsidR="00B958B1" w:rsidRDefault="00B958B1" w:rsidP="00497606"/>
    <w:p w:rsidR="00B958B1" w:rsidRDefault="00B958B1" w:rsidP="00497606"/>
    <w:sectPr w:rsidR="00B958B1" w:rsidSect="009F0F49">
      <w:type w:val="continuous"/>
      <w:pgSz w:w="9979" w:h="14181" w:code="138"/>
      <w:pgMar w:top="1138" w:right="1138" w:bottom="1138" w:left="113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B54" w:rsidRDefault="009F3B54" w:rsidP="00B958B1">
      <w:pPr>
        <w:spacing w:after="0"/>
      </w:pPr>
      <w:r>
        <w:separator/>
      </w:r>
    </w:p>
  </w:endnote>
  <w:endnote w:type="continuationSeparator" w:id="0">
    <w:p w:rsidR="009F3B54" w:rsidRDefault="009F3B54" w:rsidP="00B958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vantGarde Bk BT">
    <w:altName w:val="Arial"/>
    <w:charset w:val="00"/>
    <w:family w:val="swiss"/>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Pr="004B42A1" w:rsidRDefault="009F3B54" w:rsidP="004B42A1">
    <w:pPr>
      <w:pStyle w:val="Footer"/>
      <w:pBdr>
        <w:top w:val="none" w:sz="0" w:space="0" w:color="auto"/>
      </w:pBdr>
      <w:rPr>
        <w:rStyle w:val="PageNumber"/>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4820"/>
        <w:tab w:val="right" w:pos="7655"/>
      </w:tabs>
      <w:spacing w:after="0"/>
      <w:rPr>
        <w:rStyle w:val="PageNumber"/>
      </w:rPr>
    </w:pPr>
    <w:r>
      <w:rPr>
        <w:rStyle w:val="PageNumber"/>
      </w:rPr>
      <w:t>2013</w:t>
    </w:r>
    <w:r>
      <w:rPr>
        <w:rStyle w:val="PageNumber"/>
      </w:rPr>
      <w:noBreakHyphen/>
      <w:t>14</w:t>
    </w:r>
    <w:r>
      <w:t xml:space="preserve"> Service Delivery</w:t>
    </w:r>
    <w:r>
      <w:tab/>
    </w:r>
    <w:r w:rsidRPr="00981AA0">
      <w:t xml:space="preserve">Education </w:t>
    </w:r>
    <w:r>
      <w:t>a</w:t>
    </w:r>
    <w:r w:rsidRPr="00981AA0">
      <w:t>nd Early Childhood Development</w:t>
    </w:r>
    <w:r>
      <w:tab/>
    </w: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93</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116</w:t>
    </w:r>
    <w:r>
      <w:rPr>
        <w:rStyle w:val="PageNumber"/>
      </w:rPr>
      <w:fldChar w:fldCharType="end"/>
    </w:r>
    <w:r>
      <w:tab/>
      <w:t xml:space="preserve">Environment and </w:t>
    </w:r>
    <w:r w:rsidRPr="000B036B">
      <w:t>Primary Industries</w:t>
    </w:r>
    <w:r>
      <w:tab/>
    </w:r>
    <w:r>
      <w:rPr>
        <w:rStyle w:val="PageNumber"/>
      </w:rPr>
      <w:t>2013</w:t>
    </w:r>
    <w:r>
      <w:rPr>
        <w:rStyle w:val="PageNumber"/>
      </w:rPr>
      <w:noBreakHyphen/>
      <w:t>14</w:t>
    </w:r>
    <w:r>
      <w:t xml:space="preserve"> Service Delivery</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4820"/>
        <w:tab w:val="right" w:pos="7655"/>
      </w:tabs>
      <w:spacing w:after="0"/>
      <w:rPr>
        <w:rStyle w:val="PageNumber"/>
      </w:rPr>
    </w:pPr>
    <w:r>
      <w:rPr>
        <w:rStyle w:val="PageNumber"/>
      </w:rPr>
      <w:t>2013</w:t>
    </w:r>
    <w:r>
      <w:rPr>
        <w:rStyle w:val="PageNumber"/>
      </w:rPr>
      <w:noBreakHyphen/>
      <w:t>14</w:t>
    </w:r>
    <w:r>
      <w:t xml:space="preserve"> Service Delivery</w:t>
    </w:r>
    <w:r>
      <w:tab/>
      <w:t xml:space="preserve">Environment and </w:t>
    </w:r>
    <w:r w:rsidRPr="000B036B">
      <w:t>Primary Industries</w:t>
    </w:r>
    <w:r>
      <w:tab/>
    </w: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115</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737C77">
    <w:pPr>
      <w:pStyle w:val="Footer"/>
      <w:tabs>
        <w:tab w:val="clear" w:pos="7085"/>
        <w:tab w:val="center" w:pos="2880"/>
        <w:tab w:val="right" w:pos="7650"/>
      </w:tabs>
    </w:pPr>
    <w:r>
      <w:fldChar w:fldCharType="begin"/>
    </w:r>
    <w:r>
      <w:instrText xml:space="preserve"> PAGE </w:instrText>
    </w:r>
    <w:r>
      <w:fldChar w:fldCharType="separate"/>
    </w:r>
    <w:r w:rsidR="002951DE">
      <w:rPr>
        <w:noProof/>
      </w:rPr>
      <w:t>148</w:t>
    </w:r>
    <w:r>
      <w:fldChar w:fldCharType="end"/>
    </w:r>
    <w:r>
      <w:tab/>
      <w:t>Health</w:t>
    </w:r>
    <w:r>
      <w:tab/>
      <w:t>2013</w:t>
    </w:r>
    <w:r>
      <w:noBreakHyphen/>
      <w:t>14 Service Delivery</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737C77">
    <w:pPr>
      <w:pStyle w:val="Footer"/>
      <w:tabs>
        <w:tab w:val="clear" w:pos="7085"/>
        <w:tab w:val="center" w:pos="4320"/>
        <w:tab w:val="right" w:pos="7650"/>
      </w:tabs>
    </w:pPr>
    <w:r>
      <w:t>2013</w:t>
    </w:r>
    <w:r>
      <w:noBreakHyphen/>
      <w:t>14 Service Delivery</w:t>
    </w:r>
    <w:r>
      <w:tab/>
      <w:t>Health</w:t>
    </w:r>
    <w:r>
      <w:tab/>
    </w:r>
    <w:r>
      <w:fldChar w:fldCharType="begin"/>
    </w:r>
    <w:r>
      <w:instrText xml:space="preserve"> PAGE </w:instrText>
    </w:r>
    <w:r>
      <w:fldChar w:fldCharType="separate"/>
    </w:r>
    <w:r w:rsidR="002951DE">
      <w:rPr>
        <w:noProof/>
      </w:rPr>
      <w:t>147</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170</w:t>
    </w:r>
    <w:r>
      <w:rPr>
        <w:rStyle w:val="PageNumber"/>
      </w:rPr>
      <w:fldChar w:fldCharType="end"/>
    </w:r>
    <w:r>
      <w:tab/>
      <w:t>Human Services</w:t>
    </w:r>
    <w:r>
      <w:tab/>
    </w:r>
    <w:r>
      <w:rPr>
        <w:rStyle w:val="PageNumber"/>
      </w:rPr>
      <w:t>2013</w:t>
    </w:r>
    <w:r>
      <w:rPr>
        <w:rStyle w:val="PageNumber"/>
      </w:rPr>
      <w:noBreakHyphen/>
      <w:t>14</w:t>
    </w:r>
    <w:r>
      <w:t xml:space="preserve"> Service Delivery</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4820"/>
        <w:tab w:val="right" w:pos="7655"/>
      </w:tabs>
      <w:spacing w:after="0"/>
      <w:rPr>
        <w:rStyle w:val="PageNumber"/>
      </w:rPr>
    </w:pPr>
    <w:r>
      <w:rPr>
        <w:rStyle w:val="PageNumber"/>
      </w:rPr>
      <w:t>2013</w:t>
    </w:r>
    <w:r>
      <w:rPr>
        <w:rStyle w:val="PageNumber"/>
      </w:rPr>
      <w:noBreakHyphen/>
      <w:t>14</w:t>
    </w:r>
    <w:r>
      <w:t xml:space="preserve"> Service Delivery</w:t>
    </w:r>
    <w:r>
      <w:tab/>
      <w:t>Human Services</w:t>
    </w:r>
    <w:r>
      <w:tab/>
    </w: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169</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B13F5D">
    <w:pPr>
      <w:pStyle w:val="Footer"/>
      <w:tabs>
        <w:tab w:val="clear" w:pos="7085"/>
        <w:tab w:val="decimal" w:pos="3240"/>
        <w:tab w:val="right" w:pos="7740"/>
      </w:tabs>
    </w:pP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200</w:t>
    </w:r>
    <w:r>
      <w:rPr>
        <w:rStyle w:val="PageNumber"/>
      </w:rPr>
      <w:fldChar w:fldCharType="end"/>
    </w:r>
    <w:r>
      <w:tab/>
      <w:t>Justice</w:t>
    </w:r>
    <w:r>
      <w:tab/>
    </w:r>
    <w:r>
      <w:rPr>
        <w:rStyle w:val="PageNumber"/>
      </w:rPr>
      <w:t>2013</w:t>
    </w:r>
    <w:r>
      <w:rPr>
        <w:rStyle w:val="PageNumber"/>
      </w:rPr>
      <w:noBreakHyphen/>
      <w:t>14</w:t>
    </w:r>
    <w:r>
      <w:t xml:space="preserve"> Service Delivery</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B13F5D">
    <w:pPr>
      <w:pStyle w:val="Footer"/>
      <w:tabs>
        <w:tab w:val="clear" w:pos="7085"/>
        <w:tab w:val="center" w:pos="4590"/>
        <w:tab w:val="right" w:pos="7703"/>
      </w:tabs>
      <w:rPr>
        <w:rStyle w:val="PageNumber"/>
      </w:rPr>
    </w:pPr>
    <w:r>
      <w:rPr>
        <w:rStyle w:val="PageNumber"/>
      </w:rPr>
      <w:t>2013</w:t>
    </w:r>
    <w:r>
      <w:rPr>
        <w:rStyle w:val="PageNumber"/>
      </w:rPr>
      <w:noBreakHyphen/>
      <w:t>14</w:t>
    </w:r>
    <w:r>
      <w:t xml:space="preserve"> Service Delivery</w:t>
    </w:r>
    <w:r>
      <w:tab/>
      <w:t>Justice</w:t>
    </w:r>
    <w:r>
      <w:tab/>
    </w: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199</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222</w:t>
    </w:r>
    <w:r>
      <w:rPr>
        <w:rStyle w:val="PageNumber"/>
      </w:rPr>
      <w:fldChar w:fldCharType="end"/>
    </w:r>
    <w:r>
      <w:tab/>
      <w:t>Premier a</w:t>
    </w:r>
    <w:r w:rsidRPr="0008277A">
      <w:t>nd Cabinet</w:t>
    </w:r>
    <w:r>
      <w:tab/>
    </w:r>
    <w:r>
      <w:rPr>
        <w:rStyle w:val="PageNumber"/>
      </w:rPr>
      <w:t>2013</w:t>
    </w:r>
    <w:r>
      <w:rPr>
        <w:rStyle w:val="PageNumber"/>
      </w:rPr>
      <w:noBreakHyphen/>
      <w:t>14</w:t>
    </w:r>
    <w:r>
      <w:t xml:space="preserve"> Service Delivery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Pr="004B42A1" w:rsidRDefault="009F3B54" w:rsidP="004B42A1">
    <w:pPr>
      <w:pStyle w:val="Footer"/>
      <w:pBdr>
        <w:top w:val="none" w:sz="0" w:space="0" w:color="auto"/>
      </w:pBdr>
      <w:rPr>
        <w:rStyle w:val="PageNumber"/>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4820"/>
        <w:tab w:val="right" w:pos="7655"/>
      </w:tabs>
      <w:spacing w:after="0"/>
      <w:rPr>
        <w:rStyle w:val="PageNumber"/>
      </w:rPr>
    </w:pPr>
    <w:r>
      <w:rPr>
        <w:rStyle w:val="PageNumber"/>
      </w:rPr>
      <w:t>2013</w:t>
    </w:r>
    <w:r>
      <w:rPr>
        <w:rStyle w:val="PageNumber"/>
      </w:rPr>
      <w:noBreakHyphen/>
      <w:t>14</w:t>
    </w:r>
    <w:r>
      <w:t xml:space="preserve"> Service Delivery</w:t>
    </w:r>
    <w:r>
      <w:tab/>
      <w:t>Premier a</w:t>
    </w:r>
    <w:r w:rsidRPr="0008277A">
      <w:t>nd Cabinet</w:t>
    </w:r>
    <w:r>
      <w:tab/>
    </w: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221</w:t>
    </w:r>
    <w:r>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236</w:t>
    </w:r>
    <w:r>
      <w:rPr>
        <w:rStyle w:val="PageNumber"/>
      </w:rPr>
      <w:fldChar w:fldCharType="end"/>
    </w:r>
    <w:r>
      <w:tab/>
      <w:t>State Development, Business and Innovation</w:t>
    </w:r>
    <w:r>
      <w:tab/>
    </w:r>
    <w:r>
      <w:rPr>
        <w:rStyle w:val="PageNumber"/>
      </w:rPr>
      <w:t>2013</w:t>
    </w:r>
    <w:r>
      <w:rPr>
        <w:rStyle w:val="PageNumber"/>
      </w:rPr>
      <w:noBreakHyphen/>
      <w:t>14</w:t>
    </w:r>
    <w:r>
      <w:t xml:space="preserve"> Service Delivery</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4820"/>
        <w:tab w:val="right" w:pos="7655"/>
      </w:tabs>
      <w:spacing w:after="0"/>
      <w:rPr>
        <w:rStyle w:val="PageNumber"/>
      </w:rPr>
    </w:pPr>
    <w:r>
      <w:rPr>
        <w:rStyle w:val="PageNumber"/>
      </w:rPr>
      <w:t>2013</w:t>
    </w:r>
    <w:r>
      <w:rPr>
        <w:rStyle w:val="PageNumber"/>
      </w:rPr>
      <w:noBreakHyphen/>
      <w:t>14</w:t>
    </w:r>
    <w:r>
      <w:t xml:space="preserve"> Service Delivery</w:t>
    </w:r>
    <w:r>
      <w:tab/>
      <w:t>State Development, Business and Innovation</w:t>
    </w:r>
    <w:r>
      <w:tab/>
    </w: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237</w:t>
    </w:r>
    <w:r>
      <w:rPr>
        <w:rStyle w:val="PageNumber"/>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276</w:t>
    </w:r>
    <w:r>
      <w:rPr>
        <w:rStyle w:val="PageNumber"/>
      </w:rPr>
      <w:fldChar w:fldCharType="end"/>
    </w:r>
    <w:r>
      <w:tab/>
    </w:r>
    <w:r w:rsidRPr="000005B2">
      <w:t>Transport</w:t>
    </w:r>
    <w:r>
      <w:t>, Planning and Local Infrastructure</w:t>
    </w:r>
    <w:r>
      <w:tab/>
    </w:r>
    <w:r>
      <w:rPr>
        <w:rStyle w:val="PageNumber"/>
      </w:rPr>
      <w:t>2013</w:t>
    </w:r>
    <w:r>
      <w:rPr>
        <w:rStyle w:val="PageNumber"/>
      </w:rPr>
      <w:noBreakHyphen/>
      <w:t>14</w:t>
    </w:r>
    <w:r>
      <w:t xml:space="preserve"> Service Delivery</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4820"/>
        <w:tab w:val="right" w:pos="7655"/>
      </w:tabs>
      <w:spacing w:after="0"/>
      <w:rPr>
        <w:rStyle w:val="PageNumber"/>
      </w:rPr>
    </w:pPr>
    <w:r>
      <w:rPr>
        <w:rStyle w:val="PageNumber"/>
      </w:rPr>
      <w:t>2013</w:t>
    </w:r>
    <w:r>
      <w:rPr>
        <w:rStyle w:val="PageNumber"/>
      </w:rPr>
      <w:noBreakHyphen/>
      <w:t>14</w:t>
    </w:r>
    <w:r>
      <w:t xml:space="preserve"> Service Delivery</w:t>
    </w:r>
    <w:r>
      <w:tab/>
    </w:r>
    <w:r w:rsidRPr="000005B2">
      <w:t>Transport</w:t>
    </w:r>
    <w:r>
      <w:t>, Planning and Local Infrastructure</w:t>
    </w:r>
    <w:r>
      <w:tab/>
    </w: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275</w:t>
    </w:r>
    <w:r>
      <w:rPr>
        <w:rStyle w:val="PageNumber"/>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300</w:t>
    </w:r>
    <w:r>
      <w:rPr>
        <w:rStyle w:val="PageNumber"/>
      </w:rPr>
      <w:fldChar w:fldCharType="end"/>
    </w:r>
    <w:r>
      <w:tab/>
      <w:t>Treasury a</w:t>
    </w:r>
    <w:r w:rsidRPr="00135B76">
      <w:t>nd Finance</w:t>
    </w:r>
    <w:r>
      <w:tab/>
    </w:r>
    <w:r>
      <w:rPr>
        <w:rStyle w:val="PageNumber"/>
      </w:rPr>
      <w:t>2013</w:t>
    </w:r>
    <w:r>
      <w:rPr>
        <w:rStyle w:val="PageNumber"/>
      </w:rPr>
      <w:noBreakHyphen/>
      <w:t>14</w:t>
    </w:r>
    <w:r>
      <w:t xml:space="preserve"> Service Delivery</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4820"/>
        <w:tab w:val="right" w:pos="7655"/>
      </w:tabs>
      <w:spacing w:after="0"/>
      <w:rPr>
        <w:rStyle w:val="PageNumber"/>
      </w:rPr>
    </w:pPr>
    <w:r>
      <w:rPr>
        <w:rStyle w:val="PageNumber"/>
      </w:rPr>
      <w:t>2013</w:t>
    </w:r>
    <w:r>
      <w:rPr>
        <w:rStyle w:val="PageNumber"/>
      </w:rPr>
      <w:noBreakHyphen/>
      <w:t>14</w:t>
    </w:r>
    <w:r>
      <w:t xml:space="preserve"> Service Delivery</w:t>
    </w:r>
    <w:r>
      <w:tab/>
      <w:t>Treasury a</w:t>
    </w:r>
    <w:r w:rsidRPr="00135B76">
      <w:t>nd Finance</w:t>
    </w:r>
    <w:r>
      <w:tab/>
    </w: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299</w:t>
    </w:r>
    <w:r>
      <w:rPr>
        <w:rStyle w:val="PageNumber"/>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310</w:t>
    </w:r>
    <w:r>
      <w:rPr>
        <w:rStyle w:val="PageNumber"/>
      </w:rPr>
      <w:fldChar w:fldCharType="end"/>
    </w:r>
    <w:r>
      <w:tab/>
      <w:t>Parliament</w:t>
    </w:r>
    <w:r>
      <w:tab/>
    </w:r>
    <w:r>
      <w:rPr>
        <w:rStyle w:val="PageNumber"/>
      </w:rPr>
      <w:t>2013</w:t>
    </w:r>
    <w:r>
      <w:rPr>
        <w:rStyle w:val="PageNumber"/>
      </w:rPr>
      <w:noBreakHyphen/>
      <w:t>14</w:t>
    </w:r>
    <w:r>
      <w:t xml:space="preserve"> Service Delivery</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4820"/>
        <w:tab w:val="right" w:pos="7655"/>
      </w:tabs>
      <w:spacing w:after="0"/>
      <w:rPr>
        <w:rStyle w:val="PageNumber"/>
      </w:rPr>
    </w:pPr>
    <w:r>
      <w:rPr>
        <w:rStyle w:val="PageNumber"/>
      </w:rPr>
      <w:t>2013</w:t>
    </w:r>
    <w:r>
      <w:rPr>
        <w:rStyle w:val="PageNumber"/>
      </w:rPr>
      <w:noBreakHyphen/>
      <w:t>14</w:t>
    </w:r>
    <w:r>
      <w:t xml:space="preserve"> Service Delivery</w:t>
    </w:r>
    <w:r>
      <w:tab/>
      <w:t>Parliament</w:t>
    </w:r>
    <w:r>
      <w:tab/>
    </w: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309</w:t>
    </w:r>
    <w:r>
      <w:rPr>
        <w:rStyle w:val="PageNumber"/>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336</w:t>
    </w:r>
    <w:r>
      <w:rPr>
        <w:rStyle w:val="PageNumber"/>
      </w:rPr>
      <w:fldChar w:fldCharType="end"/>
    </w:r>
    <w:r>
      <w:tab/>
      <w:t>Appendix A</w:t>
    </w:r>
    <w:r>
      <w:tab/>
    </w:r>
    <w:r>
      <w:rPr>
        <w:rStyle w:val="PageNumber"/>
      </w:rPr>
      <w:t>2013</w:t>
    </w:r>
    <w:r>
      <w:rPr>
        <w:rStyle w:val="PageNumber"/>
      </w:rPr>
      <w:noBreakHyphen/>
      <w:t>14</w:t>
    </w:r>
    <w:r>
      <w:t xml:space="preserve"> Service Delivery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4B42A1">
    <w:pPr>
      <w:pStyle w:val="Footer"/>
      <w:pBdr>
        <w:top w:val="none" w:sz="0" w:space="0" w:color="auto"/>
      </w:pBdr>
      <w:tabs>
        <w:tab w:val="clear" w:pos="7085"/>
        <w:tab w:val="center" w:pos="2694"/>
        <w:tab w:val="right" w:pos="7655"/>
      </w:tabs>
      <w:spacing w:after="0"/>
      <w:rPr>
        <w:rStyle w:val="PageNumber"/>
      </w:rPr>
    </w:pP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ii</w:t>
    </w:r>
    <w:r>
      <w:rPr>
        <w:rStyle w:val="PageNumber"/>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4820"/>
        <w:tab w:val="right" w:pos="7655"/>
      </w:tabs>
      <w:spacing w:after="0"/>
      <w:rPr>
        <w:rStyle w:val="PageNumber"/>
      </w:rPr>
    </w:pPr>
    <w:r>
      <w:rPr>
        <w:rStyle w:val="PageNumber"/>
      </w:rPr>
      <w:t>2013</w:t>
    </w:r>
    <w:r>
      <w:rPr>
        <w:rStyle w:val="PageNumber"/>
      </w:rPr>
      <w:noBreakHyphen/>
      <w:t>14</w:t>
    </w:r>
    <w:r>
      <w:t xml:space="preserve"> Service Delivery</w:t>
    </w:r>
    <w:r>
      <w:tab/>
      <w:t>Appendix A</w:t>
    </w:r>
    <w:r>
      <w:tab/>
    </w: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335</w:t>
    </w:r>
    <w:r>
      <w:rPr>
        <w:rStyle w:val="PageNumber"/>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344</w:t>
    </w:r>
    <w:r>
      <w:rPr>
        <w:rStyle w:val="PageNumber"/>
      </w:rPr>
      <w:fldChar w:fldCharType="end"/>
    </w:r>
    <w:r>
      <w:tab/>
      <w:t>Appendix B</w:t>
    </w:r>
    <w:r>
      <w:tab/>
    </w:r>
    <w:r>
      <w:rPr>
        <w:rStyle w:val="PageNumber"/>
      </w:rPr>
      <w:t>2013</w:t>
    </w:r>
    <w:r>
      <w:rPr>
        <w:rStyle w:val="PageNumber"/>
      </w:rPr>
      <w:noBreakHyphen/>
      <w:t>14</w:t>
    </w:r>
    <w:r>
      <w:t xml:space="preserve"> Service Delivery</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4820"/>
        <w:tab w:val="right" w:pos="7655"/>
      </w:tabs>
      <w:spacing w:after="0"/>
      <w:rPr>
        <w:rStyle w:val="PageNumber"/>
      </w:rPr>
    </w:pPr>
    <w:r>
      <w:rPr>
        <w:rStyle w:val="PageNumber"/>
      </w:rPr>
      <w:t>2013</w:t>
    </w:r>
    <w:r>
      <w:rPr>
        <w:rStyle w:val="PageNumber"/>
      </w:rPr>
      <w:noBreakHyphen/>
      <w:t>14</w:t>
    </w:r>
    <w:r>
      <w:t xml:space="preserve"> Service Delivery</w:t>
    </w:r>
    <w:r>
      <w:tab/>
      <w:t>Appendix B</w:t>
    </w:r>
    <w:r>
      <w:tab/>
    </w: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343</w:t>
    </w:r>
    <w:r>
      <w:rPr>
        <w:rStyle w:val="PageNumber"/>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350</w:t>
    </w:r>
    <w:r>
      <w:rPr>
        <w:rStyle w:val="PageNumber"/>
      </w:rPr>
      <w:fldChar w:fldCharType="end"/>
    </w:r>
    <w:r>
      <w:tab/>
      <w:t>A</w:t>
    </w:r>
    <w:r w:rsidRPr="004471E4">
      <w:t>bbreviations and acronyms</w:t>
    </w:r>
    <w:r>
      <w:tab/>
    </w:r>
    <w:r>
      <w:rPr>
        <w:rStyle w:val="PageNumber"/>
      </w:rPr>
      <w:t>2013</w:t>
    </w:r>
    <w:r>
      <w:rPr>
        <w:rStyle w:val="PageNumber"/>
      </w:rPr>
      <w:noBreakHyphen/>
      <w:t>14</w:t>
    </w:r>
    <w:r>
      <w:t xml:space="preserve"> Service Delivery</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4820"/>
        <w:tab w:val="right" w:pos="7655"/>
      </w:tabs>
      <w:spacing w:after="0"/>
      <w:rPr>
        <w:rStyle w:val="PageNumber"/>
      </w:rPr>
    </w:pPr>
    <w:r>
      <w:rPr>
        <w:rStyle w:val="PageNumber"/>
      </w:rPr>
      <w:t>2013</w:t>
    </w:r>
    <w:r>
      <w:rPr>
        <w:rStyle w:val="PageNumber"/>
      </w:rPr>
      <w:noBreakHyphen/>
      <w:t>14</w:t>
    </w:r>
    <w:r>
      <w:t xml:space="preserve"> Service Delivery</w:t>
    </w:r>
    <w:r>
      <w:tab/>
      <w:t>A</w:t>
    </w:r>
    <w:r w:rsidRPr="004471E4">
      <w:t>bbreviations and acronyms</w:t>
    </w:r>
    <w:r>
      <w:tab/>
    </w: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349</w:t>
    </w:r>
    <w:r>
      <w:rPr>
        <w:rStyle w:val="PageNumber"/>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352</w:t>
    </w:r>
    <w:r>
      <w:rPr>
        <w:rStyle w:val="PageNumber"/>
      </w:rPr>
      <w:fldChar w:fldCharType="end"/>
    </w:r>
    <w:r>
      <w:tab/>
      <w:t>S</w:t>
    </w:r>
    <w:r w:rsidRPr="0009665B">
      <w:t>tyle conventions</w:t>
    </w:r>
    <w:r>
      <w:tab/>
    </w:r>
    <w:r>
      <w:rPr>
        <w:rStyle w:val="PageNumber"/>
      </w:rPr>
      <w:t>2013</w:t>
    </w:r>
    <w:r>
      <w:rPr>
        <w:rStyle w:val="PageNumber"/>
      </w:rPr>
      <w:noBreakHyphen/>
      <w:t>14</w:t>
    </w:r>
    <w:r>
      <w:t xml:space="preserve"> Service Delivery</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4820"/>
        <w:tab w:val="right" w:pos="7655"/>
      </w:tabs>
      <w:spacing w:after="0"/>
      <w:rPr>
        <w:rStyle w:val="PageNumber"/>
      </w:rPr>
    </w:pPr>
    <w:r>
      <w:rPr>
        <w:rStyle w:val="PageNumber"/>
      </w:rPr>
      <w:t>2013</w:t>
    </w:r>
    <w:r>
      <w:rPr>
        <w:rStyle w:val="PageNumber"/>
      </w:rPr>
      <w:noBreakHyphen/>
      <w:t>14</w:t>
    </w:r>
    <w:r>
      <w:t xml:space="preserve"> Service Delivery</w:t>
    </w:r>
    <w:r>
      <w:tab/>
      <w:t>S</w:t>
    </w:r>
    <w:r w:rsidRPr="0009665B">
      <w:t>tyle conventions</w:t>
    </w:r>
    <w:r>
      <w:tab/>
    </w: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351</w:t>
    </w:r>
    <w:r>
      <w:rPr>
        <w:rStyle w:val="PageNumber"/>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358</w:t>
    </w:r>
    <w:r>
      <w:rPr>
        <w:rStyle w:val="PageNumber"/>
      </w:rPr>
      <w:fldChar w:fldCharType="end"/>
    </w:r>
    <w:r>
      <w:tab/>
      <w:t>Index</w:t>
    </w:r>
    <w:r>
      <w:tab/>
    </w:r>
    <w:r>
      <w:rPr>
        <w:rStyle w:val="PageNumber"/>
      </w:rPr>
      <w:t>2013</w:t>
    </w:r>
    <w:r>
      <w:rPr>
        <w:rStyle w:val="PageNumber"/>
      </w:rPr>
      <w:noBreakHyphen/>
      <w:t>14</w:t>
    </w:r>
    <w:r>
      <w:t xml:space="preserve"> Service Delivery</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4820"/>
        <w:tab w:val="right" w:pos="7655"/>
      </w:tabs>
      <w:spacing w:after="0"/>
      <w:rPr>
        <w:rStyle w:val="PageNumber"/>
      </w:rPr>
    </w:pPr>
    <w:r>
      <w:rPr>
        <w:rStyle w:val="PageNumber"/>
      </w:rPr>
      <w:t>2013</w:t>
    </w:r>
    <w:r>
      <w:rPr>
        <w:rStyle w:val="PageNumber"/>
      </w:rPr>
      <w:noBreakHyphen/>
      <w:t>14</w:t>
    </w:r>
    <w:r>
      <w:t xml:space="preserve"> Service Delivery</w:t>
    </w:r>
    <w:r>
      <w:tab/>
      <w:t>Index</w:t>
    </w:r>
    <w:r>
      <w:tab/>
    </w: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357</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4B42A1">
    <w:pPr>
      <w:pStyle w:val="Footer"/>
      <w:pBdr>
        <w:top w:val="none" w:sz="0" w:space="0" w:color="auto"/>
      </w:pBdr>
      <w:tabs>
        <w:tab w:val="clear" w:pos="7085"/>
        <w:tab w:val="center" w:pos="5103"/>
        <w:tab w:val="right" w:pos="7655"/>
      </w:tabs>
      <w:spacing w:after="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66</w:t>
    </w:r>
    <w:r>
      <w:rPr>
        <w:rStyle w:val="PageNumber"/>
      </w:rPr>
      <w:fldChar w:fldCharType="end"/>
    </w:r>
    <w:r>
      <w:tab/>
      <w:t>Chapter 1</w:t>
    </w:r>
    <w:r>
      <w:tab/>
    </w:r>
    <w:r>
      <w:rPr>
        <w:rStyle w:val="PageNumber"/>
      </w:rPr>
      <w:t>2013</w:t>
    </w:r>
    <w:r>
      <w:rPr>
        <w:rStyle w:val="PageNumber"/>
      </w:rPr>
      <w:noBreakHyphen/>
      <w:t>14</w:t>
    </w:r>
    <w:r>
      <w:t xml:space="preserve"> Service Delivery</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4820"/>
        <w:tab w:val="right" w:pos="7655"/>
      </w:tabs>
      <w:spacing w:after="0"/>
      <w:rPr>
        <w:rStyle w:val="PageNumber"/>
      </w:rPr>
    </w:pPr>
    <w:r>
      <w:rPr>
        <w:rStyle w:val="PageNumber"/>
      </w:rPr>
      <w:t>2013</w:t>
    </w:r>
    <w:r>
      <w:rPr>
        <w:rStyle w:val="PageNumber"/>
      </w:rPr>
      <w:noBreakHyphen/>
      <w:t>14</w:t>
    </w:r>
    <w:r>
      <w:t xml:space="preserve"> Service Delivery</w:t>
    </w:r>
    <w:r>
      <w:tab/>
      <w:t>Chapter 1</w:t>
    </w:r>
    <w:r>
      <w:tab/>
    </w: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65</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70</w:t>
    </w:r>
    <w:r>
      <w:rPr>
        <w:rStyle w:val="PageNumber"/>
      </w:rPr>
      <w:fldChar w:fldCharType="end"/>
    </w:r>
    <w:r>
      <w:tab/>
      <w:t>Chapter 2</w:t>
    </w:r>
    <w:r>
      <w:tab/>
    </w:r>
    <w:r>
      <w:rPr>
        <w:rStyle w:val="PageNumber"/>
      </w:rPr>
      <w:t>2013</w:t>
    </w:r>
    <w:r>
      <w:rPr>
        <w:rStyle w:val="PageNumber"/>
      </w:rPr>
      <w:noBreakHyphen/>
      <w:t>14</w:t>
    </w:r>
    <w:r>
      <w:t xml:space="preserve"> Service Delivery</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4820"/>
        <w:tab w:val="right" w:pos="7655"/>
      </w:tabs>
      <w:spacing w:after="0"/>
      <w:rPr>
        <w:rStyle w:val="PageNumber"/>
      </w:rPr>
    </w:pPr>
    <w:r>
      <w:rPr>
        <w:rStyle w:val="PageNumber"/>
      </w:rPr>
      <w:t>2013</w:t>
    </w:r>
    <w:r>
      <w:rPr>
        <w:rStyle w:val="PageNumber"/>
      </w:rPr>
      <w:noBreakHyphen/>
      <w:t>14</w:t>
    </w:r>
    <w:r>
      <w:t xml:space="preserve"> Service Delivery</w:t>
    </w:r>
    <w:r>
      <w:tab/>
      <w:t>Chapter 2</w:t>
    </w:r>
    <w:r>
      <w:tab/>
    </w: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71</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4" w:rsidRDefault="009F3B54" w:rsidP="00C97E08">
    <w:pPr>
      <w:pStyle w:val="Footer"/>
      <w:tabs>
        <w:tab w:val="clear" w:pos="7085"/>
        <w:tab w:val="center" w:pos="2835"/>
        <w:tab w:val="right" w:pos="7655"/>
      </w:tabs>
      <w:spacing w:after="0"/>
    </w:pPr>
    <w:r>
      <w:rPr>
        <w:rStyle w:val="PageNumber"/>
      </w:rPr>
      <w:fldChar w:fldCharType="begin"/>
    </w:r>
    <w:r>
      <w:rPr>
        <w:rStyle w:val="PageNumber"/>
      </w:rPr>
      <w:instrText xml:space="preserve"> PAGE </w:instrText>
    </w:r>
    <w:r>
      <w:rPr>
        <w:rStyle w:val="PageNumber"/>
      </w:rPr>
      <w:fldChar w:fldCharType="separate"/>
    </w:r>
    <w:r w:rsidR="002951DE">
      <w:rPr>
        <w:rStyle w:val="PageNumber"/>
        <w:noProof/>
      </w:rPr>
      <w:t>92</w:t>
    </w:r>
    <w:r>
      <w:rPr>
        <w:rStyle w:val="PageNumber"/>
      </w:rPr>
      <w:fldChar w:fldCharType="end"/>
    </w:r>
    <w:r>
      <w:tab/>
    </w:r>
    <w:r w:rsidRPr="00981AA0">
      <w:t xml:space="preserve">Education </w:t>
    </w:r>
    <w:r>
      <w:t>a</w:t>
    </w:r>
    <w:r w:rsidRPr="00981AA0">
      <w:t>nd Early Childhood Development</w:t>
    </w:r>
    <w:r>
      <w:tab/>
    </w:r>
    <w:r>
      <w:rPr>
        <w:rStyle w:val="PageNumber"/>
      </w:rPr>
      <w:t>2013</w:t>
    </w:r>
    <w:r>
      <w:rPr>
        <w:rStyle w:val="PageNumber"/>
      </w:rPr>
      <w:noBreakHyphen/>
      <w:t>14</w:t>
    </w:r>
    <w:r>
      <w:t xml:space="preserve"> Service Delivery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B54" w:rsidRDefault="009F3B54" w:rsidP="00B958B1">
      <w:pPr>
        <w:spacing w:after="0"/>
      </w:pPr>
      <w:r>
        <w:separator/>
      </w:r>
    </w:p>
  </w:footnote>
  <w:footnote w:type="continuationSeparator" w:id="0">
    <w:p w:rsidR="009F3B54" w:rsidRDefault="009F3B54" w:rsidP="00B958B1">
      <w:pPr>
        <w:spacing w:after="0"/>
      </w:pPr>
      <w:r>
        <w:continuationSeparator/>
      </w:r>
    </w:p>
  </w:footnote>
  <w:footnote w:id="1">
    <w:p w:rsidR="009F3B54" w:rsidRPr="00910BC9" w:rsidRDefault="009F3B54" w:rsidP="009F3B54">
      <w:pPr>
        <w:pStyle w:val="FootnoteText"/>
        <w:rPr>
          <w:sz w:val="18"/>
          <w:szCs w:val="18"/>
        </w:rPr>
      </w:pPr>
      <w:r w:rsidRPr="00910BC9">
        <w:rPr>
          <w:rStyle w:val="FootnoteReference"/>
          <w:sz w:val="18"/>
          <w:szCs w:val="18"/>
        </w:rPr>
        <w:footnoteRef/>
      </w:r>
      <w:r w:rsidRPr="00910BC9">
        <w:rPr>
          <w:sz w:val="18"/>
          <w:szCs w:val="18"/>
        </w:rPr>
        <w:t xml:space="preserve"> These are interim objectives, indicators and outputs and will be subject to changes following machinery of government changes effective 1 July 2013.</w:t>
      </w:r>
    </w:p>
  </w:footnote>
  <w:footnote w:id="2">
    <w:p w:rsidR="009F3B54" w:rsidRDefault="009F3B54" w:rsidP="009F3B54">
      <w:pPr>
        <w:pStyle w:val="FootnoteText"/>
      </w:pPr>
      <w:r w:rsidRPr="00910BC9">
        <w:rPr>
          <w:rStyle w:val="FootnoteReference"/>
          <w:sz w:val="18"/>
          <w:szCs w:val="18"/>
        </w:rPr>
        <w:footnoteRef/>
      </w:r>
      <w:r w:rsidRPr="00910BC9">
        <w:rPr>
          <w:sz w:val="18"/>
          <w:szCs w:val="18"/>
        </w:rPr>
        <w:t xml:space="preserve"> A new definition of severe injury will be developed as part of Road Safety Strategy 2013</w:t>
      </w:r>
      <w:r>
        <w:rPr>
          <w:sz w:val="18"/>
          <w:szCs w:val="18"/>
        </w:rPr>
        <w:noBreakHyphen/>
      </w:r>
      <w:r w:rsidRPr="00910BC9">
        <w:rPr>
          <w:sz w:val="18"/>
          <w:szCs w:val="18"/>
        </w:rPr>
        <w:t>22.</w:t>
      </w:r>
    </w:p>
  </w:footnote>
  <w:footnote w:id="3">
    <w:p w:rsidR="009F3B54" w:rsidRDefault="009F3B54">
      <w:pPr>
        <w:pStyle w:val="FootnoteText"/>
      </w:pPr>
      <w:r>
        <w:rPr>
          <w:rStyle w:val="FootnoteReference"/>
        </w:rPr>
        <w:footnoteRef/>
      </w:r>
      <w:r>
        <w:t xml:space="preserve"> </w:t>
      </w:r>
      <w:r w:rsidRPr="00EF5801">
        <w:rPr>
          <w:i/>
        </w:rPr>
        <w:t xml:space="preserve">Victorian </w:t>
      </w:r>
      <w:r>
        <w:rPr>
          <w:i/>
        </w:rPr>
        <w:t>Auditor</w:t>
      </w:r>
      <w:r>
        <w:rPr>
          <w:i/>
        </w:rPr>
        <w:noBreakHyphen/>
        <w:t xml:space="preserve">General’s Audit of Local </w:t>
      </w:r>
      <w:r w:rsidRPr="004B1D45">
        <w:rPr>
          <w:i/>
        </w:rPr>
        <w:t>Government 2011</w:t>
      </w:r>
      <w:r>
        <w:rPr>
          <w:i/>
        </w:rPr>
        <w:noBreakHyphen/>
      </w:r>
      <w:r w:rsidRPr="004B1D45">
        <w:rPr>
          <w:i/>
        </w:rPr>
        <w:t>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FAC618"/>
    <w:lvl w:ilvl="0">
      <w:start w:val="1"/>
      <w:numFmt w:val="decimal"/>
      <w:lvlText w:val="%1."/>
      <w:lvlJc w:val="left"/>
      <w:pPr>
        <w:tabs>
          <w:tab w:val="num" w:pos="1492"/>
        </w:tabs>
        <w:ind w:left="1492" w:hanging="360"/>
      </w:pPr>
    </w:lvl>
  </w:abstractNum>
  <w:abstractNum w:abstractNumId="1">
    <w:nsid w:val="FFFFFF7D"/>
    <w:multiLevelType w:val="singleLevel"/>
    <w:tmpl w:val="2C0AD1D2"/>
    <w:lvl w:ilvl="0">
      <w:start w:val="1"/>
      <w:numFmt w:val="decimal"/>
      <w:lvlText w:val="%1."/>
      <w:lvlJc w:val="left"/>
      <w:pPr>
        <w:tabs>
          <w:tab w:val="num" w:pos="1209"/>
        </w:tabs>
        <w:ind w:left="1209" w:hanging="360"/>
      </w:pPr>
    </w:lvl>
  </w:abstractNum>
  <w:abstractNum w:abstractNumId="2">
    <w:nsid w:val="FFFFFF7E"/>
    <w:multiLevelType w:val="singleLevel"/>
    <w:tmpl w:val="8692012C"/>
    <w:lvl w:ilvl="0">
      <w:start w:val="1"/>
      <w:numFmt w:val="decimal"/>
      <w:lvlText w:val="%1."/>
      <w:lvlJc w:val="left"/>
      <w:pPr>
        <w:tabs>
          <w:tab w:val="num" w:pos="926"/>
        </w:tabs>
        <w:ind w:left="926" w:hanging="360"/>
      </w:pPr>
    </w:lvl>
  </w:abstractNum>
  <w:abstractNum w:abstractNumId="3">
    <w:nsid w:val="FFFFFF7F"/>
    <w:multiLevelType w:val="singleLevel"/>
    <w:tmpl w:val="C5A041CC"/>
    <w:lvl w:ilvl="0">
      <w:start w:val="1"/>
      <w:numFmt w:val="decimal"/>
      <w:lvlText w:val="%1."/>
      <w:lvlJc w:val="left"/>
      <w:pPr>
        <w:tabs>
          <w:tab w:val="num" w:pos="643"/>
        </w:tabs>
        <w:ind w:left="643" w:hanging="360"/>
      </w:pPr>
    </w:lvl>
  </w:abstractNum>
  <w:abstractNum w:abstractNumId="4">
    <w:nsid w:val="FFFFFF80"/>
    <w:multiLevelType w:val="singleLevel"/>
    <w:tmpl w:val="AEC449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2E30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CED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424D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7863DE"/>
    <w:lvl w:ilvl="0">
      <w:start w:val="1"/>
      <w:numFmt w:val="decimal"/>
      <w:lvlText w:val="%1."/>
      <w:lvlJc w:val="left"/>
      <w:pPr>
        <w:tabs>
          <w:tab w:val="num" w:pos="360"/>
        </w:tabs>
        <w:ind w:left="360" w:hanging="360"/>
      </w:pPr>
    </w:lvl>
  </w:abstractNum>
  <w:abstractNum w:abstractNumId="9">
    <w:nsid w:val="FFFFFF89"/>
    <w:multiLevelType w:val="singleLevel"/>
    <w:tmpl w:val="4EA0D4FE"/>
    <w:lvl w:ilvl="0">
      <w:start w:val="1"/>
      <w:numFmt w:val="bullet"/>
      <w:lvlText w:val=""/>
      <w:lvlJc w:val="left"/>
      <w:pPr>
        <w:tabs>
          <w:tab w:val="num" w:pos="360"/>
        </w:tabs>
        <w:ind w:left="360" w:hanging="360"/>
      </w:pPr>
      <w:rPr>
        <w:rFonts w:ascii="Symbol" w:hAnsi="Symbol" w:hint="default"/>
      </w:rPr>
    </w:lvl>
  </w:abstractNum>
  <w:abstractNum w:abstractNumId="10">
    <w:nsid w:val="03CA09F2"/>
    <w:multiLevelType w:val="singleLevel"/>
    <w:tmpl w:val="3AE00BBA"/>
    <w:lvl w:ilvl="0">
      <w:start w:val="1"/>
      <w:numFmt w:val="bullet"/>
      <w:pStyle w:val="OGBullet"/>
      <w:lvlText w:val=""/>
      <w:lvlJc w:val="left"/>
      <w:pPr>
        <w:tabs>
          <w:tab w:val="num" w:pos="360"/>
        </w:tabs>
        <w:ind w:left="360" w:hanging="360"/>
      </w:pPr>
      <w:rPr>
        <w:rFonts w:ascii="Symbol" w:hAnsi="Symbol" w:hint="default"/>
        <w:sz w:val="16"/>
      </w:rPr>
    </w:lvl>
  </w:abstractNum>
  <w:abstractNum w:abstractNumId="11">
    <w:nsid w:val="095B1453"/>
    <w:multiLevelType w:val="multilevel"/>
    <w:tmpl w:val="DF4CEE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0A7B4952"/>
    <w:multiLevelType w:val="multilevel"/>
    <w:tmpl w:val="CFA0AB7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C8B709E"/>
    <w:multiLevelType w:val="multilevel"/>
    <w:tmpl w:val="6088D0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0CE9098C"/>
    <w:multiLevelType w:val="multilevel"/>
    <w:tmpl w:val="F8FC7B5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0D0C3FB2"/>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9267CE4"/>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C8B4670"/>
    <w:multiLevelType w:val="multilevel"/>
    <w:tmpl w:val="E884C3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1D297112"/>
    <w:multiLevelType w:val="multilevel"/>
    <w:tmpl w:val="E66C4E04"/>
    <w:lvl w:ilvl="0">
      <w:start w:val="1"/>
      <w:numFmt w:val="bullet"/>
      <w:lvlText w:val=""/>
      <w:lvlJc w:val="left"/>
      <w:pPr>
        <w:tabs>
          <w:tab w:val="num" w:pos="86"/>
        </w:tabs>
        <w:ind w:left="446" w:firstLine="0"/>
      </w:pPr>
      <w:rPr>
        <w:rFonts w:ascii="Symbol" w:hAnsi="Symbol"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1557698"/>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3494EDF"/>
    <w:multiLevelType w:val="multilevel"/>
    <w:tmpl w:val="812C00D2"/>
    <w:lvl w:ilvl="0">
      <w:start w:val="1"/>
      <w:numFmt w:val="upperLetter"/>
      <w:lvlText w:val="(%1)"/>
      <w:lvlJc w:val="left"/>
      <w:pPr>
        <w:tabs>
          <w:tab w:val="num" w:pos="86"/>
        </w:tabs>
        <w:ind w:left="720" w:hanging="720"/>
      </w:pPr>
      <w:rPr>
        <w:rFonts w:hint="default"/>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46A3D1C"/>
    <w:multiLevelType w:val="multilevel"/>
    <w:tmpl w:val="D4CE75F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6A54181"/>
    <w:multiLevelType w:val="singleLevel"/>
    <w:tmpl w:val="22D246C6"/>
    <w:lvl w:ilvl="0">
      <w:start w:val="1"/>
      <w:numFmt w:val="bullet"/>
      <w:lvlText w:val=""/>
      <w:lvlJc w:val="left"/>
      <w:pPr>
        <w:tabs>
          <w:tab w:val="num" w:pos="360"/>
        </w:tabs>
        <w:ind w:left="360" w:hanging="360"/>
      </w:pPr>
      <w:rPr>
        <w:rFonts w:ascii="Symbol" w:hAnsi="Symbol" w:hint="default"/>
        <w:sz w:val="16"/>
      </w:rPr>
    </w:lvl>
  </w:abstractNum>
  <w:abstractNum w:abstractNumId="23">
    <w:nsid w:val="283B293C"/>
    <w:multiLevelType w:val="hybridMultilevel"/>
    <w:tmpl w:val="B540C8D6"/>
    <w:lvl w:ilvl="0" w:tplc="BF24713E">
      <w:start w:val="1"/>
      <w:numFmt w:val="bullet"/>
      <w:pStyle w:val="VAGOBullet"/>
      <w:lvlText w:val=""/>
      <w:lvlJc w:val="left"/>
      <w:pPr>
        <w:tabs>
          <w:tab w:val="num" w:pos="426"/>
        </w:tabs>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285C08AE"/>
    <w:multiLevelType w:val="multilevel"/>
    <w:tmpl w:val="86BA075E"/>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pStyle w:val="DashTex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nsid w:val="2A257826"/>
    <w:multiLevelType w:val="hybridMultilevel"/>
    <w:tmpl w:val="3A567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5FB1626"/>
    <w:multiLevelType w:val="hybridMultilevel"/>
    <w:tmpl w:val="A852B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840289F"/>
    <w:multiLevelType w:val="multilevel"/>
    <w:tmpl w:val="B2A4AE0C"/>
    <w:lvl w:ilvl="0">
      <w:start w:val="1"/>
      <w:numFmt w:val="upperLetter"/>
      <w:lvlText w:val="(%1)"/>
      <w:lvlJc w:val="left"/>
      <w:pPr>
        <w:tabs>
          <w:tab w:val="num" w:pos="720"/>
        </w:tabs>
        <w:ind w:left="720" w:hanging="720"/>
      </w:pPr>
      <w:rPr>
        <w:rFonts w:ascii="Calibri" w:hAnsi="Calibri"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38497CFC"/>
    <w:multiLevelType w:val="hybridMultilevel"/>
    <w:tmpl w:val="F95CC856"/>
    <w:lvl w:ilvl="0" w:tplc="7B946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CFC52E9"/>
    <w:multiLevelType w:val="hybridMultilevel"/>
    <w:tmpl w:val="29C2504A"/>
    <w:lvl w:ilvl="0" w:tplc="A546E8C2">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458671A9"/>
    <w:multiLevelType w:val="multilevel"/>
    <w:tmpl w:val="13A4F3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A2C4E32"/>
    <w:multiLevelType w:val="multilevel"/>
    <w:tmpl w:val="5FFA8F6A"/>
    <w:lvl w:ilvl="0">
      <w:start w:val="1"/>
      <w:numFmt w:val="upperLetter"/>
      <w:lvlText w:val="(%1)"/>
      <w:lvlJc w:val="left"/>
      <w:pPr>
        <w:tabs>
          <w:tab w:val="num" w:pos="720"/>
        </w:tabs>
        <w:ind w:left="720" w:hanging="720"/>
      </w:pPr>
      <w:rPr>
        <w:rFonts w:ascii="Arial" w:hAnsi="Arial"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BB94889"/>
    <w:multiLevelType w:val="hybridMultilevel"/>
    <w:tmpl w:val="CFA0AB76"/>
    <w:lvl w:ilvl="0" w:tplc="6052C808">
      <w:start w:val="1"/>
      <w:numFmt w:val="upp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50830342"/>
    <w:multiLevelType w:val="hybridMultilevel"/>
    <w:tmpl w:val="DFE86BC8"/>
    <w:lvl w:ilvl="0" w:tplc="40FA46C2">
      <w:start w:val="1"/>
      <w:numFmt w:val="bullet"/>
      <w:pStyle w:val="Table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3CD32DE"/>
    <w:multiLevelType w:val="multilevel"/>
    <w:tmpl w:val="6CB009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56984B24"/>
    <w:multiLevelType w:val="multilevel"/>
    <w:tmpl w:val="2D149DDA"/>
    <w:lvl w:ilvl="0">
      <w:start w:val="1"/>
      <w:numFmt w:val="upperLetter"/>
      <w:lvlText w:val="(%1)"/>
      <w:lvlJc w:val="left"/>
      <w:pPr>
        <w:tabs>
          <w:tab w:val="num" w:pos="720"/>
        </w:tabs>
        <w:ind w:left="720" w:hanging="720"/>
      </w:pPr>
      <w:rPr>
        <w:rFonts w:ascii="AvantGarde Bk BT" w:hAnsi="AvantGarde Bk BT" w:hint="default"/>
        <w:sz w:val="22"/>
        <w:szCs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56FB2E0B"/>
    <w:multiLevelType w:val="hybridMultilevel"/>
    <w:tmpl w:val="EDCE7868"/>
    <w:lvl w:ilvl="0" w:tplc="D2745096">
      <w:start w:val="1"/>
      <w:numFmt w:val="bullet"/>
      <w:pStyle w:val="HighlightBox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7">
    <w:nsid w:val="6BBD7C65"/>
    <w:multiLevelType w:val="hybridMultilevel"/>
    <w:tmpl w:val="F4FE5884"/>
    <w:lvl w:ilvl="0" w:tplc="585889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E661EC9"/>
    <w:multiLevelType w:val="hybridMultilevel"/>
    <w:tmpl w:val="BC361348"/>
    <w:lvl w:ilvl="0" w:tplc="164E2324">
      <w:start w:val="1"/>
      <w:numFmt w:val="bullet"/>
      <w:lvlText w:val=""/>
      <w:lvlJc w:val="left"/>
      <w:pPr>
        <w:tabs>
          <w:tab w:val="num" w:pos="90"/>
        </w:tabs>
        <w:ind w:left="450" w:hanging="360"/>
      </w:pPr>
      <w:rPr>
        <w:rFonts w:ascii="Symbol" w:hAnsi="Symbol" w:hint="default"/>
        <w:sz w:val="20"/>
        <w:szCs w:val="20"/>
      </w:rPr>
    </w:lvl>
    <w:lvl w:ilvl="1" w:tplc="0C090003" w:tentative="1">
      <w:start w:val="1"/>
      <w:numFmt w:val="bullet"/>
      <w:lvlText w:val="o"/>
      <w:lvlJc w:val="left"/>
      <w:pPr>
        <w:tabs>
          <w:tab w:val="num" w:pos="1530"/>
        </w:tabs>
        <w:ind w:left="1530" w:hanging="360"/>
      </w:pPr>
      <w:rPr>
        <w:rFonts w:ascii="Courier New" w:hAnsi="Courier New" w:cs="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cs="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cs="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39">
    <w:nsid w:val="6EE34E10"/>
    <w:multiLevelType w:val="multilevel"/>
    <w:tmpl w:val="D9F407CA"/>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2806EAF"/>
    <w:multiLevelType w:val="hybridMultilevel"/>
    <w:tmpl w:val="2F58BF86"/>
    <w:lvl w:ilvl="0" w:tplc="EBB04D60">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83D1068"/>
    <w:multiLevelType w:val="multilevel"/>
    <w:tmpl w:val="2D9884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78441FB3"/>
    <w:multiLevelType w:val="hybridMultilevel"/>
    <w:tmpl w:val="F39674F4"/>
    <w:lvl w:ilvl="0" w:tplc="3EEC34D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92603EA"/>
    <w:multiLevelType w:val="singleLevel"/>
    <w:tmpl w:val="9DB0D9C8"/>
    <w:lvl w:ilvl="0">
      <w:start w:val="1"/>
      <w:numFmt w:val="bullet"/>
      <w:lvlText w:val=""/>
      <w:lvlJc w:val="left"/>
      <w:pPr>
        <w:tabs>
          <w:tab w:val="num" w:pos="360"/>
        </w:tabs>
        <w:ind w:left="360" w:hanging="360"/>
      </w:pPr>
      <w:rPr>
        <w:rFonts w:ascii="Symbol" w:hAnsi="Symbol" w:hint="default"/>
        <w:sz w:val="20"/>
      </w:rPr>
    </w:lvl>
  </w:abstractNum>
  <w:num w:numId="1">
    <w:abstractNumId w:val="10"/>
  </w:num>
  <w:num w:numId="2">
    <w:abstractNumId w:val="36"/>
  </w:num>
  <w:num w:numId="3">
    <w:abstractNumId w:val="39"/>
  </w:num>
  <w:num w:numId="4">
    <w:abstractNumId w:val="24"/>
  </w:num>
  <w:num w:numId="5">
    <w:abstractNumId w:val="29"/>
  </w:num>
  <w:num w:numId="6">
    <w:abstractNumId w:val="23"/>
  </w:num>
  <w:num w:numId="7">
    <w:abstractNumId w:val="33"/>
  </w:num>
  <w:num w:numId="8">
    <w:abstractNumId w:val="37"/>
  </w:num>
  <w:num w:numId="9">
    <w:abstractNumId w:val="13"/>
  </w:num>
  <w:num w:numId="10">
    <w:abstractNumId w:val="9"/>
  </w:num>
  <w:num w:numId="11">
    <w:abstractNumId w:val="41"/>
  </w:num>
  <w:num w:numId="12">
    <w:abstractNumId w:val="25"/>
  </w:num>
  <w:num w:numId="13">
    <w:abstractNumId w:val="26"/>
  </w:num>
  <w:num w:numId="14">
    <w:abstractNumId w:val="17"/>
  </w:num>
  <w:num w:numId="15">
    <w:abstractNumId w:val="11"/>
  </w:num>
  <w:num w:numId="16">
    <w:abstractNumId w:val="34"/>
  </w:num>
  <w:num w:numId="17">
    <w:abstractNumId w:val="22"/>
  </w:num>
  <w:num w:numId="18">
    <w:abstractNumId w:val="43"/>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8"/>
  </w:num>
  <w:num w:numId="29">
    <w:abstractNumId w:val="18"/>
  </w:num>
  <w:num w:numId="30">
    <w:abstractNumId w:val="32"/>
  </w:num>
  <w:num w:numId="31">
    <w:abstractNumId w:val="12"/>
  </w:num>
  <w:num w:numId="32">
    <w:abstractNumId w:val="20"/>
  </w:num>
  <w:num w:numId="33">
    <w:abstractNumId w:val="40"/>
  </w:num>
  <w:num w:numId="34">
    <w:abstractNumId w:val="14"/>
  </w:num>
  <w:num w:numId="35">
    <w:abstractNumId w:val="42"/>
  </w:num>
  <w:num w:numId="36">
    <w:abstractNumId w:val="21"/>
  </w:num>
  <w:num w:numId="37">
    <w:abstractNumId w:val="19"/>
  </w:num>
  <w:num w:numId="38">
    <w:abstractNumId w:val="30"/>
  </w:num>
  <w:num w:numId="39">
    <w:abstractNumId w:val="15"/>
  </w:num>
  <w:num w:numId="40">
    <w:abstractNumId w:val="31"/>
  </w:num>
  <w:num w:numId="41">
    <w:abstractNumId w:val="35"/>
  </w:num>
  <w:num w:numId="42">
    <w:abstractNumId w:val="27"/>
  </w:num>
  <w:num w:numId="43">
    <w:abstractNumId w:val="16"/>
  </w:num>
  <w:num w:numId="4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CC5"/>
    <w:rsid w:val="00006F06"/>
    <w:rsid w:val="00020E91"/>
    <w:rsid w:val="00021CE5"/>
    <w:rsid w:val="000221B3"/>
    <w:rsid w:val="00031488"/>
    <w:rsid w:val="00035734"/>
    <w:rsid w:val="000362EA"/>
    <w:rsid w:val="00041292"/>
    <w:rsid w:val="00043F9F"/>
    <w:rsid w:val="000451B1"/>
    <w:rsid w:val="00050885"/>
    <w:rsid w:val="00056F1F"/>
    <w:rsid w:val="00060942"/>
    <w:rsid w:val="00061F50"/>
    <w:rsid w:val="00064FD8"/>
    <w:rsid w:val="000771C1"/>
    <w:rsid w:val="000804F8"/>
    <w:rsid w:val="000868E5"/>
    <w:rsid w:val="00091C84"/>
    <w:rsid w:val="000925EA"/>
    <w:rsid w:val="00093898"/>
    <w:rsid w:val="000A1D81"/>
    <w:rsid w:val="000A5321"/>
    <w:rsid w:val="000B1105"/>
    <w:rsid w:val="000B12EE"/>
    <w:rsid w:val="000B1B53"/>
    <w:rsid w:val="000B2895"/>
    <w:rsid w:val="000C1027"/>
    <w:rsid w:val="000C18E1"/>
    <w:rsid w:val="000D652A"/>
    <w:rsid w:val="000E725D"/>
    <w:rsid w:val="00100FCC"/>
    <w:rsid w:val="00130570"/>
    <w:rsid w:val="001368DE"/>
    <w:rsid w:val="00140C5B"/>
    <w:rsid w:val="00150C34"/>
    <w:rsid w:val="00154535"/>
    <w:rsid w:val="0015668D"/>
    <w:rsid w:val="0016459F"/>
    <w:rsid w:val="00170A52"/>
    <w:rsid w:val="00175147"/>
    <w:rsid w:val="00176CD6"/>
    <w:rsid w:val="0017767A"/>
    <w:rsid w:val="00185277"/>
    <w:rsid w:val="001856DE"/>
    <w:rsid w:val="001C0D0F"/>
    <w:rsid w:val="001C1EAD"/>
    <w:rsid w:val="001C2F60"/>
    <w:rsid w:val="001C6D0D"/>
    <w:rsid w:val="001D18E7"/>
    <w:rsid w:val="001E15F3"/>
    <w:rsid w:val="001F3DDD"/>
    <w:rsid w:val="001F4F89"/>
    <w:rsid w:val="0020013B"/>
    <w:rsid w:val="002112B4"/>
    <w:rsid w:val="00225DCD"/>
    <w:rsid w:val="0023358D"/>
    <w:rsid w:val="00240744"/>
    <w:rsid w:val="00243E55"/>
    <w:rsid w:val="002447E6"/>
    <w:rsid w:val="00245DCF"/>
    <w:rsid w:val="0025606D"/>
    <w:rsid w:val="00270718"/>
    <w:rsid w:val="002733B3"/>
    <w:rsid w:val="00280F86"/>
    <w:rsid w:val="00282839"/>
    <w:rsid w:val="002951DE"/>
    <w:rsid w:val="002A6929"/>
    <w:rsid w:val="002B15CD"/>
    <w:rsid w:val="002B5189"/>
    <w:rsid w:val="002C04C2"/>
    <w:rsid w:val="002C1C0D"/>
    <w:rsid w:val="002C3B40"/>
    <w:rsid w:val="002D0C50"/>
    <w:rsid w:val="002D4189"/>
    <w:rsid w:val="002D7692"/>
    <w:rsid w:val="002E0D69"/>
    <w:rsid w:val="002E31A2"/>
    <w:rsid w:val="002E5C62"/>
    <w:rsid w:val="002F3CB5"/>
    <w:rsid w:val="003010A2"/>
    <w:rsid w:val="00302525"/>
    <w:rsid w:val="00322573"/>
    <w:rsid w:val="00322DD7"/>
    <w:rsid w:val="003233E0"/>
    <w:rsid w:val="003259E9"/>
    <w:rsid w:val="0032698D"/>
    <w:rsid w:val="0033005B"/>
    <w:rsid w:val="003352CE"/>
    <w:rsid w:val="0033564D"/>
    <w:rsid w:val="00341734"/>
    <w:rsid w:val="00341E1B"/>
    <w:rsid w:val="00342ECD"/>
    <w:rsid w:val="00346956"/>
    <w:rsid w:val="00346AFE"/>
    <w:rsid w:val="003511F8"/>
    <w:rsid w:val="003553FF"/>
    <w:rsid w:val="0035652D"/>
    <w:rsid w:val="00364C8B"/>
    <w:rsid w:val="0036725D"/>
    <w:rsid w:val="0037178F"/>
    <w:rsid w:val="00376BA6"/>
    <w:rsid w:val="003819A4"/>
    <w:rsid w:val="00382EC5"/>
    <w:rsid w:val="00390A8E"/>
    <w:rsid w:val="003926C8"/>
    <w:rsid w:val="0039472C"/>
    <w:rsid w:val="0039576F"/>
    <w:rsid w:val="00397F02"/>
    <w:rsid w:val="003C0422"/>
    <w:rsid w:val="003C2F48"/>
    <w:rsid w:val="003C3AAE"/>
    <w:rsid w:val="003E2EE8"/>
    <w:rsid w:val="003E31E5"/>
    <w:rsid w:val="003E5374"/>
    <w:rsid w:val="003E5F71"/>
    <w:rsid w:val="003F15E7"/>
    <w:rsid w:val="003F4955"/>
    <w:rsid w:val="00402B50"/>
    <w:rsid w:val="004046AE"/>
    <w:rsid w:val="00406F75"/>
    <w:rsid w:val="00411AEE"/>
    <w:rsid w:val="00412BC0"/>
    <w:rsid w:val="004274F6"/>
    <w:rsid w:val="00431E4B"/>
    <w:rsid w:val="00437861"/>
    <w:rsid w:val="00445C96"/>
    <w:rsid w:val="00446F20"/>
    <w:rsid w:val="004544B5"/>
    <w:rsid w:val="00455F51"/>
    <w:rsid w:val="004643AA"/>
    <w:rsid w:val="00465985"/>
    <w:rsid w:val="0046648A"/>
    <w:rsid w:val="0046774A"/>
    <w:rsid w:val="00471926"/>
    <w:rsid w:val="00472150"/>
    <w:rsid w:val="0047243E"/>
    <w:rsid w:val="00480ADD"/>
    <w:rsid w:val="004828FB"/>
    <w:rsid w:val="00485CB3"/>
    <w:rsid w:val="00492D93"/>
    <w:rsid w:val="00497606"/>
    <w:rsid w:val="004B42A1"/>
    <w:rsid w:val="004C08B1"/>
    <w:rsid w:val="004C3465"/>
    <w:rsid w:val="004C3F0D"/>
    <w:rsid w:val="004C654C"/>
    <w:rsid w:val="004C767D"/>
    <w:rsid w:val="004D2300"/>
    <w:rsid w:val="004D392F"/>
    <w:rsid w:val="004D3DE7"/>
    <w:rsid w:val="004E14CA"/>
    <w:rsid w:val="004F0906"/>
    <w:rsid w:val="004F1592"/>
    <w:rsid w:val="004F6EFF"/>
    <w:rsid w:val="004F779D"/>
    <w:rsid w:val="00503A10"/>
    <w:rsid w:val="005040D7"/>
    <w:rsid w:val="0050487A"/>
    <w:rsid w:val="0050690B"/>
    <w:rsid w:val="0051195C"/>
    <w:rsid w:val="005142C4"/>
    <w:rsid w:val="00515C51"/>
    <w:rsid w:val="00522994"/>
    <w:rsid w:val="00531A3D"/>
    <w:rsid w:val="00533108"/>
    <w:rsid w:val="005429ED"/>
    <w:rsid w:val="00545CA0"/>
    <w:rsid w:val="00547E3B"/>
    <w:rsid w:val="0055102C"/>
    <w:rsid w:val="005552E0"/>
    <w:rsid w:val="00561253"/>
    <w:rsid w:val="005659B1"/>
    <w:rsid w:val="00571E1E"/>
    <w:rsid w:val="00572DD3"/>
    <w:rsid w:val="00576FDF"/>
    <w:rsid w:val="00587C9D"/>
    <w:rsid w:val="00595530"/>
    <w:rsid w:val="00597626"/>
    <w:rsid w:val="005A0574"/>
    <w:rsid w:val="005A6362"/>
    <w:rsid w:val="005A6BE2"/>
    <w:rsid w:val="005A6FB4"/>
    <w:rsid w:val="005B2863"/>
    <w:rsid w:val="005B41A8"/>
    <w:rsid w:val="005B54F2"/>
    <w:rsid w:val="005C1363"/>
    <w:rsid w:val="005C361B"/>
    <w:rsid w:val="005C7712"/>
    <w:rsid w:val="005D65C9"/>
    <w:rsid w:val="005D67FF"/>
    <w:rsid w:val="005D76F8"/>
    <w:rsid w:val="005D78C9"/>
    <w:rsid w:val="005E0AA3"/>
    <w:rsid w:val="005E122B"/>
    <w:rsid w:val="005E17AB"/>
    <w:rsid w:val="005E5FCA"/>
    <w:rsid w:val="00602BE7"/>
    <w:rsid w:val="00605F2A"/>
    <w:rsid w:val="0060685C"/>
    <w:rsid w:val="00606A43"/>
    <w:rsid w:val="006245CC"/>
    <w:rsid w:val="006306E9"/>
    <w:rsid w:val="00635546"/>
    <w:rsid w:val="006372BF"/>
    <w:rsid w:val="00641E21"/>
    <w:rsid w:val="00642BF1"/>
    <w:rsid w:val="00643DF9"/>
    <w:rsid w:val="00654E77"/>
    <w:rsid w:val="006568CD"/>
    <w:rsid w:val="00666CB7"/>
    <w:rsid w:val="00667796"/>
    <w:rsid w:val="00674B54"/>
    <w:rsid w:val="00677E49"/>
    <w:rsid w:val="0068185C"/>
    <w:rsid w:val="006841B2"/>
    <w:rsid w:val="00686543"/>
    <w:rsid w:val="0068681D"/>
    <w:rsid w:val="006A6CEB"/>
    <w:rsid w:val="006A7B84"/>
    <w:rsid w:val="006B4753"/>
    <w:rsid w:val="006C5EC5"/>
    <w:rsid w:val="006D1E53"/>
    <w:rsid w:val="006F055E"/>
    <w:rsid w:val="00701445"/>
    <w:rsid w:val="00714914"/>
    <w:rsid w:val="00715BF1"/>
    <w:rsid w:val="007161C5"/>
    <w:rsid w:val="0071751D"/>
    <w:rsid w:val="00723CCF"/>
    <w:rsid w:val="00737C77"/>
    <w:rsid w:val="007465D1"/>
    <w:rsid w:val="0076041D"/>
    <w:rsid w:val="00762943"/>
    <w:rsid w:val="007641DC"/>
    <w:rsid w:val="007703C5"/>
    <w:rsid w:val="00784E79"/>
    <w:rsid w:val="00784F64"/>
    <w:rsid w:val="00793367"/>
    <w:rsid w:val="007A1057"/>
    <w:rsid w:val="007B4258"/>
    <w:rsid w:val="007C29DA"/>
    <w:rsid w:val="007D1FFD"/>
    <w:rsid w:val="007F39AE"/>
    <w:rsid w:val="008047B2"/>
    <w:rsid w:val="0081669E"/>
    <w:rsid w:val="00825389"/>
    <w:rsid w:val="0082652B"/>
    <w:rsid w:val="0084045D"/>
    <w:rsid w:val="0084378E"/>
    <w:rsid w:val="00853954"/>
    <w:rsid w:val="00863D40"/>
    <w:rsid w:val="008659CB"/>
    <w:rsid w:val="0086685D"/>
    <w:rsid w:val="00867B50"/>
    <w:rsid w:val="00874A55"/>
    <w:rsid w:val="00880B83"/>
    <w:rsid w:val="008827CA"/>
    <w:rsid w:val="00882953"/>
    <w:rsid w:val="008858A3"/>
    <w:rsid w:val="008871F8"/>
    <w:rsid w:val="00887B0B"/>
    <w:rsid w:val="00887F89"/>
    <w:rsid w:val="00891D05"/>
    <w:rsid w:val="008A0DCD"/>
    <w:rsid w:val="008A5FE9"/>
    <w:rsid w:val="008A67CD"/>
    <w:rsid w:val="008B0FFC"/>
    <w:rsid w:val="008C5612"/>
    <w:rsid w:val="008E20C7"/>
    <w:rsid w:val="008E4C65"/>
    <w:rsid w:val="008E5024"/>
    <w:rsid w:val="008F0F55"/>
    <w:rsid w:val="008F60AE"/>
    <w:rsid w:val="00902A9D"/>
    <w:rsid w:val="00903C0E"/>
    <w:rsid w:val="00903E21"/>
    <w:rsid w:val="00904A16"/>
    <w:rsid w:val="0091090E"/>
    <w:rsid w:val="00910D2B"/>
    <w:rsid w:val="0091115C"/>
    <w:rsid w:val="009200FD"/>
    <w:rsid w:val="009331F3"/>
    <w:rsid w:val="00937B02"/>
    <w:rsid w:val="00946EF0"/>
    <w:rsid w:val="00950D83"/>
    <w:rsid w:val="00957917"/>
    <w:rsid w:val="00960685"/>
    <w:rsid w:val="0096304A"/>
    <w:rsid w:val="009648AE"/>
    <w:rsid w:val="0097206F"/>
    <w:rsid w:val="009738E6"/>
    <w:rsid w:val="00973A41"/>
    <w:rsid w:val="0097680B"/>
    <w:rsid w:val="0098552F"/>
    <w:rsid w:val="00992E7A"/>
    <w:rsid w:val="00995570"/>
    <w:rsid w:val="009A267B"/>
    <w:rsid w:val="009A2BC2"/>
    <w:rsid w:val="009A3179"/>
    <w:rsid w:val="009A7E35"/>
    <w:rsid w:val="009B25A6"/>
    <w:rsid w:val="009B7C82"/>
    <w:rsid w:val="009C05DD"/>
    <w:rsid w:val="009C5731"/>
    <w:rsid w:val="009D183F"/>
    <w:rsid w:val="009D7C1B"/>
    <w:rsid w:val="009E2DF4"/>
    <w:rsid w:val="009E4089"/>
    <w:rsid w:val="009E5D93"/>
    <w:rsid w:val="009F0A3E"/>
    <w:rsid w:val="009F0F12"/>
    <w:rsid w:val="009F0F49"/>
    <w:rsid w:val="009F3B54"/>
    <w:rsid w:val="009F4A8B"/>
    <w:rsid w:val="00A02FA8"/>
    <w:rsid w:val="00A1268C"/>
    <w:rsid w:val="00A14E0E"/>
    <w:rsid w:val="00A16285"/>
    <w:rsid w:val="00A16406"/>
    <w:rsid w:val="00A21AF5"/>
    <w:rsid w:val="00A2357F"/>
    <w:rsid w:val="00A251B1"/>
    <w:rsid w:val="00A56CBA"/>
    <w:rsid w:val="00A5759C"/>
    <w:rsid w:val="00A576F6"/>
    <w:rsid w:val="00A57B48"/>
    <w:rsid w:val="00A71163"/>
    <w:rsid w:val="00A74AB1"/>
    <w:rsid w:val="00A74D09"/>
    <w:rsid w:val="00A759FE"/>
    <w:rsid w:val="00A805CA"/>
    <w:rsid w:val="00A831CC"/>
    <w:rsid w:val="00A92658"/>
    <w:rsid w:val="00A93F82"/>
    <w:rsid w:val="00A96824"/>
    <w:rsid w:val="00AA1AEA"/>
    <w:rsid w:val="00AA5AD3"/>
    <w:rsid w:val="00AB125D"/>
    <w:rsid w:val="00AB2018"/>
    <w:rsid w:val="00AB2CC7"/>
    <w:rsid w:val="00AC684F"/>
    <w:rsid w:val="00AD07A4"/>
    <w:rsid w:val="00AD7110"/>
    <w:rsid w:val="00AE07D0"/>
    <w:rsid w:val="00AE6EEE"/>
    <w:rsid w:val="00AF7109"/>
    <w:rsid w:val="00B022A5"/>
    <w:rsid w:val="00B0624D"/>
    <w:rsid w:val="00B13F5D"/>
    <w:rsid w:val="00B14F51"/>
    <w:rsid w:val="00B21FEB"/>
    <w:rsid w:val="00B27537"/>
    <w:rsid w:val="00B27782"/>
    <w:rsid w:val="00B30849"/>
    <w:rsid w:val="00B37863"/>
    <w:rsid w:val="00B527F0"/>
    <w:rsid w:val="00B55816"/>
    <w:rsid w:val="00B56AF7"/>
    <w:rsid w:val="00B64A6A"/>
    <w:rsid w:val="00B72182"/>
    <w:rsid w:val="00B72576"/>
    <w:rsid w:val="00B73926"/>
    <w:rsid w:val="00B742AA"/>
    <w:rsid w:val="00B76343"/>
    <w:rsid w:val="00B82D32"/>
    <w:rsid w:val="00B83B9F"/>
    <w:rsid w:val="00B847DA"/>
    <w:rsid w:val="00B958B1"/>
    <w:rsid w:val="00BA2418"/>
    <w:rsid w:val="00BB534C"/>
    <w:rsid w:val="00BC61E2"/>
    <w:rsid w:val="00BD0A5C"/>
    <w:rsid w:val="00BD364F"/>
    <w:rsid w:val="00BD7B65"/>
    <w:rsid w:val="00BE4F6F"/>
    <w:rsid w:val="00BF2190"/>
    <w:rsid w:val="00BF3DAE"/>
    <w:rsid w:val="00BF6AF3"/>
    <w:rsid w:val="00BF7248"/>
    <w:rsid w:val="00C0011A"/>
    <w:rsid w:val="00C04DD7"/>
    <w:rsid w:val="00C05D16"/>
    <w:rsid w:val="00C05DC9"/>
    <w:rsid w:val="00C14A3C"/>
    <w:rsid w:val="00C179B3"/>
    <w:rsid w:val="00C17EB8"/>
    <w:rsid w:val="00C24EC3"/>
    <w:rsid w:val="00C25A06"/>
    <w:rsid w:val="00C278C3"/>
    <w:rsid w:val="00C30146"/>
    <w:rsid w:val="00C35791"/>
    <w:rsid w:val="00C419DE"/>
    <w:rsid w:val="00C45CC5"/>
    <w:rsid w:val="00C46316"/>
    <w:rsid w:val="00C46C0C"/>
    <w:rsid w:val="00C4789A"/>
    <w:rsid w:val="00C50E7D"/>
    <w:rsid w:val="00C52998"/>
    <w:rsid w:val="00C529A0"/>
    <w:rsid w:val="00C550BF"/>
    <w:rsid w:val="00C63B4E"/>
    <w:rsid w:val="00C72AF4"/>
    <w:rsid w:val="00C756E9"/>
    <w:rsid w:val="00C75B91"/>
    <w:rsid w:val="00C75D0E"/>
    <w:rsid w:val="00C7678A"/>
    <w:rsid w:val="00C7788A"/>
    <w:rsid w:val="00C9591C"/>
    <w:rsid w:val="00C97E08"/>
    <w:rsid w:val="00CB36D2"/>
    <w:rsid w:val="00CB3778"/>
    <w:rsid w:val="00CB3C8A"/>
    <w:rsid w:val="00CB74FE"/>
    <w:rsid w:val="00CC2049"/>
    <w:rsid w:val="00CC3A34"/>
    <w:rsid w:val="00CC69F7"/>
    <w:rsid w:val="00CC73D9"/>
    <w:rsid w:val="00CD0577"/>
    <w:rsid w:val="00CD383F"/>
    <w:rsid w:val="00CD6C6C"/>
    <w:rsid w:val="00CF0F98"/>
    <w:rsid w:val="00CF132C"/>
    <w:rsid w:val="00CF25B1"/>
    <w:rsid w:val="00CF5FE1"/>
    <w:rsid w:val="00CF6838"/>
    <w:rsid w:val="00CF6AB4"/>
    <w:rsid w:val="00D0537B"/>
    <w:rsid w:val="00D0607A"/>
    <w:rsid w:val="00D10578"/>
    <w:rsid w:val="00D12B44"/>
    <w:rsid w:val="00D1521C"/>
    <w:rsid w:val="00D24C1E"/>
    <w:rsid w:val="00D24E4D"/>
    <w:rsid w:val="00D2588E"/>
    <w:rsid w:val="00D26C08"/>
    <w:rsid w:val="00D52B3F"/>
    <w:rsid w:val="00D5615F"/>
    <w:rsid w:val="00D56B84"/>
    <w:rsid w:val="00D646A9"/>
    <w:rsid w:val="00D67950"/>
    <w:rsid w:val="00D73F71"/>
    <w:rsid w:val="00D95D7D"/>
    <w:rsid w:val="00DA0931"/>
    <w:rsid w:val="00DA4D63"/>
    <w:rsid w:val="00DA6569"/>
    <w:rsid w:val="00DA6CAB"/>
    <w:rsid w:val="00DB33FA"/>
    <w:rsid w:val="00DB3AF6"/>
    <w:rsid w:val="00DB716A"/>
    <w:rsid w:val="00DD79E9"/>
    <w:rsid w:val="00DE1D28"/>
    <w:rsid w:val="00DE3B1B"/>
    <w:rsid w:val="00E01873"/>
    <w:rsid w:val="00E04EE0"/>
    <w:rsid w:val="00E06647"/>
    <w:rsid w:val="00E232F8"/>
    <w:rsid w:val="00E24DAF"/>
    <w:rsid w:val="00E338A0"/>
    <w:rsid w:val="00E35F1A"/>
    <w:rsid w:val="00E37D79"/>
    <w:rsid w:val="00E43616"/>
    <w:rsid w:val="00E43FB1"/>
    <w:rsid w:val="00E4642D"/>
    <w:rsid w:val="00E615C3"/>
    <w:rsid w:val="00E76C60"/>
    <w:rsid w:val="00E76F2A"/>
    <w:rsid w:val="00E84842"/>
    <w:rsid w:val="00E87460"/>
    <w:rsid w:val="00E97B8E"/>
    <w:rsid w:val="00EA330A"/>
    <w:rsid w:val="00EA3A5B"/>
    <w:rsid w:val="00EB1400"/>
    <w:rsid w:val="00EB1FD8"/>
    <w:rsid w:val="00EB6BA8"/>
    <w:rsid w:val="00EB7A3E"/>
    <w:rsid w:val="00EC2ADF"/>
    <w:rsid w:val="00EC5292"/>
    <w:rsid w:val="00ED0B29"/>
    <w:rsid w:val="00EF4C87"/>
    <w:rsid w:val="00EF6BFD"/>
    <w:rsid w:val="00F06BEE"/>
    <w:rsid w:val="00F135C4"/>
    <w:rsid w:val="00F13D93"/>
    <w:rsid w:val="00F14A31"/>
    <w:rsid w:val="00F17676"/>
    <w:rsid w:val="00F208A1"/>
    <w:rsid w:val="00F21979"/>
    <w:rsid w:val="00F22CBF"/>
    <w:rsid w:val="00F25DFE"/>
    <w:rsid w:val="00F312E6"/>
    <w:rsid w:val="00F35817"/>
    <w:rsid w:val="00F3640E"/>
    <w:rsid w:val="00F4248C"/>
    <w:rsid w:val="00F46717"/>
    <w:rsid w:val="00F6397C"/>
    <w:rsid w:val="00F63E44"/>
    <w:rsid w:val="00F640AC"/>
    <w:rsid w:val="00F6691A"/>
    <w:rsid w:val="00F67E7B"/>
    <w:rsid w:val="00F773CE"/>
    <w:rsid w:val="00F80542"/>
    <w:rsid w:val="00F87345"/>
    <w:rsid w:val="00F96FDC"/>
    <w:rsid w:val="00FA0D82"/>
    <w:rsid w:val="00FA5495"/>
    <w:rsid w:val="00FA5CC9"/>
    <w:rsid w:val="00FB5BB7"/>
    <w:rsid w:val="00FB5CEA"/>
    <w:rsid w:val="00FB6608"/>
    <w:rsid w:val="00FC2781"/>
    <w:rsid w:val="00FC62B6"/>
    <w:rsid w:val="00FC6324"/>
    <w:rsid w:val="00FC7DAC"/>
    <w:rsid w:val="00FD0255"/>
    <w:rsid w:val="00FD2818"/>
    <w:rsid w:val="00FE1652"/>
    <w:rsid w:val="00FE2B63"/>
    <w:rsid w:val="00FF010C"/>
    <w:rsid w:val="00FF01C0"/>
    <w:rsid w:val="00FF1527"/>
    <w:rsid w:val="00FF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uiPriority="99"/>
    <w:lsdException w:name="index 2" w:uiPriority="99"/>
    <w:lsdException w:name="index 6" w:locked="1"/>
    <w:lsdException w:name="index 7" w:locked="1"/>
    <w:lsdException w:name="index 8" w:locked="1"/>
    <w:lsdException w:name="index 9" w:locked="1"/>
    <w:lsdException w:name="toc 1" w:uiPriority="39"/>
    <w:lsdException w:name="toc 2"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uiPriority="99"/>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B534C"/>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397F02"/>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qFormat/>
    <w:rsid w:val="00397F02"/>
    <w:pPr>
      <w:keepNext/>
      <w:spacing w:before="240"/>
      <w:outlineLvl w:val="3"/>
    </w:pPr>
    <w:rPr>
      <w:rFonts w:ascii="Calibri" w:hAnsi="Calibri"/>
      <w:i/>
      <w:sz w:val="24"/>
      <w:szCs w:val="22"/>
    </w:rPr>
  </w:style>
  <w:style w:type="paragraph" w:styleId="Heading5">
    <w:name w:val="heading 5"/>
    <w:basedOn w:val="Normal"/>
    <w:next w:val="Normal"/>
    <w:link w:val="Heading5Char"/>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A831CC"/>
    <w:pPr>
      <w:spacing w:after="20"/>
    </w:p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A831CC"/>
  </w:style>
  <w:style w:type="paragraph" w:customStyle="1" w:styleId="BP4headingl">
    <w:name w:val="BP4 heading l"/>
    <w:basedOn w:val="BP4headingr"/>
    <w:rsid w:val="00A831CC"/>
    <w:pPr>
      <w:jc w:val="left"/>
    </w:pPr>
  </w:style>
  <w:style w:type="paragraph" w:customStyle="1" w:styleId="Tabletext">
    <w:name w:val="Table text"/>
    <w:basedOn w:val="TableofFigures"/>
    <w:link w:val="TabletextChar"/>
    <w:qFormat/>
    <w:rsid w:val="00A831CC"/>
    <w:pPr>
      <w:ind w:left="180" w:hanging="180"/>
      <w:jc w:val="left"/>
    </w:pPr>
  </w:style>
  <w:style w:type="paragraph" w:customStyle="1" w:styleId="BP4tabletext">
    <w:name w:val="BP4 table text"/>
    <w:basedOn w:val="Tabletext"/>
    <w:rsid w:val="00A831CC"/>
    <w:pPr>
      <w:spacing w:after="20"/>
      <w:ind w:left="72" w:hanging="72"/>
    </w:pPr>
  </w:style>
  <w:style w:type="paragraph" w:customStyle="1" w:styleId="Tableheading">
    <w:name w:val="Table heading"/>
    <w:basedOn w:val="Normal"/>
    <w:link w:val="TableheadingChar"/>
    <w:qFormat/>
    <w:rsid w:val="009E5D93"/>
    <w:pPr>
      <w:keepNext/>
      <w:spacing w:before="240"/>
      <w:ind w:left="1152" w:hanging="1152"/>
    </w:pPr>
    <w:rPr>
      <w:rFonts w:ascii="Calibri" w:hAnsi="Calibri"/>
      <w:b/>
    </w:rPr>
  </w:style>
  <w:style w:type="table" w:styleId="TableGrid">
    <w:name w:val="Table Grid"/>
    <w:basedOn w:val="TableNormal"/>
    <w:semiHidden/>
    <w:locked/>
    <w:rsid w:val="005E17AB"/>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qFormat/>
    <w:rsid w:val="00CB74FE"/>
    <w:pPr>
      <w:numPr>
        <w:numId w:val="4"/>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qFormat/>
    <w:rsid w:val="009E5D93"/>
  </w:style>
  <w:style w:type="paragraph" w:styleId="Footer">
    <w:name w:val="footer"/>
    <w:basedOn w:val="Normal"/>
    <w:link w:val="FooterChar"/>
    <w:rsid w:val="00185277"/>
    <w:pPr>
      <w:pBdr>
        <w:top w:val="single" w:sz="6" w:space="1" w:color="auto"/>
      </w:pBdr>
      <w:tabs>
        <w:tab w:val="right" w:pos="7085"/>
      </w:tabs>
    </w:pPr>
    <w:rPr>
      <w:rFonts w:ascii="Calibri" w:hAnsi="Calibri"/>
      <w:sz w:val="20"/>
      <w:szCs w:val="18"/>
    </w:rPr>
  </w:style>
  <w:style w:type="paragraph" w:styleId="Header">
    <w:name w:val="header"/>
    <w:basedOn w:val="Footer"/>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link w:val="NotesChar"/>
    <w:qFormat/>
    <w:rsid w:val="00C24EC3"/>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1"/>
      </w:numPr>
    </w:pPr>
    <w:rPr>
      <w:rFonts w:ascii="Calibri" w:hAnsi="Calibri"/>
      <w:sz w:val="20"/>
      <w:szCs w:val="18"/>
    </w:rPr>
  </w:style>
  <w:style w:type="paragraph" w:customStyle="1" w:styleId="OGHeading1">
    <w:name w:val="OGHeading1"/>
    <w:basedOn w:val="Normal"/>
    <w:link w:val="OGHeading1Char"/>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rsid w:val="002E5C62"/>
  </w:style>
  <w:style w:type="paragraph" w:customStyle="1" w:styleId="HighlightBoxBullet">
    <w:name w:val="Highlight Box Bullet"/>
    <w:basedOn w:val="Normal"/>
    <w:qFormat/>
    <w:rsid w:val="00100FCC"/>
    <w:pPr>
      <w:numPr>
        <w:numId w:val="2"/>
      </w:numPr>
      <w:shd w:val="pct10" w:color="auto" w:fill="FFFFFF"/>
      <w:tabs>
        <w:tab w:val="clear" w:pos="90"/>
        <w:tab w:val="num" w:pos="360"/>
      </w:tabs>
      <w:ind w:left="360" w:right="43"/>
    </w:pPr>
  </w:style>
  <w:style w:type="paragraph" w:styleId="TOC1">
    <w:name w:val="toc 1"/>
    <w:basedOn w:val="Normal"/>
    <w:next w:val="Normal"/>
    <w:uiPriority w:val="39"/>
    <w:rsid w:val="00DA6569"/>
    <w:pPr>
      <w:tabs>
        <w:tab w:val="right" w:leader="dot" w:pos="7650"/>
      </w:tabs>
      <w:spacing w:before="40" w:after="40"/>
      <w:ind w:right="422"/>
    </w:pPr>
    <w:rPr>
      <w:rFonts w:ascii="Calibri" w:hAnsi="Calibri"/>
      <w:b/>
      <w:noProof/>
      <w:sz w:val="24"/>
    </w:rPr>
  </w:style>
  <w:style w:type="paragraph" w:styleId="TOC2">
    <w:name w:val="toc 2"/>
    <w:basedOn w:val="Normal"/>
    <w:next w:val="Normal"/>
    <w:uiPriority w:val="39"/>
    <w:rsid w:val="00DA6569"/>
    <w:pPr>
      <w:tabs>
        <w:tab w:val="right" w:leader="dot" w:pos="7650"/>
      </w:tabs>
      <w:spacing w:after="0"/>
      <w:ind w:left="288" w:right="422"/>
    </w:pPr>
    <w:rPr>
      <w:rFonts w:ascii="Calibri" w:hAnsi="Calibri"/>
      <w:noProof/>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rsid w:val="00910D2B"/>
    <w:pPr>
      <w:spacing w:after="0"/>
      <w:ind w:left="1152" w:hanging="1152"/>
    </w:pPr>
    <w:rPr>
      <w:b w:val="0"/>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rsid w:val="004C767D"/>
    <w:pPr>
      <w:numPr>
        <w:numId w:val="3"/>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qFormat/>
    <w:rsid w:val="00CB74FE"/>
    <w:pPr>
      <w:numPr>
        <w:ilvl w:val="1"/>
        <w:numId w:val="4"/>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5"/>
      </w:numPr>
      <w:tabs>
        <w:tab w:val="clear" w:pos="454"/>
      </w:tabs>
    </w:p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6"/>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uiPriority w:val="99"/>
    <w:semiHidden/>
    <w:rsid w:val="001C1EAD"/>
    <w:pPr>
      <w:spacing w:after="0"/>
      <w:ind w:left="220" w:hanging="220"/>
    </w:pPr>
    <w:rPr>
      <w:rFonts w:asciiTheme="minorHAnsi" w:hAnsiTheme="minorHAnsi" w:cstheme="minorHAnsi"/>
      <w:sz w:val="18"/>
      <w:szCs w:val="18"/>
    </w:rPr>
  </w:style>
  <w:style w:type="paragraph" w:customStyle="1" w:styleId="OGNotes">
    <w:name w:val="OGNotes"/>
    <w:basedOn w:val="NotesIndent"/>
    <w:link w:val="OGNotesChar"/>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uiPriority w:val="99"/>
    <w:semiHidden/>
    <w:rsid w:val="001C1EAD"/>
    <w:pPr>
      <w:spacing w:after="0"/>
      <w:ind w:left="440" w:hanging="220"/>
    </w:pPr>
    <w:rPr>
      <w:rFonts w:asciiTheme="minorHAnsi" w:hAnsiTheme="minorHAnsi" w:cstheme="minorHAnsi"/>
      <w:sz w:val="18"/>
      <w:szCs w:val="18"/>
    </w:rPr>
  </w:style>
  <w:style w:type="paragraph" w:styleId="IndexHeading">
    <w:name w:val="index heading"/>
    <w:basedOn w:val="Normal"/>
    <w:next w:val="Index1"/>
    <w:uiPriority w:val="99"/>
    <w:semiHidden/>
    <w:rsid w:val="001C1EAD"/>
    <w:pPr>
      <w:spacing w:before="240"/>
      <w:jc w:val="center"/>
    </w:pPr>
    <w:rPr>
      <w:rFonts w:asciiTheme="minorHAnsi" w:hAnsiTheme="minorHAnsi" w:cstheme="minorHAnsi"/>
      <w:b/>
      <w:bCs/>
      <w:sz w:val="26"/>
      <w:szCs w:val="26"/>
    </w:rPr>
  </w:style>
  <w:style w:type="paragraph" w:customStyle="1" w:styleId="HighlightBoxHeading">
    <w:name w:val="Highlight Box Heading"/>
    <w:basedOn w:val="Heading5a"/>
    <w:qFormat/>
    <w:rsid w:val="001C1EAD"/>
    <w:pPr>
      <w:shd w:val="clear" w:color="auto" w:fill="E6E6E6"/>
    </w:pPr>
  </w:style>
  <w:style w:type="paragraph" w:customStyle="1" w:styleId="HighlightBoxText">
    <w:name w:val="Highlight Box Text"/>
    <w:basedOn w:val="HighlightBoxBullet"/>
    <w:semiHidden/>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customStyle="1" w:styleId="Heading2Char">
    <w:name w:val="Heading 2 Char"/>
    <w:link w:val="Heading2"/>
    <w:rsid w:val="00C45CC5"/>
    <w:rPr>
      <w:rFonts w:ascii="Calibri" w:hAnsi="Calibri"/>
      <w:b/>
      <w:kern w:val="28"/>
      <w:sz w:val="26"/>
      <w:szCs w:val="22"/>
      <w:lang w:eastAsia="en-US"/>
    </w:rPr>
  </w:style>
  <w:style w:type="paragraph" w:customStyle="1" w:styleId="BERCReporting">
    <w:name w:val="BERCReporting"/>
    <w:rsid w:val="00C45CC5"/>
    <w:pPr>
      <w:spacing w:line="280" w:lineRule="exact"/>
    </w:pPr>
    <w:rPr>
      <w:rFonts w:ascii="Calibri" w:eastAsia="Calibri" w:hAnsi="Calibri" w:cs="Calibri"/>
      <w:sz w:val="19"/>
      <w:szCs w:val="19"/>
      <w:lang w:eastAsia="en-US"/>
    </w:rPr>
  </w:style>
  <w:style w:type="paragraph" w:styleId="BalloonText">
    <w:name w:val="Balloon Text"/>
    <w:basedOn w:val="Normal"/>
    <w:link w:val="BalloonTextChar"/>
    <w:locked/>
    <w:rsid w:val="00C45CC5"/>
    <w:pPr>
      <w:spacing w:after="0"/>
    </w:pPr>
    <w:rPr>
      <w:rFonts w:ascii="Tahoma" w:hAnsi="Tahoma" w:cs="Tahoma"/>
      <w:sz w:val="16"/>
      <w:szCs w:val="16"/>
    </w:rPr>
  </w:style>
  <w:style w:type="character" w:customStyle="1" w:styleId="BalloonTextChar">
    <w:name w:val="Balloon Text Char"/>
    <w:basedOn w:val="DefaultParagraphFont"/>
    <w:link w:val="BalloonText"/>
    <w:rsid w:val="00C45CC5"/>
    <w:rPr>
      <w:rFonts w:ascii="Tahoma" w:hAnsi="Tahoma" w:cs="Tahoma"/>
      <w:sz w:val="16"/>
      <w:szCs w:val="16"/>
      <w:lang w:eastAsia="en-US"/>
    </w:rPr>
  </w:style>
  <w:style w:type="character" w:customStyle="1" w:styleId="NotesChar">
    <w:name w:val="Notes Char"/>
    <w:link w:val="Notes"/>
    <w:rsid w:val="00C45CC5"/>
    <w:rPr>
      <w:rFonts w:ascii="Calibri" w:hAnsi="Calibri"/>
      <w:i/>
      <w:sz w:val="15"/>
      <w:lang w:eastAsia="en-US"/>
    </w:rPr>
  </w:style>
  <w:style w:type="character" w:customStyle="1" w:styleId="Heading5Char">
    <w:name w:val="Heading 5 Char"/>
    <w:link w:val="Heading5"/>
    <w:rsid w:val="00C45CC5"/>
    <w:rPr>
      <w:rFonts w:ascii="Calibri" w:hAnsi="Calibri"/>
      <w:b/>
      <w:sz w:val="22"/>
      <w:lang w:eastAsia="en-US"/>
    </w:rPr>
  </w:style>
  <w:style w:type="paragraph" w:styleId="ListParagraph">
    <w:name w:val="List Paragraph"/>
    <w:basedOn w:val="Normal"/>
    <w:uiPriority w:val="34"/>
    <w:qFormat/>
    <w:rsid w:val="00C45CC5"/>
    <w:pPr>
      <w:ind w:left="720"/>
      <w:contextualSpacing/>
    </w:pPr>
  </w:style>
  <w:style w:type="character" w:customStyle="1" w:styleId="TableheadingChar">
    <w:name w:val="Table heading Char"/>
    <w:link w:val="Tableheading"/>
    <w:rsid w:val="00C45CC5"/>
    <w:rPr>
      <w:rFonts w:ascii="Calibri" w:hAnsi="Calibri"/>
      <w:b/>
      <w:sz w:val="22"/>
      <w:lang w:eastAsia="en-US"/>
    </w:rPr>
  </w:style>
  <w:style w:type="character" w:styleId="Hyperlink">
    <w:name w:val="Hyperlink"/>
    <w:uiPriority w:val="99"/>
    <w:unhideWhenUsed/>
    <w:locked/>
    <w:rsid w:val="00C45CC5"/>
    <w:rPr>
      <w:color w:val="0000FF"/>
      <w:u w:val="single"/>
    </w:rPr>
  </w:style>
  <w:style w:type="character" w:styleId="FollowedHyperlink">
    <w:name w:val="FollowedHyperlink"/>
    <w:uiPriority w:val="99"/>
    <w:unhideWhenUsed/>
    <w:locked/>
    <w:rsid w:val="00C45CC5"/>
    <w:rPr>
      <w:color w:val="800080"/>
      <w:u w:val="single"/>
    </w:rPr>
  </w:style>
  <w:style w:type="paragraph" w:customStyle="1" w:styleId="Tabletextnoindent">
    <w:name w:val="Table text no indent"/>
    <w:basedOn w:val="Tabletext"/>
    <w:qFormat/>
    <w:rsid w:val="00C45CC5"/>
    <w:pPr>
      <w:spacing w:after="80"/>
      <w:ind w:left="0" w:firstLine="0"/>
    </w:pPr>
  </w:style>
  <w:style w:type="character" w:customStyle="1" w:styleId="BulletTextChar">
    <w:name w:val="Bullet Text Char"/>
    <w:link w:val="BulletText"/>
    <w:rsid w:val="00C45CC5"/>
    <w:rPr>
      <w:rFonts w:ascii="Garamond" w:hAnsi="Garamond"/>
      <w:sz w:val="22"/>
      <w:lang w:eastAsia="en-US"/>
    </w:rPr>
  </w:style>
  <w:style w:type="paragraph" w:customStyle="1" w:styleId="TabletextheadingLeft0">
    <w:name w:val="Table text heading Left"/>
    <w:basedOn w:val="Tabletextheading"/>
    <w:rsid w:val="00C45CC5"/>
    <w:pPr>
      <w:jc w:val="left"/>
    </w:pPr>
  </w:style>
  <w:style w:type="paragraph" w:customStyle="1" w:styleId="DSETableTitle">
    <w:name w:val="DSE_TableTitle"/>
    <w:rsid w:val="00C45CC5"/>
    <w:pPr>
      <w:spacing w:after="120" w:line="220" w:lineRule="atLeast"/>
    </w:pPr>
    <w:rPr>
      <w:rFonts w:ascii="Arial" w:hAnsi="Arial" w:cs="Arial"/>
      <w:b/>
      <w:color w:val="404040"/>
      <w:sz w:val="18"/>
      <w:szCs w:val="18"/>
      <w:lang w:eastAsia="en-US"/>
    </w:rPr>
  </w:style>
  <w:style w:type="paragraph" w:customStyle="1" w:styleId="CharCharCharChar">
    <w:name w:val="Char Char Char Char"/>
    <w:basedOn w:val="Normal"/>
    <w:rsid w:val="00C45CC5"/>
    <w:pPr>
      <w:spacing w:after="160" w:line="240" w:lineRule="exact"/>
    </w:pPr>
    <w:rPr>
      <w:rFonts w:ascii="Tahoma" w:hAnsi="Tahoma" w:cs="Tahoma"/>
      <w:sz w:val="20"/>
      <w:lang w:val="en-US"/>
    </w:rPr>
  </w:style>
  <w:style w:type="table" w:styleId="MediumShading1">
    <w:name w:val="Medium Shading 1"/>
    <w:basedOn w:val="TableNormal"/>
    <w:uiPriority w:val="63"/>
    <w:rsid w:val="00C45CC5"/>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Tabletextbullet">
    <w:name w:val="Table text bullet"/>
    <w:basedOn w:val="Tabletextnoindent"/>
    <w:qFormat/>
    <w:rsid w:val="00C45CC5"/>
    <w:pPr>
      <w:keepNext/>
      <w:numPr>
        <w:numId w:val="7"/>
      </w:numPr>
      <w:ind w:left="388"/>
      <w:outlineLvl w:val="1"/>
    </w:pPr>
  </w:style>
  <w:style w:type="paragraph" w:customStyle="1" w:styleId="xl63">
    <w:name w:val="xl63"/>
    <w:basedOn w:val="Normal"/>
    <w:rsid w:val="00C45CC5"/>
    <w:pPr>
      <w:spacing w:before="100" w:beforeAutospacing="1" w:after="100" w:afterAutospacing="1"/>
    </w:pPr>
    <w:rPr>
      <w:rFonts w:ascii="Times New Roman" w:hAnsi="Times New Roman"/>
      <w:b/>
      <w:bCs/>
      <w:sz w:val="28"/>
      <w:szCs w:val="28"/>
      <w:lang w:eastAsia="en-AU"/>
    </w:rPr>
  </w:style>
  <w:style w:type="paragraph" w:customStyle="1" w:styleId="xl64">
    <w:name w:val="xl64"/>
    <w:basedOn w:val="Normal"/>
    <w:rsid w:val="00C45CC5"/>
    <w:pPr>
      <w:pBdr>
        <w:top w:val="single" w:sz="4" w:space="0" w:color="000000"/>
        <w:left w:val="single" w:sz="4" w:space="0" w:color="000000"/>
        <w:right w:val="single" w:sz="4" w:space="0" w:color="000000"/>
      </w:pBdr>
      <w:shd w:val="clear" w:color="000000" w:fill="000000"/>
      <w:spacing w:before="100" w:beforeAutospacing="1" w:after="100" w:afterAutospacing="1"/>
    </w:pPr>
    <w:rPr>
      <w:rFonts w:ascii="Times New Roman" w:hAnsi="Times New Roman"/>
      <w:color w:val="FFFFFF"/>
      <w:sz w:val="24"/>
      <w:szCs w:val="24"/>
      <w:lang w:eastAsia="en-AU"/>
    </w:rPr>
  </w:style>
  <w:style w:type="paragraph" w:customStyle="1" w:styleId="xl65">
    <w:name w:val="xl65"/>
    <w:basedOn w:val="Normal"/>
    <w:rsid w:val="00C45CC5"/>
    <w:pPr>
      <w:pBdr>
        <w:top w:val="single" w:sz="4" w:space="0" w:color="000000"/>
        <w:right w:val="single" w:sz="4" w:space="0" w:color="000000"/>
      </w:pBdr>
      <w:shd w:val="clear" w:color="000000" w:fill="000000"/>
      <w:spacing w:before="100" w:beforeAutospacing="1" w:after="100" w:afterAutospacing="1"/>
      <w:jc w:val="right"/>
    </w:pPr>
    <w:rPr>
      <w:rFonts w:ascii="Times New Roman" w:hAnsi="Times New Roman"/>
      <w:color w:val="FFFFFF"/>
      <w:sz w:val="24"/>
      <w:szCs w:val="24"/>
      <w:lang w:eastAsia="en-AU"/>
    </w:rPr>
  </w:style>
  <w:style w:type="paragraph" w:customStyle="1" w:styleId="xl66">
    <w:name w:val="xl66"/>
    <w:basedOn w:val="Normal"/>
    <w:rsid w:val="00C45CC5"/>
    <w:pPr>
      <w:pBdr>
        <w:top w:val="single" w:sz="4" w:space="0" w:color="000000"/>
        <w:right w:val="single" w:sz="4" w:space="0" w:color="000000"/>
      </w:pBdr>
      <w:shd w:val="clear" w:color="000000" w:fill="000000"/>
      <w:spacing w:before="100" w:beforeAutospacing="1" w:after="100" w:afterAutospacing="1"/>
      <w:jc w:val="right"/>
    </w:pPr>
    <w:rPr>
      <w:rFonts w:ascii="Times New Roman" w:hAnsi="Times New Roman"/>
      <w:color w:val="EEECE1"/>
      <w:sz w:val="24"/>
      <w:szCs w:val="24"/>
      <w:lang w:eastAsia="en-AU"/>
    </w:rPr>
  </w:style>
  <w:style w:type="paragraph" w:customStyle="1" w:styleId="xl67">
    <w:name w:val="xl67"/>
    <w:basedOn w:val="Normal"/>
    <w:rsid w:val="00C45CC5"/>
    <w:pPr>
      <w:pBdr>
        <w:left w:val="single" w:sz="4" w:space="0" w:color="000000"/>
        <w:right w:val="single" w:sz="4" w:space="0" w:color="000000"/>
      </w:pBdr>
      <w:shd w:val="clear" w:color="000000" w:fill="000000"/>
      <w:spacing w:before="100" w:beforeAutospacing="1" w:after="100" w:afterAutospacing="1"/>
    </w:pPr>
    <w:rPr>
      <w:rFonts w:ascii="Times New Roman" w:hAnsi="Times New Roman"/>
      <w:i/>
      <w:iCs/>
      <w:color w:val="FFFFFF"/>
      <w:sz w:val="24"/>
      <w:szCs w:val="24"/>
      <w:lang w:eastAsia="en-AU"/>
    </w:rPr>
  </w:style>
  <w:style w:type="paragraph" w:customStyle="1" w:styleId="xl68">
    <w:name w:val="xl68"/>
    <w:basedOn w:val="Normal"/>
    <w:rsid w:val="00C45CC5"/>
    <w:pPr>
      <w:pBdr>
        <w:right w:val="single" w:sz="4" w:space="0" w:color="000000"/>
      </w:pBdr>
      <w:shd w:val="clear" w:color="000000" w:fill="000000"/>
      <w:spacing w:before="100" w:beforeAutospacing="1" w:after="100" w:afterAutospacing="1"/>
      <w:jc w:val="right"/>
    </w:pPr>
    <w:rPr>
      <w:rFonts w:ascii="Times New Roman" w:hAnsi="Times New Roman"/>
      <w:color w:val="FFFFFF"/>
      <w:sz w:val="24"/>
      <w:szCs w:val="24"/>
      <w:lang w:eastAsia="en-AU"/>
    </w:rPr>
  </w:style>
  <w:style w:type="paragraph" w:customStyle="1" w:styleId="xl69">
    <w:name w:val="xl69"/>
    <w:basedOn w:val="Normal"/>
    <w:rsid w:val="00C45CC5"/>
    <w:pPr>
      <w:pBdr>
        <w:left w:val="single" w:sz="4" w:space="0" w:color="000000"/>
        <w:bottom w:val="single" w:sz="4" w:space="0" w:color="000000"/>
        <w:right w:val="single" w:sz="4" w:space="0" w:color="000000"/>
      </w:pBdr>
      <w:shd w:val="clear" w:color="000000" w:fill="000000"/>
      <w:spacing w:before="100" w:beforeAutospacing="1" w:after="100" w:afterAutospacing="1"/>
    </w:pPr>
    <w:rPr>
      <w:rFonts w:ascii="Times New Roman" w:hAnsi="Times New Roman"/>
      <w:sz w:val="24"/>
      <w:szCs w:val="24"/>
      <w:lang w:eastAsia="en-AU"/>
    </w:rPr>
  </w:style>
  <w:style w:type="paragraph" w:customStyle="1" w:styleId="xl70">
    <w:name w:val="xl70"/>
    <w:basedOn w:val="Normal"/>
    <w:rsid w:val="00C45CC5"/>
    <w:pPr>
      <w:pBdr>
        <w:bottom w:val="single" w:sz="4" w:space="0" w:color="000000"/>
        <w:right w:val="single" w:sz="4" w:space="0" w:color="000000"/>
      </w:pBdr>
      <w:shd w:val="clear" w:color="000000" w:fill="000000"/>
      <w:spacing w:before="100" w:beforeAutospacing="1" w:after="100" w:afterAutospacing="1"/>
    </w:pPr>
    <w:rPr>
      <w:rFonts w:ascii="Times New Roman" w:hAnsi="Times New Roman"/>
      <w:sz w:val="24"/>
      <w:szCs w:val="24"/>
      <w:lang w:eastAsia="en-AU"/>
    </w:rPr>
  </w:style>
  <w:style w:type="paragraph" w:customStyle="1" w:styleId="xl71">
    <w:name w:val="xl71"/>
    <w:basedOn w:val="Normal"/>
    <w:rsid w:val="00C45CC5"/>
    <w:pPr>
      <w:pBdr>
        <w:bottom w:val="single" w:sz="4" w:space="0" w:color="000000"/>
        <w:right w:val="single" w:sz="4" w:space="0" w:color="000000"/>
      </w:pBdr>
      <w:shd w:val="clear" w:color="000000" w:fill="000000"/>
      <w:spacing w:before="100" w:beforeAutospacing="1" w:after="100" w:afterAutospacing="1"/>
      <w:jc w:val="right"/>
    </w:pPr>
    <w:rPr>
      <w:rFonts w:ascii="Times New Roman" w:hAnsi="Times New Roman"/>
      <w:color w:val="FFFFFF"/>
      <w:sz w:val="24"/>
      <w:szCs w:val="24"/>
      <w:lang w:eastAsia="en-AU"/>
    </w:rPr>
  </w:style>
  <w:style w:type="paragraph" w:customStyle="1" w:styleId="xl72">
    <w:name w:val="xl72"/>
    <w:basedOn w:val="Normal"/>
    <w:rsid w:val="00C45CC5"/>
    <w:pPr>
      <w:shd w:val="clear" w:color="000000" w:fill="FFFFFF"/>
      <w:spacing w:before="100" w:beforeAutospacing="1" w:after="100" w:afterAutospacing="1"/>
      <w:textAlignment w:val="top"/>
    </w:pPr>
    <w:rPr>
      <w:rFonts w:ascii="Times New Roman" w:hAnsi="Times New Roman"/>
      <w:sz w:val="24"/>
      <w:szCs w:val="24"/>
      <w:lang w:eastAsia="en-AU"/>
    </w:rPr>
  </w:style>
  <w:style w:type="paragraph" w:customStyle="1" w:styleId="xl73">
    <w:name w:val="xl73"/>
    <w:basedOn w:val="Normal"/>
    <w:rsid w:val="00C45CC5"/>
    <w:pPr>
      <w:shd w:val="clear" w:color="000000" w:fill="FFFFFF"/>
      <w:spacing w:before="100" w:beforeAutospacing="1" w:after="100" w:afterAutospacing="1"/>
      <w:jc w:val="right"/>
      <w:textAlignment w:val="top"/>
    </w:pPr>
    <w:rPr>
      <w:rFonts w:ascii="Times New Roman" w:hAnsi="Times New Roman"/>
      <w:sz w:val="24"/>
      <w:szCs w:val="24"/>
      <w:lang w:eastAsia="en-AU"/>
    </w:rPr>
  </w:style>
  <w:style w:type="paragraph" w:customStyle="1" w:styleId="xl74">
    <w:name w:val="xl74"/>
    <w:basedOn w:val="Normal"/>
    <w:rsid w:val="00C45CC5"/>
    <w:pP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5">
    <w:name w:val="xl75"/>
    <w:basedOn w:val="Normal"/>
    <w:rsid w:val="00C45CC5"/>
    <w:pPr>
      <w:spacing w:before="100" w:beforeAutospacing="1" w:after="100" w:afterAutospacing="1"/>
    </w:pPr>
    <w:rPr>
      <w:rFonts w:ascii="Times New Roman" w:hAnsi="Times New Roman"/>
      <w:sz w:val="16"/>
      <w:szCs w:val="16"/>
      <w:lang w:eastAsia="en-AU"/>
    </w:rPr>
  </w:style>
  <w:style w:type="paragraph" w:customStyle="1" w:styleId="xl76">
    <w:name w:val="xl76"/>
    <w:basedOn w:val="Normal"/>
    <w:rsid w:val="00C45CC5"/>
    <w:pPr>
      <w:shd w:val="clear" w:color="000000" w:fill="FFFFFF"/>
      <w:spacing w:before="100" w:beforeAutospacing="1" w:after="100" w:afterAutospacing="1"/>
      <w:jc w:val="right"/>
      <w:textAlignment w:val="top"/>
    </w:pPr>
    <w:rPr>
      <w:rFonts w:ascii="Times New Roman" w:hAnsi="Times New Roman"/>
      <w:sz w:val="24"/>
      <w:szCs w:val="24"/>
      <w:lang w:eastAsia="en-AU"/>
    </w:rPr>
  </w:style>
  <w:style w:type="paragraph" w:customStyle="1" w:styleId="xl77">
    <w:name w:val="xl77"/>
    <w:basedOn w:val="Normal"/>
    <w:rsid w:val="00C45CC5"/>
    <w:pP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8">
    <w:name w:val="xl78"/>
    <w:basedOn w:val="Normal"/>
    <w:rsid w:val="00C45CC5"/>
    <w:pPr>
      <w:shd w:val="clear" w:color="000000" w:fill="FFFFFF"/>
      <w:spacing w:before="100" w:beforeAutospacing="1" w:after="100" w:afterAutospacing="1"/>
      <w:jc w:val="right"/>
      <w:textAlignment w:val="top"/>
    </w:pPr>
    <w:rPr>
      <w:rFonts w:ascii="Times New Roman" w:hAnsi="Times New Roman"/>
      <w:sz w:val="24"/>
      <w:szCs w:val="24"/>
      <w:lang w:eastAsia="en-AU"/>
    </w:rPr>
  </w:style>
  <w:style w:type="paragraph" w:customStyle="1" w:styleId="xl79">
    <w:name w:val="xl79"/>
    <w:basedOn w:val="Normal"/>
    <w:rsid w:val="00C45CC5"/>
    <w:pP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0">
    <w:name w:val="xl80"/>
    <w:basedOn w:val="Normal"/>
    <w:rsid w:val="00C45CC5"/>
    <w:pPr>
      <w:spacing w:before="100" w:beforeAutospacing="1" w:after="100" w:afterAutospacing="1"/>
    </w:pPr>
    <w:rPr>
      <w:rFonts w:ascii="Times New Roman" w:hAnsi="Times New Roman"/>
      <w:sz w:val="24"/>
      <w:szCs w:val="24"/>
      <w:lang w:eastAsia="en-AU"/>
    </w:rPr>
  </w:style>
  <w:style w:type="paragraph" w:customStyle="1" w:styleId="xl81">
    <w:name w:val="xl81"/>
    <w:basedOn w:val="Normal"/>
    <w:rsid w:val="00C45CC5"/>
    <w:pPr>
      <w:spacing w:before="100" w:beforeAutospacing="1" w:after="100" w:afterAutospacing="1"/>
    </w:pPr>
    <w:rPr>
      <w:rFonts w:ascii="Times New Roman" w:hAnsi="Times New Roman"/>
      <w:sz w:val="16"/>
      <w:szCs w:val="16"/>
      <w:lang w:eastAsia="en-AU"/>
    </w:rPr>
  </w:style>
  <w:style w:type="paragraph" w:customStyle="1" w:styleId="xl82">
    <w:name w:val="xl82"/>
    <w:basedOn w:val="Normal"/>
    <w:rsid w:val="00C45CC5"/>
    <w:pPr>
      <w:pBdr>
        <w:left w:val="single" w:sz="4" w:space="0" w:color="000000"/>
        <w:right w:val="single" w:sz="4" w:space="0" w:color="000000"/>
      </w:pBdr>
      <w:shd w:val="clear" w:color="000000" w:fill="000000"/>
      <w:spacing w:before="100" w:beforeAutospacing="1" w:after="100" w:afterAutospacing="1"/>
    </w:pPr>
    <w:rPr>
      <w:rFonts w:ascii="Times New Roman" w:hAnsi="Times New Roman"/>
      <w:color w:val="FFFFFF"/>
      <w:sz w:val="24"/>
      <w:szCs w:val="24"/>
      <w:lang w:eastAsia="en-AU"/>
    </w:rPr>
  </w:style>
  <w:style w:type="paragraph" w:customStyle="1" w:styleId="xl83">
    <w:name w:val="xl83"/>
    <w:basedOn w:val="Normal"/>
    <w:rsid w:val="00C45CC5"/>
    <w:pPr>
      <w:pBdr>
        <w:left w:val="single" w:sz="4" w:space="0" w:color="000000"/>
        <w:bottom w:val="single" w:sz="4" w:space="0" w:color="000000"/>
        <w:right w:val="single" w:sz="4" w:space="0" w:color="000000"/>
      </w:pBdr>
      <w:shd w:val="clear" w:color="000000" w:fill="000000"/>
      <w:spacing w:before="100" w:beforeAutospacing="1" w:after="100" w:afterAutospacing="1"/>
    </w:pPr>
    <w:rPr>
      <w:rFonts w:ascii="Times New Roman" w:hAnsi="Times New Roman"/>
      <w:color w:val="FFFFFF"/>
      <w:sz w:val="24"/>
      <w:szCs w:val="24"/>
      <w:lang w:eastAsia="en-AU"/>
    </w:rPr>
  </w:style>
  <w:style w:type="paragraph" w:customStyle="1" w:styleId="xl84">
    <w:name w:val="xl84"/>
    <w:basedOn w:val="Normal"/>
    <w:rsid w:val="00C45CC5"/>
    <w:pPr>
      <w:spacing w:before="100" w:beforeAutospacing="1" w:after="100" w:afterAutospacing="1"/>
    </w:pPr>
    <w:rPr>
      <w:rFonts w:ascii="Times New Roman" w:hAnsi="Times New Roman"/>
      <w:b/>
      <w:bCs/>
      <w:sz w:val="28"/>
      <w:szCs w:val="28"/>
      <w:lang w:eastAsia="en-AU"/>
    </w:rPr>
  </w:style>
  <w:style w:type="paragraph" w:customStyle="1" w:styleId="xl85">
    <w:name w:val="xl85"/>
    <w:basedOn w:val="Normal"/>
    <w:rsid w:val="00C45CC5"/>
    <w:pPr>
      <w:spacing w:before="100" w:beforeAutospacing="1" w:after="100" w:afterAutospacing="1"/>
    </w:pPr>
    <w:rPr>
      <w:rFonts w:ascii="Times New Roman" w:hAnsi="Times New Roman"/>
      <w:b/>
      <w:bCs/>
      <w:i/>
      <w:iCs/>
      <w:sz w:val="24"/>
      <w:szCs w:val="24"/>
      <w:lang w:eastAsia="en-AU"/>
    </w:rPr>
  </w:style>
  <w:style w:type="paragraph" w:customStyle="1" w:styleId="xl86">
    <w:name w:val="xl86"/>
    <w:basedOn w:val="Normal"/>
    <w:rsid w:val="00C45CC5"/>
    <w:pPr>
      <w:spacing w:before="100" w:beforeAutospacing="1" w:after="100" w:afterAutospacing="1"/>
    </w:pPr>
    <w:rPr>
      <w:rFonts w:ascii="Times New Roman" w:hAnsi="Times New Roman"/>
      <w:sz w:val="18"/>
      <w:szCs w:val="18"/>
      <w:lang w:eastAsia="en-AU"/>
    </w:rPr>
  </w:style>
  <w:style w:type="character" w:customStyle="1" w:styleId="TabletextChar">
    <w:name w:val="Table text Char"/>
    <w:link w:val="Tabletext"/>
    <w:rsid w:val="00C45CC5"/>
    <w:rPr>
      <w:rFonts w:ascii="Calibri" w:hAnsi="Calibri"/>
      <w:szCs w:val="18"/>
      <w:lang w:eastAsia="en-US"/>
    </w:rPr>
  </w:style>
  <w:style w:type="paragraph" w:styleId="NormalWeb">
    <w:name w:val="Normal (Web)"/>
    <w:basedOn w:val="Normal"/>
    <w:locked/>
    <w:rsid w:val="00C45CC5"/>
    <w:pPr>
      <w:spacing w:before="100" w:beforeAutospacing="1" w:after="100" w:afterAutospacing="1"/>
    </w:pPr>
    <w:rPr>
      <w:rFonts w:ascii="Times New Roman" w:hAnsi="Times New Roman"/>
      <w:sz w:val="24"/>
      <w:szCs w:val="24"/>
      <w:lang w:eastAsia="en-AU"/>
    </w:rPr>
  </w:style>
  <w:style w:type="paragraph" w:styleId="FootnoteText">
    <w:name w:val="footnote text"/>
    <w:basedOn w:val="Normal"/>
    <w:link w:val="FootnoteTextChar"/>
    <w:locked/>
    <w:rsid w:val="00C45CC5"/>
    <w:rPr>
      <w:sz w:val="20"/>
    </w:rPr>
  </w:style>
  <w:style w:type="character" w:customStyle="1" w:styleId="FootnoteTextChar">
    <w:name w:val="Footnote Text Char"/>
    <w:basedOn w:val="DefaultParagraphFont"/>
    <w:link w:val="FootnoteText"/>
    <w:rsid w:val="00C45CC5"/>
    <w:rPr>
      <w:rFonts w:ascii="Garamond" w:hAnsi="Garamond"/>
      <w:lang w:eastAsia="en-US"/>
    </w:rPr>
  </w:style>
  <w:style w:type="character" w:styleId="FootnoteReference">
    <w:name w:val="footnote reference"/>
    <w:locked/>
    <w:rsid w:val="00C45CC5"/>
    <w:rPr>
      <w:vertAlign w:val="superscript"/>
    </w:rPr>
  </w:style>
  <w:style w:type="character" w:customStyle="1" w:styleId="Heading1Char">
    <w:name w:val="Heading 1 Char"/>
    <w:link w:val="Heading1"/>
    <w:rsid w:val="00C45CC5"/>
    <w:rPr>
      <w:rFonts w:ascii="Calibri" w:hAnsi="Calibri"/>
      <w:b/>
      <w:caps/>
      <w:sz w:val="26"/>
      <w:szCs w:val="22"/>
      <w:lang w:eastAsia="en-US"/>
    </w:rPr>
  </w:style>
  <w:style w:type="character" w:customStyle="1" w:styleId="OGHeading1Char">
    <w:name w:val="OGHeading1 Char"/>
    <w:link w:val="OGHeading1"/>
    <w:rsid w:val="00C45CC5"/>
    <w:rPr>
      <w:rFonts w:ascii="Calibri" w:hAnsi="Calibri"/>
      <w:b/>
      <w:sz w:val="32"/>
      <w:szCs w:val="28"/>
      <w:lang w:eastAsia="en-US"/>
    </w:rPr>
  </w:style>
  <w:style w:type="character" w:customStyle="1" w:styleId="FooterChar">
    <w:name w:val="Footer Char"/>
    <w:link w:val="Footer"/>
    <w:rsid w:val="00C45CC5"/>
    <w:rPr>
      <w:rFonts w:ascii="Calibri" w:hAnsi="Calibri"/>
      <w:szCs w:val="18"/>
      <w:lang w:eastAsia="en-US"/>
    </w:rPr>
  </w:style>
  <w:style w:type="paragraph" w:customStyle="1" w:styleId="Soy">
    <w:name w:val="Soy"/>
    <w:basedOn w:val="Source"/>
    <w:qFormat/>
    <w:rsid w:val="00C45CC5"/>
  </w:style>
  <w:style w:type="paragraph" w:customStyle="1" w:styleId="font5">
    <w:name w:val="font5"/>
    <w:basedOn w:val="Normal"/>
    <w:rsid w:val="00C45CC5"/>
    <w:pPr>
      <w:spacing w:before="100" w:beforeAutospacing="1" w:after="100" w:afterAutospacing="1"/>
    </w:pPr>
    <w:rPr>
      <w:rFonts w:ascii="Calibri" w:hAnsi="Calibri" w:cs="Calibri"/>
      <w:color w:val="000000"/>
      <w:sz w:val="16"/>
      <w:szCs w:val="16"/>
      <w:lang w:eastAsia="en-AU"/>
    </w:rPr>
  </w:style>
  <w:style w:type="paragraph" w:customStyle="1" w:styleId="font6">
    <w:name w:val="font6"/>
    <w:basedOn w:val="Normal"/>
    <w:rsid w:val="00C45CC5"/>
    <w:pPr>
      <w:spacing w:before="100" w:beforeAutospacing="1" w:after="100" w:afterAutospacing="1"/>
    </w:pPr>
    <w:rPr>
      <w:rFonts w:ascii="Calibri" w:hAnsi="Calibri" w:cs="Calibri"/>
      <w:i/>
      <w:iCs/>
      <w:color w:val="000000"/>
      <w:sz w:val="16"/>
      <w:szCs w:val="16"/>
      <w:lang w:eastAsia="en-AU"/>
    </w:rPr>
  </w:style>
  <w:style w:type="paragraph" w:styleId="EndnoteText">
    <w:name w:val="endnote text"/>
    <w:basedOn w:val="Normal"/>
    <w:link w:val="EndnoteTextChar"/>
    <w:locked/>
    <w:rsid w:val="00C45CC5"/>
    <w:rPr>
      <w:sz w:val="20"/>
    </w:rPr>
  </w:style>
  <w:style w:type="character" w:customStyle="1" w:styleId="EndnoteTextChar">
    <w:name w:val="Endnote Text Char"/>
    <w:basedOn w:val="DefaultParagraphFont"/>
    <w:link w:val="EndnoteText"/>
    <w:rsid w:val="00C45CC5"/>
    <w:rPr>
      <w:rFonts w:ascii="Garamond" w:hAnsi="Garamond"/>
      <w:lang w:eastAsia="en-US"/>
    </w:rPr>
  </w:style>
  <w:style w:type="character" w:styleId="EndnoteReference">
    <w:name w:val="endnote reference"/>
    <w:basedOn w:val="DefaultParagraphFont"/>
    <w:locked/>
    <w:rsid w:val="00C45CC5"/>
    <w:rPr>
      <w:vertAlign w:val="superscript"/>
    </w:rPr>
  </w:style>
  <w:style w:type="paragraph" w:customStyle="1" w:styleId="TableText0">
    <w:name w:val="Table Text"/>
    <w:basedOn w:val="Normal"/>
    <w:rsid w:val="00C45CC5"/>
    <w:pPr>
      <w:spacing w:before="30" w:after="30"/>
    </w:pPr>
    <w:rPr>
      <w:rFonts w:ascii="Calibri" w:hAnsi="Calibri"/>
      <w:color w:val="4D4D4D"/>
      <w:sz w:val="18"/>
      <w:szCs w:val="24"/>
      <w:lang w:eastAsia="en-AU"/>
    </w:rPr>
  </w:style>
  <w:style w:type="paragraph" w:customStyle="1" w:styleId="TableTextHeadingLeft1">
    <w:name w:val="Table Text Heading Left"/>
    <w:basedOn w:val="Tabletextcentred"/>
    <w:rsid w:val="00C45CC5"/>
    <w:pPr>
      <w:spacing w:before="30" w:after="30"/>
      <w:jc w:val="left"/>
    </w:pPr>
    <w:rPr>
      <w:b/>
      <w:color w:val="4D4D4D"/>
      <w:sz w:val="19"/>
      <w:szCs w:val="24"/>
      <w:lang w:eastAsia="en-AU"/>
    </w:rPr>
  </w:style>
  <w:style w:type="paragraph" w:customStyle="1" w:styleId="TableTextHeadingRight">
    <w:name w:val="Table Text Heading Right"/>
    <w:basedOn w:val="TableTextHeadingLeft1"/>
    <w:rsid w:val="00C45CC5"/>
    <w:pPr>
      <w:jc w:val="right"/>
    </w:pPr>
  </w:style>
  <w:style w:type="paragraph" w:customStyle="1" w:styleId="TableTextHeadingCentre">
    <w:name w:val="Table Text Heading Centre"/>
    <w:basedOn w:val="TableTextHeadingLeft1"/>
    <w:rsid w:val="00C45CC5"/>
    <w:pPr>
      <w:jc w:val="center"/>
    </w:pPr>
  </w:style>
  <w:style w:type="paragraph" w:customStyle="1" w:styleId="TableTextCentred0">
    <w:name w:val="Table Text Centred"/>
    <w:basedOn w:val="TableText0"/>
    <w:rsid w:val="00C45CC5"/>
    <w:pPr>
      <w:jc w:val="center"/>
    </w:pPr>
  </w:style>
  <w:style w:type="paragraph" w:customStyle="1" w:styleId="TableTextRight">
    <w:name w:val="Table Text Right"/>
    <w:basedOn w:val="Normal"/>
    <w:rsid w:val="00C45CC5"/>
    <w:pPr>
      <w:spacing w:before="30" w:after="30"/>
      <w:jc w:val="right"/>
    </w:pPr>
    <w:rPr>
      <w:rFonts w:ascii="Calibri" w:hAnsi="Calibri"/>
      <w:color w:val="4D4D4D"/>
      <w:sz w:val="18"/>
      <w:szCs w:val="18"/>
      <w:lang w:eastAsia="en-AU"/>
    </w:rPr>
  </w:style>
  <w:style w:type="character" w:styleId="CommentReference">
    <w:name w:val="annotation reference"/>
    <w:locked/>
    <w:rsid w:val="00C45CC5"/>
    <w:rPr>
      <w:sz w:val="16"/>
      <w:szCs w:val="16"/>
    </w:rPr>
  </w:style>
  <w:style w:type="character" w:customStyle="1" w:styleId="Heading3Char">
    <w:name w:val="Heading 3 Char"/>
    <w:link w:val="Heading3"/>
    <w:locked/>
    <w:rsid w:val="00C45CC5"/>
    <w:rPr>
      <w:rFonts w:ascii="Calibri" w:hAnsi="Calibri"/>
      <w:b/>
      <w:i/>
      <w:kern w:val="28"/>
      <w:sz w:val="24"/>
      <w:szCs w:val="22"/>
      <w:lang w:eastAsia="en-US"/>
    </w:rPr>
  </w:style>
  <w:style w:type="paragraph" w:styleId="Index3">
    <w:name w:val="index 3"/>
    <w:basedOn w:val="Normal"/>
    <w:next w:val="Normal"/>
    <w:autoRedefine/>
    <w:rsid w:val="00811969"/>
    <w:pPr>
      <w:spacing w:after="0"/>
      <w:ind w:left="660" w:hanging="220"/>
    </w:pPr>
    <w:rPr>
      <w:rFonts w:asciiTheme="minorHAnsi" w:hAnsiTheme="minorHAnsi" w:cstheme="minorHAnsi"/>
      <w:sz w:val="18"/>
      <w:szCs w:val="18"/>
    </w:rPr>
  </w:style>
  <w:style w:type="paragraph" w:styleId="Index4">
    <w:name w:val="index 4"/>
    <w:basedOn w:val="Normal"/>
    <w:next w:val="Normal"/>
    <w:autoRedefine/>
    <w:rsid w:val="00811969"/>
    <w:pPr>
      <w:spacing w:after="0"/>
      <w:ind w:left="880" w:hanging="220"/>
    </w:pPr>
    <w:rPr>
      <w:rFonts w:asciiTheme="minorHAnsi" w:hAnsiTheme="minorHAnsi" w:cstheme="minorHAnsi"/>
      <w:sz w:val="18"/>
      <w:szCs w:val="18"/>
    </w:rPr>
  </w:style>
  <w:style w:type="paragraph" w:styleId="Index5">
    <w:name w:val="index 5"/>
    <w:basedOn w:val="Normal"/>
    <w:next w:val="Normal"/>
    <w:autoRedefine/>
    <w:rsid w:val="00811969"/>
    <w:pPr>
      <w:spacing w:after="0"/>
      <w:ind w:left="1100" w:hanging="220"/>
    </w:pPr>
    <w:rPr>
      <w:rFonts w:asciiTheme="minorHAnsi" w:hAnsiTheme="minorHAnsi" w:cstheme="minorHAnsi"/>
      <w:sz w:val="18"/>
      <w:szCs w:val="18"/>
    </w:rPr>
  </w:style>
  <w:style w:type="paragraph" w:styleId="Index6">
    <w:name w:val="index 6"/>
    <w:basedOn w:val="Normal"/>
    <w:next w:val="Normal"/>
    <w:autoRedefine/>
    <w:locked/>
    <w:rsid w:val="00811969"/>
    <w:pPr>
      <w:spacing w:after="0"/>
      <w:ind w:left="1320" w:hanging="220"/>
    </w:pPr>
    <w:rPr>
      <w:rFonts w:asciiTheme="minorHAnsi" w:hAnsiTheme="minorHAnsi" w:cstheme="minorHAnsi"/>
      <w:sz w:val="18"/>
      <w:szCs w:val="18"/>
    </w:rPr>
  </w:style>
  <w:style w:type="paragraph" w:styleId="Index7">
    <w:name w:val="index 7"/>
    <w:basedOn w:val="Normal"/>
    <w:next w:val="Normal"/>
    <w:autoRedefine/>
    <w:locked/>
    <w:rsid w:val="00811969"/>
    <w:pPr>
      <w:spacing w:after="0"/>
      <w:ind w:left="1540" w:hanging="220"/>
    </w:pPr>
    <w:rPr>
      <w:rFonts w:asciiTheme="minorHAnsi" w:hAnsiTheme="minorHAnsi" w:cstheme="minorHAnsi"/>
      <w:sz w:val="18"/>
      <w:szCs w:val="18"/>
    </w:rPr>
  </w:style>
  <w:style w:type="paragraph" w:styleId="Index8">
    <w:name w:val="index 8"/>
    <w:basedOn w:val="Normal"/>
    <w:next w:val="Normal"/>
    <w:autoRedefine/>
    <w:locked/>
    <w:rsid w:val="00811969"/>
    <w:pPr>
      <w:spacing w:after="0"/>
      <w:ind w:left="1760" w:hanging="220"/>
    </w:pPr>
    <w:rPr>
      <w:rFonts w:asciiTheme="minorHAnsi" w:hAnsiTheme="minorHAnsi" w:cstheme="minorHAnsi"/>
      <w:sz w:val="18"/>
      <w:szCs w:val="18"/>
    </w:rPr>
  </w:style>
  <w:style w:type="paragraph" w:styleId="Index9">
    <w:name w:val="index 9"/>
    <w:basedOn w:val="Normal"/>
    <w:next w:val="Normal"/>
    <w:autoRedefine/>
    <w:locked/>
    <w:rsid w:val="00811969"/>
    <w:pPr>
      <w:spacing w:after="0"/>
      <w:ind w:left="1980" w:hanging="220"/>
    </w:pPr>
    <w:rPr>
      <w:rFonts w:asciiTheme="minorHAnsi" w:hAnsiTheme="minorHAnsi" w:cstheme="minorHAnsi"/>
      <w:sz w:val="18"/>
      <w:szCs w:val="18"/>
    </w:rPr>
  </w:style>
  <w:style w:type="character" w:customStyle="1" w:styleId="OGNotesChar">
    <w:name w:val="OGNotes Char"/>
    <w:link w:val="OGNotes"/>
    <w:rsid w:val="00CF58C7"/>
    <w:rPr>
      <w:rFonts w:ascii="Calibri" w:hAnsi="Calibri"/>
      <w:i/>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uiPriority="99"/>
    <w:lsdException w:name="index 2" w:uiPriority="99"/>
    <w:lsdException w:name="index 6" w:locked="1"/>
    <w:lsdException w:name="index 7" w:locked="1"/>
    <w:lsdException w:name="index 8" w:locked="1"/>
    <w:lsdException w:name="index 9" w:locked="1"/>
    <w:lsdException w:name="toc 1" w:uiPriority="39"/>
    <w:lsdException w:name="toc 2"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uiPriority="99"/>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B534C"/>
    <w:pPr>
      <w:spacing w:after="120"/>
    </w:pPr>
    <w:rPr>
      <w:rFonts w:ascii="Garamond" w:hAnsi="Garamond"/>
      <w:sz w:val="22"/>
      <w:lang w:eastAsia="en-US"/>
    </w:rPr>
  </w:style>
  <w:style w:type="paragraph" w:styleId="Heading1">
    <w:name w:val="heading 1"/>
    <w:basedOn w:val="Normal"/>
    <w:next w:val="Normal"/>
    <w:link w:val="Heading1Char"/>
    <w:qFormat/>
    <w:rsid w:val="00397F02"/>
    <w:pPr>
      <w:keepNext/>
      <w:spacing w:before="360"/>
      <w:outlineLvl w:val="0"/>
    </w:pPr>
    <w:rPr>
      <w:rFonts w:ascii="Calibri" w:hAnsi="Calibri"/>
      <w:b/>
      <w:caps/>
      <w:sz w:val="26"/>
      <w:szCs w:val="22"/>
    </w:rPr>
  </w:style>
  <w:style w:type="paragraph" w:styleId="Heading2">
    <w:name w:val="heading 2"/>
    <w:basedOn w:val="Normal"/>
    <w:next w:val="Normal"/>
    <w:link w:val="Heading2Char"/>
    <w:qFormat/>
    <w:rsid w:val="00397F02"/>
    <w:pPr>
      <w:keepNext/>
      <w:spacing w:before="240"/>
      <w:outlineLvl w:val="1"/>
    </w:pPr>
    <w:rPr>
      <w:rFonts w:ascii="Calibri" w:hAnsi="Calibri"/>
      <w:b/>
      <w:kern w:val="28"/>
      <w:sz w:val="26"/>
      <w:szCs w:val="22"/>
    </w:rPr>
  </w:style>
  <w:style w:type="paragraph" w:styleId="Heading3">
    <w:name w:val="heading 3"/>
    <w:basedOn w:val="Normal"/>
    <w:next w:val="Normal"/>
    <w:link w:val="Heading3Char"/>
    <w:qFormat/>
    <w:rsid w:val="00397F02"/>
    <w:pPr>
      <w:keepNext/>
      <w:spacing w:before="240"/>
      <w:outlineLvl w:val="2"/>
    </w:pPr>
    <w:rPr>
      <w:rFonts w:ascii="Calibri" w:hAnsi="Calibri"/>
      <w:b/>
      <w:i/>
      <w:kern w:val="28"/>
      <w:sz w:val="24"/>
      <w:szCs w:val="22"/>
    </w:rPr>
  </w:style>
  <w:style w:type="paragraph" w:styleId="Heading4">
    <w:name w:val="heading 4"/>
    <w:basedOn w:val="Normal"/>
    <w:next w:val="Normal"/>
    <w:qFormat/>
    <w:rsid w:val="00397F02"/>
    <w:pPr>
      <w:keepNext/>
      <w:spacing w:before="240"/>
      <w:outlineLvl w:val="3"/>
    </w:pPr>
    <w:rPr>
      <w:rFonts w:ascii="Calibri" w:hAnsi="Calibri"/>
      <w:i/>
      <w:sz w:val="24"/>
      <w:szCs w:val="22"/>
    </w:rPr>
  </w:style>
  <w:style w:type="paragraph" w:styleId="Heading5">
    <w:name w:val="heading 5"/>
    <w:basedOn w:val="Normal"/>
    <w:next w:val="Normal"/>
    <w:link w:val="Heading5Char"/>
    <w:qFormat/>
    <w:rsid w:val="00F14A31"/>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A831CC"/>
    <w:pPr>
      <w:spacing w:after="0"/>
      <w:jc w:val="center"/>
    </w:pPr>
    <w:rPr>
      <w:rFonts w:ascii="Calibri" w:hAnsi="Calibri"/>
      <w:i/>
      <w:sz w:val="18"/>
      <w:szCs w:val="18"/>
    </w:rPr>
  </w:style>
  <w:style w:type="paragraph" w:styleId="TableofFigures">
    <w:name w:val="table of figures"/>
    <w:basedOn w:val="Normal"/>
    <w:next w:val="Normal"/>
    <w:link w:val="TableofFiguresChar"/>
    <w:qFormat/>
    <w:rsid w:val="00397F02"/>
    <w:pPr>
      <w:spacing w:after="0"/>
      <w:jc w:val="right"/>
    </w:pPr>
    <w:rPr>
      <w:rFonts w:ascii="Calibri" w:hAnsi="Calibri"/>
      <w:sz w:val="20"/>
      <w:szCs w:val="18"/>
    </w:rPr>
  </w:style>
  <w:style w:type="character" w:customStyle="1" w:styleId="TableofFiguresChar">
    <w:name w:val="Table of Figures Char"/>
    <w:link w:val="TableofFigures"/>
    <w:rsid w:val="00A14E0E"/>
    <w:rPr>
      <w:rFonts w:ascii="Calibri" w:hAnsi="Calibri"/>
      <w:szCs w:val="18"/>
      <w:lang w:val="en-AU" w:eastAsia="en-US" w:bidi="ar-SA"/>
    </w:rPr>
  </w:style>
  <w:style w:type="paragraph" w:customStyle="1" w:styleId="BP4Figures">
    <w:name w:val="BP4 Figures"/>
    <w:basedOn w:val="TableofFigures"/>
    <w:rsid w:val="00A831CC"/>
    <w:pPr>
      <w:spacing w:after="20"/>
    </w:pPr>
  </w:style>
  <w:style w:type="paragraph" w:customStyle="1" w:styleId="Tabletextheading">
    <w:name w:val="Table text heading"/>
    <w:basedOn w:val="TableofFigures"/>
    <w:link w:val="TabletextheadingChar"/>
    <w:qFormat/>
    <w:rsid w:val="00A831CC"/>
    <w:rPr>
      <w:i/>
    </w:rPr>
  </w:style>
  <w:style w:type="paragraph" w:customStyle="1" w:styleId="BP4headingr">
    <w:name w:val="BP4 heading r"/>
    <w:basedOn w:val="Tabletextheading"/>
    <w:rsid w:val="00A831CC"/>
  </w:style>
  <w:style w:type="paragraph" w:customStyle="1" w:styleId="BP4headingl">
    <w:name w:val="BP4 heading l"/>
    <w:basedOn w:val="BP4headingr"/>
    <w:rsid w:val="00A831CC"/>
    <w:pPr>
      <w:jc w:val="left"/>
    </w:pPr>
  </w:style>
  <w:style w:type="paragraph" w:customStyle="1" w:styleId="Tabletext">
    <w:name w:val="Table text"/>
    <w:basedOn w:val="TableofFigures"/>
    <w:link w:val="TabletextChar"/>
    <w:qFormat/>
    <w:rsid w:val="00A831CC"/>
    <w:pPr>
      <w:ind w:left="180" w:hanging="180"/>
      <w:jc w:val="left"/>
    </w:pPr>
  </w:style>
  <w:style w:type="paragraph" w:customStyle="1" w:styleId="BP4tabletext">
    <w:name w:val="BP4 table text"/>
    <w:basedOn w:val="Tabletext"/>
    <w:rsid w:val="00A831CC"/>
    <w:pPr>
      <w:spacing w:after="20"/>
      <w:ind w:left="72" w:hanging="72"/>
    </w:pPr>
  </w:style>
  <w:style w:type="paragraph" w:customStyle="1" w:styleId="Tableheading">
    <w:name w:val="Table heading"/>
    <w:basedOn w:val="Normal"/>
    <w:link w:val="TableheadingChar"/>
    <w:qFormat/>
    <w:rsid w:val="009E5D93"/>
    <w:pPr>
      <w:keepNext/>
      <w:spacing w:before="240"/>
      <w:ind w:left="1152" w:hanging="1152"/>
    </w:pPr>
    <w:rPr>
      <w:rFonts w:ascii="Calibri" w:hAnsi="Calibri"/>
      <w:b/>
    </w:rPr>
  </w:style>
  <w:style w:type="table" w:styleId="TableGrid">
    <w:name w:val="Table Grid"/>
    <w:basedOn w:val="TableNormal"/>
    <w:semiHidden/>
    <w:locked/>
    <w:rsid w:val="005E17AB"/>
    <w:pPr>
      <w:spacing w:after="120"/>
      <w:jc w:val="both"/>
    </w:pPr>
    <w:rPr>
      <w:rFonts w:ascii="Calibri" w:hAnsi="Calibri"/>
    </w:rPr>
    <w:tblPr>
      <w:tblInd w:w="0" w:type="dxa"/>
      <w:tblCellMar>
        <w:top w:w="0" w:type="dxa"/>
        <w:left w:w="108" w:type="dxa"/>
        <w:bottom w:w="0" w:type="dxa"/>
        <w:right w:w="108" w:type="dxa"/>
      </w:tblCellMar>
    </w:tblPr>
  </w:style>
  <w:style w:type="paragraph" w:customStyle="1" w:styleId="BulletText">
    <w:name w:val="Bullet Text"/>
    <w:basedOn w:val="Normal"/>
    <w:link w:val="BulletTextChar"/>
    <w:qFormat/>
    <w:rsid w:val="00CB74FE"/>
    <w:pPr>
      <w:numPr>
        <w:numId w:val="4"/>
      </w:numPr>
    </w:pPr>
  </w:style>
  <w:style w:type="paragraph" w:customStyle="1" w:styleId="ChapterHeading">
    <w:name w:val="Chapter Heading"/>
    <w:basedOn w:val="Normal"/>
    <w:next w:val="Heading1"/>
    <w:qFormat/>
    <w:rsid w:val="00C75B91"/>
    <w:pPr>
      <w:keepNext/>
      <w:pBdr>
        <w:bottom w:val="single" w:sz="12" w:space="7" w:color="auto"/>
      </w:pBdr>
      <w:spacing w:before="1440" w:after="360"/>
    </w:pPr>
    <w:rPr>
      <w:rFonts w:ascii="Calibri" w:hAnsi="Calibri"/>
      <w:b/>
      <w:caps/>
      <w:sz w:val="36"/>
      <w:szCs w:val="28"/>
    </w:rPr>
  </w:style>
  <w:style w:type="paragraph" w:customStyle="1" w:styleId="Chartheading">
    <w:name w:val="Chart heading"/>
    <w:basedOn w:val="Tableheading"/>
    <w:next w:val="Normal"/>
    <w:qFormat/>
    <w:rsid w:val="009E5D93"/>
  </w:style>
  <w:style w:type="paragraph" w:styleId="Footer">
    <w:name w:val="footer"/>
    <w:basedOn w:val="Normal"/>
    <w:link w:val="FooterChar"/>
    <w:rsid w:val="00185277"/>
    <w:pPr>
      <w:pBdr>
        <w:top w:val="single" w:sz="6" w:space="1" w:color="auto"/>
      </w:pBdr>
      <w:tabs>
        <w:tab w:val="right" w:pos="7085"/>
      </w:tabs>
    </w:pPr>
    <w:rPr>
      <w:rFonts w:ascii="Calibri" w:hAnsi="Calibri"/>
      <w:sz w:val="20"/>
      <w:szCs w:val="18"/>
    </w:rPr>
  </w:style>
  <w:style w:type="paragraph" w:styleId="Header">
    <w:name w:val="header"/>
    <w:basedOn w:val="Footer"/>
    <w:rsid w:val="00561253"/>
    <w:pPr>
      <w:pBdr>
        <w:top w:val="none" w:sz="0" w:space="0" w:color="auto"/>
      </w:pBdr>
      <w:tabs>
        <w:tab w:val="clear" w:pos="7085"/>
      </w:tabs>
    </w:pPr>
  </w:style>
  <w:style w:type="paragraph" w:customStyle="1" w:styleId="Heading2Notes">
    <w:name w:val="Heading 2 Notes"/>
    <w:basedOn w:val="Heading2"/>
    <w:rsid w:val="003E5374"/>
    <w:pPr>
      <w:tabs>
        <w:tab w:val="left" w:pos="1152"/>
      </w:tabs>
      <w:ind w:left="1152" w:hanging="1152"/>
    </w:pPr>
  </w:style>
  <w:style w:type="paragraph" w:customStyle="1" w:styleId="Notes">
    <w:name w:val="Notes"/>
    <w:basedOn w:val="Normal"/>
    <w:link w:val="NotesChar"/>
    <w:qFormat/>
    <w:rsid w:val="00C24EC3"/>
    <w:pPr>
      <w:tabs>
        <w:tab w:val="left" w:pos="454"/>
      </w:tabs>
      <w:spacing w:after="0"/>
      <w:ind w:left="461" w:hanging="461"/>
    </w:pPr>
    <w:rPr>
      <w:rFonts w:ascii="Calibri" w:hAnsi="Calibri"/>
      <w:i/>
      <w:sz w:val="15"/>
    </w:rPr>
  </w:style>
  <w:style w:type="paragraph" w:customStyle="1" w:styleId="OGBullet">
    <w:name w:val="OGBullet"/>
    <w:basedOn w:val="Normal"/>
    <w:rsid w:val="00397F02"/>
    <w:pPr>
      <w:numPr>
        <w:numId w:val="1"/>
      </w:numPr>
    </w:pPr>
    <w:rPr>
      <w:rFonts w:ascii="Calibri" w:hAnsi="Calibri"/>
      <w:sz w:val="20"/>
      <w:szCs w:val="18"/>
    </w:rPr>
  </w:style>
  <w:style w:type="paragraph" w:customStyle="1" w:styleId="OGHeading1">
    <w:name w:val="OGHeading1"/>
    <w:basedOn w:val="Normal"/>
    <w:link w:val="OGHeading1Char"/>
    <w:rsid w:val="00397F02"/>
    <w:rPr>
      <w:rFonts w:ascii="Calibri" w:hAnsi="Calibri"/>
      <w:b/>
      <w:sz w:val="32"/>
      <w:szCs w:val="28"/>
    </w:rPr>
  </w:style>
  <w:style w:type="paragraph" w:customStyle="1" w:styleId="OGHeading2">
    <w:name w:val="OGHeading2"/>
    <w:basedOn w:val="Normal"/>
    <w:link w:val="OGHeading2Char"/>
    <w:rsid w:val="00397F02"/>
    <w:pPr>
      <w:keepNext/>
      <w:spacing w:before="60"/>
    </w:pPr>
    <w:rPr>
      <w:rFonts w:ascii="Calibri" w:hAnsi="Calibri"/>
      <w:b/>
      <w:sz w:val="28"/>
      <w:szCs w:val="24"/>
    </w:rPr>
  </w:style>
  <w:style w:type="character" w:customStyle="1" w:styleId="OGHeading2Char">
    <w:name w:val="OGHeading2 Char"/>
    <w:link w:val="OGHeading2"/>
    <w:rsid w:val="00A14E0E"/>
    <w:rPr>
      <w:rFonts w:ascii="Calibri" w:hAnsi="Calibri"/>
      <w:b/>
      <w:sz w:val="28"/>
      <w:szCs w:val="24"/>
      <w:lang w:val="en-AU" w:eastAsia="en-US" w:bidi="ar-SA"/>
    </w:rPr>
  </w:style>
  <w:style w:type="paragraph" w:customStyle="1" w:styleId="OGTabHead">
    <w:name w:val="OGTabHead"/>
    <w:basedOn w:val="Normal"/>
    <w:rsid w:val="00882953"/>
    <w:pPr>
      <w:keepNext/>
      <w:keepLines/>
      <w:spacing w:before="30" w:after="30"/>
    </w:pPr>
    <w:rPr>
      <w:rFonts w:ascii="Calibri" w:hAnsi="Calibri"/>
      <w:i/>
      <w:sz w:val="20"/>
      <w:szCs w:val="18"/>
    </w:rPr>
  </w:style>
  <w:style w:type="paragraph" w:customStyle="1" w:styleId="OGTabText">
    <w:name w:val="OGTabText"/>
    <w:basedOn w:val="Normal"/>
    <w:link w:val="OGTabTextChar"/>
    <w:rsid w:val="00882953"/>
    <w:pPr>
      <w:spacing w:before="30" w:after="30"/>
      <w:ind w:left="144"/>
    </w:pPr>
    <w:rPr>
      <w:rFonts w:ascii="Calibri" w:hAnsi="Calibri"/>
      <w:sz w:val="20"/>
      <w:szCs w:val="18"/>
    </w:rPr>
  </w:style>
  <w:style w:type="character" w:customStyle="1" w:styleId="OGTabTextChar">
    <w:name w:val="OGTabText Char"/>
    <w:link w:val="OGTabText"/>
    <w:rsid w:val="00A14E0E"/>
    <w:rPr>
      <w:rFonts w:ascii="Calibri" w:hAnsi="Calibri"/>
      <w:szCs w:val="18"/>
      <w:lang w:val="en-AU" w:eastAsia="en-US" w:bidi="ar-SA"/>
    </w:rPr>
  </w:style>
  <w:style w:type="paragraph" w:customStyle="1" w:styleId="OGText">
    <w:name w:val="OGText"/>
    <w:basedOn w:val="Normal"/>
    <w:link w:val="OGTextChar"/>
    <w:rsid w:val="00882953"/>
    <w:pPr>
      <w:keepNext/>
      <w:spacing w:before="40"/>
    </w:pPr>
    <w:rPr>
      <w:rFonts w:ascii="Calibri" w:hAnsi="Calibri"/>
      <w:sz w:val="20"/>
      <w:szCs w:val="18"/>
    </w:rPr>
  </w:style>
  <w:style w:type="character" w:customStyle="1" w:styleId="OGTextChar">
    <w:name w:val="OGText Char"/>
    <w:link w:val="OGText"/>
    <w:rsid w:val="00A14E0E"/>
    <w:rPr>
      <w:rFonts w:ascii="Calibri" w:hAnsi="Calibri"/>
      <w:szCs w:val="18"/>
      <w:lang w:val="en-AU" w:eastAsia="en-US" w:bidi="ar-SA"/>
    </w:rPr>
  </w:style>
  <w:style w:type="character" w:styleId="PageNumber">
    <w:name w:val="page number"/>
    <w:rsid w:val="00185277"/>
    <w:rPr>
      <w:rFonts w:ascii="Calibri" w:hAnsi="Calibri"/>
      <w:sz w:val="20"/>
    </w:rPr>
  </w:style>
  <w:style w:type="paragraph" w:customStyle="1" w:styleId="Source">
    <w:name w:val="Source"/>
    <w:basedOn w:val="Normal"/>
    <w:next w:val="Normal"/>
    <w:link w:val="SourceChar"/>
    <w:qFormat/>
    <w:locked/>
    <w:rsid w:val="00C24EC3"/>
    <w:rPr>
      <w:rFonts w:ascii="Calibri" w:hAnsi="Calibri"/>
      <w:i/>
      <w:sz w:val="15"/>
    </w:rPr>
  </w:style>
  <w:style w:type="paragraph" w:customStyle="1" w:styleId="TableofContentsheading">
    <w:name w:val="Table of Contents heading"/>
    <w:basedOn w:val="ChapterHeading"/>
    <w:next w:val="Normal"/>
  </w:style>
  <w:style w:type="paragraph" w:customStyle="1" w:styleId="Heading2NotesContd">
    <w:name w:val="Heading 2 Notes Cont'd"/>
    <w:basedOn w:val="Heading2Notes"/>
    <w:rsid w:val="002E5C62"/>
  </w:style>
  <w:style w:type="paragraph" w:customStyle="1" w:styleId="HighlightBoxBullet">
    <w:name w:val="Highlight Box Bullet"/>
    <w:basedOn w:val="Normal"/>
    <w:qFormat/>
    <w:rsid w:val="00100FCC"/>
    <w:pPr>
      <w:numPr>
        <w:numId w:val="2"/>
      </w:numPr>
      <w:shd w:val="pct10" w:color="auto" w:fill="FFFFFF"/>
      <w:tabs>
        <w:tab w:val="clear" w:pos="90"/>
        <w:tab w:val="num" w:pos="360"/>
      </w:tabs>
      <w:ind w:left="360" w:right="43"/>
    </w:pPr>
  </w:style>
  <w:style w:type="paragraph" w:styleId="TOC1">
    <w:name w:val="toc 1"/>
    <w:basedOn w:val="Normal"/>
    <w:next w:val="Normal"/>
    <w:uiPriority w:val="39"/>
    <w:rsid w:val="00DA6569"/>
    <w:pPr>
      <w:tabs>
        <w:tab w:val="right" w:leader="dot" w:pos="7650"/>
      </w:tabs>
      <w:spacing w:before="40" w:after="40"/>
      <w:ind w:right="422"/>
    </w:pPr>
    <w:rPr>
      <w:rFonts w:ascii="Calibri" w:hAnsi="Calibri"/>
      <w:b/>
      <w:noProof/>
      <w:sz w:val="24"/>
    </w:rPr>
  </w:style>
  <w:style w:type="paragraph" w:styleId="TOC2">
    <w:name w:val="toc 2"/>
    <w:basedOn w:val="Normal"/>
    <w:next w:val="Normal"/>
    <w:uiPriority w:val="39"/>
    <w:rsid w:val="00DA6569"/>
    <w:pPr>
      <w:tabs>
        <w:tab w:val="right" w:leader="dot" w:pos="7650"/>
      </w:tabs>
      <w:spacing w:after="0"/>
      <w:ind w:left="288" w:right="422"/>
    </w:pPr>
    <w:rPr>
      <w:rFonts w:ascii="Calibri" w:hAnsi="Calibri"/>
      <w:noProof/>
      <w:sz w:val="20"/>
    </w:rPr>
  </w:style>
  <w:style w:type="paragraph" w:styleId="TOC3">
    <w:name w:val="toc 3"/>
    <w:basedOn w:val="Normal"/>
    <w:next w:val="Normal"/>
    <w:rsid w:val="00C72AF4"/>
    <w:pPr>
      <w:tabs>
        <w:tab w:val="right" w:leader="dot" w:pos="7830"/>
      </w:tabs>
      <w:spacing w:after="0"/>
      <w:ind w:left="432" w:right="422"/>
    </w:pPr>
    <w:rPr>
      <w:rFonts w:ascii="Calibri" w:hAnsi="Calibri"/>
      <w:i/>
      <w:sz w:val="20"/>
    </w:rPr>
  </w:style>
  <w:style w:type="paragraph" w:styleId="TOC4">
    <w:name w:val="toc 4"/>
    <w:basedOn w:val="TOC1"/>
    <w:next w:val="Normal"/>
    <w:rsid w:val="00910D2B"/>
    <w:pPr>
      <w:spacing w:after="0"/>
      <w:ind w:left="1152" w:hanging="1152"/>
    </w:pPr>
    <w:rPr>
      <w:b w:val="0"/>
      <w:sz w:val="20"/>
    </w:rPr>
  </w:style>
  <w:style w:type="paragraph" w:styleId="TOC5">
    <w:name w:val="toc 5"/>
    <w:basedOn w:val="TOC1"/>
    <w:next w:val="Normal"/>
    <w:rsid w:val="00910D2B"/>
    <w:rPr>
      <w:b w:val="0"/>
      <w:sz w:val="20"/>
    </w:rPr>
  </w:style>
  <w:style w:type="paragraph" w:customStyle="1" w:styleId="Tableheadingcontinued">
    <w:name w:val="Table heading continued"/>
    <w:basedOn w:val="Tableheading"/>
    <w:rsid w:val="002E5C62"/>
  </w:style>
  <w:style w:type="paragraph" w:customStyle="1" w:styleId="Tabletextcentred">
    <w:name w:val="Table text centred"/>
    <w:basedOn w:val="Tabletext"/>
    <w:rsid w:val="00784F64"/>
    <w:pPr>
      <w:ind w:left="0" w:firstLine="0"/>
      <w:jc w:val="center"/>
    </w:pPr>
  </w:style>
  <w:style w:type="paragraph" w:customStyle="1" w:styleId="Heading3Numbering">
    <w:name w:val="Heading 3 Numbering"/>
    <w:basedOn w:val="Heading3"/>
    <w:rsid w:val="004C767D"/>
    <w:pPr>
      <w:numPr>
        <w:numId w:val="3"/>
      </w:numPr>
      <w:tabs>
        <w:tab w:val="clear" w:pos="720"/>
        <w:tab w:val="left" w:pos="504"/>
      </w:tabs>
      <w:ind w:left="504" w:hanging="504"/>
    </w:pPr>
  </w:style>
  <w:style w:type="paragraph" w:customStyle="1" w:styleId="Heading5a">
    <w:name w:val="Heading 5a"/>
    <w:basedOn w:val="Heading5"/>
    <w:rsid w:val="00641E21"/>
    <w:pPr>
      <w:tabs>
        <w:tab w:val="clear" w:pos="504"/>
      </w:tabs>
    </w:pPr>
    <w:rPr>
      <w:b w:val="0"/>
      <w:i/>
      <w:sz w:val="21"/>
    </w:rPr>
  </w:style>
  <w:style w:type="character" w:customStyle="1" w:styleId="OGTabBulletChar">
    <w:name w:val="OGTabBullet Char"/>
    <w:link w:val="OGTabBullet"/>
    <w:rsid w:val="00667796"/>
    <w:rPr>
      <w:rFonts w:ascii="Calibri" w:hAnsi="Calibri"/>
      <w:szCs w:val="18"/>
    </w:rPr>
  </w:style>
  <w:style w:type="paragraph" w:customStyle="1" w:styleId="OGTabBullet">
    <w:name w:val="OGTabBullet"/>
    <w:basedOn w:val="OGBullet"/>
    <w:link w:val="OGTabBulletChar"/>
    <w:rsid w:val="00667796"/>
    <w:pPr>
      <w:tabs>
        <w:tab w:val="clear" w:pos="360"/>
        <w:tab w:val="left" w:pos="604"/>
      </w:tabs>
      <w:spacing w:before="30" w:after="30"/>
      <w:ind w:left="605"/>
    </w:pPr>
    <w:rPr>
      <w:lang w:eastAsia="en-AU"/>
    </w:rPr>
  </w:style>
  <w:style w:type="paragraph" w:customStyle="1" w:styleId="Heading2NotesQtrly">
    <w:name w:val="Heading 2 Notes Qtrly"/>
    <w:basedOn w:val="Heading2Notes"/>
    <w:rsid w:val="005142C4"/>
  </w:style>
  <w:style w:type="paragraph" w:customStyle="1" w:styleId="OGUoM">
    <w:name w:val="OGUoM"/>
    <w:basedOn w:val="Tabletextcentred"/>
    <w:rsid w:val="00882953"/>
    <w:pPr>
      <w:spacing w:before="30" w:after="30"/>
    </w:pPr>
  </w:style>
  <w:style w:type="paragraph" w:customStyle="1" w:styleId="Tabletextheadingcentred">
    <w:name w:val="Table text heading centred"/>
    <w:basedOn w:val="Tabletextheading"/>
    <w:rsid w:val="000B1B53"/>
    <w:pPr>
      <w:jc w:val="center"/>
    </w:pPr>
  </w:style>
  <w:style w:type="paragraph" w:customStyle="1" w:styleId="DashText">
    <w:name w:val="Dash Text"/>
    <w:basedOn w:val="Normal"/>
    <w:qFormat/>
    <w:rsid w:val="00CB74FE"/>
    <w:pPr>
      <w:numPr>
        <w:ilvl w:val="1"/>
        <w:numId w:val="4"/>
      </w:numPr>
    </w:pPr>
  </w:style>
  <w:style w:type="paragraph" w:customStyle="1" w:styleId="OGTableofFigures">
    <w:name w:val="OGTable of Figures"/>
    <w:basedOn w:val="TableofFigures"/>
    <w:rsid w:val="00882953"/>
    <w:pPr>
      <w:spacing w:before="30" w:after="30"/>
    </w:pPr>
  </w:style>
  <w:style w:type="paragraph" w:customStyle="1" w:styleId="NotesIndent">
    <w:name w:val="NotesIndent"/>
    <w:basedOn w:val="Notes"/>
    <w:rsid w:val="009331F3"/>
    <w:pPr>
      <w:ind w:left="915"/>
    </w:pPr>
  </w:style>
  <w:style w:type="paragraph" w:customStyle="1" w:styleId="NotesDash">
    <w:name w:val="NotesDash"/>
    <w:basedOn w:val="NotesIndent"/>
    <w:rsid w:val="0086685D"/>
    <w:pPr>
      <w:numPr>
        <w:numId w:val="5"/>
      </w:numPr>
      <w:tabs>
        <w:tab w:val="clear" w:pos="454"/>
      </w:tabs>
    </w:pPr>
  </w:style>
  <w:style w:type="paragraph" w:customStyle="1" w:styleId="VersionTableText">
    <w:name w:val="VersionTableText"/>
    <w:basedOn w:val="Normal"/>
    <w:rsid w:val="00BF2190"/>
    <w:pPr>
      <w:spacing w:after="0"/>
      <w:jc w:val="center"/>
    </w:pPr>
    <w:rPr>
      <w:rFonts w:ascii="Calibri" w:hAnsi="Calibri"/>
    </w:rPr>
  </w:style>
  <w:style w:type="paragraph" w:customStyle="1" w:styleId="VAGOText">
    <w:name w:val="VAGOText"/>
    <w:basedOn w:val="Normal"/>
    <w:semiHidden/>
    <w:rsid w:val="00C14A3C"/>
    <w:pPr>
      <w:spacing w:before="120"/>
    </w:pPr>
    <w:rPr>
      <w:rFonts w:ascii="Arial" w:hAnsi="Arial" w:cs="Arial"/>
      <w:sz w:val="16"/>
      <w:szCs w:val="16"/>
    </w:rPr>
  </w:style>
  <w:style w:type="paragraph" w:customStyle="1" w:styleId="VAGOHeading2">
    <w:name w:val="VAGOHeading2"/>
    <w:basedOn w:val="Normal"/>
    <w:semiHidden/>
    <w:rsid w:val="00853954"/>
    <w:rPr>
      <w:rFonts w:ascii="Arial" w:hAnsi="Arial" w:cs="Arial"/>
      <w:b/>
      <w:sz w:val="16"/>
      <w:szCs w:val="16"/>
    </w:rPr>
  </w:style>
  <w:style w:type="paragraph" w:customStyle="1" w:styleId="VAGOHeading1">
    <w:name w:val="VAGOHeading1"/>
    <w:basedOn w:val="Normal"/>
    <w:semiHidden/>
    <w:rsid w:val="00B72182"/>
    <w:pPr>
      <w:jc w:val="center"/>
    </w:pPr>
    <w:rPr>
      <w:rFonts w:ascii="Arial" w:hAnsi="Arial" w:cs="Arial"/>
      <w:b/>
      <w:sz w:val="17"/>
      <w:szCs w:val="17"/>
    </w:rPr>
  </w:style>
  <w:style w:type="paragraph" w:customStyle="1" w:styleId="VAGOHeading3">
    <w:name w:val="VAGOHeading3"/>
    <w:basedOn w:val="VAGOHeading2"/>
    <w:semiHidden/>
    <w:rsid w:val="00853954"/>
    <w:rPr>
      <w:b w:val="0"/>
      <w:i/>
    </w:rPr>
  </w:style>
  <w:style w:type="paragraph" w:customStyle="1" w:styleId="VAGOBullet">
    <w:name w:val="VAGOBullet"/>
    <w:basedOn w:val="VAGOText"/>
    <w:semiHidden/>
    <w:rsid w:val="00C14A3C"/>
    <w:pPr>
      <w:numPr>
        <w:numId w:val="6"/>
      </w:numPr>
      <w:ind w:right="-51"/>
    </w:pPr>
    <w:rPr>
      <w:iCs/>
    </w:rPr>
  </w:style>
  <w:style w:type="paragraph" w:customStyle="1" w:styleId="Tabletextheadingleft">
    <w:name w:val="Table text heading left"/>
    <w:basedOn w:val="Tabletextheading"/>
    <w:rsid w:val="00CF5FE1"/>
    <w:pPr>
      <w:jc w:val="left"/>
    </w:pPr>
  </w:style>
  <w:style w:type="paragraph" w:customStyle="1" w:styleId="VersionTableHeading">
    <w:name w:val="VersionTableHeading"/>
    <w:basedOn w:val="Normal"/>
    <w:rsid w:val="000221B3"/>
    <w:pPr>
      <w:spacing w:after="0"/>
      <w:jc w:val="center"/>
    </w:pPr>
    <w:rPr>
      <w:rFonts w:ascii="Calibri" w:hAnsi="Calibri"/>
      <w:b/>
    </w:rPr>
  </w:style>
  <w:style w:type="paragraph" w:styleId="NormalIndent">
    <w:name w:val="Normal Indent"/>
    <w:basedOn w:val="Normal"/>
    <w:semiHidden/>
    <w:locked/>
    <w:rsid w:val="00A831CC"/>
    <w:pPr>
      <w:ind w:left="360"/>
    </w:pPr>
  </w:style>
  <w:style w:type="paragraph" w:customStyle="1" w:styleId="Tabletextindent">
    <w:name w:val="Table text indent"/>
    <w:basedOn w:val="Tabletext"/>
    <w:rsid w:val="00E24DAF"/>
    <w:pPr>
      <w:ind w:left="360" w:firstLine="0"/>
    </w:pPr>
  </w:style>
  <w:style w:type="paragraph" w:customStyle="1" w:styleId="Tabletextindent2">
    <w:name w:val="Table text indent 2"/>
    <w:basedOn w:val="Tabletextindent"/>
    <w:rsid w:val="00E24DAF"/>
    <w:pPr>
      <w:ind w:left="720"/>
    </w:pPr>
  </w:style>
  <w:style w:type="paragraph" w:customStyle="1" w:styleId="Heading3NumberingBP4">
    <w:name w:val="Heading 3 Numbering BP4"/>
    <w:basedOn w:val="Heading3Numbering"/>
    <w:semiHidden/>
    <w:rsid w:val="0046648A"/>
  </w:style>
  <w:style w:type="paragraph" w:customStyle="1" w:styleId="Chartpara">
    <w:name w:val="Chart para"/>
    <w:basedOn w:val="Normal"/>
    <w:semiHidden/>
    <w:rsid w:val="00342ECD"/>
    <w:pPr>
      <w:spacing w:after="0"/>
    </w:pPr>
  </w:style>
  <w:style w:type="paragraph" w:customStyle="1" w:styleId="OGTabColCentred">
    <w:name w:val="OGTabColCentred"/>
    <w:basedOn w:val="OGUoM"/>
    <w:rsid w:val="00061F50"/>
    <w:rPr>
      <w:b/>
      <w:lang w:eastAsia="en-AU"/>
    </w:rPr>
  </w:style>
  <w:style w:type="paragraph" w:customStyle="1" w:styleId="OGTabColRight">
    <w:name w:val="OGTabColRight"/>
    <w:basedOn w:val="OGTableofFigures"/>
    <w:rsid w:val="00A14E0E"/>
    <w:rPr>
      <w:b/>
    </w:rPr>
  </w:style>
  <w:style w:type="paragraph" w:customStyle="1" w:styleId="OGTabColLeft">
    <w:name w:val="OGTabColLeft"/>
    <w:basedOn w:val="OGTabColRight"/>
    <w:rsid w:val="00A14E0E"/>
    <w:pPr>
      <w:jc w:val="left"/>
    </w:pPr>
    <w:rPr>
      <w:lang w:eastAsia="en-AU"/>
    </w:rPr>
  </w:style>
  <w:style w:type="paragraph" w:customStyle="1" w:styleId="FrontPage">
    <w:name w:val="Front Page"/>
    <w:basedOn w:val="Normal"/>
    <w:semiHidden/>
    <w:rsid w:val="00867B50"/>
    <w:pPr>
      <w:jc w:val="center"/>
    </w:pPr>
    <w:rPr>
      <w:rFonts w:ascii="Calibri" w:hAnsi="Calibri"/>
      <w:b/>
      <w:sz w:val="52"/>
      <w:szCs w:val="52"/>
    </w:rPr>
  </w:style>
  <w:style w:type="paragraph" w:customStyle="1" w:styleId="FrontPage2">
    <w:name w:val="Front Page 2"/>
    <w:basedOn w:val="FrontPage"/>
    <w:semiHidden/>
    <w:rsid w:val="00867B50"/>
    <w:pPr>
      <w:pBdr>
        <w:bottom w:val="single" w:sz="12" w:space="1" w:color="auto"/>
      </w:pBdr>
    </w:pPr>
  </w:style>
  <w:style w:type="paragraph" w:customStyle="1" w:styleId="FrontPage3">
    <w:name w:val="Front Page 3"/>
    <w:basedOn w:val="Normal"/>
    <w:semiHidden/>
    <w:rsid w:val="00867B50"/>
    <w:pPr>
      <w:jc w:val="center"/>
    </w:pPr>
    <w:rPr>
      <w:rFonts w:ascii="Calibri" w:hAnsi="Calibri"/>
      <w:sz w:val="28"/>
      <w:szCs w:val="28"/>
    </w:rPr>
  </w:style>
  <w:style w:type="paragraph" w:customStyle="1" w:styleId="FrontPageMin">
    <w:name w:val="Front Page Min"/>
    <w:basedOn w:val="Normal"/>
    <w:semiHidden/>
    <w:rsid w:val="00867B50"/>
    <w:pPr>
      <w:jc w:val="center"/>
    </w:pPr>
    <w:rPr>
      <w:rFonts w:ascii="Calibri" w:hAnsi="Calibri"/>
      <w:sz w:val="36"/>
      <w:szCs w:val="36"/>
    </w:rPr>
  </w:style>
  <w:style w:type="paragraph" w:customStyle="1" w:styleId="FrontPageHon">
    <w:name w:val="Front Page Hon"/>
    <w:basedOn w:val="Normal"/>
    <w:semiHidden/>
    <w:rsid w:val="00867B50"/>
    <w:pPr>
      <w:jc w:val="center"/>
    </w:pPr>
    <w:rPr>
      <w:rFonts w:ascii="Calibri" w:hAnsi="Calibri"/>
      <w:sz w:val="30"/>
      <w:szCs w:val="30"/>
    </w:rPr>
  </w:style>
  <w:style w:type="paragraph" w:customStyle="1" w:styleId="FrontPageBP">
    <w:name w:val="Front Page BP"/>
    <w:basedOn w:val="Normal"/>
    <w:semiHidden/>
    <w:rsid w:val="00867B50"/>
    <w:pPr>
      <w:jc w:val="center"/>
    </w:pPr>
    <w:rPr>
      <w:rFonts w:ascii="Calibri" w:hAnsi="Calibri"/>
      <w:b/>
      <w:sz w:val="32"/>
      <w:szCs w:val="32"/>
    </w:rPr>
  </w:style>
  <w:style w:type="paragraph" w:styleId="Index1">
    <w:name w:val="index 1"/>
    <w:basedOn w:val="Normal"/>
    <w:next w:val="Normal"/>
    <w:autoRedefine/>
    <w:uiPriority w:val="99"/>
    <w:semiHidden/>
    <w:rsid w:val="001C1EAD"/>
    <w:pPr>
      <w:spacing w:after="0"/>
      <w:ind w:left="220" w:hanging="220"/>
    </w:pPr>
    <w:rPr>
      <w:rFonts w:asciiTheme="minorHAnsi" w:hAnsiTheme="minorHAnsi" w:cstheme="minorHAnsi"/>
      <w:sz w:val="18"/>
      <w:szCs w:val="18"/>
    </w:rPr>
  </w:style>
  <w:style w:type="paragraph" w:customStyle="1" w:styleId="OGNotes">
    <w:name w:val="OGNotes"/>
    <w:basedOn w:val="NotesIndent"/>
    <w:link w:val="OGNotesChar"/>
    <w:rsid w:val="00C24EC3"/>
    <w:pPr>
      <w:tabs>
        <w:tab w:val="clear" w:pos="454"/>
      </w:tabs>
      <w:spacing w:after="60"/>
      <w:ind w:left="360" w:right="115" w:firstLine="0"/>
    </w:pPr>
    <w:rPr>
      <w:lang w:eastAsia="en-AU"/>
    </w:rPr>
  </w:style>
  <w:style w:type="paragraph" w:customStyle="1" w:styleId="OGNotesIndent">
    <w:name w:val="OGNotesIndent"/>
    <w:basedOn w:val="OGNotes"/>
    <w:rsid w:val="001C0D0F"/>
    <w:pPr>
      <w:ind w:left="720" w:hanging="360"/>
    </w:pPr>
  </w:style>
  <w:style w:type="paragraph" w:styleId="Index2">
    <w:name w:val="index 2"/>
    <w:basedOn w:val="Normal"/>
    <w:next w:val="Normal"/>
    <w:autoRedefine/>
    <w:uiPriority w:val="99"/>
    <w:semiHidden/>
    <w:rsid w:val="001C1EAD"/>
    <w:pPr>
      <w:spacing w:after="0"/>
      <w:ind w:left="440" w:hanging="220"/>
    </w:pPr>
    <w:rPr>
      <w:rFonts w:asciiTheme="minorHAnsi" w:hAnsiTheme="minorHAnsi" w:cstheme="minorHAnsi"/>
      <w:sz w:val="18"/>
      <w:szCs w:val="18"/>
    </w:rPr>
  </w:style>
  <w:style w:type="paragraph" w:styleId="IndexHeading">
    <w:name w:val="index heading"/>
    <w:basedOn w:val="Normal"/>
    <w:next w:val="Index1"/>
    <w:uiPriority w:val="99"/>
    <w:semiHidden/>
    <w:rsid w:val="001C1EAD"/>
    <w:pPr>
      <w:spacing w:before="240"/>
      <w:jc w:val="center"/>
    </w:pPr>
    <w:rPr>
      <w:rFonts w:asciiTheme="minorHAnsi" w:hAnsiTheme="minorHAnsi" w:cstheme="minorHAnsi"/>
      <w:b/>
      <w:bCs/>
      <w:sz w:val="26"/>
      <w:szCs w:val="26"/>
    </w:rPr>
  </w:style>
  <w:style w:type="paragraph" w:customStyle="1" w:styleId="HighlightBoxHeading">
    <w:name w:val="Highlight Box Heading"/>
    <w:basedOn w:val="Heading5a"/>
    <w:qFormat/>
    <w:rsid w:val="001C1EAD"/>
    <w:pPr>
      <w:shd w:val="clear" w:color="auto" w:fill="E6E6E6"/>
    </w:pPr>
  </w:style>
  <w:style w:type="paragraph" w:customStyle="1" w:styleId="HighlightBoxText">
    <w:name w:val="Highlight Box Text"/>
    <w:basedOn w:val="HighlightBoxBullet"/>
    <w:semiHidden/>
    <w:rsid w:val="00C24EC3"/>
    <w:pPr>
      <w:numPr>
        <w:numId w:val="0"/>
      </w:numPr>
    </w:pPr>
  </w:style>
  <w:style w:type="paragraph" w:customStyle="1" w:styleId="TableofContentscontinued">
    <w:name w:val="Table of Contents continued"/>
    <w:basedOn w:val="Normal"/>
    <w:rsid w:val="000221B3"/>
    <w:pPr>
      <w:keepNext/>
      <w:tabs>
        <w:tab w:val="left" w:pos="1152"/>
      </w:tabs>
      <w:spacing w:before="240"/>
      <w:ind w:left="1152" w:hanging="1152"/>
      <w:outlineLvl w:val="1"/>
    </w:pPr>
    <w:rPr>
      <w:rFonts w:ascii="Calibri" w:hAnsi="Calibri"/>
      <w:b/>
      <w:kern w:val="28"/>
      <w:sz w:val="26"/>
      <w:szCs w:val="22"/>
    </w:rPr>
  </w:style>
  <w:style w:type="character" w:customStyle="1" w:styleId="millionChar">
    <w:name w:val="$million Char"/>
    <w:link w:val="million"/>
    <w:rsid w:val="00571E1E"/>
    <w:rPr>
      <w:rFonts w:ascii="Calibri" w:hAnsi="Calibri"/>
      <w:i/>
      <w:sz w:val="18"/>
      <w:szCs w:val="18"/>
      <w:lang w:val="en-AU" w:eastAsia="en-US" w:bidi="ar-SA"/>
    </w:rPr>
  </w:style>
  <w:style w:type="character" w:customStyle="1" w:styleId="TabletextheadingChar">
    <w:name w:val="Table text heading Char"/>
    <w:link w:val="Tabletextheading"/>
    <w:locked/>
    <w:rsid w:val="00571E1E"/>
    <w:rPr>
      <w:rFonts w:ascii="Calibri" w:hAnsi="Calibri"/>
      <w:i/>
      <w:szCs w:val="18"/>
      <w:lang w:val="en-AU" w:eastAsia="en-US" w:bidi="ar-SA"/>
    </w:rPr>
  </w:style>
  <w:style w:type="character" w:customStyle="1" w:styleId="SourceChar">
    <w:name w:val="Source Char"/>
    <w:link w:val="Source"/>
    <w:locked/>
    <w:rsid w:val="00571E1E"/>
    <w:rPr>
      <w:rFonts w:ascii="Calibri" w:hAnsi="Calibri"/>
      <w:i/>
      <w:sz w:val="15"/>
      <w:lang w:val="en-AU" w:eastAsia="en-US" w:bidi="ar-SA"/>
    </w:rPr>
  </w:style>
  <w:style w:type="character" w:customStyle="1" w:styleId="Heading2Char">
    <w:name w:val="Heading 2 Char"/>
    <w:link w:val="Heading2"/>
    <w:rsid w:val="00C45CC5"/>
    <w:rPr>
      <w:rFonts w:ascii="Calibri" w:hAnsi="Calibri"/>
      <w:b/>
      <w:kern w:val="28"/>
      <w:sz w:val="26"/>
      <w:szCs w:val="22"/>
      <w:lang w:eastAsia="en-US"/>
    </w:rPr>
  </w:style>
  <w:style w:type="paragraph" w:customStyle="1" w:styleId="BERCReporting">
    <w:name w:val="BERCReporting"/>
    <w:rsid w:val="00C45CC5"/>
    <w:pPr>
      <w:spacing w:line="280" w:lineRule="exact"/>
    </w:pPr>
    <w:rPr>
      <w:rFonts w:ascii="Calibri" w:eastAsia="Calibri" w:hAnsi="Calibri" w:cs="Calibri"/>
      <w:sz w:val="19"/>
      <w:szCs w:val="19"/>
      <w:lang w:eastAsia="en-US"/>
    </w:rPr>
  </w:style>
  <w:style w:type="paragraph" w:styleId="BalloonText">
    <w:name w:val="Balloon Text"/>
    <w:basedOn w:val="Normal"/>
    <w:link w:val="BalloonTextChar"/>
    <w:locked/>
    <w:rsid w:val="00C45CC5"/>
    <w:pPr>
      <w:spacing w:after="0"/>
    </w:pPr>
    <w:rPr>
      <w:rFonts w:ascii="Tahoma" w:hAnsi="Tahoma" w:cs="Tahoma"/>
      <w:sz w:val="16"/>
      <w:szCs w:val="16"/>
    </w:rPr>
  </w:style>
  <w:style w:type="character" w:customStyle="1" w:styleId="BalloonTextChar">
    <w:name w:val="Balloon Text Char"/>
    <w:basedOn w:val="DefaultParagraphFont"/>
    <w:link w:val="BalloonText"/>
    <w:rsid w:val="00C45CC5"/>
    <w:rPr>
      <w:rFonts w:ascii="Tahoma" w:hAnsi="Tahoma" w:cs="Tahoma"/>
      <w:sz w:val="16"/>
      <w:szCs w:val="16"/>
      <w:lang w:eastAsia="en-US"/>
    </w:rPr>
  </w:style>
  <w:style w:type="character" w:customStyle="1" w:styleId="NotesChar">
    <w:name w:val="Notes Char"/>
    <w:link w:val="Notes"/>
    <w:rsid w:val="00C45CC5"/>
    <w:rPr>
      <w:rFonts w:ascii="Calibri" w:hAnsi="Calibri"/>
      <w:i/>
      <w:sz w:val="15"/>
      <w:lang w:eastAsia="en-US"/>
    </w:rPr>
  </w:style>
  <w:style w:type="character" w:customStyle="1" w:styleId="Heading5Char">
    <w:name w:val="Heading 5 Char"/>
    <w:link w:val="Heading5"/>
    <w:rsid w:val="00C45CC5"/>
    <w:rPr>
      <w:rFonts w:ascii="Calibri" w:hAnsi="Calibri"/>
      <w:b/>
      <w:sz w:val="22"/>
      <w:lang w:eastAsia="en-US"/>
    </w:rPr>
  </w:style>
  <w:style w:type="paragraph" w:styleId="ListParagraph">
    <w:name w:val="List Paragraph"/>
    <w:basedOn w:val="Normal"/>
    <w:uiPriority w:val="34"/>
    <w:qFormat/>
    <w:rsid w:val="00C45CC5"/>
    <w:pPr>
      <w:ind w:left="720"/>
      <w:contextualSpacing/>
    </w:pPr>
  </w:style>
  <w:style w:type="character" w:customStyle="1" w:styleId="TableheadingChar">
    <w:name w:val="Table heading Char"/>
    <w:link w:val="Tableheading"/>
    <w:rsid w:val="00C45CC5"/>
    <w:rPr>
      <w:rFonts w:ascii="Calibri" w:hAnsi="Calibri"/>
      <w:b/>
      <w:sz w:val="22"/>
      <w:lang w:eastAsia="en-US"/>
    </w:rPr>
  </w:style>
  <w:style w:type="character" w:styleId="Hyperlink">
    <w:name w:val="Hyperlink"/>
    <w:uiPriority w:val="99"/>
    <w:unhideWhenUsed/>
    <w:locked/>
    <w:rsid w:val="00C45CC5"/>
    <w:rPr>
      <w:color w:val="0000FF"/>
      <w:u w:val="single"/>
    </w:rPr>
  </w:style>
  <w:style w:type="character" w:styleId="FollowedHyperlink">
    <w:name w:val="FollowedHyperlink"/>
    <w:uiPriority w:val="99"/>
    <w:unhideWhenUsed/>
    <w:locked/>
    <w:rsid w:val="00C45CC5"/>
    <w:rPr>
      <w:color w:val="800080"/>
      <w:u w:val="single"/>
    </w:rPr>
  </w:style>
  <w:style w:type="paragraph" w:customStyle="1" w:styleId="Tabletextnoindent">
    <w:name w:val="Table text no indent"/>
    <w:basedOn w:val="Tabletext"/>
    <w:qFormat/>
    <w:rsid w:val="00C45CC5"/>
    <w:pPr>
      <w:spacing w:after="80"/>
      <w:ind w:left="0" w:firstLine="0"/>
    </w:pPr>
  </w:style>
  <w:style w:type="character" w:customStyle="1" w:styleId="BulletTextChar">
    <w:name w:val="Bullet Text Char"/>
    <w:link w:val="BulletText"/>
    <w:rsid w:val="00C45CC5"/>
    <w:rPr>
      <w:rFonts w:ascii="Garamond" w:hAnsi="Garamond"/>
      <w:sz w:val="22"/>
      <w:lang w:eastAsia="en-US"/>
    </w:rPr>
  </w:style>
  <w:style w:type="paragraph" w:customStyle="1" w:styleId="TabletextheadingLeft0">
    <w:name w:val="Table text heading Left"/>
    <w:basedOn w:val="Tabletextheading"/>
    <w:rsid w:val="00C45CC5"/>
    <w:pPr>
      <w:jc w:val="left"/>
    </w:pPr>
  </w:style>
  <w:style w:type="paragraph" w:customStyle="1" w:styleId="DSETableTitle">
    <w:name w:val="DSE_TableTitle"/>
    <w:rsid w:val="00C45CC5"/>
    <w:pPr>
      <w:spacing w:after="120" w:line="220" w:lineRule="atLeast"/>
    </w:pPr>
    <w:rPr>
      <w:rFonts w:ascii="Arial" w:hAnsi="Arial" w:cs="Arial"/>
      <w:b/>
      <w:color w:val="404040"/>
      <w:sz w:val="18"/>
      <w:szCs w:val="18"/>
      <w:lang w:eastAsia="en-US"/>
    </w:rPr>
  </w:style>
  <w:style w:type="paragraph" w:customStyle="1" w:styleId="CharCharCharChar">
    <w:name w:val="Char Char Char Char"/>
    <w:basedOn w:val="Normal"/>
    <w:rsid w:val="00C45CC5"/>
    <w:pPr>
      <w:spacing w:after="160" w:line="240" w:lineRule="exact"/>
    </w:pPr>
    <w:rPr>
      <w:rFonts w:ascii="Tahoma" w:hAnsi="Tahoma" w:cs="Tahoma"/>
      <w:sz w:val="20"/>
      <w:lang w:val="en-US"/>
    </w:rPr>
  </w:style>
  <w:style w:type="table" w:styleId="MediumShading1">
    <w:name w:val="Medium Shading 1"/>
    <w:basedOn w:val="TableNormal"/>
    <w:uiPriority w:val="63"/>
    <w:rsid w:val="00C45CC5"/>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Tabletextbullet">
    <w:name w:val="Table text bullet"/>
    <w:basedOn w:val="Tabletextnoindent"/>
    <w:qFormat/>
    <w:rsid w:val="00C45CC5"/>
    <w:pPr>
      <w:keepNext/>
      <w:numPr>
        <w:numId w:val="7"/>
      </w:numPr>
      <w:ind w:left="388"/>
      <w:outlineLvl w:val="1"/>
    </w:pPr>
  </w:style>
  <w:style w:type="paragraph" w:customStyle="1" w:styleId="xl63">
    <w:name w:val="xl63"/>
    <w:basedOn w:val="Normal"/>
    <w:rsid w:val="00C45CC5"/>
    <w:pPr>
      <w:spacing w:before="100" w:beforeAutospacing="1" w:after="100" w:afterAutospacing="1"/>
    </w:pPr>
    <w:rPr>
      <w:rFonts w:ascii="Times New Roman" w:hAnsi="Times New Roman"/>
      <w:b/>
      <w:bCs/>
      <w:sz w:val="28"/>
      <w:szCs w:val="28"/>
      <w:lang w:eastAsia="en-AU"/>
    </w:rPr>
  </w:style>
  <w:style w:type="paragraph" w:customStyle="1" w:styleId="xl64">
    <w:name w:val="xl64"/>
    <w:basedOn w:val="Normal"/>
    <w:rsid w:val="00C45CC5"/>
    <w:pPr>
      <w:pBdr>
        <w:top w:val="single" w:sz="4" w:space="0" w:color="000000"/>
        <w:left w:val="single" w:sz="4" w:space="0" w:color="000000"/>
        <w:right w:val="single" w:sz="4" w:space="0" w:color="000000"/>
      </w:pBdr>
      <w:shd w:val="clear" w:color="000000" w:fill="000000"/>
      <w:spacing w:before="100" w:beforeAutospacing="1" w:after="100" w:afterAutospacing="1"/>
    </w:pPr>
    <w:rPr>
      <w:rFonts w:ascii="Times New Roman" w:hAnsi="Times New Roman"/>
      <w:color w:val="FFFFFF"/>
      <w:sz w:val="24"/>
      <w:szCs w:val="24"/>
      <w:lang w:eastAsia="en-AU"/>
    </w:rPr>
  </w:style>
  <w:style w:type="paragraph" w:customStyle="1" w:styleId="xl65">
    <w:name w:val="xl65"/>
    <w:basedOn w:val="Normal"/>
    <w:rsid w:val="00C45CC5"/>
    <w:pPr>
      <w:pBdr>
        <w:top w:val="single" w:sz="4" w:space="0" w:color="000000"/>
        <w:right w:val="single" w:sz="4" w:space="0" w:color="000000"/>
      </w:pBdr>
      <w:shd w:val="clear" w:color="000000" w:fill="000000"/>
      <w:spacing w:before="100" w:beforeAutospacing="1" w:after="100" w:afterAutospacing="1"/>
      <w:jc w:val="right"/>
    </w:pPr>
    <w:rPr>
      <w:rFonts w:ascii="Times New Roman" w:hAnsi="Times New Roman"/>
      <w:color w:val="FFFFFF"/>
      <w:sz w:val="24"/>
      <w:szCs w:val="24"/>
      <w:lang w:eastAsia="en-AU"/>
    </w:rPr>
  </w:style>
  <w:style w:type="paragraph" w:customStyle="1" w:styleId="xl66">
    <w:name w:val="xl66"/>
    <w:basedOn w:val="Normal"/>
    <w:rsid w:val="00C45CC5"/>
    <w:pPr>
      <w:pBdr>
        <w:top w:val="single" w:sz="4" w:space="0" w:color="000000"/>
        <w:right w:val="single" w:sz="4" w:space="0" w:color="000000"/>
      </w:pBdr>
      <w:shd w:val="clear" w:color="000000" w:fill="000000"/>
      <w:spacing w:before="100" w:beforeAutospacing="1" w:after="100" w:afterAutospacing="1"/>
      <w:jc w:val="right"/>
    </w:pPr>
    <w:rPr>
      <w:rFonts w:ascii="Times New Roman" w:hAnsi="Times New Roman"/>
      <w:color w:val="EEECE1"/>
      <w:sz w:val="24"/>
      <w:szCs w:val="24"/>
      <w:lang w:eastAsia="en-AU"/>
    </w:rPr>
  </w:style>
  <w:style w:type="paragraph" w:customStyle="1" w:styleId="xl67">
    <w:name w:val="xl67"/>
    <w:basedOn w:val="Normal"/>
    <w:rsid w:val="00C45CC5"/>
    <w:pPr>
      <w:pBdr>
        <w:left w:val="single" w:sz="4" w:space="0" w:color="000000"/>
        <w:right w:val="single" w:sz="4" w:space="0" w:color="000000"/>
      </w:pBdr>
      <w:shd w:val="clear" w:color="000000" w:fill="000000"/>
      <w:spacing w:before="100" w:beforeAutospacing="1" w:after="100" w:afterAutospacing="1"/>
    </w:pPr>
    <w:rPr>
      <w:rFonts w:ascii="Times New Roman" w:hAnsi="Times New Roman"/>
      <w:i/>
      <w:iCs/>
      <w:color w:val="FFFFFF"/>
      <w:sz w:val="24"/>
      <w:szCs w:val="24"/>
      <w:lang w:eastAsia="en-AU"/>
    </w:rPr>
  </w:style>
  <w:style w:type="paragraph" w:customStyle="1" w:styleId="xl68">
    <w:name w:val="xl68"/>
    <w:basedOn w:val="Normal"/>
    <w:rsid w:val="00C45CC5"/>
    <w:pPr>
      <w:pBdr>
        <w:right w:val="single" w:sz="4" w:space="0" w:color="000000"/>
      </w:pBdr>
      <w:shd w:val="clear" w:color="000000" w:fill="000000"/>
      <w:spacing w:before="100" w:beforeAutospacing="1" w:after="100" w:afterAutospacing="1"/>
      <w:jc w:val="right"/>
    </w:pPr>
    <w:rPr>
      <w:rFonts w:ascii="Times New Roman" w:hAnsi="Times New Roman"/>
      <w:color w:val="FFFFFF"/>
      <w:sz w:val="24"/>
      <w:szCs w:val="24"/>
      <w:lang w:eastAsia="en-AU"/>
    </w:rPr>
  </w:style>
  <w:style w:type="paragraph" w:customStyle="1" w:styleId="xl69">
    <w:name w:val="xl69"/>
    <w:basedOn w:val="Normal"/>
    <w:rsid w:val="00C45CC5"/>
    <w:pPr>
      <w:pBdr>
        <w:left w:val="single" w:sz="4" w:space="0" w:color="000000"/>
        <w:bottom w:val="single" w:sz="4" w:space="0" w:color="000000"/>
        <w:right w:val="single" w:sz="4" w:space="0" w:color="000000"/>
      </w:pBdr>
      <w:shd w:val="clear" w:color="000000" w:fill="000000"/>
      <w:spacing w:before="100" w:beforeAutospacing="1" w:after="100" w:afterAutospacing="1"/>
    </w:pPr>
    <w:rPr>
      <w:rFonts w:ascii="Times New Roman" w:hAnsi="Times New Roman"/>
      <w:sz w:val="24"/>
      <w:szCs w:val="24"/>
      <w:lang w:eastAsia="en-AU"/>
    </w:rPr>
  </w:style>
  <w:style w:type="paragraph" w:customStyle="1" w:styleId="xl70">
    <w:name w:val="xl70"/>
    <w:basedOn w:val="Normal"/>
    <w:rsid w:val="00C45CC5"/>
    <w:pPr>
      <w:pBdr>
        <w:bottom w:val="single" w:sz="4" w:space="0" w:color="000000"/>
        <w:right w:val="single" w:sz="4" w:space="0" w:color="000000"/>
      </w:pBdr>
      <w:shd w:val="clear" w:color="000000" w:fill="000000"/>
      <w:spacing w:before="100" w:beforeAutospacing="1" w:after="100" w:afterAutospacing="1"/>
    </w:pPr>
    <w:rPr>
      <w:rFonts w:ascii="Times New Roman" w:hAnsi="Times New Roman"/>
      <w:sz w:val="24"/>
      <w:szCs w:val="24"/>
      <w:lang w:eastAsia="en-AU"/>
    </w:rPr>
  </w:style>
  <w:style w:type="paragraph" w:customStyle="1" w:styleId="xl71">
    <w:name w:val="xl71"/>
    <w:basedOn w:val="Normal"/>
    <w:rsid w:val="00C45CC5"/>
    <w:pPr>
      <w:pBdr>
        <w:bottom w:val="single" w:sz="4" w:space="0" w:color="000000"/>
        <w:right w:val="single" w:sz="4" w:space="0" w:color="000000"/>
      </w:pBdr>
      <w:shd w:val="clear" w:color="000000" w:fill="000000"/>
      <w:spacing w:before="100" w:beforeAutospacing="1" w:after="100" w:afterAutospacing="1"/>
      <w:jc w:val="right"/>
    </w:pPr>
    <w:rPr>
      <w:rFonts w:ascii="Times New Roman" w:hAnsi="Times New Roman"/>
      <w:color w:val="FFFFFF"/>
      <w:sz w:val="24"/>
      <w:szCs w:val="24"/>
      <w:lang w:eastAsia="en-AU"/>
    </w:rPr>
  </w:style>
  <w:style w:type="paragraph" w:customStyle="1" w:styleId="xl72">
    <w:name w:val="xl72"/>
    <w:basedOn w:val="Normal"/>
    <w:rsid w:val="00C45CC5"/>
    <w:pPr>
      <w:shd w:val="clear" w:color="000000" w:fill="FFFFFF"/>
      <w:spacing w:before="100" w:beforeAutospacing="1" w:after="100" w:afterAutospacing="1"/>
      <w:textAlignment w:val="top"/>
    </w:pPr>
    <w:rPr>
      <w:rFonts w:ascii="Times New Roman" w:hAnsi="Times New Roman"/>
      <w:sz w:val="24"/>
      <w:szCs w:val="24"/>
      <w:lang w:eastAsia="en-AU"/>
    </w:rPr>
  </w:style>
  <w:style w:type="paragraph" w:customStyle="1" w:styleId="xl73">
    <w:name w:val="xl73"/>
    <w:basedOn w:val="Normal"/>
    <w:rsid w:val="00C45CC5"/>
    <w:pPr>
      <w:shd w:val="clear" w:color="000000" w:fill="FFFFFF"/>
      <w:spacing w:before="100" w:beforeAutospacing="1" w:after="100" w:afterAutospacing="1"/>
      <w:jc w:val="right"/>
      <w:textAlignment w:val="top"/>
    </w:pPr>
    <w:rPr>
      <w:rFonts w:ascii="Times New Roman" w:hAnsi="Times New Roman"/>
      <w:sz w:val="24"/>
      <w:szCs w:val="24"/>
      <w:lang w:eastAsia="en-AU"/>
    </w:rPr>
  </w:style>
  <w:style w:type="paragraph" w:customStyle="1" w:styleId="xl74">
    <w:name w:val="xl74"/>
    <w:basedOn w:val="Normal"/>
    <w:rsid w:val="00C45CC5"/>
    <w:pP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5">
    <w:name w:val="xl75"/>
    <w:basedOn w:val="Normal"/>
    <w:rsid w:val="00C45CC5"/>
    <w:pPr>
      <w:spacing w:before="100" w:beforeAutospacing="1" w:after="100" w:afterAutospacing="1"/>
    </w:pPr>
    <w:rPr>
      <w:rFonts w:ascii="Times New Roman" w:hAnsi="Times New Roman"/>
      <w:sz w:val="16"/>
      <w:szCs w:val="16"/>
      <w:lang w:eastAsia="en-AU"/>
    </w:rPr>
  </w:style>
  <w:style w:type="paragraph" w:customStyle="1" w:styleId="xl76">
    <w:name w:val="xl76"/>
    <w:basedOn w:val="Normal"/>
    <w:rsid w:val="00C45CC5"/>
    <w:pPr>
      <w:shd w:val="clear" w:color="000000" w:fill="FFFFFF"/>
      <w:spacing w:before="100" w:beforeAutospacing="1" w:after="100" w:afterAutospacing="1"/>
      <w:jc w:val="right"/>
      <w:textAlignment w:val="top"/>
    </w:pPr>
    <w:rPr>
      <w:rFonts w:ascii="Times New Roman" w:hAnsi="Times New Roman"/>
      <w:sz w:val="24"/>
      <w:szCs w:val="24"/>
      <w:lang w:eastAsia="en-AU"/>
    </w:rPr>
  </w:style>
  <w:style w:type="paragraph" w:customStyle="1" w:styleId="xl77">
    <w:name w:val="xl77"/>
    <w:basedOn w:val="Normal"/>
    <w:rsid w:val="00C45CC5"/>
    <w:pP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8">
    <w:name w:val="xl78"/>
    <w:basedOn w:val="Normal"/>
    <w:rsid w:val="00C45CC5"/>
    <w:pPr>
      <w:shd w:val="clear" w:color="000000" w:fill="FFFFFF"/>
      <w:spacing w:before="100" w:beforeAutospacing="1" w:after="100" w:afterAutospacing="1"/>
      <w:jc w:val="right"/>
      <w:textAlignment w:val="top"/>
    </w:pPr>
    <w:rPr>
      <w:rFonts w:ascii="Times New Roman" w:hAnsi="Times New Roman"/>
      <w:sz w:val="24"/>
      <w:szCs w:val="24"/>
      <w:lang w:eastAsia="en-AU"/>
    </w:rPr>
  </w:style>
  <w:style w:type="paragraph" w:customStyle="1" w:styleId="xl79">
    <w:name w:val="xl79"/>
    <w:basedOn w:val="Normal"/>
    <w:rsid w:val="00C45CC5"/>
    <w:pP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0">
    <w:name w:val="xl80"/>
    <w:basedOn w:val="Normal"/>
    <w:rsid w:val="00C45CC5"/>
    <w:pPr>
      <w:spacing w:before="100" w:beforeAutospacing="1" w:after="100" w:afterAutospacing="1"/>
    </w:pPr>
    <w:rPr>
      <w:rFonts w:ascii="Times New Roman" w:hAnsi="Times New Roman"/>
      <w:sz w:val="24"/>
      <w:szCs w:val="24"/>
      <w:lang w:eastAsia="en-AU"/>
    </w:rPr>
  </w:style>
  <w:style w:type="paragraph" w:customStyle="1" w:styleId="xl81">
    <w:name w:val="xl81"/>
    <w:basedOn w:val="Normal"/>
    <w:rsid w:val="00C45CC5"/>
    <w:pPr>
      <w:spacing w:before="100" w:beforeAutospacing="1" w:after="100" w:afterAutospacing="1"/>
    </w:pPr>
    <w:rPr>
      <w:rFonts w:ascii="Times New Roman" w:hAnsi="Times New Roman"/>
      <w:sz w:val="16"/>
      <w:szCs w:val="16"/>
      <w:lang w:eastAsia="en-AU"/>
    </w:rPr>
  </w:style>
  <w:style w:type="paragraph" w:customStyle="1" w:styleId="xl82">
    <w:name w:val="xl82"/>
    <w:basedOn w:val="Normal"/>
    <w:rsid w:val="00C45CC5"/>
    <w:pPr>
      <w:pBdr>
        <w:left w:val="single" w:sz="4" w:space="0" w:color="000000"/>
        <w:right w:val="single" w:sz="4" w:space="0" w:color="000000"/>
      </w:pBdr>
      <w:shd w:val="clear" w:color="000000" w:fill="000000"/>
      <w:spacing w:before="100" w:beforeAutospacing="1" w:after="100" w:afterAutospacing="1"/>
    </w:pPr>
    <w:rPr>
      <w:rFonts w:ascii="Times New Roman" w:hAnsi="Times New Roman"/>
      <w:color w:val="FFFFFF"/>
      <w:sz w:val="24"/>
      <w:szCs w:val="24"/>
      <w:lang w:eastAsia="en-AU"/>
    </w:rPr>
  </w:style>
  <w:style w:type="paragraph" w:customStyle="1" w:styleId="xl83">
    <w:name w:val="xl83"/>
    <w:basedOn w:val="Normal"/>
    <w:rsid w:val="00C45CC5"/>
    <w:pPr>
      <w:pBdr>
        <w:left w:val="single" w:sz="4" w:space="0" w:color="000000"/>
        <w:bottom w:val="single" w:sz="4" w:space="0" w:color="000000"/>
        <w:right w:val="single" w:sz="4" w:space="0" w:color="000000"/>
      </w:pBdr>
      <w:shd w:val="clear" w:color="000000" w:fill="000000"/>
      <w:spacing w:before="100" w:beforeAutospacing="1" w:after="100" w:afterAutospacing="1"/>
    </w:pPr>
    <w:rPr>
      <w:rFonts w:ascii="Times New Roman" w:hAnsi="Times New Roman"/>
      <w:color w:val="FFFFFF"/>
      <w:sz w:val="24"/>
      <w:szCs w:val="24"/>
      <w:lang w:eastAsia="en-AU"/>
    </w:rPr>
  </w:style>
  <w:style w:type="paragraph" w:customStyle="1" w:styleId="xl84">
    <w:name w:val="xl84"/>
    <w:basedOn w:val="Normal"/>
    <w:rsid w:val="00C45CC5"/>
    <w:pPr>
      <w:spacing w:before="100" w:beforeAutospacing="1" w:after="100" w:afterAutospacing="1"/>
    </w:pPr>
    <w:rPr>
      <w:rFonts w:ascii="Times New Roman" w:hAnsi="Times New Roman"/>
      <w:b/>
      <w:bCs/>
      <w:sz w:val="28"/>
      <w:szCs w:val="28"/>
      <w:lang w:eastAsia="en-AU"/>
    </w:rPr>
  </w:style>
  <w:style w:type="paragraph" w:customStyle="1" w:styleId="xl85">
    <w:name w:val="xl85"/>
    <w:basedOn w:val="Normal"/>
    <w:rsid w:val="00C45CC5"/>
    <w:pPr>
      <w:spacing w:before="100" w:beforeAutospacing="1" w:after="100" w:afterAutospacing="1"/>
    </w:pPr>
    <w:rPr>
      <w:rFonts w:ascii="Times New Roman" w:hAnsi="Times New Roman"/>
      <w:b/>
      <w:bCs/>
      <w:i/>
      <w:iCs/>
      <w:sz w:val="24"/>
      <w:szCs w:val="24"/>
      <w:lang w:eastAsia="en-AU"/>
    </w:rPr>
  </w:style>
  <w:style w:type="paragraph" w:customStyle="1" w:styleId="xl86">
    <w:name w:val="xl86"/>
    <w:basedOn w:val="Normal"/>
    <w:rsid w:val="00C45CC5"/>
    <w:pPr>
      <w:spacing w:before="100" w:beforeAutospacing="1" w:after="100" w:afterAutospacing="1"/>
    </w:pPr>
    <w:rPr>
      <w:rFonts w:ascii="Times New Roman" w:hAnsi="Times New Roman"/>
      <w:sz w:val="18"/>
      <w:szCs w:val="18"/>
      <w:lang w:eastAsia="en-AU"/>
    </w:rPr>
  </w:style>
  <w:style w:type="character" w:customStyle="1" w:styleId="TabletextChar">
    <w:name w:val="Table text Char"/>
    <w:link w:val="Tabletext"/>
    <w:rsid w:val="00C45CC5"/>
    <w:rPr>
      <w:rFonts w:ascii="Calibri" w:hAnsi="Calibri"/>
      <w:szCs w:val="18"/>
      <w:lang w:eastAsia="en-US"/>
    </w:rPr>
  </w:style>
  <w:style w:type="paragraph" w:styleId="NormalWeb">
    <w:name w:val="Normal (Web)"/>
    <w:basedOn w:val="Normal"/>
    <w:locked/>
    <w:rsid w:val="00C45CC5"/>
    <w:pPr>
      <w:spacing w:before="100" w:beforeAutospacing="1" w:after="100" w:afterAutospacing="1"/>
    </w:pPr>
    <w:rPr>
      <w:rFonts w:ascii="Times New Roman" w:hAnsi="Times New Roman"/>
      <w:sz w:val="24"/>
      <w:szCs w:val="24"/>
      <w:lang w:eastAsia="en-AU"/>
    </w:rPr>
  </w:style>
  <w:style w:type="paragraph" w:styleId="FootnoteText">
    <w:name w:val="footnote text"/>
    <w:basedOn w:val="Normal"/>
    <w:link w:val="FootnoteTextChar"/>
    <w:locked/>
    <w:rsid w:val="00C45CC5"/>
    <w:rPr>
      <w:sz w:val="20"/>
    </w:rPr>
  </w:style>
  <w:style w:type="character" w:customStyle="1" w:styleId="FootnoteTextChar">
    <w:name w:val="Footnote Text Char"/>
    <w:basedOn w:val="DefaultParagraphFont"/>
    <w:link w:val="FootnoteText"/>
    <w:rsid w:val="00C45CC5"/>
    <w:rPr>
      <w:rFonts w:ascii="Garamond" w:hAnsi="Garamond"/>
      <w:lang w:eastAsia="en-US"/>
    </w:rPr>
  </w:style>
  <w:style w:type="character" w:styleId="FootnoteReference">
    <w:name w:val="footnote reference"/>
    <w:locked/>
    <w:rsid w:val="00C45CC5"/>
    <w:rPr>
      <w:vertAlign w:val="superscript"/>
    </w:rPr>
  </w:style>
  <w:style w:type="character" w:customStyle="1" w:styleId="Heading1Char">
    <w:name w:val="Heading 1 Char"/>
    <w:link w:val="Heading1"/>
    <w:rsid w:val="00C45CC5"/>
    <w:rPr>
      <w:rFonts w:ascii="Calibri" w:hAnsi="Calibri"/>
      <w:b/>
      <w:caps/>
      <w:sz w:val="26"/>
      <w:szCs w:val="22"/>
      <w:lang w:eastAsia="en-US"/>
    </w:rPr>
  </w:style>
  <w:style w:type="character" w:customStyle="1" w:styleId="OGHeading1Char">
    <w:name w:val="OGHeading1 Char"/>
    <w:link w:val="OGHeading1"/>
    <w:rsid w:val="00C45CC5"/>
    <w:rPr>
      <w:rFonts w:ascii="Calibri" w:hAnsi="Calibri"/>
      <w:b/>
      <w:sz w:val="32"/>
      <w:szCs w:val="28"/>
      <w:lang w:eastAsia="en-US"/>
    </w:rPr>
  </w:style>
  <w:style w:type="character" w:customStyle="1" w:styleId="FooterChar">
    <w:name w:val="Footer Char"/>
    <w:link w:val="Footer"/>
    <w:rsid w:val="00C45CC5"/>
    <w:rPr>
      <w:rFonts w:ascii="Calibri" w:hAnsi="Calibri"/>
      <w:szCs w:val="18"/>
      <w:lang w:eastAsia="en-US"/>
    </w:rPr>
  </w:style>
  <w:style w:type="paragraph" w:customStyle="1" w:styleId="Soy">
    <w:name w:val="Soy"/>
    <w:basedOn w:val="Source"/>
    <w:qFormat/>
    <w:rsid w:val="00C45CC5"/>
  </w:style>
  <w:style w:type="paragraph" w:customStyle="1" w:styleId="font5">
    <w:name w:val="font5"/>
    <w:basedOn w:val="Normal"/>
    <w:rsid w:val="00C45CC5"/>
    <w:pPr>
      <w:spacing w:before="100" w:beforeAutospacing="1" w:after="100" w:afterAutospacing="1"/>
    </w:pPr>
    <w:rPr>
      <w:rFonts w:ascii="Calibri" w:hAnsi="Calibri" w:cs="Calibri"/>
      <w:color w:val="000000"/>
      <w:sz w:val="16"/>
      <w:szCs w:val="16"/>
      <w:lang w:eastAsia="en-AU"/>
    </w:rPr>
  </w:style>
  <w:style w:type="paragraph" w:customStyle="1" w:styleId="font6">
    <w:name w:val="font6"/>
    <w:basedOn w:val="Normal"/>
    <w:rsid w:val="00C45CC5"/>
    <w:pPr>
      <w:spacing w:before="100" w:beforeAutospacing="1" w:after="100" w:afterAutospacing="1"/>
    </w:pPr>
    <w:rPr>
      <w:rFonts w:ascii="Calibri" w:hAnsi="Calibri" w:cs="Calibri"/>
      <w:i/>
      <w:iCs/>
      <w:color w:val="000000"/>
      <w:sz w:val="16"/>
      <w:szCs w:val="16"/>
      <w:lang w:eastAsia="en-AU"/>
    </w:rPr>
  </w:style>
  <w:style w:type="paragraph" w:styleId="EndnoteText">
    <w:name w:val="endnote text"/>
    <w:basedOn w:val="Normal"/>
    <w:link w:val="EndnoteTextChar"/>
    <w:locked/>
    <w:rsid w:val="00C45CC5"/>
    <w:rPr>
      <w:sz w:val="20"/>
    </w:rPr>
  </w:style>
  <w:style w:type="character" w:customStyle="1" w:styleId="EndnoteTextChar">
    <w:name w:val="Endnote Text Char"/>
    <w:basedOn w:val="DefaultParagraphFont"/>
    <w:link w:val="EndnoteText"/>
    <w:rsid w:val="00C45CC5"/>
    <w:rPr>
      <w:rFonts w:ascii="Garamond" w:hAnsi="Garamond"/>
      <w:lang w:eastAsia="en-US"/>
    </w:rPr>
  </w:style>
  <w:style w:type="character" w:styleId="EndnoteReference">
    <w:name w:val="endnote reference"/>
    <w:basedOn w:val="DefaultParagraphFont"/>
    <w:locked/>
    <w:rsid w:val="00C45CC5"/>
    <w:rPr>
      <w:vertAlign w:val="superscript"/>
    </w:rPr>
  </w:style>
  <w:style w:type="paragraph" w:customStyle="1" w:styleId="TableText0">
    <w:name w:val="Table Text"/>
    <w:basedOn w:val="Normal"/>
    <w:rsid w:val="00C45CC5"/>
    <w:pPr>
      <w:spacing w:before="30" w:after="30"/>
    </w:pPr>
    <w:rPr>
      <w:rFonts w:ascii="Calibri" w:hAnsi="Calibri"/>
      <w:color w:val="4D4D4D"/>
      <w:sz w:val="18"/>
      <w:szCs w:val="24"/>
      <w:lang w:eastAsia="en-AU"/>
    </w:rPr>
  </w:style>
  <w:style w:type="paragraph" w:customStyle="1" w:styleId="TableTextHeadingLeft1">
    <w:name w:val="Table Text Heading Left"/>
    <w:basedOn w:val="Tabletextcentred"/>
    <w:rsid w:val="00C45CC5"/>
    <w:pPr>
      <w:spacing w:before="30" w:after="30"/>
      <w:jc w:val="left"/>
    </w:pPr>
    <w:rPr>
      <w:b/>
      <w:color w:val="4D4D4D"/>
      <w:sz w:val="19"/>
      <w:szCs w:val="24"/>
      <w:lang w:eastAsia="en-AU"/>
    </w:rPr>
  </w:style>
  <w:style w:type="paragraph" w:customStyle="1" w:styleId="TableTextHeadingRight">
    <w:name w:val="Table Text Heading Right"/>
    <w:basedOn w:val="TableTextHeadingLeft1"/>
    <w:rsid w:val="00C45CC5"/>
    <w:pPr>
      <w:jc w:val="right"/>
    </w:pPr>
  </w:style>
  <w:style w:type="paragraph" w:customStyle="1" w:styleId="TableTextHeadingCentre">
    <w:name w:val="Table Text Heading Centre"/>
    <w:basedOn w:val="TableTextHeadingLeft1"/>
    <w:rsid w:val="00C45CC5"/>
    <w:pPr>
      <w:jc w:val="center"/>
    </w:pPr>
  </w:style>
  <w:style w:type="paragraph" w:customStyle="1" w:styleId="TableTextCentred0">
    <w:name w:val="Table Text Centred"/>
    <w:basedOn w:val="TableText0"/>
    <w:rsid w:val="00C45CC5"/>
    <w:pPr>
      <w:jc w:val="center"/>
    </w:pPr>
  </w:style>
  <w:style w:type="paragraph" w:customStyle="1" w:styleId="TableTextRight">
    <w:name w:val="Table Text Right"/>
    <w:basedOn w:val="Normal"/>
    <w:rsid w:val="00C45CC5"/>
    <w:pPr>
      <w:spacing w:before="30" w:after="30"/>
      <w:jc w:val="right"/>
    </w:pPr>
    <w:rPr>
      <w:rFonts w:ascii="Calibri" w:hAnsi="Calibri"/>
      <w:color w:val="4D4D4D"/>
      <w:sz w:val="18"/>
      <w:szCs w:val="18"/>
      <w:lang w:eastAsia="en-AU"/>
    </w:rPr>
  </w:style>
  <w:style w:type="character" w:styleId="CommentReference">
    <w:name w:val="annotation reference"/>
    <w:locked/>
    <w:rsid w:val="00C45CC5"/>
    <w:rPr>
      <w:sz w:val="16"/>
      <w:szCs w:val="16"/>
    </w:rPr>
  </w:style>
  <w:style w:type="character" w:customStyle="1" w:styleId="Heading3Char">
    <w:name w:val="Heading 3 Char"/>
    <w:link w:val="Heading3"/>
    <w:locked/>
    <w:rsid w:val="00C45CC5"/>
    <w:rPr>
      <w:rFonts w:ascii="Calibri" w:hAnsi="Calibri"/>
      <w:b/>
      <w:i/>
      <w:kern w:val="28"/>
      <w:sz w:val="24"/>
      <w:szCs w:val="22"/>
      <w:lang w:eastAsia="en-US"/>
    </w:rPr>
  </w:style>
  <w:style w:type="paragraph" w:styleId="Index3">
    <w:name w:val="index 3"/>
    <w:basedOn w:val="Normal"/>
    <w:next w:val="Normal"/>
    <w:autoRedefine/>
    <w:rsid w:val="00811969"/>
    <w:pPr>
      <w:spacing w:after="0"/>
      <w:ind w:left="660" w:hanging="220"/>
    </w:pPr>
    <w:rPr>
      <w:rFonts w:asciiTheme="minorHAnsi" w:hAnsiTheme="minorHAnsi" w:cstheme="minorHAnsi"/>
      <w:sz w:val="18"/>
      <w:szCs w:val="18"/>
    </w:rPr>
  </w:style>
  <w:style w:type="paragraph" w:styleId="Index4">
    <w:name w:val="index 4"/>
    <w:basedOn w:val="Normal"/>
    <w:next w:val="Normal"/>
    <w:autoRedefine/>
    <w:rsid w:val="00811969"/>
    <w:pPr>
      <w:spacing w:after="0"/>
      <w:ind w:left="880" w:hanging="220"/>
    </w:pPr>
    <w:rPr>
      <w:rFonts w:asciiTheme="minorHAnsi" w:hAnsiTheme="minorHAnsi" w:cstheme="minorHAnsi"/>
      <w:sz w:val="18"/>
      <w:szCs w:val="18"/>
    </w:rPr>
  </w:style>
  <w:style w:type="paragraph" w:styleId="Index5">
    <w:name w:val="index 5"/>
    <w:basedOn w:val="Normal"/>
    <w:next w:val="Normal"/>
    <w:autoRedefine/>
    <w:rsid w:val="00811969"/>
    <w:pPr>
      <w:spacing w:after="0"/>
      <w:ind w:left="1100" w:hanging="220"/>
    </w:pPr>
    <w:rPr>
      <w:rFonts w:asciiTheme="minorHAnsi" w:hAnsiTheme="minorHAnsi" w:cstheme="minorHAnsi"/>
      <w:sz w:val="18"/>
      <w:szCs w:val="18"/>
    </w:rPr>
  </w:style>
  <w:style w:type="paragraph" w:styleId="Index6">
    <w:name w:val="index 6"/>
    <w:basedOn w:val="Normal"/>
    <w:next w:val="Normal"/>
    <w:autoRedefine/>
    <w:locked/>
    <w:rsid w:val="00811969"/>
    <w:pPr>
      <w:spacing w:after="0"/>
      <w:ind w:left="1320" w:hanging="220"/>
    </w:pPr>
    <w:rPr>
      <w:rFonts w:asciiTheme="minorHAnsi" w:hAnsiTheme="minorHAnsi" w:cstheme="minorHAnsi"/>
      <w:sz w:val="18"/>
      <w:szCs w:val="18"/>
    </w:rPr>
  </w:style>
  <w:style w:type="paragraph" w:styleId="Index7">
    <w:name w:val="index 7"/>
    <w:basedOn w:val="Normal"/>
    <w:next w:val="Normal"/>
    <w:autoRedefine/>
    <w:locked/>
    <w:rsid w:val="00811969"/>
    <w:pPr>
      <w:spacing w:after="0"/>
      <w:ind w:left="1540" w:hanging="220"/>
    </w:pPr>
    <w:rPr>
      <w:rFonts w:asciiTheme="minorHAnsi" w:hAnsiTheme="minorHAnsi" w:cstheme="minorHAnsi"/>
      <w:sz w:val="18"/>
      <w:szCs w:val="18"/>
    </w:rPr>
  </w:style>
  <w:style w:type="paragraph" w:styleId="Index8">
    <w:name w:val="index 8"/>
    <w:basedOn w:val="Normal"/>
    <w:next w:val="Normal"/>
    <w:autoRedefine/>
    <w:locked/>
    <w:rsid w:val="00811969"/>
    <w:pPr>
      <w:spacing w:after="0"/>
      <w:ind w:left="1760" w:hanging="220"/>
    </w:pPr>
    <w:rPr>
      <w:rFonts w:asciiTheme="minorHAnsi" w:hAnsiTheme="minorHAnsi" w:cstheme="minorHAnsi"/>
      <w:sz w:val="18"/>
      <w:szCs w:val="18"/>
    </w:rPr>
  </w:style>
  <w:style w:type="paragraph" w:styleId="Index9">
    <w:name w:val="index 9"/>
    <w:basedOn w:val="Normal"/>
    <w:next w:val="Normal"/>
    <w:autoRedefine/>
    <w:locked/>
    <w:rsid w:val="00811969"/>
    <w:pPr>
      <w:spacing w:after="0"/>
      <w:ind w:left="1980" w:hanging="220"/>
    </w:pPr>
    <w:rPr>
      <w:rFonts w:asciiTheme="minorHAnsi" w:hAnsiTheme="minorHAnsi" w:cstheme="minorHAnsi"/>
      <w:sz w:val="18"/>
      <w:szCs w:val="18"/>
    </w:rPr>
  </w:style>
  <w:style w:type="character" w:customStyle="1" w:styleId="OGNotesChar">
    <w:name w:val="OGNotes Char"/>
    <w:link w:val="OGNotes"/>
    <w:rsid w:val="00CF58C7"/>
    <w:rPr>
      <w:rFonts w:ascii="Calibri" w:hAnsi="Calibri"/>
      <w:i/>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7.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footer" Target="footer22.xml"/><Relationship Id="rId42" Type="http://schemas.openxmlformats.org/officeDocument/2006/relationships/footer" Target="footer29.xml"/><Relationship Id="rId47" Type="http://schemas.openxmlformats.org/officeDocument/2006/relationships/footer" Target="footer34.xml"/><Relationship Id="rId50" Type="http://schemas.openxmlformats.org/officeDocument/2006/relationships/footer" Target="footer3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footer" Target="footer3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8.xml"/><Relationship Id="rId41" Type="http://schemas.openxmlformats.org/officeDocument/2006/relationships/hyperlink" Target="http://www.budget.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4.xml"/><Relationship Id="rId32" Type="http://schemas.openxmlformats.org/officeDocument/2006/relationships/hyperlink" Target="http://www.vic.gov.au" TargetMode="External"/><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footer" Target="footer32.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7.xml"/><Relationship Id="rId36" Type="http://schemas.openxmlformats.org/officeDocument/2006/relationships/footer" Target="footer24.xml"/><Relationship Id="rId49" Type="http://schemas.openxmlformats.org/officeDocument/2006/relationships/footer" Target="footer36.xml"/><Relationship Id="rId10" Type="http://schemas.openxmlformats.org/officeDocument/2006/relationships/oleObject" Target="embeddings/oleObject1.bin"/><Relationship Id="rId19" Type="http://schemas.openxmlformats.org/officeDocument/2006/relationships/footer" Target="footer9.xml"/><Relationship Id="rId31" Type="http://schemas.openxmlformats.org/officeDocument/2006/relationships/footer" Target="footer20.xml"/><Relationship Id="rId44" Type="http://schemas.openxmlformats.org/officeDocument/2006/relationships/footer" Target="footer31.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hyperlink" Target="http://research.lawlex.com.au/default.asp?itid=0&amp;ntid=0&amp;nid=&amp;cid=403&amp;jurid=&#945;=&amp;alphaid=&amp;ihl=&amp;nhl=&amp;fp=&amp;rdt=&amp;vaftype=&amp;requirelogin=&amp;tab=ind&amp;pact=coredoc&amp;top=exp&amp;nav=col&amp;docview=true" TargetMode="External"/><Relationship Id="rId30" Type="http://schemas.openxmlformats.org/officeDocument/2006/relationships/footer" Target="footer19.xml"/><Relationship Id="rId35" Type="http://schemas.openxmlformats.org/officeDocument/2006/relationships/footer" Target="footer23.xml"/><Relationship Id="rId43" Type="http://schemas.openxmlformats.org/officeDocument/2006/relationships/footer" Target="footer30.xml"/><Relationship Id="rId48" Type="http://schemas.openxmlformats.org/officeDocument/2006/relationships/footer" Target="footer35.xml"/><Relationship Id="rId8" Type="http://schemas.openxmlformats.org/officeDocument/2006/relationships/endnotes" Target="endnotes.xml"/><Relationship Id="rId51" Type="http://schemas.openxmlformats.org/officeDocument/2006/relationships/footer" Target="footer38.xml"/></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Budget_B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87597-0F8C-413D-BCFC-2A8E4CE6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Budget_B5.dotm</Template>
  <TotalTime>1</TotalTime>
  <Pages>362</Pages>
  <Words>107152</Words>
  <Characters>610771</Characters>
  <Application>Microsoft Office Word</Application>
  <DocSecurity>0</DocSecurity>
  <Lines>5089</Lines>
  <Paragraphs>1432</Paragraphs>
  <ScaleCrop>false</ScaleCrop>
  <HeadingPairs>
    <vt:vector size="2" baseType="variant">
      <vt:variant>
        <vt:lpstr>Title</vt:lpstr>
      </vt:variant>
      <vt:variant>
        <vt:i4>1</vt:i4>
      </vt:variant>
    </vt:vector>
  </HeadingPairs>
  <TitlesOfParts>
    <vt:vector size="1" baseType="lpstr">
      <vt:lpstr>Draft No</vt:lpstr>
    </vt:vector>
  </TitlesOfParts>
  <Company>DTF</Company>
  <LinksUpToDate>false</LinksUpToDate>
  <CharactersWithSpaces>716491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subject/>
  <dc:creator>Julie Tran</dc:creator>
  <cp:keywords/>
  <dc:description/>
  <cp:lastModifiedBy>Deidre Steain</cp:lastModifiedBy>
  <cp:revision>3</cp:revision>
  <cp:lastPrinted>2013-05-03T06:38:00Z</cp:lastPrinted>
  <dcterms:created xsi:type="dcterms:W3CDTF">2013-05-05T07:39:00Z</dcterms:created>
  <dcterms:modified xsi:type="dcterms:W3CDTF">2013-05-05T08:01:00Z</dcterms:modified>
</cp:coreProperties>
</file>